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B8" w:rsidRDefault="00A42FB8" w:rsidP="00A42FB8">
      <w:pPr>
        <w:pStyle w:val="Title"/>
        <w:tabs>
          <w:tab w:val="clear" w:pos="360"/>
          <w:tab w:val="left" w:pos="0"/>
        </w:tabs>
        <w:spacing w:line="240" w:lineRule="auto"/>
      </w:pPr>
      <w:r>
        <w:t>BEFORE THE</w:t>
      </w:r>
    </w:p>
    <w:p w:rsidR="00A42FB8" w:rsidRDefault="00A42FB8" w:rsidP="00A42FB8">
      <w:pPr>
        <w:tabs>
          <w:tab w:val="left" w:pos="0"/>
        </w:tabs>
        <w:spacing w:before="0" w:after="0" w:line="240" w:lineRule="auto"/>
        <w:jc w:val="center"/>
        <w:rPr>
          <w:b/>
        </w:rPr>
      </w:pPr>
      <w:r>
        <w:rPr>
          <w:b/>
        </w:rPr>
        <w:t>PENNSYLVANIA PUBLIC UTILITY COMMISSION</w:t>
      </w:r>
    </w:p>
    <w:p w:rsidR="00A42FB8" w:rsidRDefault="00A42FB8" w:rsidP="00A42FB8">
      <w:pPr>
        <w:tabs>
          <w:tab w:val="left" w:pos="0"/>
        </w:tabs>
        <w:spacing w:before="0" w:after="0" w:line="240" w:lineRule="auto"/>
        <w:jc w:val="both"/>
        <w:rPr>
          <w:b/>
        </w:rPr>
      </w:pPr>
    </w:p>
    <w:p w:rsidR="00A42FB8" w:rsidRDefault="00A42FB8" w:rsidP="00A42FB8">
      <w:pPr>
        <w:tabs>
          <w:tab w:val="left" w:pos="0"/>
        </w:tabs>
        <w:spacing w:before="0" w:after="0" w:line="240" w:lineRule="auto"/>
        <w:jc w:val="both"/>
        <w:rPr>
          <w:b/>
        </w:rPr>
      </w:pPr>
    </w:p>
    <w:p w:rsidR="00A42FB8" w:rsidRDefault="00A42FB8" w:rsidP="00A42FB8">
      <w:pPr>
        <w:tabs>
          <w:tab w:val="left" w:pos="0"/>
        </w:tabs>
        <w:spacing w:before="0" w:after="0" w:line="240" w:lineRule="auto"/>
        <w:jc w:val="both"/>
        <w:rPr>
          <w:b/>
        </w:rPr>
      </w:pPr>
    </w:p>
    <w:p w:rsidR="00A42FB8" w:rsidRDefault="0044228B" w:rsidP="00A42FB8">
      <w:pPr>
        <w:tabs>
          <w:tab w:val="left" w:pos="0"/>
          <w:tab w:val="left" w:pos="5040"/>
        </w:tabs>
        <w:spacing w:before="0" w:after="0" w:line="240" w:lineRule="auto"/>
        <w:jc w:val="both"/>
        <w:rPr>
          <w:b/>
        </w:rPr>
      </w:pPr>
      <w:proofErr w:type="spellStart"/>
      <w:r>
        <w:t>Elease</w:t>
      </w:r>
      <w:proofErr w:type="spellEnd"/>
      <w:r>
        <w:t xml:space="preserve"> Slaughter</w:t>
      </w:r>
      <w:r w:rsidR="00A42FB8">
        <w:tab/>
        <w:t>:</w:t>
      </w:r>
    </w:p>
    <w:p w:rsidR="00A42FB8" w:rsidRPr="00560DC5" w:rsidRDefault="00A42FB8" w:rsidP="00A42FB8">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A42FB8" w:rsidRPr="003B279A" w:rsidRDefault="00A42FB8" w:rsidP="00A42FB8">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C-2016-25</w:t>
      </w:r>
      <w:r w:rsidR="0044228B">
        <w:t>41771</w:t>
      </w:r>
    </w:p>
    <w:p w:rsidR="00A42FB8" w:rsidRPr="00560DC5" w:rsidRDefault="00A42FB8" w:rsidP="00A42FB8">
      <w:pPr>
        <w:tabs>
          <w:tab w:val="left" w:pos="0"/>
        </w:tabs>
        <w:spacing w:before="0" w:after="0" w:line="240" w:lineRule="auto"/>
        <w:jc w:val="both"/>
      </w:pPr>
      <w:r>
        <w:tab/>
      </w:r>
      <w:r>
        <w:tab/>
      </w:r>
      <w:r>
        <w:tab/>
      </w:r>
      <w:r>
        <w:tab/>
      </w:r>
      <w:r>
        <w:tab/>
      </w:r>
      <w:r>
        <w:tab/>
      </w:r>
      <w:r w:rsidRPr="00560DC5">
        <w:t>:</w:t>
      </w:r>
    </w:p>
    <w:p w:rsidR="00A42FB8" w:rsidRDefault="00A42FB8" w:rsidP="00A42FB8">
      <w:pPr>
        <w:tabs>
          <w:tab w:val="left" w:pos="0"/>
        </w:tabs>
        <w:spacing w:before="0" w:after="0" w:line="240" w:lineRule="auto"/>
        <w:jc w:val="both"/>
      </w:pPr>
      <w:r>
        <w:t>P</w:t>
      </w:r>
      <w:r w:rsidR="0044228B">
        <w:t>hiladelphia Gas Works</w:t>
      </w:r>
      <w:r w:rsidR="0044228B">
        <w:tab/>
      </w:r>
      <w:r w:rsidR="0044228B">
        <w:tab/>
      </w:r>
      <w:r>
        <w:tab/>
      </w:r>
      <w:r>
        <w:tab/>
      </w:r>
      <w:r w:rsidRPr="00560DC5">
        <w:t>:</w:t>
      </w:r>
    </w:p>
    <w:p w:rsidR="00A42FB8" w:rsidRDefault="00A42FB8" w:rsidP="00A42FB8">
      <w:pPr>
        <w:tabs>
          <w:tab w:val="left" w:pos="0"/>
        </w:tabs>
        <w:spacing w:before="0" w:after="0" w:line="240" w:lineRule="auto"/>
        <w:jc w:val="both"/>
      </w:pPr>
      <w:r>
        <w:tab/>
      </w:r>
      <w:r>
        <w:tab/>
      </w:r>
    </w:p>
    <w:p w:rsidR="00A42FB8" w:rsidRDefault="00A42FB8" w:rsidP="00A42FB8">
      <w:pPr>
        <w:tabs>
          <w:tab w:val="left" w:pos="0"/>
        </w:tabs>
        <w:spacing w:before="0" w:after="0" w:line="240" w:lineRule="auto"/>
        <w:jc w:val="both"/>
        <w:rPr>
          <w:b/>
        </w:rPr>
      </w:pPr>
    </w:p>
    <w:p w:rsidR="00A42FB8" w:rsidRDefault="00A42FB8" w:rsidP="00A42FB8">
      <w:pPr>
        <w:tabs>
          <w:tab w:val="left" w:pos="0"/>
        </w:tabs>
        <w:spacing w:before="0" w:after="0" w:line="240" w:lineRule="auto"/>
        <w:jc w:val="both"/>
        <w:rPr>
          <w:b/>
        </w:rPr>
      </w:pPr>
    </w:p>
    <w:p w:rsidR="00BE402C" w:rsidRPr="00290713" w:rsidRDefault="00BE402C" w:rsidP="00A42FB8">
      <w:pPr>
        <w:spacing w:before="0" w:after="0" w:line="240" w:lineRule="auto"/>
        <w:jc w:val="center"/>
        <w:rPr>
          <w:b/>
          <w:u w:val="single"/>
        </w:rPr>
      </w:pPr>
      <w:r w:rsidRPr="00290713">
        <w:rPr>
          <w:b/>
          <w:u w:val="single"/>
        </w:rPr>
        <w:t>INITIAL DECISION</w:t>
      </w:r>
    </w:p>
    <w:p w:rsidR="00A42FB8" w:rsidRDefault="00A42FB8" w:rsidP="00A42FB8">
      <w:pPr>
        <w:spacing w:before="0" w:after="0" w:line="240" w:lineRule="auto"/>
        <w:jc w:val="center"/>
        <w:rPr>
          <w:b/>
          <w:u w:val="single"/>
        </w:rPr>
      </w:pPr>
    </w:p>
    <w:p w:rsidR="00BE402C" w:rsidRDefault="00BE402C" w:rsidP="00A42FB8">
      <w:pPr>
        <w:spacing w:before="0" w:after="0" w:line="240" w:lineRule="auto"/>
        <w:jc w:val="center"/>
        <w:rPr>
          <w:b/>
          <w:u w:val="single"/>
        </w:rPr>
      </w:pPr>
    </w:p>
    <w:p w:rsidR="00BE402C" w:rsidRDefault="00BE402C" w:rsidP="00A42FB8">
      <w:pPr>
        <w:spacing w:before="0" w:after="0" w:line="240" w:lineRule="auto"/>
        <w:jc w:val="center"/>
      </w:pPr>
      <w:r>
        <w:t>Before</w:t>
      </w:r>
    </w:p>
    <w:p w:rsidR="00BE402C" w:rsidRDefault="00BE402C" w:rsidP="00A42FB8">
      <w:pPr>
        <w:spacing w:before="0" w:after="0" w:line="240" w:lineRule="auto"/>
        <w:jc w:val="center"/>
      </w:pPr>
      <w:r>
        <w:t>Conrad A. Johnson</w:t>
      </w:r>
    </w:p>
    <w:p w:rsidR="00BE402C" w:rsidRDefault="00BE402C" w:rsidP="00A42FB8">
      <w:pPr>
        <w:spacing w:before="0" w:after="0" w:line="240" w:lineRule="auto"/>
        <w:jc w:val="center"/>
      </w:pPr>
      <w:r>
        <w:t>Administrative Law Judge</w:t>
      </w:r>
    </w:p>
    <w:p w:rsidR="00BE402C" w:rsidRDefault="00BE402C" w:rsidP="00A42FB8">
      <w:pPr>
        <w:spacing w:before="0" w:after="0" w:line="240" w:lineRule="auto"/>
        <w:jc w:val="center"/>
      </w:pPr>
    </w:p>
    <w:p w:rsidR="00290713" w:rsidRDefault="00290713" w:rsidP="00A42FB8">
      <w:pPr>
        <w:spacing w:before="0" w:after="0" w:line="240" w:lineRule="auto"/>
        <w:jc w:val="center"/>
      </w:pPr>
    </w:p>
    <w:p w:rsidR="00BE402C" w:rsidRPr="00BE402C" w:rsidRDefault="00BE402C" w:rsidP="001B4B0A">
      <w:pPr>
        <w:spacing w:before="0" w:after="0"/>
      </w:pPr>
      <w:r>
        <w:tab/>
        <w:t xml:space="preserve">This decision dismisses the formal complaint filed </w:t>
      </w:r>
      <w:r w:rsidR="001B2707">
        <w:t xml:space="preserve">by Complainant </w:t>
      </w:r>
      <w:r>
        <w:t xml:space="preserve">in this matter </w:t>
      </w:r>
      <w:r w:rsidR="001B2707">
        <w:t>because of</w:t>
      </w:r>
      <w:r>
        <w:t xml:space="preserve"> </w:t>
      </w:r>
      <w:r w:rsidR="001B2707">
        <w:t>her</w:t>
      </w:r>
      <w:r>
        <w:t xml:space="preserve"> failure to establish her burden of </w:t>
      </w:r>
      <w:r w:rsidR="001B2707">
        <w:t xml:space="preserve">proof that Respondent violated the Public Utility Code in </w:t>
      </w:r>
      <w:r w:rsidR="009E2939">
        <w:t>threat</w:t>
      </w:r>
      <w:r w:rsidR="001B2707">
        <w:t>ening</w:t>
      </w:r>
      <w:r w:rsidR="009E2939">
        <w:t xml:space="preserve"> </w:t>
      </w:r>
      <w:r>
        <w:t xml:space="preserve">service termination or </w:t>
      </w:r>
      <w:r w:rsidR="001B2707">
        <w:t xml:space="preserve">by </w:t>
      </w:r>
      <w:r>
        <w:t>incorrect</w:t>
      </w:r>
      <w:r w:rsidR="001B2707">
        <w:t>ly</w:t>
      </w:r>
      <w:r>
        <w:t xml:space="preserve"> bill</w:t>
      </w:r>
      <w:r w:rsidR="001B2707">
        <w:t>ing her for gas service</w:t>
      </w:r>
      <w:r>
        <w:t>.</w:t>
      </w:r>
      <w:r w:rsidR="00A767A3">
        <w:t xml:space="preserve">  </w:t>
      </w:r>
      <w:r w:rsidR="001B2707">
        <w:t>Due to Complainant’s poor payment history, t</w:t>
      </w:r>
      <w:r w:rsidR="00A767A3">
        <w:t>his decision also denies Complainant’s request for a Commission-ordered payment arrangement.</w:t>
      </w:r>
    </w:p>
    <w:p w:rsidR="004015D0" w:rsidRDefault="004015D0" w:rsidP="00C2613E">
      <w:pPr>
        <w:spacing w:before="0" w:after="0"/>
        <w:jc w:val="center"/>
      </w:pPr>
    </w:p>
    <w:p w:rsidR="007A5913" w:rsidRPr="007A5913" w:rsidRDefault="007A5913" w:rsidP="007A5913">
      <w:pPr>
        <w:tabs>
          <w:tab w:val="clear" w:pos="1440"/>
        </w:tabs>
        <w:spacing w:before="0" w:after="0"/>
        <w:jc w:val="center"/>
        <w:rPr>
          <w:u w:val="single"/>
        </w:rPr>
      </w:pPr>
      <w:r w:rsidRPr="007A5913">
        <w:rPr>
          <w:u w:val="single"/>
        </w:rPr>
        <w:t>HISTORY OF THE PROCEEDINGS</w:t>
      </w:r>
    </w:p>
    <w:p w:rsidR="007A5913" w:rsidRDefault="007A5913" w:rsidP="00093535">
      <w:pPr>
        <w:tabs>
          <w:tab w:val="clear" w:pos="1440"/>
        </w:tabs>
        <w:spacing w:before="0" w:after="0"/>
        <w:rPr>
          <w:u w:val="single"/>
        </w:rPr>
      </w:pPr>
    </w:p>
    <w:p w:rsidR="00093535" w:rsidRPr="00093535" w:rsidRDefault="00093535" w:rsidP="00093535">
      <w:pPr>
        <w:tabs>
          <w:tab w:val="clear" w:pos="1440"/>
        </w:tabs>
        <w:spacing w:before="0" w:after="0"/>
      </w:pPr>
      <w:r>
        <w:t>A.</w:t>
      </w:r>
      <w:r>
        <w:tab/>
      </w:r>
      <w:r w:rsidRPr="00093535">
        <w:rPr>
          <w:u w:val="single"/>
        </w:rPr>
        <w:t>Complainant’s Complaint</w:t>
      </w:r>
    </w:p>
    <w:p w:rsidR="00093535" w:rsidRDefault="00093535" w:rsidP="007A5913">
      <w:pPr>
        <w:tabs>
          <w:tab w:val="clear" w:pos="1440"/>
        </w:tabs>
        <w:spacing w:before="0" w:after="0"/>
        <w:ind w:firstLine="1440"/>
      </w:pPr>
    </w:p>
    <w:p w:rsidR="00787BD5" w:rsidRDefault="00745B7A" w:rsidP="004B4298">
      <w:pPr>
        <w:tabs>
          <w:tab w:val="clear" w:pos="1440"/>
        </w:tabs>
        <w:spacing w:before="0" w:after="0"/>
        <w:ind w:firstLine="1440"/>
        <w:rPr>
          <w:rFonts w:eastAsiaTheme="minorHAnsi" w:cstheme="minorBidi"/>
          <w:szCs w:val="22"/>
        </w:rPr>
      </w:pPr>
      <w:proofErr w:type="spellStart"/>
      <w:r>
        <w:t>Elease</w:t>
      </w:r>
      <w:proofErr w:type="spellEnd"/>
      <w:r>
        <w:t xml:space="preserve"> Slaughter </w:t>
      </w:r>
      <w:r w:rsidR="007A5913" w:rsidRPr="007A5913">
        <w:t>(Complainant</w:t>
      </w:r>
      <w:r w:rsidR="00F70142">
        <w:t xml:space="preserve"> or Ms. Slaughter</w:t>
      </w:r>
      <w:r w:rsidR="007A5913" w:rsidRPr="007A5913">
        <w:t xml:space="preserve">) filed a formal complaint </w:t>
      </w:r>
      <w:r w:rsidR="003A64D6">
        <w:t xml:space="preserve">(Complaint) </w:t>
      </w:r>
      <w:r w:rsidR="007A5913" w:rsidRPr="007A5913">
        <w:t xml:space="preserve">against </w:t>
      </w:r>
      <w:r>
        <w:t xml:space="preserve">Philadelphia Gas Works </w:t>
      </w:r>
      <w:r w:rsidR="007A5913" w:rsidRPr="007A5913">
        <w:t>(</w:t>
      </w:r>
      <w:r w:rsidR="00F70142">
        <w:t xml:space="preserve">Respondent or </w:t>
      </w:r>
      <w:r w:rsidR="007A5913" w:rsidRPr="007A5913">
        <w:t>P</w:t>
      </w:r>
      <w:r>
        <w:t>GW</w:t>
      </w:r>
      <w:r w:rsidR="007A5913" w:rsidRPr="007A5913">
        <w:t>) on A</w:t>
      </w:r>
      <w:r>
        <w:t>pril 18, 2016.</w:t>
      </w:r>
      <w:r w:rsidR="007A5913" w:rsidRPr="007A5913">
        <w:t xml:space="preserve">  Complainant allege</w:t>
      </w:r>
      <w:r w:rsidR="00090DEA">
        <w:t>d</w:t>
      </w:r>
      <w:r w:rsidR="007A5913" w:rsidRPr="007A5913">
        <w:t xml:space="preserve"> </w:t>
      </w:r>
      <w:r>
        <w:t xml:space="preserve">Respondent </w:t>
      </w:r>
      <w:r w:rsidR="00090DEA">
        <w:t>wa</w:t>
      </w:r>
      <w:r>
        <w:t xml:space="preserve">s threatening to </w:t>
      </w:r>
      <w:r w:rsidR="000654DA">
        <w:t>terminate</w:t>
      </w:r>
      <w:r>
        <w:t xml:space="preserve"> her utility service or ha</w:t>
      </w:r>
      <w:r w:rsidR="00090DEA">
        <w:t>d</w:t>
      </w:r>
      <w:r>
        <w:t xml:space="preserve"> already </w:t>
      </w:r>
      <w:r w:rsidR="000654DA">
        <w:t>terminated</w:t>
      </w:r>
      <w:r>
        <w:t xml:space="preserve"> her service.  Complainant furthered allege</w:t>
      </w:r>
      <w:r w:rsidR="00090DEA">
        <w:t xml:space="preserve">d she had </w:t>
      </w:r>
      <w:r w:rsidR="002A7865" w:rsidRPr="002A7865">
        <w:rPr>
          <w:rFonts w:eastAsiaTheme="minorHAnsi" w:cstheme="minorBidi"/>
          <w:szCs w:val="22"/>
        </w:rPr>
        <w:t xml:space="preserve">moved from 7039 </w:t>
      </w:r>
      <w:proofErr w:type="spellStart"/>
      <w:r w:rsidR="002A7865" w:rsidRPr="002A7865">
        <w:rPr>
          <w:rFonts w:eastAsiaTheme="minorHAnsi" w:cstheme="minorBidi"/>
          <w:szCs w:val="22"/>
        </w:rPr>
        <w:t>Ardleigh</w:t>
      </w:r>
      <w:proofErr w:type="spellEnd"/>
      <w:r w:rsidR="002A7865" w:rsidRPr="002A7865">
        <w:rPr>
          <w:rFonts w:eastAsiaTheme="minorHAnsi" w:cstheme="minorBidi"/>
          <w:szCs w:val="22"/>
        </w:rPr>
        <w:t xml:space="preserve"> Street,</w:t>
      </w:r>
      <w:r w:rsidR="002A7865">
        <w:rPr>
          <w:rFonts w:eastAsiaTheme="minorHAnsi" w:cstheme="minorBidi"/>
          <w:szCs w:val="22"/>
        </w:rPr>
        <w:t xml:space="preserve"> Philadelphia</w:t>
      </w:r>
      <w:r w:rsidR="00576D29">
        <w:rPr>
          <w:rFonts w:eastAsiaTheme="minorHAnsi" w:cstheme="minorBidi"/>
          <w:szCs w:val="22"/>
        </w:rPr>
        <w:t>, PA</w:t>
      </w:r>
      <w:r w:rsidR="002A7865">
        <w:rPr>
          <w:rFonts w:eastAsiaTheme="minorHAnsi" w:cstheme="minorBidi"/>
          <w:szCs w:val="22"/>
        </w:rPr>
        <w:t xml:space="preserve"> </w:t>
      </w:r>
      <w:r w:rsidR="002A7865" w:rsidRPr="002A7865">
        <w:rPr>
          <w:rFonts w:eastAsiaTheme="minorHAnsi" w:cstheme="minorBidi"/>
          <w:szCs w:val="22"/>
        </w:rPr>
        <w:t xml:space="preserve">19119 in </w:t>
      </w:r>
      <w:r w:rsidR="004B4298">
        <w:rPr>
          <w:rFonts w:eastAsiaTheme="minorHAnsi" w:cstheme="minorBidi"/>
          <w:szCs w:val="22"/>
        </w:rPr>
        <w:t xml:space="preserve">the </w:t>
      </w:r>
      <w:r w:rsidR="002A7865" w:rsidRPr="002A7865">
        <w:rPr>
          <w:rFonts w:eastAsiaTheme="minorHAnsi" w:cstheme="minorBidi"/>
          <w:szCs w:val="22"/>
        </w:rPr>
        <w:t xml:space="preserve">latter part of 2007 </w:t>
      </w:r>
      <w:r w:rsidR="00576D29">
        <w:rPr>
          <w:rFonts w:eastAsiaTheme="minorHAnsi" w:cstheme="minorBidi"/>
          <w:szCs w:val="22"/>
        </w:rPr>
        <w:t>a</w:t>
      </w:r>
      <w:r w:rsidR="002A7865" w:rsidRPr="002A7865">
        <w:rPr>
          <w:rFonts w:eastAsiaTheme="minorHAnsi" w:cstheme="minorBidi"/>
          <w:szCs w:val="22"/>
        </w:rPr>
        <w:t xml:space="preserve">nd called to have service </w:t>
      </w:r>
      <w:r w:rsidR="000654DA">
        <w:rPr>
          <w:rFonts w:eastAsiaTheme="minorHAnsi" w:cstheme="minorBidi"/>
          <w:szCs w:val="22"/>
        </w:rPr>
        <w:t>terminated</w:t>
      </w:r>
      <w:r w:rsidR="00090DEA">
        <w:rPr>
          <w:rFonts w:eastAsiaTheme="minorHAnsi" w:cstheme="minorBidi"/>
          <w:szCs w:val="22"/>
        </w:rPr>
        <w:t>.  According to Complainant, PGW failed to turn off service under her name, and she was billed for service used by “whoever purchased the property.”</w:t>
      </w:r>
      <w:r w:rsidR="002A7865" w:rsidRPr="002A7865">
        <w:rPr>
          <w:rFonts w:eastAsiaTheme="minorHAnsi" w:cstheme="minorBidi"/>
          <w:szCs w:val="22"/>
        </w:rPr>
        <w:t xml:space="preserve"> </w:t>
      </w:r>
      <w:r w:rsidR="00090DEA">
        <w:rPr>
          <w:rFonts w:eastAsiaTheme="minorHAnsi" w:cstheme="minorBidi"/>
          <w:szCs w:val="22"/>
        </w:rPr>
        <w:t xml:space="preserve"> </w:t>
      </w:r>
      <w:r w:rsidR="00FB773B">
        <w:rPr>
          <w:rFonts w:eastAsiaTheme="minorHAnsi" w:cstheme="minorBidi"/>
          <w:szCs w:val="22"/>
        </w:rPr>
        <w:t xml:space="preserve">As relief for her </w:t>
      </w:r>
      <w:r w:rsidR="003A64D6">
        <w:rPr>
          <w:rFonts w:eastAsiaTheme="minorHAnsi" w:cstheme="minorBidi"/>
          <w:szCs w:val="22"/>
        </w:rPr>
        <w:t>C</w:t>
      </w:r>
      <w:r w:rsidR="00FB773B">
        <w:rPr>
          <w:rFonts w:eastAsiaTheme="minorHAnsi" w:cstheme="minorBidi"/>
          <w:szCs w:val="22"/>
        </w:rPr>
        <w:t xml:space="preserve">omplaint, Complainant </w:t>
      </w:r>
      <w:r w:rsidR="00FB773B">
        <w:rPr>
          <w:rFonts w:eastAsiaTheme="minorHAnsi" w:cstheme="minorBidi"/>
          <w:szCs w:val="22"/>
        </w:rPr>
        <w:lastRenderedPageBreak/>
        <w:t>request</w:t>
      </w:r>
      <w:r w:rsidR="00090DEA">
        <w:rPr>
          <w:rFonts w:eastAsiaTheme="minorHAnsi" w:cstheme="minorBidi"/>
          <w:szCs w:val="22"/>
        </w:rPr>
        <w:t>ed an adjustment</w:t>
      </w:r>
      <w:r w:rsidR="00FB773B">
        <w:rPr>
          <w:rFonts w:eastAsiaTheme="minorHAnsi" w:cstheme="minorBidi"/>
          <w:szCs w:val="22"/>
        </w:rPr>
        <w:t xml:space="preserve"> </w:t>
      </w:r>
      <w:r w:rsidR="004B4298">
        <w:rPr>
          <w:rFonts w:eastAsiaTheme="minorHAnsi" w:cstheme="minorBidi"/>
          <w:szCs w:val="22"/>
        </w:rPr>
        <w:t>of</w:t>
      </w:r>
      <w:r w:rsidR="00090DEA">
        <w:rPr>
          <w:rFonts w:eastAsiaTheme="minorHAnsi" w:cstheme="minorBidi"/>
          <w:szCs w:val="22"/>
        </w:rPr>
        <w:t xml:space="preserve"> her bill to reflect a credit for the time she was not at the </w:t>
      </w:r>
      <w:proofErr w:type="spellStart"/>
      <w:r w:rsidR="00090DEA">
        <w:rPr>
          <w:rFonts w:eastAsiaTheme="minorHAnsi" w:cstheme="minorBidi"/>
          <w:szCs w:val="22"/>
        </w:rPr>
        <w:t>Ardleigh</w:t>
      </w:r>
      <w:proofErr w:type="spellEnd"/>
      <w:r w:rsidR="00090DEA">
        <w:rPr>
          <w:rFonts w:eastAsiaTheme="minorHAnsi" w:cstheme="minorBidi"/>
          <w:szCs w:val="22"/>
        </w:rPr>
        <w:t xml:space="preserve"> Street service address and enrollment in PGW’s </w:t>
      </w:r>
      <w:r w:rsidR="007B611F">
        <w:rPr>
          <w:rFonts w:eastAsiaTheme="minorHAnsi" w:cstheme="minorBidi"/>
          <w:szCs w:val="22"/>
        </w:rPr>
        <w:t xml:space="preserve">Customer Responsibility Program or </w:t>
      </w:r>
      <w:r w:rsidR="00090DEA">
        <w:rPr>
          <w:rFonts w:eastAsiaTheme="minorHAnsi" w:cstheme="minorBidi"/>
          <w:szCs w:val="22"/>
        </w:rPr>
        <w:t xml:space="preserve">CRP (a customer assistance program). </w:t>
      </w:r>
      <w:r w:rsidR="00290713">
        <w:rPr>
          <w:rFonts w:eastAsiaTheme="minorHAnsi" w:cstheme="minorBidi"/>
          <w:szCs w:val="22"/>
        </w:rPr>
        <w:t xml:space="preserve"> </w:t>
      </w:r>
      <w:r w:rsidR="00787BD5">
        <w:rPr>
          <w:rFonts w:eastAsiaTheme="minorHAnsi" w:cstheme="minorBidi"/>
          <w:szCs w:val="22"/>
        </w:rPr>
        <w:t xml:space="preserve">Complaint </w:t>
      </w:r>
      <w:r w:rsidR="00787BD5">
        <w:rPr>
          <w:rFonts w:eastAsiaTheme="minorHAnsi"/>
          <w:szCs w:val="22"/>
        </w:rPr>
        <w:t>¶¶</w:t>
      </w:r>
      <w:r w:rsidR="00787BD5">
        <w:rPr>
          <w:rFonts w:eastAsiaTheme="minorHAnsi" w:cstheme="minorBidi"/>
          <w:szCs w:val="22"/>
        </w:rPr>
        <w:t xml:space="preserve"> 4,</w:t>
      </w:r>
      <w:r w:rsidR="001706EE">
        <w:rPr>
          <w:rFonts w:eastAsiaTheme="minorHAnsi" w:cstheme="minorBidi"/>
          <w:szCs w:val="22"/>
        </w:rPr>
        <w:t xml:space="preserve"> </w:t>
      </w:r>
      <w:r w:rsidR="00787BD5">
        <w:rPr>
          <w:rFonts w:eastAsiaTheme="minorHAnsi" w:cstheme="minorBidi"/>
          <w:szCs w:val="22"/>
        </w:rPr>
        <w:t>5.</w:t>
      </w:r>
    </w:p>
    <w:p w:rsidR="001B2707" w:rsidRDefault="001B2707" w:rsidP="00317B5F">
      <w:pPr>
        <w:tabs>
          <w:tab w:val="clear" w:pos="1440"/>
        </w:tabs>
        <w:spacing w:before="0" w:after="0"/>
        <w:rPr>
          <w:rFonts w:eastAsiaTheme="minorHAnsi" w:cstheme="minorBidi"/>
          <w:szCs w:val="22"/>
        </w:rPr>
      </w:pPr>
    </w:p>
    <w:p w:rsidR="00BD3E6B" w:rsidRDefault="00BD3E6B" w:rsidP="00317B5F">
      <w:pPr>
        <w:tabs>
          <w:tab w:val="clear" w:pos="1440"/>
        </w:tabs>
        <w:spacing w:before="0" w:after="0"/>
        <w:rPr>
          <w:rFonts w:eastAsiaTheme="minorHAnsi" w:cstheme="minorBidi"/>
          <w:szCs w:val="22"/>
        </w:rPr>
      </w:pPr>
      <w:r>
        <w:rPr>
          <w:rFonts w:eastAsiaTheme="minorHAnsi" w:cstheme="minorBidi"/>
          <w:szCs w:val="22"/>
        </w:rPr>
        <w:t>B.</w:t>
      </w:r>
      <w:r>
        <w:rPr>
          <w:rFonts w:eastAsiaTheme="minorHAnsi" w:cstheme="minorBidi"/>
          <w:szCs w:val="22"/>
        </w:rPr>
        <w:tab/>
      </w:r>
      <w:r>
        <w:rPr>
          <w:rFonts w:eastAsiaTheme="minorHAnsi" w:cstheme="minorBidi"/>
          <w:szCs w:val="22"/>
          <w:u w:val="single"/>
        </w:rPr>
        <w:t>Respondent’s Answer</w:t>
      </w:r>
    </w:p>
    <w:p w:rsidR="004B4298" w:rsidRDefault="004B4298" w:rsidP="004B4298">
      <w:pPr>
        <w:tabs>
          <w:tab w:val="clear" w:pos="1440"/>
        </w:tabs>
        <w:spacing w:before="0" w:after="0"/>
        <w:rPr>
          <w:rFonts w:eastAsiaTheme="minorHAnsi" w:cstheme="minorBidi"/>
          <w:szCs w:val="22"/>
        </w:rPr>
      </w:pPr>
    </w:p>
    <w:p w:rsidR="004B4298" w:rsidRDefault="004B4298" w:rsidP="004B4298">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On May 16, 2016, Respondent filed and served three pleadings:</w:t>
      </w:r>
      <w:r w:rsidR="00290713">
        <w:rPr>
          <w:rFonts w:eastAsiaTheme="minorHAnsi" w:cstheme="minorBidi"/>
          <w:szCs w:val="22"/>
        </w:rPr>
        <w:t xml:space="preserve"> </w:t>
      </w:r>
      <w:r>
        <w:rPr>
          <w:rFonts w:eastAsiaTheme="minorHAnsi" w:cstheme="minorBidi"/>
          <w:szCs w:val="22"/>
        </w:rPr>
        <w:t xml:space="preserve"> an Answer and </w:t>
      </w:r>
      <w:proofErr w:type="gramStart"/>
      <w:r>
        <w:rPr>
          <w:rFonts w:eastAsiaTheme="minorHAnsi" w:cstheme="minorBidi"/>
          <w:szCs w:val="22"/>
        </w:rPr>
        <w:t>New  Matter</w:t>
      </w:r>
      <w:proofErr w:type="gramEnd"/>
      <w:r>
        <w:rPr>
          <w:rFonts w:eastAsiaTheme="minorHAnsi" w:cstheme="minorBidi"/>
          <w:szCs w:val="22"/>
        </w:rPr>
        <w:t>; Preliminary Objections and Motion to Strike</w:t>
      </w:r>
      <w:r w:rsidR="001B2707">
        <w:rPr>
          <w:rFonts w:eastAsiaTheme="minorHAnsi" w:cstheme="minorBidi"/>
          <w:szCs w:val="22"/>
        </w:rPr>
        <w:t xml:space="preserve"> (P.O.)</w:t>
      </w:r>
      <w:r>
        <w:rPr>
          <w:rFonts w:eastAsiaTheme="minorHAnsi" w:cstheme="minorBidi"/>
          <w:szCs w:val="22"/>
        </w:rPr>
        <w:t xml:space="preserve">; and </w:t>
      </w:r>
      <w:r w:rsidR="001B2707">
        <w:rPr>
          <w:rFonts w:eastAsiaTheme="minorHAnsi" w:cstheme="minorBidi"/>
          <w:szCs w:val="22"/>
        </w:rPr>
        <w:t xml:space="preserve">a </w:t>
      </w:r>
      <w:r>
        <w:rPr>
          <w:rFonts w:eastAsiaTheme="minorHAnsi" w:cstheme="minorBidi"/>
          <w:szCs w:val="22"/>
        </w:rPr>
        <w:t>Motion for Summary Judgment.</w:t>
      </w:r>
    </w:p>
    <w:p w:rsidR="004B4298" w:rsidRDefault="004B4298" w:rsidP="00317B5F">
      <w:pPr>
        <w:tabs>
          <w:tab w:val="clear" w:pos="1440"/>
        </w:tabs>
        <w:spacing w:before="0" w:after="0"/>
        <w:rPr>
          <w:rFonts w:eastAsiaTheme="minorHAnsi" w:cstheme="minorBidi"/>
          <w:szCs w:val="22"/>
        </w:rPr>
      </w:pPr>
    </w:p>
    <w:p w:rsidR="00AB0645" w:rsidRDefault="00317B5F" w:rsidP="00317B5F">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In its Answer, Respondent admit</w:t>
      </w:r>
      <w:r w:rsidR="00264E8C">
        <w:rPr>
          <w:rFonts w:eastAsiaTheme="minorHAnsi" w:cstheme="minorBidi"/>
          <w:szCs w:val="22"/>
        </w:rPr>
        <w:t>ted</w:t>
      </w:r>
      <w:r>
        <w:rPr>
          <w:rFonts w:eastAsiaTheme="minorHAnsi" w:cstheme="minorBidi"/>
          <w:szCs w:val="22"/>
        </w:rPr>
        <w:t xml:space="preserve"> issuing Complainant a </w:t>
      </w:r>
      <w:r w:rsidR="000654DA">
        <w:rPr>
          <w:rFonts w:eastAsiaTheme="minorHAnsi" w:cstheme="minorBidi"/>
          <w:szCs w:val="22"/>
        </w:rPr>
        <w:t xml:space="preserve">termination </w:t>
      </w:r>
      <w:r>
        <w:rPr>
          <w:rFonts w:eastAsiaTheme="minorHAnsi" w:cstheme="minorBidi"/>
          <w:szCs w:val="22"/>
        </w:rPr>
        <w:t>notice for service at 3745 N. 16</w:t>
      </w:r>
      <w:r w:rsidRPr="00317B5F">
        <w:rPr>
          <w:rFonts w:eastAsiaTheme="minorHAnsi" w:cstheme="minorBidi"/>
          <w:szCs w:val="22"/>
          <w:vertAlign w:val="superscript"/>
        </w:rPr>
        <w:t>th</w:t>
      </w:r>
      <w:r>
        <w:rPr>
          <w:rFonts w:eastAsiaTheme="minorHAnsi" w:cstheme="minorBidi"/>
          <w:szCs w:val="22"/>
        </w:rPr>
        <w:t xml:space="preserve"> Street, 2</w:t>
      </w:r>
      <w:r w:rsidRPr="00317B5F">
        <w:rPr>
          <w:rFonts w:eastAsiaTheme="minorHAnsi" w:cstheme="minorBidi"/>
          <w:szCs w:val="22"/>
          <w:vertAlign w:val="superscript"/>
        </w:rPr>
        <w:t>nd</w:t>
      </w:r>
      <w:r>
        <w:rPr>
          <w:rFonts w:eastAsiaTheme="minorHAnsi" w:cstheme="minorBidi"/>
          <w:szCs w:val="22"/>
        </w:rPr>
        <w:t xml:space="preserve"> Floor, Philadelphia, Pennsylvania (Service Address).  Respondent further aver</w:t>
      </w:r>
      <w:r w:rsidR="00264E8C">
        <w:rPr>
          <w:rFonts w:eastAsiaTheme="minorHAnsi" w:cstheme="minorBidi"/>
          <w:szCs w:val="22"/>
        </w:rPr>
        <w:t>red</w:t>
      </w:r>
      <w:r>
        <w:rPr>
          <w:rFonts w:eastAsiaTheme="minorHAnsi" w:cstheme="minorBidi"/>
          <w:szCs w:val="22"/>
        </w:rPr>
        <w:t xml:space="preserve"> it issued a </w:t>
      </w:r>
      <w:r w:rsidR="000654DA">
        <w:rPr>
          <w:rFonts w:eastAsiaTheme="minorHAnsi" w:cstheme="minorBidi"/>
          <w:szCs w:val="22"/>
        </w:rPr>
        <w:t>termination</w:t>
      </w:r>
      <w:r>
        <w:rPr>
          <w:rFonts w:eastAsiaTheme="minorHAnsi" w:cstheme="minorBidi"/>
          <w:szCs w:val="22"/>
        </w:rPr>
        <w:t xml:space="preserve"> notice on March 28, 2016 with a </w:t>
      </w:r>
      <w:r w:rsidR="000654DA">
        <w:rPr>
          <w:rFonts w:eastAsiaTheme="minorHAnsi" w:cstheme="minorBidi"/>
          <w:szCs w:val="22"/>
        </w:rPr>
        <w:t>termination</w:t>
      </w:r>
      <w:r>
        <w:rPr>
          <w:rFonts w:eastAsiaTheme="minorHAnsi" w:cstheme="minorBidi"/>
          <w:szCs w:val="22"/>
        </w:rPr>
        <w:t xml:space="preserve"> date </w:t>
      </w:r>
      <w:r w:rsidR="00DE7399">
        <w:rPr>
          <w:rFonts w:eastAsiaTheme="minorHAnsi" w:cstheme="minorBidi"/>
          <w:szCs w:val="22"/>
        </w:rPr>
        <w:t xml:space="preserve">to occur </w:t>
      </w:r>
      <w:r>
        <w:rPr>
          <w:rFonts w:eastAsiaTheme="minorHAnsi" w:cstheme="minorBidi"/>
          <w:szCs w:val="22"/>
        </w:rPr>
        <w:t xml:space="preserve">on or up to sixty days after April 11, </w:t>
      </w:r>
      <w:r w:rsidRPr="00BF06A6">
        <w:rPr>
          <w:rFonts w:eastAsiaTheme="minorHAnsi" w:cstheme="minorBidi"/>
          <w:szCs w:val="22"/>
        </w:rPr>
        <w:t>2016.</w:t>
      </w:r>
      <w:r>
        <w:rPr>
          <w:rFonts w:eastAsiaTheme="minorHAnsi" w:cstheme="minorBidi"/>
          <w:szCs w:val="22"/>
        </w:rPr>
        <w:t xml:space="preserve">  </w:t>
      </w:r>
      <w:r w:rsidR="00AB0645">
        <w:rPr>
          <w:rFonts w:eastAsiaTheme="minorHAnsi" w:cstheme="minorBidi"/>
          <w:szCs w:val="22"/>
        </w:rPr>
        <w:t>Respondent also allege</w:t>
      </w:r>
      <w:r w:rsidR="00576D29">
        <w:rPr>
          <w:rFonts w:eastAsiaTheme="minorHAnsi" w:cstheme="minorBidi"/>
          <w:szCs w:val="22"/>
        </w:rPr>
        <w:t>s</w:t>
      </w:r>
      <w:r w:rsidR="00AB0645">
        <w:rPr>
          <w:rFonts w:eastAsiaTheme="minorHAnsi" w:cstheme="minorBidi"/>
          <w:szCs w:val="22"/>
        </w:rPr>
        <w:t xml:space="preserve"> as follows:</w:t>
      </w:r>
    </w:p>
    <w:p w:rsidR="00AB0645" w:rsidRDefault="00AB0645" w:rsidP="0043752C">
      <w:pPr>
        <w:tabs>
          <w:tab w:val="clear" w:pos="1440"/>
        </w:tabs>
        <w:spacing w:before="0" w:after="0" w:line="240" w:lineRule="auto"/>
        <w:ind w:left="1440" w:right="1080"/>
        <w:rPr>
          <w:rFonts w:eastAsiaTheme="minorHAnsi" w:cstheme="minorBidi"/>
          <w:szCs w:val="22"/>
        </w:rPr>
      </w:pPr>
    </w:p>
    <w:p w:rsidR="00BB5DBD" w:rsidRDefault="00BB5DBD" w:rsidP="0043752C">
      <w:pPr>
        <w:tabs>
          <w:tab w:val="clear" w:pos="1440"/>
        </w:tabs>
        <w:spacing w:before="0" w:after="0" w:line="240" w:lineRule="auto"/>
        <w:ind w:left="1440" w:right="1080"/>
        <w:rPr>
          <w:rFonts w:eastAsiaTheme="minorHAnsi" w:cstheme="minorBidi"/>
          <w:szCs w:val="22"/>
        </w:rPr>
      </w:pPr>
      <w:r>
        <w:rPr>
          <w:rFonts w:eastAsiaTheme="minorHAnsi" w:cstheme="minorBidi"/>
          <w:szCs w:val="22"/>
        </w:rPr>
        <w:t xml:space="preserve">On March 28, 2008, PGW generated the closing bill for service at 7039 </w:t>
      </w:r>
      <w:proofErr w:type="spellStart"/>
      <w:r>
        <w:rPr>
          <w:rFonts w:eastAsiaTheme="minorHAnsi" w:cstheme="minorBidi"/>
          <w:szCs w:val="22"/>
        </w:rPr>
        <w:t>Ardleigh</w:t>
      </w:r>
      <w:proofErr w:type="spellEnd"/>
      <w:r>
        <w:rPr>
          <w:rFonts w:eastAsiaTheme="minorHAnsi" w:cstheme="minorBidi"/>
          <w:szCs w:val="22"/>
        </w:rPr>
        <w:t xml:space="preserve"> Street </w:t>
      </w:r>
      <w:proofErr w:type="gramStart"/>
      <w:r>
        <w:rPr>
          <w:rFonts w:eastAsiaTheme="minorHAnsi" w:cstheme="minorBidi"/>
          <w:szCs w:val="22"/>
        </w:rPr>
        <w:t>in the amount of</w:t>
      </w:r>
      <w:proofErr w:type="gramEnd"/>
      <w:r>
        <w:rPr>
          <w:rFonts w:eastAsiaTheme="minorHAnsi" w:cstheme="minorBidi"/>
          <w:szCs w:val="22"/>
        </w:rPr>
        <w:t xml:space="preserve"> $2,354.90. </w:t>
      </w:r>
    </w:p>
    <w:p w:rsidR="00BB5DBD" w:rsidRDefault="00BB5DBD" w:rsidP="0043752C">
      <w:pPr>
        <w:tabs>
          <w:tab w:val="clear" w:pos="1440"/>
        </w:tabs>
        <w:spacing w:before="0" w:after="0" w:line="240" w:lineRule="auto"/>
        <w:ind w:left="1440" w:right="1080"/>
        <w:rPr>
          <w:rFonts w:eastAsiaTheme="minorHAnsi" w:cstheme="minorBidi"/>
          <w:szCs w:val="22"/>
        </w:rPr>
      </w:pPr>
    </w:p>
    <w:p w:rsidR="00BB5DBD" w:rsidRDefault="00BB5DBD" w:rsidP="00290713">
      <w:pPr>
        <w:tabs>
          <w:tab w:val="clear" w:pos="1440"/>
        </w:tabs>
        <w:spacing w:before="0" w:after="0" w:line="240" w:lineRule="auto"/>
        <w:ind w:left="1440" w:right="1080"/>
        <w:rPr>
          <w:rFonts w:eastAsiaTheme="minorHAnsi" w:cstheme="minorBidi"/>
          <w:szCs w:val="22"/>
        </w:rPr>
      </w:pPr>
      <w:r>
        <w:rPr>
          <w:rFonts w:eastAsiaTheme="minorHAnsi" w:cstheme="minorBidi"/>
          <w:szCs w:val="22"/>
        </w:rPr>
        <w:t>As of November 21, 2008, the Complainant established service at the Service Address.  The balance of $2,354.90 remained on the Complainant’s account.</w:t>
      </w:r>
    </w:p>
    <w:p w:rsidR="00BB5DBD" w:rsidRDefault="00BB5DBD" w:rsidP="003B2BB1">
      <w:pPr>
        <w:tabs>
          <w:tab w:val="clear" w:pos="1440"/>
        </w:tabs>
        <w:spacing w:before="0" w:after="0" w:line="240" w:lineRule="auto"/>
        <w:rPr>
          <w:rFonts w:eastAsiaTheme="minorHAnsi" w:cstheme="minorBidi"/>
          <w:szCs w:val="22"/>
        </w:rPr>
      </w:pPr>
    </w:p>
    <w:p w:rsidR="00852BE1" w:rsidRDefault="00852BE1" w:rsidP="00317B5F">
      <w:pPr>
        <w:tabs>
          <w:tab w:val="clear" w:pos="1440"/>
        </w:tabs>
        <w:spacing w:before="0" w:after="0"/>
        <w:rPr>
          <w:rFonts w:eastAsiaTheme="minorHAnsi" w:cstheme="minorBidi"/>
          <w:szCs w:val="22"/>
        </w:rPr>
      </w:pPr>
      <w:r>
        <w:rPr>
          <w:rFonts w:eastAsiaTheme="minorHAnsi" w:cstheme="minorBidi"/>
          <w:szCs w:val="22"/>
        </w:rPr>
        <w:t xml:space="preserve">Answer </w:t>
      </w:r>
      <w:r>
        <w:rPr>
          <w:rFonts w:eastAsiaTheme="minorHAnsi"/>
          <w:szCs w:val="22"/>
        </w:rPr>
        <w:t xml:space="preserve">¶ </w:t>
      </w:r>
      <w:r>
        <w:rPr>
          <w:rFonts w:eastAsiaTheme="minorHAnsi" w:cstheme="minorBidi"/>
          <w:szCs w:val="22"/>
        </w:rPr>
        <w:t>4.</w:t>
      </w:r>
    </w:p>
    <w:p w:rsidR="00852BE1" w:rsidRDefault="00852BE1" w:rsidP="00317B5F">
      <w:pPr>
        <w:tabs>
          <w:tab w:val="clear" w:pos="1440"/>
        </w:tabs>
        <w:spacing w:before="0" w:after="0"/>
        <w:rPr>
          <w:rFonts w:eastAsiaTheme="minorHAnsi" w:cstheme="minorBidi"/>
          <w:szCs w:val="22"/>
        </w:rPr>
      </w:pPr>
    </w:p>
    <w:p w:rsidR="00BD3E6B" w:rsidRPr="00BD3E6B" w:rsidRDefault="00BD3E6B" w:rsidP="00317B5F">
      <w:pPr>
        <w:tabs>
          <w:tab w:val="clear" w:pos="1440"/>
        </w:tabs>
        <w:spacing w:before="0" w:after="0"/>
        <w:rPr>
          <w:rFonts w:eastAsiaTheme="minorHAnsi" w:cstheme="minorBidi"/>
          <w:szCs w:val="22"/>
          <w:u w:val="single"/>
        </w:rPr>
      </w:pPr>
      <w:r>
        <w:rPr>
          <w:rFonts w:eastAsiaTheme="minorHAnsi" w:cstheme="minorBidi"/>
          <w:szCs w:val="22"/>
        </w:rPr>
        <w:t xml:space="preserve">C. </w:t>
      </w:r>
      <w:r>
        <w:rPr>
          <w:rFonts w:eastAsiaTheme="minorHAnsi" w:cstheme="minorBidi"/>
          <w:szCs w:val="22"/>
        </w:rPr>
        <w:tab/>
      </w:r>
      <w:r>
        <w:rPr>
          <w:rFonts w:eastAsiaTheme="minorHAnsi" w:cstheme="minorBidi"/>
          <w:szCs w:val="22"/>
          <w:u w:val="single"/>
        </w:rPr>
        <w:t>Respondent’s New Matter</w:t>
      </w:r>
    </w:p>
    <w:p w:rsidR="00BD3E6B" w:rsidRDefault="00BD3E6B" w:rsidP="00317B5F">
      <w:pPr>
        <w:tabs>
          <w:tab w:val="clear" w:pos="1440"/>
        </w:tabs>
        <w:spacing w:before="0" w:after="0"/>
        <w:rPr>
          <w:rFonts w:eastAsiaTheme="minorHAnsi" w:cstheme="minorBidi"/>
          <w:szCs w:val="22"/>
        </w:rPr>
      </w:pPr>
    </w:p>
    <w:p w:rsidR="002C1789" w:rsidRDefault="00093535" w:rsidP="00317B5F">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r w:rsidR="0043752C">
        <w:rPr>
          <w:rFonts w:eastAsiaTheme="minorHAnsi" w:cstheme="minorBidi"/>
          <w:szCs w:val="22"/>
        </w:rPr>
        <w:t>In New Matter, Respondent allege</w:t>
      </w:r>
      <w:r w:rsidR="00264E8C">
        <w:rPr>
          <w:rFonts w:eastAsiaTheme="minorHAnsi" w:cstheme="minorBidi"/>
          <w:szCs w:val="22"/>
        </w:rPr>
        <w:t>d</w:t>
      </w:r>
      <w:r w:rsidR="0043752C">
        <w:rPr>
          <w:rFonts w:eastAsiaTheme="minorHAnsi" w:cstheme="minorBidi"/>
          <w:szCs w:val="22"/>
        </w:rPr>
        <w:t xml:space="preserve"> in relevant part as follows:</w:t>
      </w:r>
    </w:p>
    <w:p w:rsidR="002C1789" w:rsidRDefault="002C1789" w:rsidP="00F20882">
      <w:pPr>
        <w:tabs>
          <w:tab w:val="clear" w:pos="1440"/>
        </w:tabs>
        <w:spacing w:before="0" w:after="0" w:line="240" w:lineRule="auto"/>
        <w:rPr>
          <w:rFonts w:eastAsiaTheme="minorHAnsi" w:cstheme="minorBidi"/>
          <w:szCs w:val="22"/>
        </w:rPr>
      </w:pPr>
    </w:p>
    <w:p w:rsidR="0043752C" w:rsidRDefault="0043752C" w:rsidP="0043752C">
      <w:pPr>
        <w:tabs>
          <w:tab w:val="clear" w:pos="1440"/>
        </w:tabs>
        <w:spacing w:before="0" w:after="0" w:line="240" w:lineRule="auto"/>
        <w:ind w:left="1440" w:right="1080"/>
        <w:rPr>
          <w:rFonts w:eastAsiaTheme="minorHAnsi" w:cstheme="minorBidi"/>
          <w:szCs w:val="22"/>
        </w:rPr>
      </w:pPr>
      <w:r>
        <w:rPr>
          <w:rFonts w:eastAsiaTheme="minorHAnsi" w:cstheme="minorBidi"/>
          <w:szCs w:val="22"/>
        </w:rPr>
        <w:t>On January 4, 2010, the Complainant filed a Formal Complaint at Docket No</w:t>
      </w:r>
      <w:proofErr w:type="gramStart"/>
      <w:r>
        <w:rPr>
          <w:rFonts w:eastAsiaTheme="minorHAnsi" w:cstheme="minorBidi"/>
          <w:szCs w:val="22"/>
        </w:rPr>
        <w:t xml:space="preserve">. </w:t>
      </w:r>
      <w:proofErr w:type="gramEnd"/>
      <w:r>
        <w:rPr>
          <w:rFonts w:eastAsiaTheme="minorHAnsi" w:cstheme="minorBidi"/>
          <w:szCs w:val="22"/>
        </w:rPr>
        <w:t>C-2010-2152309</w:t>
      </w:r>
      <w:r w:rsidR="00D927E2">
        <w:rPr>
          <w:rFonts w:eastAsiaTheme="minorHAnsi" w:cstheme="minorBidi"/>
          <w:szCs w:val="22"/>
        </w:rPr>
        <w:t xml:space="preserve"> (2010 </w:t>
      </w:r>
      <w:r w:rsidR="003A64D6">
        <w:rPr>
          <w:rFonts w:eastAsiaTheme="minorHAnsi" w:cstheme="minorBidi"/>
          <w:szCs w:val="22"/>
        </w:rPr>
        <w:t>c</w:t>
      </w:r>
      <w:r w:rsidR="00D927E2">
        <w:rPr>
          <w:rFonts w:eastAsiaTheme="minorHAnsi" w:cstheme="minorBidi"/>
          <w:szCs w:val="22"/>
        </w:rPr>
        <w:t>omplaint)</w:t>
      </w:r>
      <w:r w:rsidR="008D02ED">
        <w:rPr>
          <w:rFonts w:eastAsiaTheme="minorHAnsi" w:cstheme="minorBidi"/>
          <w:szCs w:val="22"/>
        </w:rPr>
        <w:t xml:space="preserve">, . . . </w:t>
      </w:r>
      <w:proofErr w:type="gramStart"/>
      <w:r w:rsidR="008D02ED">
        <w:rPr>
          <w:rFonts w:eastAsiaTheme="minorHAnsi" w:cstheme="minorBidi"/>
          <w:szCs w:val="22"/>
        </w:rPr>
        <w:t xml:space="preserve">. </w:t>
      </w:r>
      <w:r>
        <w:rPr>
          <w:rFonts w:eastAsiaTheme="minorHAnsi" w:cstheme="minorBidi"/>
          <w:szCs w:val="22"/>
        </w:rPr>
        <w:t>disputing</w:t>
      </w:r>
      <w:proofErr w:type="gramEnd"/>
      <w:r>
        <w:rPr>
          <w:rFonts w:eastAsiaTheme="minorHAnsi" w:cstheme="minorBidi"/>
          <w:szCs w:val="22"/>
        </w:rPr>
        <w:t xml:space="preserve"> the amount owed from services at 7039 </w:t>
      </w:r>
      <w:proofErr w:type="spellStart"/>
      <w:r>
        <w:rPr>
          <w:rFonts w:eastAsiaTheme="minorHAnsi" w:cstheme="minorBidi"/>
          <w:szCs w:val="22"/>
        </w:rPr>
        <w:t>Ardleigh</w:t>
      </w:r>
      <w:proofErr w:type="spellEnd"/>
      <w:r>
        <w:rPr>
          <w:rFonts w:eastAsiaTheme="minorHAnsi" w:cstheme="minorBidi"/>
          <w:szCs w:val="22"/>
        </w:rPr>
        <w:t xml:space="preserve"> Street.  The Complainant again stated that she had contacted PGW and requested a shut off when she moved out of 7039 </w:t>
      </w:r>
      <w:proofErr w:type="spellStart"/>
      <w:r>
        <w:rPr>
          <w:rFonts w:eastAsiaTheme="minorHAnsi" w:cstheme="minorBidi"/>
          <w:szCs w:val="22"/>
        </w:rPr>
        <w:t>Ardleigh</w:t>
      </w:r>
      <w:proofErr w:type="spellEnd"/>
      <w:r>
        <w:rPr>
          <w:rFonts w:eastAsiaTheme="minorHAnsi" w:cstheme="minorBidi"/>
          <w:szCs w:val="22"/>
        </w:rPr>
        <w:t xml:space="preserve"> Street.</w:t>
      </w:r>
      <w:r w:rsidR="008D02ED">
        <w:rPr>
          <w:rFonts w:eastAsiaTheme="minorHAnsi" w:cstheme="minorBidi"/>
          <w:szCs w:val="22"/>
        </w:rPr>
        <w:t xml:space="preserve">  </w:t>
      </w:r>
      <w:r>
        <w:rPr>
          <w:rFonts w:eastAsiaTheme="minorHAnsi" w:cstheme="minorBidi"/>
          <w:szCs w:val="22"/>
        </w:rPr>
        <w:t>She alleged that PGW failed to complete the shut off, which resulted in her being charged for service at that address instead of the person who lived there during that time.</w:t>
      </w:r>
    </w:p>
    <w:p w:rsidR="00365A72" w:rsidRDefault="00365A72" w:rsidP="0043752C">
      <w:pPr>
        <w:tabs>
          <w:tab w:val="clear" w:pos="1440"/>
        </w:tabs>
        <w:spacing w:before="0" w:after="0" w:line="240" w:lineRule="auto"/>
        <w:ind w:left="1440" w:right="1080"/>
        <w:rPr>
          <w:rFonts w:eastAsiaTheme="minorHAnsi" w:cstheme="minorBidi"/>
          <w:szCs w:val="22"/>
        </w:rPr>
      </w:pPr>
    </w:p>
    <w:p w:rsidR="00284D85" w:rsidRDefault="00D927E2" w:rsidP="00284D85">
      <w:pPr>
        <w:tabs>
          <w:tab w:val="clear" w:pos="1440"/>
        </w:tabs>
        <w:spacing w:before="0" w:after="0" w:line="240" w:lineRule="auto"/>
        <w:ind w:left="1440"/>
        <w:rPr>
          <w:rFonts w:eastAsiaTheme="minorHAnsi" w:cstheme="minorBidi"/>
          <w:szCs w:val="22"/>
        </w:rPr>
      </w:pPr>
      <w:r>
        <w:rPr>
          <w:rFonts w:eastAsiaTheme="minorHAnsi" w:cstheme="minorBidi"/>
          <w:szCs w:val="22"/>
        </w:rPr>
        <w:lastRenderedPageBreak/>
        <w:t xml:space="preserve">On February 3, 2010, PGW filed an answer denying the material </w:t>
      </w:r>
    </w:p>
    <w:p w:rsidR="00D927E2" w:rsidRDefault="00D927E2" w:rsidP="00284D85">
      <w:pPr>
        <w:tabs>
          <w:tab w:val="clear" w:pos="1440"/>
        </w:tabs>
        <w:spacing w:before="0" w:after="0" w:line="240" w:lineRule="auto"/>
        <w:ind w:left="1440"/>
        <w:rPr>
          <w:rFonts w:eastAsiaTheme="minorHAnsi" w:cstheme="minorBidi"/>
          <w:szCs w:val="22"/>
        </w:rPr>
      </w:pPr>
      <w:proofErr w:type="gramStart"/>
      <w:r>
        <w:rPr>
          <w:rFonts w:eastAsiaTheme="minorHAnsi" w:cstheme="minorBidi"/>
          <w:szCs w:val="22"/>
        </w:rPr>
        <w:t>allegations</w:t>
      </w:r>
      <w:proofErr w:type="gramEnd"/>
      <w:r>
        <w:rPr>
          <w:rFonts w:eastAsiaTheme="minorHAnsi" w:cstheme="minorBidi"/>
          <w:szCs w:val="22"/>
        </w:rPr>
        <w:t xml:space="preserve"> of the complaint.</w:t>
      </w:r>
    </w:p>
    <w:p w:rsidR="00852BE1" w:rsidRDefault="00852BE1" w:rsidP="003D1F32">
      <w:pPr>
        <w:tabs>
          <w:tab w:val="clear" w:pos="1440"/>
        </w:tabs>
        <w:spacing w:before="0" w:after="0"/>
        <w:rPr>
          <w:rFonts w:eastAsiaTheme="minorHAnsi" w:cstheme="minorBidi"/>
          <w:szCs w:val="22"/>
        </w:rPr>
      </w:pPr>
    </w:p>
    <w:p w:rsidR="00852BE1" w:rsidRDefault="00852BE1" w:rsidP="00D927E2">
      <w:pPr>
        <w:tabs>
          <w:tab w:val="clear" w:pos="1440"/>
        </w:tabs>
        <w:spacing w:before="0" w:after="0"/>
        <w:rPr>
          <w:rFonts w:eastAsiaTheme="minorHAnsi" w:cstheme="minorBidi"/>
          <w:szCs w:val="22"/>
        </w:rPr>
      </w:pPr>
      <w:r>
        <w:rPr>
          <w:rFonts w:eastAsiaTheme="minorHAnsi" w:cstheme="minorBidi"/>
          <w:szCs w:val="22"/>
        </w:rPr>
        <w:t xml:space="preserve">New Matter </w:t>
      </w:r>
      <w:r>
        <w:rPr>
          <w:rFonts w:eastAsiaTheme="minorHAnsi"/>
          <w:szCs w:val="22"/>
        </w:rPr>
        <w:t xml:space="preserve">¶ </w:t>
      </w:r>
      <w:r>
        <w:rPr>
          <w:rFonts w:eastAsiaTheme="minorHAnsi" w:cstheme="minorBidi"/>
          <w:szCs w:val="22"/>
        </w:rPr>
        <w:t>8.</w:t>
      </w:r>
    </w:p>
    <w:p w:rsidR="00852BE1" w:rsidRDefault="00852BE1" w:rsidP="00D927E2">
      <w:pPr>
        <w:tabs>
          <w:tab w:val="clear" w:pos="1440"/>
        </w:tabs>
        <w:spacing w:before="0" w:after="0"/>
        <w:rPr>
          <w:rFonts w:eastAsiaTheme="minorHAnsi" w:cstheme="minorBidi"/>
          <w:szCs w:val="22"/>
        </w:rPr>
      </w:pPr>
    </w:p>
    <w:p w:rsidR="00D927E2" w:rsidRPr="00852BE1" w:rsidRDefault="008A44CE" w:rsidP="00290713">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r w:rsidR="00D927E2">
        <w:rPr>
          <w:rFonts w:eastAsiaTheme="minorHAnsi" w:cstheme="minorBidi"/>
          <w:szCs w:val="22"/>
        </w:rPr>
        <w:t xml:space="preserve">According to the New Matter, an April 5, 2011 Hearing Notice informed the </w:t>
      </w:r>
      <w:r w:rsidR="00576D29">
        <w:rPr>
          <w:rFonts w:eastAsiaTheme="minorHAnsi" w:cstheme="minorBidi"/>
          <w:szCs w:val="22"/>
        </w:rPr>
        <w:t>P</w:t>
      </w:r>
      <w:r w:rsidR="00D927E2">
        <w:rPr>
          <w:rFonts w:eastAsiaTheme="minorHAnsi" w:cstheme="minorBidi"/>
          <w:szCs w:val="22"/>
        </w:rPr>
        <w:t xml:space="preserve">arties that an initial hearing on Complainant’s 2010 </w:t>
      </w:r>
      <w:r w:rsidR="003A64D6">
        <w:rPr>
          <w:rFonts w:eastAsiaTheme="minorHAnsi" w:cstheme="minorBidi"/>
          <w:szCs w:val="22"/>
        </w:rPr>
        <w:t>c</w:t>
      </w:r>
      <w:r w:rsidR="00D927E2">
        <w:rPr>
          <w:rFonts w:eastAsiaTheme="minorHAnsi" w:cstheme="minorBidi"/>
          <w:szCs w:val="22"/>
        </w:rPr>
        <w:t>omplaint was scheduled for May 16, 2011</w:t>
      </w:r>
      <w:r w:rsidR="00610F2C">
        <w:rPr>
          <w:rFonts w:eastAsiaTheme="minorHAnsi" w:cstheme="minorBidi"/>
          <w:szCs w:val="22"/>
        </w:rPr>
        <w:t>,</w:t>
      </w:r>
      <w:r w:rsidR="00D927E2">
        <w:rPr>
          <w:rFonts w:eastAsiaTheme="minorHAnsi" w:cstheme="minorBidi"/>
          <w:szCs w:val="22"/>
        </w:rPr>
        <w:t xml:space="preserve"> in Philadelphia. </w:t>
      </w:r>
      <w:r w:rsidR="001228EE">
        <w:rPr>
          <w:rFonts w:eastAsiaTheme="minorHAnsi" w:cstheme="minorBidi"/>
          <w:szCs w:val="22"/>
        </w:rPr>
        <w:t xml:space="preserve"> </w:t>
      </w:r>
      <w:r w:rsidR="00D927E2">
        <w:rPr>
          <w:rFonts w:eastAsiaTheme="minorHAnsi" w:cstheme="minorBidi"/>
          <w:szCs w:val="22"/>
        </w:rPr>
        <w:t xml:space="preserve">However, </w:t>
      </w:r>
      <w:r w:rsidR="005279A2">
        <w:rPr>
          <w:rFonts w:eastAsiaTheme="minorHAnsi" w:cstheme="minorBidi"/>
          <w:szCs w:val="22"/>
        </w:rPr>
        <w:t>Respondent assert</w:t>
      </w:r>
      <w:r w:rsidR="005217A2">
        <w:rPr>
          <w:rFonts w:eastAsiaTheme="minorHAnsi" w:cstheme="minorBidi"/>
          <w:szCs w:val="22"/>
        </w:rPr>
        <w:t>ed</w:t>
      </w:r>
      <w:r w:rsidR="005279A2">
        <w:rPr>
          <w:rFonts w:eastAsiaTheme="minorHAnsi" w:cstheme="minorBidi"/>
          <w:szCs w:val="22"/>
        </w:rPr>
        <w:t xml:space="preserve">, </w:t>
      </w:r>
      <w:r w:rsidR="00D927E2">
        <w:rPr>
          <w:rFonts w:eastAsiaTheme="minorHAnsi" w:cstheme="minorBidi"/>
          <w:szCs w:val="22"/>
        </w:rPr>
        <w:t xml:space="preserve">Complainant </w:t>
      </w:r>
      <w:r w:rsidR="005279A2">
        <w:rPr>
          <w:rFonts w:eastAsiaTheme="minorHAnsi" w:cstheme="minorBidi"/>
          <w:szCs w:val="22"/>
        </w:rPr>
        <w:t xml:space="preserve">failed to appear for the hearing; therefore, Respondent moved for dismissal of the 2010 </w:t>
      </w:r>
      <w:r w:rsidR="003A64D6">
        <w:rPr>
          <w:rFonts w:eastAsiaTheme="minorHAnsi" w:cstheme="minorBidi"/>
          <w:szCs w:val="22"/>
        </w:rPr>
        <w:t>c</w:t>
      </w:r>
      <w:r w:rsidR="005279A2">
        <w:rPr>
          <w:rFonts w:eastAsiaTheme="minorHAnsi" w:cstheme="minorBidi"/>
          <w:szCs w:val="22"/>
        </w:rPr>
        <w:t>omplaint with prejudice.</w:t>
      </w:r>
      <w:r w:rsidR="00290713">
        <w:rPr>
          <w:rFonts w:eastAsiaTheme="minorHAnsi" w:cstheme="minorBidi"/>
          <w:szCs w:val="22"/>
        </w:rPr>
        <w:t xml:space="preserve">  </w:t>
      </w:r>
      <w:r w:rsidR="00264E8C">
        <w:rPr>
          <w:rFonts w:eastAsiaTheme="minorHAnsi" w:cstheme="minorBidi"/>
          <w:szCs w:val="22"/>
        </w:rPr>
        <w:t>Respondent further asserted that o</w:t>
      </w:r>
      <w:r w:rsidR="00B86F54">
        <w:rPr>
          <w:rFonts w:eastAsiaTheme="minorHAnsi" w:cstheme="minorBidi"/>
          <w:szCs w:val="22"/>
        </w:rPr>
        <w:t xml:space="preserve">n June 17, 2011, the Commission issued the Initial Decision, which granted PGW’s motion to dismiss the matter with prejudice.  </w:t>
      </w:r>
      <w:r w:rsidR="005217A2">
        <w:rPr>
          <w:rFonts w:eastAsiaTheme="minorHAnsi" w:cstheme="minorBidi"/>
          <w:szCs w:val="22"/>
        </w:rPr>
        <w:t xml:space="preserve">The Initial Decision became final by Order entered on July 20, 2011. </w:t>
      </w:r>
      <w:r w:rsidR="00852BE1">
        <w:rPr>
          <w:rFonts w:eastAsiaTheme="minorHAnsi" w:cstheme="minorBidi"/>
          <w:szCs w:val="22"/>
        </w:rPr>
        <w:t xml:space="preserve"> </w:t>
      </w:r>
      <w:r w:rsidR="00852BE1">
        <w:rPr>
          <w:rFonts w:eastAsiaTheme="minorHAnsi" w:cstheme="minorBidi"/>
          <w:i/>
          <w:szCs w:val="22"/>
        </w:rPr>
        <w:t>Id.</w:t>
      </w:r>
    </w:p>
    <w:p w:rsidR="001F5680" w:rsidRDefault="001F5680" w:rsidP="00290713">
      <w:pPr>
        <w:tabs>
          <w:tab w:val="clear" w:pos="1440"/>
        </w:tabs>
        <w:spacing w:before="0" w:after="0"/>
        <w:ind w:left="1440" w:right="1080"/>
        <w:rPr>
          <w:rFonts w:eastAsiaTheme="minorHAnsi" w:cstheme="minorBidi"/>
          <w:szCs w:val="22"/>
        </w:rPr>
      </w:pPr>
    </w:p>
    <w:p w:rsidR="00024EE4" w:rsidRPr="00852BE1" w:rsidRDefault="001F5680" w:rsidP="008A44CE">
      <w:pPr>
        <w:tabs>
          <w:tab w:val="clear" w:pos="1440"/>
        </w:tabs>
        <w:spacing w:before="0" w:after="0"/>
        <w:ind w:firstLine="1440"/>
        <w:rPr>
          <w:rFonts w:eastAsiaTheme="minorHAnsi" w:cstheme="minorBidi"/>
          <w:szCs w:val="22"/>
        </w:rPr>
      </w:pPr>
      <w:r>
        <w:rPr>
          <w:rFonts w:eastAsiaTheme="minorHAnsi" w:cstheme="minorBidi"/>
          <w:szCs w:val="22"/>
        </w:rPr>
        <w:t xml:space="preserve">Relying upon </w:t>
      </w:r>
      <w:r w:rsidR="001974BE">
        <w:rPr>
          <w:rFonts w:eastAsiaTheme="minorHAnsi" w:cstheme="minorBidi"/>
          <w:szCs w:val="22"/>
        </w:rPr>
        <w:t xml:space="preserve">the </w:t>
      </w:r>
      <w:r w:rsidR="002C1789">
        <w:rPr>
          <w:rFonts w:eastAsiaTheme="minorHAnsi" w:cstheme="minorBidi"/>
          <w:szCs w:val="22"/>
        </w:rPr>
        <w:t xml:space="preserve">Public Utility Code’s (Code) </w:t>
      </w:r>
      <w:r>
        <w:rPr>
          <w:rFonts w:eastAsiaTheme="minorHAnsi" w:cstheme="minorBidi"/>
          <w:szCs w:val="22"/>
        </w:rPr>
        <w:t xml:space="preserve">3-year statute of limitations </w:t>
      </w:r>
      <w:r w:rsidR="002C1789">
        <w:rPr>
          <w:rFonts w:eastAsiaTheme="minorHAnsi" w:cstheme="minorBidi"/>
          <w:szCs w:val="22"/>
        </w:rPr>
        <w:t>for prosecuting an action</w:t>
      </w:r>
      <w:r w:rsidR="00610F2C">
        <w:rPr>
          <w:rFonts w:eastAsiaTheme="minorHAnsi" w:cstheme="minorBidi"/>
          <w:szCs w:val="22"/>
        </w:rPr>
        <w:t>,</w:t>
      </w:r>
      <w:r w:rsidR="002C1789">
        <w:rPr>
          <w:rStyle w:val="FootnoteReference"/>
          <w:rFonts w:eastAsiaTheme="minorHAnsi" w:cstheme="minorBidi"/>
          <w:szCs w:val="22"/>
        </w:rPr>
        <w:footnoteReference w:id="1"/>
      </w:r>
      <w:r>
        <w:rPr>
          <w:rFonts w:eastAsiaTheme="minorHAnsi" w:cstheme="minorBidi"/>
          <w:szCs w:val="22"/>
        </w:rPr>
        <w:t xml:space="preserve"> </w:t>
      </w:r>
      <w:r w:rsidR="002C1789">
        <w:rPr>
          <w:rFonts w:eastAsiaTheme="minorHAnsi" w:cstheme="minorBidi"/>
          <w:szCs w:val="22"/>
        </w:rPr>
        <w:t xml:space="preserve">as an affirmative defense to the Complaint, </w:t>
      </w:r>
      <w:r>
        <w:rPr>
          <w:rFonts w:eastAsiaTheme="minorHAnsi" w:cstheme="minorBidi"/>
          <w:szCs w:val="22"/>
        </w:rPr>
        <w:t xml:space="preserve">Respondent seeks dismissal of the </w:t>
      </w:r>
      <w:r w:rsidR="00923A06">
        <w:rPr>
          <w:rFonts w:eastAsiaTheme="minorHAnsi" w:cstheme="minorBidi"/>
          <w:szCs w:val="22"/>
        </w:rPr>
        <w:t>Complaint by averring the Commission lack</w:t>
      </w:r>
      <w:r w:rsidR="00024EE4">
        <w:rPr>
          <w:rFonts w:eastAsiaTheme="minorHAnsi" w:cstheme="minorBidi"/>
          <w:szCs w:val="22"/>
        </w:rPr>
        <w:t>s</w:t>
      </w:r>
      <w:r w:rsidR="00923A06">
        <w:rPr>
          <w:rFonts w:eastAsiaTheme="minorHAnsi" w:cstheme="minorBidi"/>
          <w:szCs w:val="22"/>
        </w:rPr>
        <w:t xml:space="preserve"> jurisdiction to hear an action brought more than three years </w:t>
      </w:r>
      <w:r w:rsidR="001974BE">
        <w:rPr>
          <w:rFonts w:eastAsiaTheme="minorHAnsi" w:cstheme="minorBidi"/>
          <w:szCs w:val="22"/>
        </w:rPr>
        <w:t>from</w:t>
      </w:r>
      <w:r w:rsidR="00923A06">
        <w:rPr>
          <w:rFonts w:eastAsiaTheme="minorHAnsi" w:cstheme="minorBidi"/>
          <w:szCs w:val="22"/>
        </w:rPr>
        <w:t xml:space="preserve"> the date the liability arose.</w:t>
      </w:r>
      <w:r w:rsidR="00852BE1">
        <w:rPr>
          <w:rFonts w:eastAsiaTheme="minorHAnsi" w:cstheme="minorBidi"/>
          <w:szCs w:val="22"/>
        </w:rPr>
        <w:t xml:space="preserve">  </w:t>
      </w:r>
      <w:r w:rsidR="00852BE1">
        <w:rPr>
          <w:rFonts w:eastAsiaTheme="minorHAnsi" w:cstheme="minorBidi"/>
          <w:i/>
          <w:szCs w:val="22"/>
        </w:rPr>
        <w:t>Id.</w:t>
      </w:r>
      <w:r w:rsidR="00852BE1">
        <w:rPr>
          <w:rFonts w:eastAsiaTheme="minorHAnsi" w:cstheme="minorBidi"/>
          <w:szCs w:val="22"/>
        </w:rPr>
        <w:t xml:space="preserve">  </w:t>
      </w:r>
      <w:r w:rsidR="00852BE1">
        <w:rPr>
          <w:rFonts w:eastAsiaTheme="minorHAnsi"/>
          <w:szCs w:val="22"/>
        </w:rPr>
        <w:t>¶</w:t>
      </w:r>
      <w:r w:rsidR="00852BE1">
        <w:rPr>
          <w:rFonts w:eastAsiaTheme="minorHAnsi" w:cstheme="minorBidi"/>
          <w:szCs w:val="22"/>
        </w:rPr>
        <w:t xml:space="preserve"> 9.</w:t>
      </w:r>
    </w:p>
    <w:p w:rsidR="00024EE4" w:rsidRDefault="00024EE4" w:rsidP="008A44CE">
      <w:pPr>
        <w:tabs>
          <w:tab w:val="clear" w:pos="1440"/>
        </w:tabs>
        <w:spacing w:before="0" w:after="0"/>
        <w:ind w:firstLine="1440"/>
        <w:rPr>
          <w:rFonts w:eastAsiaTheme="minorHAnsi" w:cstheme="minorBidi"/>
          <w:szCs w:val="22"/>
        </w:rPr>
      </w:pPr>
    </w:p>
    <w:p w:rsidR="00284DD0" w:rsidRPr="00284DD0" w:rsidRDefault="00923A06" w:rsidP="00BD3E6B">
      <w:pPr>
        <w:tabs>
          <w:tab w:val="clear" w:pos="1440"/>
        </w:tabs>
        <w:spacing w:before="0" w:after="0"/>
        <w:ind w:firstLine="1440"/>
        <w:rPr>
          <w:rFonts w:eastAsiaTheme="minorHAnsi" w:cstheme="minorBidi"/>
          <w:szCs w:val="22"/>
        </w:rPr>
      </w:pPr>
      <w:r>
        <w:rPr>
          <w:rFonts w:eastAsiaTheme="minorHAnsi" w:cstheme="minorBidi"/>
          <w:szCs w:val="22"/>
        </w:rPr>
        <w:t>As another bas</w:t>
      </w:r>
      <w:r w:rsidR="00165893">
        <w:rPr>
          <w:rFonts w:eastAsiaTheme="minorHAnsi" w:cstheme="minorBidi"/>
          <w:szCs w:val="22"/>
        </w:rPr>
        <w:t>i</w:t>
      </w:r>
      <w:r>
        <w:rPr>
          <w:rFonts w:eastAsiaTheme="minorHAnsi" w:cstheme="minorBidi"/>
          <w:szCs w:val="22"/>
        </w:rPr>
        <w:t>s for dismissal of the Complaint, Respondent assert</w:t>
      </w:r>
      <w:r w:rsidR="005217A2">
        <w:rPr>
          <w:rFonts w:eastAsiaTheme="minorHAnsi" w:cstheme="minorBidi"/>
          <w:szCs w:val="22"/>
        </w:rPr>
        <w:t>ed</w:t>
      </w:r>
      <w:r>
        <w:rPr>
          <w:rFonts w:eastAsiaTheme="minorHAnsi" w:cstheme="minorBidi"/>
          <w:szCs w:val="22"/>
        </w:rPr>
        <w:t xml:space="preserve"> Section 316 of the Code</w:t>
      </w:r>
      <w:r w:rsidR="008A3996">
        <w:rPr>
          <w:rStyle w:val="FootnoteReference"/>
          <w:rFonts w:eastAsiaTheme="minorHAnsi" w:cstheme="minorBidi"/>
          <w:szCs w:val="22"/>
        </w:rPr>
        <w:footnoteReference w:id="2"/>
      </w:r>
      <w:r>
        <w:rPr>
          <w:rFonts w:eastAsiaTheme="minorHAnsi" w:cstheme="minorBidi"/>
          <w:szCs w:val="22"/>
        </w:rPr>
        <w:t xml:space="preserve"> preclude</w:t>
      </w:r>
      <w:r w:rsidR="00BD3E6B">
        <w:rPr>
          <w:rFonts w:eastAsiaTheme="minorHAnsi" w:cstheme="minorBidi"/>
          <w:szCs w:val="22"/>
        </w:rPr>
        <w:t>d</w:t>
      </w:r>
      <w:r>
        <w:rPr>
          <w:rFonts w:eastAsiaTheme="minorHAnsi" w:cstheme="minorBidi"/>
          <w:szCs w:val="22"/>
        </w:rPr>
        <w:t xml:space="preserve"> Complainant from collaterally attacking the Final Order of the Commission </w:t>
      </w:r>
      <w:r w:rsidR="008A44CE">
        <w:rPr>
          <w:rFonts w:eastAsiaTheme="minorHAnsi" w:cstheme="minorBidi"/>
          <w:szCs w:val="22"/>
        </w:rPr>
        <w:t xml:space="preserve">issued </w:t>
      </w:r>
      <w:r w:rsidR="003A15A7">
        <w:rPr>
          <w:rFonts w:eastAsiaTheme="minorHAnsi" w:cstheme="minorBidi"/>
          <w:szCs w:val="22"/>
        </w:rPr>
        <w:t xml:space="preserve">in her 2010 </w:t>
      </w:r>
      <w:r w:rsidR="003A64D6">
        <w:rPr>
          <w:rFonts w:eastAsiaTheme="minorHAnsi" w:cstheme="minorBidi"/>
          <w:szCs w:val="22"/>
        </w:rPr>
        <w:t>c</w:t>
      </w:r>
      <w:r w:rsidR="003A15A7">
        <w:rPr>
          <w:rFonts w:eastAsiaTheme="minorHAnsi" w:cstheme="minorBidi"/>
          <w:szCs w:val="22"/>
        </w:rPr>
        <w:t xml:space="preserve">omplaint, which raised the same billing and service </w:t>
      </w:r>
      <w:proofErr w:type="gramStart"/>
      <w:r w:rsidR="003A15A7">
        <w:rPr>
          <w:rFonts w:eastAsiaTheme="minorHAnsi" w:cstheme="minorBidi"/>
          <w:szCs w:val="22"/>
        </w:rPr>
        <w:t>issue</w:t>
      </w:r>
      <w:r w:rsidR="008A44CE">
        <w:rPr>
          <w:rFonts w:eastAsiaTheme="minorHAnsi" w:cstheme="minorBidi"/>
          <w:szCs w:val="22"/>
        </w:rPr>
        <w:t>s</w:t>
      </w:r>
      <w:r w:rsidR="003A15A7">
        <w:rPr>
          <w:rFonts w:eastAsiaTheme="minorHAnsi" w:cstheme="minorBidi"/>
          <w:szCs w:val="22"/>
        </w:rPr>
        <w:t xml:space="preserve"> which</w:t>
      </w:r>
      <w:proofErr w:type="gramEnd"/>
      <w:r w:rsidR="003A15A7">
        <w:rPr>
          <w:rFonts w:eastAsiaTheme="minorHAnsi" w:cstheme="minorBidi"/>
          <w:szCs w:val="22"/>
        </w:rPr>
        <w:t xml:space="preserve"> Complainant again raises in the present proceeding.</w:t>
      </w:r>
      <w:r w:rsidR="00024EE4">
        <w:rPr>
          <w:rFonts w:eastAsiaTheme="minorHAnsi" w:cstheme="minorBidi"/>
          <w:szCs w:val="22"/>
        </w:rPr>
        <w:t xml:space="preserve">  </w:t>
      </w:r>
      <w:r w:rsidR="00852BE1">
        <w:rPr>
          <w:rFonts w:eastAsiaTheme="minorHAnsi" w:cstheme="minorBidi"/>
          <w:i/>
          <w:szCs w:val="22"/>
        </w:rPr>
        <w:t>Id.</w:t>
      </w:r>
      <w:r w:rsidR="00852BE1">
        <w:rPr>
          <w:rFonts w:eastAsiaTheme="minorHAnsi" w:cstheme="minorBidi"/>
          <w:szCs w:val="22"/>
        </w:rPr>
        <w:t xml:space="preserve">  </w:t>
      </w:r>
      <w:r w:rsidR="00852BE1">
        <w:rPr>
          <w:rFonts w:eastAsiaTheme="minorHAnsi"/>
          <w:szCs w:val="22"/>
        </w:rPr>
        <w:t>¶</w:t>
      </w:r>
      <w:r w:rsidR="00852BE1">
        <w:rPr>
          <w:rFonts w:eastAsiaTheme="minorHAnsi" w:cstheme="minorBidi"/>
          <w:szCs w:val="22"/>
        </w:rPr>
        <w:t xml:space="preserve"> 10.</w:t>
      </w:r>
    </w:p>
    <w:p w:rsidR="00D30AA6" w:rsidRDefault="00D30AA6" w:rsidP="00923A06">
      <w:pPr>
        <w:tabs>
          <w:tab w:val="clear" w:pos="1440"/>
        </w:tabs>
        <w:spacing w:before="0" w:after="0"/>
        <w:ind w:right="1080" w:firstLine="1440"/>
        <w:rPr>
          <w:rFonts w:eastAsiaTheme="minorHAnsi" w:cstheme="minorBidi"/>
          <w:szCs w:val="22"/>
        </w:rPr>
      </w:pPr>
    </w:p>
    <w:p w:rsidR="003A15A7" w:rsidRDefault="00093535" w:rsidP="00A64336">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r w:rsidR="003A15A7">
        <w:rPr>
          <w:rFonts w:eastAsiaTheme="minorHAnsi" w:cstheme="minorBidi"/>
          <w:szCs w:val="22"/>
        </w:rPr>
        <w:t>Complainant did not file a response</w:t>
      </w:r>
      <w:r w:rsidR="00284DD0">
        <w:rPr>
          <w:rFonts w:eastAsiaTheme="minorHAnsi" w:cstheme="minorBidi"/>
          <w:szCs w:val="22"/>
        </w:rPr>
        <w:t xml:space="preserve"> to the Respondent’s New Matter within 20</w:t>
      </w:r>
      <w:r w:rsidR="00F1590A">
        <w:rPr>
          <w:rFonts w:eastAsiaTheme="minorHAnsi" w:cstheme="minorBidi"/>
          <w:szCs w:val="22"/>
        </w:rPr>
        <w:t xml:space="preserve"> </w:t>
      </w:r>
      <w:r w:rsidR="00284DD0">
        <w:rPr>
          <w:rFonts w:eastAsiaTheme="minorHAnsi" w:cstheme="minorBidi"/>
          <w:szCs w:val="22"/>
        </w:rPr>
        <w:t>day</w:t>
      </w:r>
      <w:r w:rsidR="00F1590A">
        <w:rPr>
          <w:rFonts w:eastAsiaTheme="minorHAnsi" w:cstheme="minorBidi"/>
          <w:szCs w:val="22"/>
        </w:rPr>
        <w:t>s</w:t>
      </w:r>
      <w:r w:rsidR="00284DD0">
        <w:rPr>
          <w:rFonts w:eastAsiaTheme="minorHAnsi" w:cstheme="minorBidi"/>
          <w:szCs w:val="22"/>
        </w:rPr>
        <w:t xml:space="preserve"> after service of the New Matter as prescribed by Section 5.63(a) of the Commission’s regulations.  52 </w:t>
      </w:r>
      <w:proofErr w:type="spellStart"/>
      <w:r w:rsidR="00284DD0">
        <w:rPr>
          <w:rFonts w:eastAsiaTheme="minorHAnsi" w:cstheme="minorBidi"/>
          <w:szCs w:val="22"/>
        </w:rPr>
        <w:t>Pa.Code</w:t>
      </w:r>
      <w:proofErr w:type="spellEnd"/>
      <w:r w:rsidR="00284DD0">
        <w:rPr>
          <w:rFonts w:eastAsiaTheme="minorHAnsi" w:cstheme="minorBidi"/>
          <w:szCs w:val="22"/>
        </w:rPr>
        <w:t xml:space="preserve"> </w:t>
      </w:r>
      <w:r w:rsidR="00284DD0">
        <w:rPr>
          <w:rFonts w:eastAsiaTheme="minorHAnsi"/>
          <w:szCs w:val="22"/>
        </w:rPr>
        <w:t>§</w:t>
      </w:r>
      <w:r w:rsidR="00284DD0">
        <w:rPr>
          <w:rFonts w:eastAsiaTheme="minorHAnsi" w:cstheme="minorBidi"/>
          <w:szCs w:val="22"/>
        </w:rPr>
        <w:t xml:space="preserve"> 5.63(a).</w:t>
      </w:r>
    </w:p>
    <w:p w:rsidR="003A15A7" w:rsidRDefault="003A15A7" w:rsidP="00093535">
      <w:pPr>
        <w:tabs>
          <w:tab w:val="clear" w:pos="1440"/>
        </w:tabs>
        <w:spacing w:before="0" w:after="0"/>
        <w:ind w:firstLine="1440"/>
        <w:rPr>
          <w:rFonts w:eastAsiaTheme="minorHAnsi" w:cstheme="minorBidi"/>
          <w:szCs w:val="22"/>
        </w:rPr>
      </w:pPr>
    </w:p>
    <w:p w:rsidR="00772B81" w:rsidRDefault="00772B81" w:rsidP="00093535">
      <w:pPr>
        <w:tabs>
          <w:tab w:val="clear" w:pos="1440"/>
        </w:tabs>
        <w:spacing w:before="0" w:after="0"/>
        <w:ind w:firstLine="1440"/>
        <w:rPr>
          <w:rFonts w:eastAsiaTheme="minorHAnsi" w:cstheme="minorBidi"/>
          <w:szCs w:val="22"/>
        </w:rPr>
      </w:pPr>
    </w:p>
    <w:p w:rsidR="00772B81" w:rsidRDefault="00772B81" w:rsidP="00093535">
      <w:pPr>
        <w:tabs>
          <w:tab w:val="clear" w:pos="1440"/>
        </w:tabs>
        <w:spacing w:before="0" w:after="0"/>
        <w:ind w:firstLine="1440"/>
        <w:rPr>
          <w:rFonts w:eastAsiaTheme="minorHAnsi" w:cstheme="minorBidi"/>
          <w:szCs w:val="22"/>
        </w:rPr>
      </w:pPr>
    </w:p>
    <w:p w:rsidR="000F2C40" w:rsidRPr="000F2C40" w:rsidRDefault="000F2C40" w:rsidP="000F2C40">
      <w:pPr>
        <w:tabs>
          <w:tab w:val="clear" w:pos="1440"/>
        </w:tabs>
        <w:spacing w:before="0" w:after="0"/>
        <w:rPr>
          <w:rFonts w:eastAsiaTheme="minorHAnsi" w:cstheme="minorBidi"/>
          <w:szCs w:val="22"/>
          <w:u w:val="single"/>
        </w:rPr>
      </w:pPr>
      <w:r>
        <w:rPr>
          <w:rFonts w:eastAsiaTheme="minorHAnsi" w:cstheme="minorBidi"/>
          <w:szCs w:val="22"/>
        </w:rPr>
        <w:lastRenderedPageBreak/>
        <w:t>D.</w:t>
      </w:r>
      <w:r>
        <w:rPr>
          <w:rFonts w:eastAsiaTheme="minorHAnsi" w:cstheme="minorBidi"/>
          <w:szCs w:val="22"/>
        </w:rPr>
        <w:tab/>
      </w:r>
      <w:r>
        <w:rPr>
          <w:rFonts w:eastAsiaTheme="minorHAnsi" w:cstheme="minorBidi"/>
          <w:szCs w:val="22"/>
          <w:u w:val="single"/>
        </w:rPr>
        <w:t>Respondent’s Preliminary Objections</w:t>
      </w:r>
    </w:p>
    <w:p w:rsidR="000F2C40" w:rsidRDefault="000F2C40" w:rsidP="00093535">
      <w:pPr>
        <w:tabs>
          <w:tab w:val="clear" w:pos="1440"/>
        </w:tabs>
        <w:spacing w:before="0" w:after="0"/>
        <w:ind w:firstLine="1440"/>
        <w:rPr>
          <w:rFonts w:eastAsiaTheme="minorHAnsi" w:cstheme="minorBidi"/>
          <w:szCs w:val="22"/>
        </w:rPr>
      </w:pPr>
    </w:p>
    <w:p w:rsidR="00A64336" w:rsidRDefault="007455F5" w:rsidP="00093535">
      <w:pPr>
        <w:tabs>
          <w:tab w:val="clear" w:pos="1440"/>
        </w:tabs>
        <w:spacing w:before="0" w:after="0"/>
        <w:ind w:firstLine="1440"/>
        <w:rPr>
          <w:rFonts w:eastAsiaTheme="minorHAnsi" w:cstheme="minorBidi"/>
          <w:szCs w:val="22"/>
        </w:rPr>
      </w:pPr>
      <w:r>
        <w:rPr>
          <w:rFonts w:eastAsiaTheme="minorHAnsi" w:cstheme="minorBidi"/>
          <w:szCs w:val="22"/>
        </w:rPr>
        <w:t xml:space="preserve">In its </w:t>
      </w:r>
      <w:r w:rsidR="00CE35B6">
        <w:rPr>
          <w:rFonts w:eastAsiaTheme="minorHAnsi" w:cstheme="minorBidi"/>
          <w:szCs w:val="22"/>
        </w:rPr>
        <w:t>P.O.</w:t>
      </w:r>
      <w:r>
        <w:rPr>
          <w:rFonts w:eastAsiaTheme="minorHAnsi" w:cstheme="minorBidi"/>
          <w:szCs w:val="22"/>
        </w:rPr>
        <w:t>, PGW reiterat</w:t>
      </w:r>
      <w:r w:rsidR="00BD3E6B">
        <w:rPr>
          <w:rFonts w:eastAsiaTheme="minorHAnsi" w:cstheme="minorBidi"/>
          <w:szCs w:val="22"/>
        </w:rPr>
        <w:t>ed</w:t>
      </w:r>
      <w:r>
        <w:rPr>
          <w:rFonts w:eastAsiaTheme="minorHAnsi" w:cstheme="minorBidi"/>
          <w:szCs w:val="22"/>
        </w:rPr>
        <w:t xml:space="preserve"> its statute of limitations </w:t>
      </w:r>
      <w:r w:rsidR="00A64336">
        <w:rPr>
          <w:rFonts w:eastAsiaTheme="minorHAnsi" w:cstheme="minorBidi"/>
          <w:szCs w:val="22"/>
        </w:rPr>
        <w:t>defense as follows:</w:t>
      </w:r>
    </w:p>
    <w:p w:rsidR="00A64336" w:rsidRDefault="00A64336" w:rsidP="00F20882">
      <w:pPr>
        <w:tabs>
          <w:tab w:val="clear" w:pos="1440"/>
        </w:tabs>
        <w:spacing w:before="0" w:after="0" w:line="240" w:lineRule="auto"/>
        <w:ind w:right="1080" w:firstLine="1440"/>
        <w:rPr>
          <w:rFonts w:eastAsiaTheme="minorHAnsi" w:cstheme="minorBidi"/>
          <w:szCs w:val="22"/>
        </w:rPr>
      </w:pPr>
    </w:p>
    <w:p w:rsidR="00212079" w:rsidRDefault="00A64336" w:rsidP="00A64336">
      <w:pPr>
        <w:tabs>
          <w:tab w:val="clear" w:pos="1440"/>
        </w:tabs>
        <w:spacing w:before="0" w:after="0" w:line="240" w:lineRule="auto"/>
        <w:ind w:left="1440" w:right="1080"/>
        <w:rPr>
          <w:rFonts w:eastAsiaTheme="minorHAnsi" w:cstheme="minorBidi"/>
          <w:szCs w:val="22"/>
        </w:rPr>
      </w:pPr>
      <w:r>
        <w:rPr>
          <w:rFonts w:eastAsiaTheme="minorHAnsi" w:cstheme="minorBidi"/>
          <w:szCs w:val="22"/>
        </w:rPr>
        <w:t xml:space="preserve">The statute of limitations at 66 </w:t>
      </w:r>
      <w:proofErr w:type="spellStart"/>
      <w:r>
        <w:rPr>
          <w:rFonts w:eastAsiaTheme="minorHAnsi" w:cstheme="minorBidi"/>
          <w:szCs w:val="22"/>
        </w:rPr>
        <w:t>Pa.C.</w:t>
      </w:r>
      <w:r w:rsidR="00093535">
        <w:rPr>
          <w:rFonts w:eastAsiaTheme="minorHAnsi" w:cstheme="minorBidi"/>
          <w:szCs w:val="22"/>
        </w:rPr>
        <w:t>S</w:t>
      </w:r>
      <w:proofErr w:type="spellEnd"/>
      <w:proofErr w:type="gramStart"/>
      <w:r>
        <w:rPr>
          <w:rFonts w:eastAsiaTheme="minorHAnsi" w:cstheme="minorBidi"/>
          <w:szCs w:val="22"/>
        </w:rPr>
        <w:t xml:space="preserve">. </w:t>
      </w:r>
      <w:proofErr w:type="gramEnd"/>
      <w:r>
        <w:rPr>
          <w:rFonts w:eastAsiaTheme="minorHAnsi"/>
          <w:szCs w:val="22"/>
        </w:rPr>
        <w:t>§</w:t>
      </w:r>
      <w:r>
        <w:rPr>
          <w:rFonts w:eastAsiaTheme="minorHAnsi" w:cstheme="minorBidi"/>
          <w:szCs w:val="22"/>
        </w:rPr>
        <w:t xml:space="preserve"> 3314 divest</w:t>
      </w:r>
      <w:r w:rsidR="00852BE1">
        <w:rPr>
          <w:rFonts w:eastAsiaTheme="minorHAnsi" w:cstheme="minorBidi"/>
          <w:szCs w:val="22"/>
        </w:rPr>
        <w:t>s</w:t>
      </w:r>
      <w:r>
        <w:rPr>
          <w:rFonts w:eastAsiaTheme="minorHAnsi" w:cstheme="minorBidi"/>
          <w:szCs w:val="22"/>
        </w:rPr>
        <w:t xml:space="preserve"> the Commission</w:t>
      </w:r>
    </w:p>
    <w:p w:rsidR="00212079" w:rsidRDefault="00A64336" w:rsidP="00A64336">
      <w:pPr>
        <w:tabs>
          <w:tab w:val="clear" w:pos="1440"/>
        </w:tabs>
        <w:spacing w:before="0" w:after="0" w:line="240" w:lineRule="auto"/>
        <w:ind w:left="1440" w:right="1080"/>
        <w:rPr>
          <w:rFonts w:eastAsiaTheme="minorHAnsi" w:cstheme="minorBidi"/>
          <w:szCs w:val="22"/>
        </w:rPr>
      </w:pPr>
      <w:proofErr w:type="gramStart"/>
      <w:r>
        <w:rPr>
          <w:rFonts w:eastAsiaTheme="minorHAnsi" w:cstheme="minorBidi"/>
          <w:szCs w:val="22"/>
        </w:rPr>
        <w:t>of</w:t>
      </w:r>
      <w:proofErr w:type="gramEnd"/>
      <w:r>
        <w:rPr>
          <w:rFonts w:eastAsiaTheme="minorHAnsi" w:cstheme="minorBidi"/>
          <w:szCs w:val="22"/>
        </w:rPr>
        <w:t xml:space="preserve"> jurisdiction to hear an action brought more than three years from the </w:t>
      </w:r>
    </w:p>
    <w:p w:rsidR="00A64336" w:rsidRDefault="00212079" w:rsidP="00A64336">
      <w:pPr>
        <w:tabs>
          <w:tab w:val="clear" w:pos="1440"/>
        </w:tabs>
        <w:spacing w:before="0" w:after="0" w:line="240" w:lineRule="auto"/>
        <w:ind w:left="1440" w:right="1080"/>
        <w:rPr>
          <w:rFonts w:eastAsiaTheme="minorHAnsi" w:cstheme="minorBidi"/>
          <w:szCs w:val="22"/>
        </w:rPr>
      </w:pPr>
      <w:proofErr w:type="gramStart"/>
      <w:r>
        <w:rPr>
          <w:rFonts w:eastAsiaTheme="minorHAnsi" w:cstheme="minorBidi"/>
          <w:szCs w:val="22"/>
        </w:rPr>
        <w:t>d</w:t>
      </w:r>
      <w:r w:rsidR="00A64336">
        <w:rPr>
          <w:rFonts w:eastAsiaTheme="minorHAnsi" w:cstheme="minorBidi"/>
          <w:szCs w:val="22"/>
        </w:rPr>
        <w:t>ate</w:t>
      </w:r>
      <w:proofErr w:type="gramEnd"/>
      <w:r w:rsidR="00A64336">
        <w:rPr>
          <w:rFonts w:eastAsiaTheme="minorHAnsi" w:cstheme="minorBidi"/>
          <w:szCs w:val="22"/>
        </w:rPr>
        <w:t xml:space="preserve"> liability arose.</w:t>
      </w:r>
    </w:p>
    <w:p w:rsidR="00A64336" w:rsidRDefault="00A64336" w:rsidP="00A64336">
      <w:pPr>
        <w:tabs>
          <w:tab w:val="clear" w:pos="1440"/>
        </w:tabs>
        <w:spacing w:before="0" w:after="0" w:line="240" w:lineRule="auto"/>
        <w:ind w:left="1440" w:right="1080"/>
        <w:rPr>
          <w:rFonts w:eastAsiaTheme="minorHAnsi" w:cstheme="minorBidi"/>
          <w:szCs w:val="22"/>
        </w:rPr>
      </w:pPr>
    </w:p>
    <w:p w:rsidR="00B36BB5" w:rsidRDefault="00A64336" w:rsidP="00A64336">
      <w:pPr>
        <w:tabs>
          <w:tab w:val="clear" w:pos="1440"/>
        </w:tabs>
        <w:spacing w:before="0" w:after="0" w:line="240" w:lineRule="auto"/>
        <w:ind w:left="1440" w:right="1080"/>
        <w:rPr>
          <w:rFonts w:eastAsiaTheme="minorHAnsi" w:cstheme="minorBidi"/>
          <w:szCs w:val="22"/>
        </w:rPr>
      </w:pPr>
      <w:r>
        <w:rPr>
          <w:rFonts w:eastAsiaTheme="minorHAnsi" w:cstheme="minorBidi"/>
          <w:szCs w:val="22"/>
        </w:rPr>
        <w:t>The Complainant ha</w:t>
      </w:r>
      <w:r w:rsidR="00852BE1">
        <w:rPr>
          <w:rFonts w:eastAsiaTheme="minorHAnsi" w:cstheme="minorBidi"/>
          <w:szCs w:val="22"/>
        </w:rPr>
        <w:t>s</w:t>
      </w:r>
      <w:r>
        <w:rPr>
          <w:rFonts w:eastAsiaTheme="minorHAnsi" w:cstheme="minorBidi"/>
          <w:szCs w:val="22"/>
        </w:rPr>
        <w:t xml:space="preserve"> lost he</w:t>
      </w:r>
      <w:r w:rsidR="00191732">
        <w:rPr>
          <w:rFonts w:eastAsiaTheme="minorHAnsi" w:cstheme="minorBidi"/>
          <w:szCs w:val="22"/>
        </w:rPr>
        <w:t>r</w:t>
      </w:r>
      <w:r>
        <w:rPr>
          <w:rFonts w:eastAsiaTheme="minorHAnsi" w:cstheme="minorBidi"/>
          <w:szCs w:val="22"/>
        </w:rPr>
        <w:t xml:space="preserve"> right to pursue litigation regarding the </w:t>
      </w:r>
    </w:p>
    <w:p w:rsidR="00A64336" w:rsidRDefault="00A64336" w:rsidP="00A64336">
      <w:pPr>
        <w:tabs>
          <w:tab w:val="clear" w:pos="1440"/>
        </w:tabs>
        <w:spacing w:before="0" w:after="0" w:line="240" w:lineRule="auto"/>
        <w:ind w:left="1440" w:right="1080"/>
        <w:rPr>
          <w:rFonts w:eastAsiaTheme="minorHAnsi" w:cstheme="minorBidi"/>
          <w:szCs w:val="22"/>
        </w:rPr>
      </w:pPr>
      <w:proofErr w:type="gramStart"/>
      <w:r>
        <w:rPr>
          <w:rFonts w:eastAsiaTheme="minorHAnsi" w:cstheme="minorBidi"/>
          <w:szCs w:val="22"/>
        </w:rPr>
        <w:t>bill</w:t>
      </w:r>
      <w:proofErr w:type="gramEnd"/>
      <w:r>
        <w:rPr>
          <w:rFonts w:eastAsiaTheme="minorHAnsi" w:cstheme="minorBidi"/>
          <w:szCs w:val="22"/>
        </w:rPr>
        <w:t xml:space="preserve"> for gas service at 7039 </w:t>
      </w:r>
      <w:proofErr w:type="spellStart"/>
      <w:r>
        <w:rPr>
          <w:rFonts w:eastAsiaTheme="minorHAnsi" w:cstheme="minorBidi"/>
          <w:szCs w:val="22"/>
        </w:rPr>
        <w:t>Ardleigh</w:t>
      </w:r>
      <w:proofErr w:type="spellEnd"/>
      <w:r>
        <w:rPr>
          <w:rFonts w:eastAsiaTheme="minorHAnsi" w:cstheme="minorBidi"/>
          <w:szCs w:val="22"/>
        </w:rPr>
        <w:t xml:space="preserve"> Street, as any cause of action arising from that bill falls outside the statute of limitations.</w:t>
      </w:r>
    </w:p>
    <w:p w:rsidR="00A64336" w:rsidRDefault="00A64336" w:rsidP="00A64336">
      <w:pPr>
        <w:tabs>
          <w:tab w:val="clear" w:pos="1440"/>
        </w:tabs>
        <w:spacing w:before="0" w:after="0" w:line="240" w:lineRule="auto"/>
        <w:ind w:left="1440" w:right="1080"/>
        <w:rPr>
          <w:rFonts w:eastAsiaTheme="minorHAnsi" w:cstheme="minorBidi"/>
          <w:szCs w:val="22"/>
        </w:rPr>
      </w:pPr>
    </w:p>
    <w:p w:rsidR="00A64336" w:rsidRDefault="00A64336" w:rsidP="00A64336">
      <w:pPr>
        <w:tabs>
          <w:tab w:val="clear" w:pos="1440"/>
        </w:tabs>
        <w:spacing w:before="0" w:after="0" w:line="240" w:lineRule="auto"/>
        <w:ind w:left="1440" w:right="1080"/>
        <w:rPr>
          <w:rFonts w:eastAsiaTheme="minorHAnsi" w:cstheme="minorBidi"/>
          <w:szCs w:val="22"/>
        </w:rPr>
      </w:pPr>
      <w:r>
        <w:rPr>
          <w:rFonts w:eastAsiaTheme="minorHAnsi" w:cstheme="minorBidi"/>
          <w:szCs w:val="22"/>
        </w:rPr>
        <w:t>As the Commission is without jurisdiction to decide on matters falling outside of the statute of limitations, the Complain</w:t>
      </w:r>
      <w:r w:rsidR="00093535">
        <w:rPr>
          <w:rFonts w:eastAsiaTheme="minorHAnsi" w:cstheme="minorBidi"/>
          <w:szCs w:val="22"/>
        </w:rPr>
        <w:t>ant</w:t>
      </w:r>
      <w:r w:rsidR="00191732">
        <w:rPr>
          <w:rFonts w:eastAsiaTheme="minorHAnsi" w:cstheme="minorBidi"/>
          <w:szCs w:val="22"/>
        </w:rPr>
        <w:t>’</w:t>
      </w:r>
      <w:r>
        <w:rPr>
          <w:rFonts w:eastAsiaTheme="minorHAnsi" w:cstheme="minorBidi"/>
          <w:szCs w:val="22"/>
        </w:rPr>
        <w:t xml:space="preserve">s request for relief is “impertinent matter” within the use and meaning of 52 </w:t>
      </w:r>
      <w:proofErr w:type="spellStart"/>
      <w:r>
        <w:rPr>
          <w:rFonts w:eastAsiaTheme="minorHAnsi" w:cstheme="minorBidi"/>
          <w:szCs w:val="22"/>
        </w:rPr>
        <w:t>Pa.Code</w:t>
      </w:r>
      <w:proofErr w:type="spellEnd"/>
      <w:r>
        <w:rPr>
          <w:rFonts w:eastAsiaTheme="minorHAnsi" w:cstheme="minorBidi"/>
          <w:szCs w:val="22"/>
        </w:rPr>
        <w:t xml:space="preserve"> </w:t>
      </w:r>
      <w:r>
        <w:rPr>
          <w:rFonts w:eastAsiaTheme="minorHAnsi"/>
          <w:szCs w:val="22"/>
        </w:rPr>
        <w:t>§</w:t>
      </w:r>
      <w:r>
        <w:rPr>
          <w:rFonts w:eastAsiaTheme="minorHAnsi" w:cstheme="minorBidi"/>
          <w:szCs w:val="22"/>
        </w:rPr>
        <w:t xml:space="preserve"> 5.101(a) (2) and should be stricken from the Complaint.</w:t>
      </w:r>
    </w:p>
    <w:p w:rsidR="00A64336" w:rsidRDefault="00A64336" w:rsidP="00A64336">
      <w:pPr>
        <w:tabs>
          <w:tab w:val="clear" w:pos="1440"/>
        </w:tabs>
        <w:spacing w:before="0" w:after="0"/>
        <w:ind w:left="1440" w:right="1080"/>
        <w:rPr>
          <w:rFonts w:eastAsiaTheme="minorHAnsi" w:cstheme="minorBidi"/>
          <w:szCs w:val="22"/>
        </w:rPr>
      </w:pPr>
    </w:p>
    <w:p w:rsidR="00852BE1" w:rsidRDefault="00CE35B6" w:rsidP="00A64336">
      <w:pPr>
        <w:tabs>
          <w:tab w:val="clear" w:pos="1440"/>
        </w:tabs>
        <w:spacing w:before="0" w:after="0"/>
        <w:rPr>
          <w:rFonts w:eastAsiaTheme="minorHAnsi" w:cstheme="minorBidi"/>
          <w:szCs w:val="22"/>
        </w:rPr>
      </w:pPr>
      <w:r>
        <w:rPr>
          <w:rFonts w:eastAsiaTheme="minorHAnsi" w:cstheme="minorBidi"/>
          <w:szCs w:val="22"/>
        </w:rPr>
        <w:t>P.O.</w:t>
      </w:r>
      <w:r w:rsidR="00852BE1">
        <w:rPr>
          <w:rFonts w:eastAsiaTheme="minorHAnsi" w:cstheme="minorBidi"/>
          <w:szCs w:val="22"/>
        </w:rPr>
        <w:t xml:space="preserve">  </w:t>
      </w:r>
      <w:r w:rsidR="00852BE1">
        <w:rPr>
          <w:rFonts w:eastAsiaTheme="minorHAnsi"/>
          <w:szCs w:val="22"/>
        </w:rPr>
        <w:t>¶¶</w:t>
      </w:r>
      <w:r w:rsidR="00852BE1">
        <w:rPr>
          <w:rFonts w:eastAsiaTheme="minorHAnsi" w:cstheme="minorBidi"/>
          <w:szCs w:val="22"/>
        </w:rPr>
        <w:t xml:space="preserve"> 9-10.</w:t>
      </w:r>
    </w:p>
    <w:p w:rsidR="00852BE1" w:rsidRDefault="00852BE1" w:rsidP="00A64336">
      <w:pPr>
        <w:tabs>
          <w:tab w:val="clear" w:pos="1440"/>
        </w:tabs>
        <w:spacing w:before="0" w:after="0"/>
        <w:rPr>
          <w:rFonts w:eastAsiaTheme="minorHAnsi" w:cstheme="minorBidi"/>
          <w:szCs w:val="22"/>
        </w:rPr>
      </w:pPr>
    </w:p>
    <w:p w:rsidR="00A64336" w:rsidRDefault="000F2C40" w:rsidP="00A64336">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r w:rsidR="001C560D">
        <w:rPr>
          <w:rFonts w:eastAsiaTheme="minorHAnsi" w:cstheme="minorBidi"/>
          <w:szCs w:val="22"/>
        </w:rPr>
        <w:t xml:space="preserve">The </w:t>
      </w:r>
      <w:r w:rsidR="00CE35B6">
        <w:rPr>
          <w:rFonts w:eastAsiaTheme="minorHAnsi" w:cstheme="minorBidi"/>
          <w:szCs w:val="22"/>
        </w:rPr>
        <w:t>P.O.</w:t>
      </w:r>
      <w:r w:rsidR="001C560D">
        <w:rPr>
          <w:rFonts w:eastAsiaTheme="minorHAnsi" w:cstheme="minorBidi"/>
          <w:szCs w:val="22"/>
        </w:rPr>
        <w:t xml:space="preserve"> contained a 10-day notice for Complainant to file a response</w:t>
      </w:r>
      <w:proofErr w:type="gramStart"/>
      <w:r w:rsidR="001C560D">
        <w:rPr>
          <w:rFonts w:eastAsiaTheme="minorHAnsi" w:cstheme="minorBidi"/>
          <w:szCs w:val="22"/>
        </w:rPr>
        <w:t xml:space="preserve">. </w:t>
      </w:r>
      <w:proofErr w:type="gramEnd"/>
      <w:r w:rsidR="00A64336">
        <w:rPr>
          <w:rFonts w:eastAsiaTheme="minorHAnsi" w:cstheme="minorBidi"/>
          <w:szCs w:val="22"/>
        </w:rPr>
        <w:t xml:space="preserve">Complainant did not file a response to the Respondent’s </w:t>
      </w:r>
      <w:r w:rsidR="00191732">
        <w:rPr>
          <w:rFonts w:eastAsiaTheme="minorHAnsi" w:cstheme="minorBidi"/>
          <w:szCs w:val="22"/>
        </w:rPr>
        <w:t>P</w:t>
      </w:r>
      <w:r w:rsidR="001B2707">
        <w:rPr>
          <w:rFonts w:eastAsiaTheme="minorHAnsi" w:cstheme="minorBidi"/>
          <w:szCs w:val="22"/>
        </w:rPr>
        <w:t>.</w:t>
      </w:r>
      <w:r w:rsidR="00191732">
        <w:rPr>
          <w:rFonts w:eastAsiaTheme="minorHAnsi" w:cstheme="minorBidi"/>
          <w:szCs w:val="22"/>
        </w:rPr>
        <w:t>O</w:t>
      </w:r>
      <w:r w:rsidR="001B2707">
        <w:rPr>
          <w:rFonts w:eastAsiaTheme="minorHAnsi" w:cstheme="minorBidi"/>
          <w:szCs w:val="22"/>
        </w:rPr>
        <w:t>.</w:t>
      </w:r>
      <w:r w:rsidR="00A64336">
        <w:rPr>
          <w:rFonts w:eastAsiaTheme="minorHAnsi" w:cstheme="minorBidi"/>
          <w:szCs w:val="22"/>
        </w:rPr>
        <w:t xml:space="preserve"> within 10</w:t>
      </w:r>
      <w:r w:rsidR="00F1590A">
        <w:rPr>
          <w:rFonts w:eastAsiaTheme="minorHAnsi" w:cstheme="minorBidi"/>
          <w:szCs w:val="22"/>
        </w:rPr>
        <w:t xml:space="preserve"> </w:t>
      </w:r>
      <w:r w:rsidR="00A64336">
        <w:rPr>
          <w:rFonts w:eastAsiaTheme="minorHAnsi" w:cstheme="minorBidi"/>
          <w:szCs w:val="22"/>
        </w:rPr>
        <w:t xml:space="preserve">days after service of the </w:t>
      </w:r>
      <w:r w:rsidR="00CE35B6">
        <w:rPr>
          <w:rFonts w:eastAsiaTheme="minorHAnsi" w:cstheme="minorBidi"/>
          <w:szCs w:val="22"/>
        </w:rPr>
        <w:t>P.O.</w:t>
      </w:r>
      <w:r w:rsidR="00AD778C">
        <w:rPr>
          <w:rFonts w:eastAsiaTheme="minorHAnsi" w:cstheme="minorBidi"/>
          <w:szCs w:val="22"/>
        </w:rPr>
        <w:t>,</w:t>
      </w:r>
      <w:r w:rsidR="00A64336">
        <w:rPr>
          <w:rFonts w:eastAsiaTheme="minorHAnsi" w:cstheme="minorBidi"/>
          <w:szCs w:val="22"/>
        </w:rPr>
        <w:t xml:space="preserve"> as prescribed by Section 5.</w:t>
      </w:r>
      <w:r w:rsidR="00F1590A">
        <w:rPr>
          <w:rFonts w:eastAsiaTheme="minorHAnsi" w:cstheme="minorBidi"/>
          <w:szCs w:val="22"/>
        </w:rPr>
        <w:t>101</w:t>
      </w:r>
      <w:r w:rsidR="00A64336">
        <w:rPr>
          <w:rFonts w:eastAsiaTheme="minorHAnsi" w:cstheme="minorBidi"/>
          <w:szCs w:val="22"/>
        </w:rPr>
        <w:t>(</w:t>
      </w:r>
      <w:r w:rsidR="00F1590A">
        <w:rPr>
          <w:rFonts w:eastAsiaTheme="minorHAnsi" w:cstheme="minorBidi"/>
          <w:szCs w:val="22"/>
        </w:rPr>
        <w:t>7</w:t>
      </w:r>
      <w:proofErr w:type="gramStart"/>
      <w:r w:rsidR="00A64336">
        <w:rPr>
          <w:rFonts w:eastAsiaTheme="minorHAnsi" w:cstheme="minorBidi"/>
          <w:szCs w:val="22"/>
        </w:rPr>
        <w:t>)</w:t>
      </w:r>
      <w:r w:rsidR="00F1590A">
        <w:rPr>
          <w:rFonts w:eastAsiaTheme="minorHAnsi" w:cstheme="minorBidi"/>
          <w:szCs w:val="22"/>
        </w:rPr>
        <w:t>(</w:t>
      </w:r>
      <w:proofErr w:type="gramEnd"/>
      <w:r w:rsidR="00F1590A">
        <w:rPr>
          <w:rFonts w:eastAsiaTheme="minorHAnsi" w:cstheme="minorBidi"/>
          <w:szCs w:val="22"/>
        </w:rPr>
        <w:t>f)(1)</w:t>
      </w:r>
      <w:r w:rsidR="00A64336">
        <w:rPr>
          <w:rFonts w:eastAsiaTheme="minorHAnsi" w:cstheme="minorBidi"/>
          <w:szCs w:val="22"/>
        </w:rPr>
        <w:t xml:space="preserve"> of the Commission’s regulations.  52 </w:t>
      </w:r>
      <w:proofErr w:type="spellStart"/>
      <w:r w:rsidR="00A64336">
        <w:rPr>
          <w:rFonts w:eastAsiaTheme="minorHAnsi" w:cstheme="minorBidi"/>
          <w:szCs w:val="22"/>
        </w:rPr>
        <w:t>Pa.Code</w:t>
      </w:r>
      <w:proofErr w:type="spellEnd"/>
      <w:r w:rsidR="00F20882">
        <w:rPr>
          <w:rFonts w:eastAsiaTheme="minorHAnsi" w:cstheme="minorBidi"/>
          <w:szCs w:val="22"/>
        </w:rPr>
        <w:t xml:space="preserve"> </w:t>
      </w:r>
      <w:r w:rsidR="00F20882">
        <w:rPr>
          <w:rFonts w:eastAsiaTheme="minorHAnsi" w:cstheme="minorBidi"/>
          <w:szCs w:val="22"/>
        </w:rPr>
        <w:br w:type="textWrapping" w:clear="all"/>
      </w:r>
      <w:r w:rsidR="00A64336">
        <w:rPr>
          <w:rFonts w:eastAsiaTheme="minorHAnsi"/>
          <w:szCs w:val="22"/>
        </w:rPr>
        <w:t>§</w:t>
      </w:r>
      <w:r w:rsidR="00A64336">
        <w:rPr>
          <w:rFonts w:eastAsiaTheme="minorHAnsi" w:cstheme="minorBidi"/>
          <w:szCs w:val="22"/>
        </w:rPr>
        <w:t xml:space="preserve"> 5.</w:t>
      </w:r>
      <w:r w:rsidR="00F1590A">
        <w:rPr>
          <w:rFonts w:eastAsiaTheme="minorHAnsi" w:cstheme="minorBidi"/>
          <w:szCs w:val="22"/>
        </w:rPr>
        <w:t>101</w:t>
      </w:r>
      <w:r w:rsidR="00A64336">
        <w:rPr>
          <w:rFonts w:eastAsiaTheme="minorHAnsi" w:cstheme="minorBidi"/>
          <w:szCs w:val="22"/>
        </w:rPr>
        <w:t>(</w:t>
      </w:r>
      <w:r w:rsidR="00F1590A">
        <w:rPr>
          <w:rFonts w:eastAsiaTheme="minorHAnsi" w:cstheme="minorBidi"/>
          <w:szCs w:val="22"/>
        </w:rPr>
        <w:t>7</w:t>
      </w:r>
      <w:proofErr w:type="gramStart"/>
      <w:r w:rsidR="00A64336">
        <w:rPr>
          <w:rFonts w:eastAsiaTheme="minorHAnsi" w:cstheme="minorBidi"/>
          <w:szCs w:val="22"/>
        </w:rPr>
        <w:t>)</w:t>
      </w:r>
      <w:r w:rsidR="00F1590A">
        <w:rPr>
          <w:rFonts w:eastAsiaTheme="minorHAnsi" w:cstheme="minorBidi"/>
          <w:szCs w:val="22"/>
        </w:rPr>
        <w:t>(</w:t>
      </w:r>
      <w:proofErr w:type="gramEnd"/>
      <w:r w:rsidR="00F1590A">
        <w:rPr>
          <w:rFonts w:eastAsiaTheme="minorHAnsi" w:cstheme="minorBidi"/>
          <w:szCs w:val="22"/>
        </w:rPr>
        <w:t>f)(1)</w:t>
      </w:r>
      <w:r w:rsidR="00A64336">
        <w:rPr>
          <w:rFonts w:eastAsiaTheme="minorHAnsi" w:cstheme="minorBidi"/>
          <w:szCs w:val="22"/>
        </w:rPr>
        <w:t>.</w:t>
      </w:r>
    </w:p>
    <w:p w:rsidR="00A64336" w:rsidRDefault="00A64336" w:rsidP="006A47F3">
      <w:pPr>
        <w:tabs>
          <w:tab w:val="clear" w:pos="1440"/>
        </w:tabs>
        <w:spacing w:before="0" w:after="0"/>
        <w:rPr>
          <w:rFonts w:eastAsiaTheme="minorHAnsi" w:cstheme="minorBidi"/>
          <w:szCs w:val="22"/>
        </w:rPr>
      </w:pPr>
    </w:p>
    <w:p w:rsidR="000F2C40" w:rsidRPr="000F2C40" w:rsidRDefault="000F2C40" w:rsidP="006A47F3">
      <w:pPr>
        <w:tabs>
          <w:tab w:val="clear" w:pos="1440"/>
        </w:tabs>
        <w:spacing w:before="0" w:after="0"/>
        <w:rPr>
          <w:rFonts w:eastAsiaTheme="minorHAnsi" w:cstheme="minorBidi"/>
          <w:szCs w:val="22"/>
          <w:u w:val="single"/>
        </w:rPr>
      </w:pPr>
      <w:r>
        <w:rPr>
          <w:rFonts w:eastAsiaTheme="minorHAnsi" w:cstheme="minorBidi"/>
          <w:szCs w:val="22"/>
        </w:rPr>
        <w:t>E.</w:t>
      </w:r>
      <w:r>
        <w:rPr>
          <w:rFonts w:eastAsiaTheme="minorHAnsi" w:cstheme="minorBidi"/>
          <w:szCs w:val="22"/>
        </w:rPr>
        <w:tab/>
      </w:r>
      <w:r>
        <w:rPr>
          <w:rFonts w:eastAsiaTheme="minorHAnsi" w:cstheme="minorBidi"/>
          <w:szCs w:val="22"/>
          <w:u w:val="single"/>
        </w:rPr>
        <w:t>Respondent’s Motion for Summary Judgment</w:t>
      </w:r>
    </w:p>
    <w:p w:rsidR="000F2C40" w:rsidRDefault="000F2C40" w:rsidP="006A47F3">
      <w:pPr>
        <w:tabs>
          <w:tab w:val="clear" w:pos="1440"/>
        </w:tabs>
        <w:spacing w:before="0" w:after="0"/>
        <w:rPr>
          <w:rFonts w:eastAsiaTheme="minorHAnsi" w:cstheme="minorBidi"/>
          <w:szCs w:val="22"/>
        </w:rPr>
      </w:pPr>
    </w:p>
    <w:p w:rsidR="002B027A" w:rsidRDefault="006A47F3" w:rsidP="006A47F3">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In its Motion for Summary Judgment, PGW re</w:t>
      </w:r>
      <w:r w:rsidR="007101C7">
        <w:rPr>
          <w:rFonts w:eastAsiaTheme="minorHAnsi" w:cstheme="minorBidi"/>
          <w:szCs w:val="22"/>
        </w:rPr>
        <w:t>peat</w:t>
      </w:r>
      <w:r w:rsidR="00BD3E6B">
        <w:rPr>
          <w:rFonts w:eastAsiaTheme="minorHAnsi" w:cstheme="minorBidi"/>
          <w:szCs w:val="22"/>
        </w:rPr>
        <w:t>ed</w:t>
      </w:r>
      <w:r w:rsidR="007101C7">
        <w:rPr>
          <w:rFonts w:eastAsiaTheme="minorHAnsi" w:cstheme="minorBidi"/>
          <w:szCs w:val="22"/>
        </w:rPr>
        <w:t xml:space="preserve"> the allegation of its New Matter, that is, Complainant </w:t>
      </w:r>
      <w:r w:rsidR="00BD3E6B">
        <w:rPr>
          <w:rFonts w:eastAsiaTheme="minorHAnsi" w:cstheme="minorBidi"/>
          <w:szCs w:val="22"/>
        </w:rPr>
        <w:t>wa</w:t>
      </w:r>
      <w:r w:rsidR="007101C7">
        <w:rPr>
          <w:rFonts w:eastAsiaTheme="minorHAnsi" w:cstheme="minorBidi"/>
          <w:szCs w:val="22"/>
        </w:rPr>
        <w:t xml:space="preserve">s estopped from raising in her current Complaint the same allegations she raised in her 2010 </w:t>
      </w:r>
      <w:r w:rsidR="00212079">
        <w:rPr>
          <w:rFonts w:eastAsiaTheme="minorHAnsi" w:cstheme="minorBidi"/>
          <w:szCs w:val="22"/>
        </w:rPr>
        <w:t>c</w:t>
      </w:r>
      <w:r w:rsidR="007101C7">
        <w:rPr>
          <w:rFonts w:eastAsiaTheme="minorHAnsi" w:cstheme="minorBidi"/>
          <w:szCs w:val="22"/>
        </w:rPr>
        <w:t>omplaint at Docket No</w:t>
      </w:r>
      <w:proofErr w:type="gramStart"/>
      <w:r w:rsidR="007101C7">
        <w:rPr>
          <w:rFonts w:eastAsiaTheme="minorHAnsi" w:cstheme="minorBidi"/>
          <w:szCs w:val="22"/>
        </w:rPr>
        <w:t xml:space="preserve">. </w:t>
      </w:r>
      <w:proofErr w:type="gramEnd"/>
      <w:r w:rsidR="007101C7">
        <w:rPr>
          <w:rFonts w:eastAsiaTheme="minorHAnsi" w:cstheme="minorBidi"/>
          <w:szCs w:val="22"/>
        </w:rPr>
        <w:t>C-2010-2152309</w:t>
      </w:r>
      <w:r w:rsidR="005B0CEA">
        <w:rPr>
          <w:rFonts w:eastAsiaTheme="minorHAnsi" w:cstheme="minorBidi"/>
          <w:szCs w:val="22"/>
        </w:rPr>
        <w:t xml:space="preserve">. </w:t>
      </w:r>
      <w:r w:rsidR="007E5623">
        <w:rPr>
          <w:rFonts w:eastAsiaTheme="minorHAnsi" w:cstheme="minorBidi"/>
          <w:szCs w:val="22"/>
        </w:rPr>
        <w:t xml:space="preserve"> </w:t>
      </w:r>
      <w:r w:rsidR="005B0CEA">
        <w:rPr>
          <w:rFonts w:eastAsiaTheme="minorHAnsi" w:cstheme="minorBidi"/>
          <w:szCs w:val="22"/>
        </w:rPr>
        <w:t xml:space="preserve">No exceptions were filed to the Initial Decision issued on </w:t>
      </w:r>
      <w:r w:rsidR="002B027A">
        <w:rPr>
          <w:rFonts w:eastAsiaTheme="minorHAnsi" w:cstheme="minorBidi"/>
          <w:szCs w:val="22"/>
        </w:rPr>
        <w:t xml:space="preserve">Complainant’s 2010 </w:t>
      </w:r>
      <w:r w:rsidR="00212079">
        <w:rPr>
          <w:rFonts w:eastAsiaTheme="minorHAnsi" w:cstheme="minorBidi"/>
          <w:szCs w:val="22"/>
        </w:rPr>
        <w:t>c</w:t>
      </w:r>
      <w:r w:rsidR="002B027A">
        <w:rPr>
          <w:rFonts w:eastAsiaTheme="minorHAnsi" w:cstheme="minorBidi"/>
          <w:szCs w:val="22"/>
        </w:rPr>
        <w:t>omplaint, and t</w:t>
      </w:r>
      <w:r w:rsidR="005B0CEA">
        <w:rPr>
          <w:rFonts w:eastAsiaTheme="minorHAnsi" w:cstheme="minorBidi"/>
          <w:szCs w:val="22"/>
        </w:rPr>
        <w:t>he Commission entered a Final Order in that matter on July 20, 2011.</w:t>
      </w:r>
      <w:r w:rsidR="002B027A">
        <w:rPr>
          <w:rFonts w:eastAsiaTheme="minorHAnsi" w:cstheme="minorBidi"/>
          <w:szCs w:val="22"/>
        </w:rPr>
        <w:t xml:space="preserve"> </w:t>
      </w:r>
      <w:r w:rsidR="005B0CEA">
        <w:rPr>
          <w:rFonts w:eastAsiaTheme="minorHAnsi" w:cstheme="minorBidi"/>
          <w:szCs w:val="22"/>
        </w:rPr>
        <w:t xml:space="preserve"> </w:t>
      </w:r>
      <w:r w:rsidR="007101C7">
        <w:rPr>
          <w:rFonts w:eastAsiaTheme="minorHAnsi" w:cstheme="minorBidi"/>
          <w:szCs w:val="22"/>
        </w:rPr>
        <w:t>According to PGW</w:t>
      </w:r>
      <w:r w:rsidR="008A3996">
        <w:rPr>
          <w:rFonts w:eastAsiaTheme="minorHAnsi" w:cstheme="minorBidi"/>
          <w:szCs w:val="22"/>
        </w:rPr>
        <w:t>,</w:t>
      </w:r>
      <w:r w:rsidR="007101C7">
        <w:rPr>
          <w:rFonts w:eastAsiaTheme="minorHAnsi" w:cstheme="minorBidi"/>
          <w:szCs w:val="22"/>
        </w:rPr>
        <w:t xml:space="preserve"> the </w:t>
      </w:r>
      <w:r w:rsidR="00284D85">
        <w:rPr>
          <w:rFonts w:eastAsiaTheme="minorHAnsi" w:cstheme="minorBidi"/>
          <w:szCs w:val="22"/>
        </w:rPr>
        <w:t>doctrine of res </w:t>
      </w:r>
      <w:r w:rsidR="00BD3E6B">
        <w:rPr>
          <w:rFonts w:eastAsiaTheme="minorHAnsi" w:cstheme="minorBidi"/>
          <w:szCs w:val="22"/>
        </w:rPr>
        <w:t>judicata applie</w:t>
      </w:r>
      <w:r w:rsidR="00D4348B">
        <w:rPr>
          <w:rFonts w:eastAsiaTheme="minorHAnsi" w:cstheme="minorBidi"/>
          <w:szCs w:val="22"/>
        </w:rPr>
        <w:t>s</w:t>
      </w:r>
      <w:r w:rsidR="007101C7">
        <w:rPr>
          <w:rFonts w:eastAsiaTheme="minorHAnsi" w:cstheme="minorBidi"/>
          <w:szCs w:val="22"/>
        </w:rPr>
        <w:t xml:space="preserve"> to Complainant’s current </w:t>
      </w:r>
      <w:proofErr w:type="gramStart"/>
      <w:r w:rsidR="007101C7">
        <w:rPr>
          <w:rFonts w:eastAsiaTheme="minorHAnsi" w:cstheme="minorBidi"/>
          <w:szCs w:val="22"/>
        </w:rPr>
        <w:t>Complaint,</w:t>
      </w:r>
      <w:proofErr w:type="gramEnd"/>
      <w:r w:rsidR="007101C7">
        <w:rPr>
          <w:rFonts w:eastAsiaTheme="minorHAnsi" w:cstheme="minorBidi"/>
          <w:szCs w:val="22"/>
        </w:rPr>
        <w:t xml:space="preserve"> therefore the Complaint must be dismissed.</w:t>
      </w:r>
      <w:r w:rsidR="002B027A">
        <w:rPr>
          <w:rFonts w:eastAsiaTheme="minorHAnsi" w:cstheme="minorBidi"/>
          <w:szCs w:val="22"/>
        </w:rPr>
        <w:t xml:space="preserve">  </w:t>
      </w:r>
      <w:r w:rsidR="007101C7">
        <w:rPr>
          <w:rFonts w:eastAsiaTheme="minorHAnsi" w:cstheme="minorBidi"/>
          <w:szCs w:val="22"/>
        </w:rPr>
        <w:t>Notably, PGW d</w:t>
      </w:r>
      <w:r w:rsidR="00BD3E6B">
        <w:rPr>
          <w:rFonts w:eastAsiaTheme="minorHAnsi" w:cstheme="minorBidi"/>
          <w:szCs w:val="22"/>
        </w:rPr>
        <w:t>id</w:t>
      </w:r>
      <w:r w:rsidR="007101C7">
        <w:rPr>
          <w:rFonts w:eastAsiaTheme="minorHAnsi" w:cstheme="minorBidi"/>
          <w:szCs w:val="22"/>
        </w:rPr>
        <w:t xml:space="preserve"> not raise the affirmative defense of the statute of limitations in its Motion for Summary Judgment.</w:t>
      </w:r>
    </w:p>
    <w:p w:rsidR="00C2613E" w:rsidRDefault="00C2613E" w:rsidP="006A47F3">
      <w:pPr>
        <w:tabs>
          <w:tab w:val="clear" w:pos="1440"/>
        </w:tabs>
        <w:spacing w:before="0" w:after="0"/>
        <w:rPr>
          <w:rFonts w:eastAsiaTheme="minorHAnsi" w:cstheme="minorBidi"/>
          <w:szCs w:val="22"/>
        </w:rPr>
      </w:pPr>
    </w:p>
    <w:p w:rsidR="007101C7" w:rsidRDefault="007101C7" w:rsidP="007101C7">
      <w:pPr>
        <w:tabs>
          <w:tab w:val="clear" w:pos="1440"/>
        </w:tabs>
        <w:spacing w:before="0" w:after="0"/>
        <w:rPr>
          <w:rFonts w:eastAsiaTheme="minorHAnsi" w:cstheme="minorBidi"/>
          <w:szCs w:val="22"/>
        </w:rPr>
      </w:pPr>
      <w:r>
        <w:rPr>
          <w:rFonts w:eastAsiaTheme="minorHAnsi" w:cstheme="minorBidi"/>
          <w:szCs w:val="22"/>
        </w:rPr>
        <w:lastRenderedPageBreak/>
        <w:tab/>
      </w:r>
      <w:r>
        <w:rPr>
          <w:rFonts w:eastAsiaTheme="minorHAnsi" w:cstheme="minorBidi"/>
          <w:szCs w:val="22"/>
        </w:rPr>
        <w:tab/>
        <w:t>Complainant did not file a response to PGW’s Motion for Summary Judgment within 20 days after service of the Motion</w:t>
      </w:r>
      <w:r w:rsidR="00AD778C">
        <w:rPr>
          <w:rFonts w:eastAsiaTheme="minorHAnsi" w:cstheme="minorBidi"/>
          <w:szCs w:val="22"/>
        </w:rPr>
        <w:t>,</w:t>
      </w:r>
      <w:r>
        <w:rPr>
          <w:rFonts w:eastAsiaTheme="minorHAnsi" w:cstheme="minorBidi"/>
          <w:szCs w:val="22"/>
        </w:rPr>
        <w:t xml:space="preserve"> as prescribed by Section 5.10</w:t>
      </w:r>
      <w:r w:rsidR="00705F9E">
        <w:rPr>
          <w:rFonts w:eastAsiaTheme="minorHAnsi" w:cstheme="minorBidi"/>
          <w:szCs w:val="22"/>
        </w:rPr>
        <w:t>2</w:t>
      </w:r>
      <w:r>
        <w:rPr>
          <w:rFonts w:eastAsiaTheme="minorHAnsi" w:cstheme="minorBidi"/>
          <w:szCs w:val="22"/>
        </w:rPr>
        <w:t>(</w:t>
      </w:r>
      <w:r w:rsidR="00705F9E">
        <w:rPr>
          <w:rFonts w:eastAsiaTheme="minorHAnsi" w:cstheme="minorBidi"/>
          <w:szCs w:val="22"/>
        </w:rPr>
        <w:t>b</w:t>
      </w:r>
      <w:r>
        <w:rPr>
          <w:rFonts w:eastAsiaTheme="minorHAnsi" w:cstheme="minorBidi"/>
          <w:szCs w:val="22"/>
        </w:rPr>
        <w:t xml:space="preserve">) of the Commission’s regulations.  52 </w:t>
      </w:r>
      <w:proofErr w:type="spellStart"/>
      <w:r>
        <w:rPr>
          <w:rFonts w:eastAsiaTheme="minorHAnsi" w:cstheme="minorBidi"/>
          <w:szCs w:val="22"/>
        </w:rPr>
        <w:t>Pa.Code</w:t>
      </w:r>
      <w:proofErr w:type="spellEnd"/>
      <w:r>
        <w:rPr>
          <w:rFonts w:eastAsiaTheme="minorHAnsi" w:cstheme="minorBidi"/>
          <w:szCs w:val="22"/>
        </w:rPr>
        <w:t xml:space="preserve"> </w:t>
      </w:r>
      <w:r>
        <w:rPr>
          <w:rFonts w:eastAsiaTheme="minorHAnsi"/>
          <w:szCs w:val="22"/>
        </w:rPr>
        <w:t>§</w:t>
      </w:r>
      <w:r>
        <w:rPr>
          <w:rFonts w:eastAsiaTheme="minorHAnsi" w:cstheme="minorBidi"/>
          <w:szCs w:val="22"/>
        </w:rPr>
        <w:t xml:space="preserve"> 5.10</w:t>
      </w:r>
      <w:r w:rsidR="00705F9E">
        <w:rPr>
          <w:rFonts w:eastAsiaTheme="minorHAnsi" w:cstheme="minorBidi"/>
          <w:szCs w:val="22"/>
        </w:rPr>
        <w:t>2</w:t>
      </w:r>
      <w:r>
        <w:rPr>
          <w:rFonts w:eastAsiaTheme="minorHAnsi" w:cstheme="minorBidi"/>
          <w:szCs w:val="22"/>
        </w:rPr>
        <w:t>(</w:t>
      </w:r>
      <w:r w:rsidR="00705F9E">
        <w:rPr>
          <w:rFonts w:eastAsiaTheme="minorHAnsi" w:cstheme="minorBidi"/>
          <w:szCs w:val="22"/>
        </w:rPr>
        <w:t>b</w:t>
      </w:r>
      <w:r>
        <w:rPr>
          <w:rFonts w:eastAsiaTheme="minorHAnsi" w:cstheme="minorBidi"/>
          <w:szCs w:val="22"/>
        </w:rPr>
        <w:t>).</w:t>
      </w:r>
    </w:p>
    <w:p w:rsidR="002D725F" w:rsidRDefault="002D725F" w:rsidP="007101C7">
      <w:pPr>
        <w:tabs>
          <w:tab w:val="clear" w:pos="1440"/>
        </w:tabs>
        <w:spacing w:before="0" w:after="0"/>
        <w:rPr>
          <w:rFonts w:eastAsiaTheme="minorHAnsi" w:cstheme="minorBidi"/>
          <w:szCs w:val="22"/>
        </w:rPr>
      </w:pPr>
    </w:p>
    <w:p w:rsidR="002D725F" w:rsidRDefault="002D725F" w:rsidP="007101C7">
      <w:pPr>
        <w:tabs>
          <w:tab w:val="clear" w:pos="1440"/>
        </w:tabs>
        <w:spacing w:before="0" w:after="0"/>
        <w:rPr>
          <w:rFonts w:eastAsiaTheme="minorHAnsi" w:cstheme="minorBidi"/>
          <w:szCs w:val="22"/>
        </w:rPr>
      </w:pPr>
      <w:r>
        <w:rPr>
          <w:rFonts w:eastAsiaTheme="minorHAnsi" w:cstheme="minorBidi"/>
          <w:szCs w:val="22"/>
        </w:rPr>
        <w:t>F.</w:t>
      </w:r>
      <w:r>
        <w:rPr>
          <w:rFonts w:eastAsiaTheme="minorHAnsi" w:cstheme="minorBidi"/>
          <w:szCs w:val="22"/>
        </w:rPr>
        <w:tab/>
      </w:r>
      <w:r w:rsidRPr="002D725F">
        <w:rPr>
          <w:rFonts w:eastAsiaTheme="minorHAnsi" w:cstheme="minorBidi"/>
          <w:szCs w:val="22"/>
          <w:u w:val="single"/>
        </w:rPr>
        <w:t>Ruling</w:t>
      </w:r>
      <w:r>
        <w:rPr>
          <w:rFonts w:eastAsiaTheme="minorHAnsi" w:cstheme="minorBidi"/>
          <w:szCs w:val="22"/>
          <w:u w:val="single"/>
        </w:rPr>
        <w:t>s</w:t>
      </w:r>
      <w:r w:rsidRPr="002D725F">
        <w:rPr>
          <w:rFonts w:eastAsiaTheme="minorHAnsi" w:cstheme="minorBidi"/>
          <w:szCs w:val="22"/>
          <w:u w:val="single"/>
        </w:rPr>
        <w:t xml:space="preserve"> on Preliminary Motions</w:t>
      </w:r>
    </w:p>
    <w:p w:rsidR="002D725F" w:rsidRDefault="002D725F" w:rsidP="00C07F89">
      <w:pPr>
        <w:tabs>
          <w:tab w:val="clear" w:pos="1440"/>
        </w:tabs>
        <w:spacing w:before="0" w:after="0"/>
        <w:rPr>
          <w:rFonts w:eastAsiaTheme="minorHAnsi" w:cstheme="minorBidi"/>
          <w:szCs w:val="22"/>
        </w:rPr>
      </w:pPr>
    </w:p>
    <w:p w:rsidR="008C46FC" w:rsidRDefault="008C46FC" w:rsidP="007101C7">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r w:rsidR="00852BE1">
        <w:rPr>
          <w:rFonts w:eastAsiaTheme="minorHAnsi" w:cstheme="minorBidi"/>
          <w:szCs w:val="22"/>
        </w:rPr>
        <w:t>On June 13, 2016, P</w:t>
      </w:r>
      <w:r w:rsidR="00C665D3">
        <w:rPr>
          <w:rFonts w:eastAsiaTheme="minorHAnsi" w:cstheme="minorBidi"/>
          <w:szCs w:val="22"/>
        </w:rPr>
        <w:t>GW’s P</w:t>
      </w:r>
      <w:r w:rsidR="00D044FB">
        <w:rPr>
          <w:rFonts w:eastAsiaTheme="minorHAnsi" w:cstheme="minorBidi"/>
          <w:szCs w:val="22"/>
        </w:rPr>
        <w:t>.</w:t>
      </w:r>
      <w:r w:rsidR="00C665D3">
        <w:rPr>
          <w:rFonts w:eastAsiaTheme="minorHAnsi" w:cstheme="minorBidi"/>
          <w:szCs w:val="22"/>
        </w:rPr>
        <w:t>O</w:t>
      </w:r>
      <w:r w:rsidR="00D044FB">
        <w:rPr>
          <w:rFonts w:eastAsiaTheme="minorHAnsi" w:cstheme="minorBidi"/>
          <w:szCs w:val="22"/>
        </w:rPr>
        <w:t>.</w:t>
      </w:r>
      <w:r w:rsidR="00C665D3">
        <w:rPr>
          <w:rFonts w:eastAsiaTheme="minorHAnsi" w:cstheme="minorBidi"/>
          <w:szCs w:val="22"/>
        </w:rPr>
        <w:t xml:space="preserve"> and Motion for Summary Judgment were assigned to me for ruling.</w:t>
      </w:r>
      <w:r w:rsidR="002D725F">
        <w:rPr>
          <w:rFonts w:eastAsiaTheme="minorHAnsi" w:cstheme="minorBidi"/>
          <w:szCs w:val="22"/>
        </w:rPr>
        <w:t xml:space="preserve">  </w:t>
      </w:r>
    </w:p>
    <w:p w:rsidR="00B36BB5" w:rsidRDefault="00BD3E6B" w:rsidP="007101C7">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p>
    <w:p w:rsidR="002B057B" w:rsidRDefault="001B2707" w:rsidP="007101C7">
      <w:pPr>
        <w:tabs>
          <w:tab w:val="clear" w:pos="1440"/>
        </w:tabs>
        <w:spacing w:before="0" w:after="0"/>
        <w:rPr>
          <w:rFonts w:eastAsiaTheme="minorHAnsi" w:cstheme="minorBidi"/>
          <w:szCs w:val="22"/>
        </w:rPr>
      </w:pPr>
      <w:r>
        <w:rPr>
          <w:rFonts w:eastAsiaTheme="minorHAnsi" w:cstheme="minorBidi"/>
          <w:szCs w:val="22"/>
        </w:rPr>
        <w:tab/>
      </w:r>
      <w:r w:rsidR="00B36BB5">
        <w:rPr>
          <w:rFonts w:eastAsiaTheme="minorHAnsi" w:cstheme="minorBidi"/>
          <w:szCs w:val="22"/>
        </w:rPr>
        <w:tab/>
      </w:r>
      <w:r w:rsidR="00BD3E6B">
        <w:rPr>
          <w:rFonts w:eastAsiaTheme="minorHAnsi" w:cstheme="minorBidi"/>
          <w:szCs w:val="22"/>
        </w:rPr>
        <w:t xml:space="preserve">On July 20, 2016, </w:t>
      </w:r>
      <w:r w:rsidR="00212079">
        <w:rPr>
          <w:rFonts w:eastAsiaTheme="minorHAnsi" w:cstheme="minorBidi"/>
          <w:szCs w:val="22"/>
        </w:rPr>
        <w:t xml:space="preserve">I </w:t>
      </w:r>
      <w:r w:rsidR="00BD3E6B">
        <w:rPr>
          <w:rFonts w:eastAsiaTheme="minorHAnsi" w:cstheme="minorBidi"/>
          <w:szCs w:val="22"/>
        </w:rPr>
        <w:t xml:space="preserve">issued a First Interim Order, which sustained PGW’s </w:t>
      </w:r>
      <w:r w:rsidR="00CE35B6">
        <w:rPr>
          <w:rFonts w:eastAsiaTheme="minorHAnsi" w:cstheme="minorBidi"/>
          <w:szCs w:val="22"/>
        </w:rPr>
        <w:t>P.O.</w:t>
      </w:r>
      <w:r w:rsidR="00EB40BF">
        <w:rPr>
          <w:rFonts w:eastAsiaTheme="minorHAnsi" w:cstheme="minorBidi"/>
          <w:szCs w:val="22"/>
        </w:rPr>
        <w:t>,</w:t>
      </w:r>
      <w:r w:rsidR="00BD3E6B">
        <w:rPr>
          <w:rFonts w:eastAsiaTheme="minorHAnsi" w:cstheme="minorBidi"/>
          <w:szCs w:val="22"/>
        </w:rPr>
        <w:t xml:space="preserve"> to the extent that Complainant was barred from prosecuting her Complaint or seeking relief based upon matters</w:t>
      </w:r>
      <w:r w:rsidR="00C903A5">
        <w:rPr>
          <w:rFonts w:eastAsiaTheme="minorHAnsi" w:cstheme="minorBidi"/>
          <w:szCs w:val="22"/>
        </w:rPr>
        <w:t xml:space="preserve">, including billing charges and service </w:t>
      </w:r>
      <w:r w:rsidR="000654DA">
        <w:rPr>
          <w:rFonts w:eastAsiaTheme="minorHAnsi" w:cstheme="minorBidi"/>
          <w:szCs w:val="22"/>
        </w:rPr>
        <w:t>termination</w:t>
      </w:r>
      <w:r w:rsidR="00C903A5">
        <w:rPr>
          <w:rFonts w:eastAsiaTheme="minorHAnsi" w:cstheme="minorBidi"/>
          <w:szCs w:val="22"/>
        </w:rPr>
        <w:t xml:space="preserve">, </w:t>
      </w:r>
      <w:r w:rsidR="00BD3E6B">
        <w:rPr>
          <w:rFonts w:eastAsiaTheme="minorHAnsi" w:cstheme="minorBidi"/>
          <w:szCs w:val="22"/>
        </w:rPr>
        <w:t>occurring more than three years before the filing of her Complaint on April 18, 2016.</w:t>
      </w:r>
      <w:r w:rsidR="0000017B">
        <w:rPr>
          <w:rStyle w:val="FootnoteReference"/>
          <w:rFonts w:eastAsiaTheme="minorHAnsi" w:cstheme="minorBidi"/>
          <w:szCs w:val="22"/>
        </w:rPr>
        <w:footnoteReference w:id="3"/>
      </w:r>
      <w:r w:rsidR="00BD3E6B">
        <w:rPr>
          <w:rFonts w:eastAsiaTheme="minorHAnsi" w:cstheme="minorBidi"/>
          <w:szCs w:val="22"/>
        </w:rPr>
        <w:t xml:space="preserve">  </w:t>
      </w:r>
      <w:r w:rsidR="00EB40BF">
        <w:rPr>
          <w:rFonts w:eastAsiaTheme="minorHAnsi" w:cstheme="minorBidi"/>
          <w:szCs w:val="22"/>
        </w:rPr>
        <w:t>The First Interim Order also denied PG</w:t>
      </w:r>
      <w:r w:rsidR="002B057B">
        <w:rPr>
          <w:rFonts w:eastAsiaTheme="minorHAnsi" w:cstheme="minorBidi"/>
          <w:szCs w:val="22"/>
        </w:rPr>
        <w:t>W</w:t>
      </w:r>
      <w:r w:rsidR="00EB40BF">
        <w:rPr>
          <w:rFonts w:eastAsiaTheme="minorHAnsi" w:cstheme="minorBidi"/>
          <w:szCs w:val="22"/>
        </w:rPr>
        <w:t>’s Motion for Summary Judgment because there were genuine issues of fact concerning Complainant’s allegations relevant to the Service Address.</w:t>
      </w:r>
      <w:r w:rsidR="00CE35B6">
        <w:rPr>
          <w:rStyle w:val="FootnoteReference"/>
          <w:rFonts w:eastAsiaTheme="minorHAnsi" w:cstheme="minorBidi"/>
          <w:szCs w:val="22"/>
        </w:rPr>
        <w:footnoteReference w:id="4"/>
      </w:r>
    </w:p>
    <w:p w:rsidR="002B057B" w:rsidRDefault="002B057B" w:rsidP="007101C7">
      <w:pPr>
        <w:tabs>
          <w:tab w:val="clear" w:pos="1440"/>
        </w:tabs>
        <w:spacing w:before="0" w:after="0"/>
        <w:rPr>
          <w:rFonts w:eastAsiaTheme="minorHAnsi" w:cstheme="minorBidi"/>
          <w:szCs w:val="22"/>
        </w:rPr>
      </w:pPr>
    </w:p>
    <w:p w:rsidR="002D725F" w:rsidRPr="002D725F" w:rsidRDefault="002D725F" w:rsidP="007101C7">
      <w:pPr>
        <w:tabs>
          <w:tab w:val="clear" w:pos="1440"/>
        </w:tabs>
        <w:spacing w:before="0" w:after="0"/>
        <w:rPr>
          <w:rFonts w:eastAsiaTheme="minorHAnsi" w:cstheme="minorBidi"/>
          <w:szCs w:val="22"/>
          <w:u w:val="single"/>
        </w:rPr>
      </w:pPr>
      <w:r>
        <w:rPr>
          <w:rFonts w:eastAsiaTheme="minorHAnsi" w:cstheme="minorBidi"/>
          <w:szCs w:val="22"/>
        </w:rPr>
        <w:t>G.</w:t>
      </w:r>
      <w:r>
        <w:rPr>
          <w:rFonts w:eastAsiaTheme="minorHAnsi" w:cstheme="minorBidi"/>
          <w:szCs w:val="22"/>
        </w:rPr>
        <w:tab/>
      </w:r>
      <w:r>
        <w:rPr>
          <w:rFonts w:eastAsiaTheme="minorHAnsi" w:cstheme="minorBidi"/>
          <w:szCs w:val="22"/>
          <w:u w:val="single"/>
        </w:rPr>
        <w:t>Hearing Notice and Hearing</w:t>
      </w:r>
    </w:p>
    <w:p w:rsidR="002D725F" w:rsidRDefault="002D725F" w:rsidP="007101C7">
      <w:pPr>
        <w:tabs>
          <w:tab w:val="clear" w:pos="1440"/>
        </w:tabs>
        <w:spacing w:before="0" w:after="0"/>
        <w:rPr>
          <w:rFonts w:eastAsiaTheme="minorHAnsi" w:cstheme="minorBidi"/>
          <w:szCs w:val="22"/>
        </w:rPr>
      </w:pPr>
    </w:p>
    <w:p w:rsidR="00F70142" w:rsidRDefault="002B057B" w:rsidP="007101C7">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By Hearing Notice dated August 3, 2016, the Parties were informed that a telephonic hearing w</w:t>
      </w:r>
      <w:r w:rsidR="00F70142">
        <w:rPr>
          <w:rFonts w:eastAsiaTheme="minorHAnsi" w:cstheme="minorBidi"/>
          <w:szCs w:val="22"/>
        </w:rPr>
        <w:t>o</w:t>
      </w:r>
      <w:r>
        <w:rPr>
          <w:rFonts w:eastAsiaTheme="minorHAnsi" w:cstheme="minorBidi"/>
          <w:szCs w:val="22"/>
        </w:rPr>
        <w:t>uld be conducted by me on September 9, 2016 at 10:00 a.m.  On</w:t>
      </w:r>
      <w:r w:rsidR="00D661AF">
        <w:rPr>
          <w:rFonts w:eastAsiaTheme="minorHAnsi" w:cstheme="minorBidi"/>
          <w:szCs w:val="22"/>
        </w:rPr>
        <w:t xml:space="preserve"> August 4, 2016, I issued a Prehearing Order inform</w:t>
      </w:r>
      <w:r w:rsidR="00852BE1">
        <w:rPr>
          <w:rFonts w:eastAsiaTheme="minorHAnsi" w:cstheme="minorBidi"/>
          <w:szCs w:val="22"/>
        </w:rPr>
        <w:t>ing</w:t>
      </w:r>
      <w:r w:rsidR="00D661AF">
        <w:rPr>
          <w:rFonts w:eastAsiaTheme="minorHAnsi" w:cstheme="minorBidi"/>
          <w:szCs w:val="22"/>
        </w:rPr>
        <w:t xml:space="preserve"> the Parties of the app</w:t>
      </w:r>
      <w:r w:rsidR="00F70142">
        <w:rPr>
          <w:rFonts w:eastAsiaTheme="minorHAnsi" w:cstheme="minorBidi"/>
          <w:szCs w:val="22"/>
        </w:rPr>
        <w:t>licable procedural rules for the hearing.</w:t>
      </w:r>
    </w:p>
    <w:p w:rsidR="00F70142" w:rsidRDefault="00F70142" w:rsidP="007101C7">
      <w:pPr>
        <w:tabs>
          <w:tab w:val="clear" w:pos="1440"/>
        </w:tabs>
        <w:spacing w:before="0" w:after="0"/>
        <w:rPr>
          <w:rFonts w:eastAsiaTheme="minorHAnsi" w:cstheme="minorBidi"/>
          <w:szCs w:val="22"/>
        </w:rPr>
      </w:pPr>
    </w:p>
    <w:p w:rsidR="00F05D4A" w:rsidRDefault="00F70142" w:rsidP="007101C7">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r w:rsidR="002D725F">
        <w:rPr>
          <w:rFonts w:eastAsiaTheme="minorHAnsi" w:cstheme="minorBidi"/>
          <w:szCs w:val="22"/>
        </w:rPr>
        <w:t>T</w:t>
      </w:r>
      <w:r>
        <w:rPr>
          <w:rFonts w:eastAsiaTheme="minorHAnsi" w:cstheme="minorBidi"/>
          <w:szCs w:val="22"/>
        </w:rPr>
        <w:t xml:space="preserve">he hearing convened </w:t>
      </w:r>
      <w:r w:rsidR="002D725F">
        <w:rPr>
          <w:rFonts w:eastAsiaTheme="minorHAnsi" w:cstheme="minorBidi"/>
          <w:szCs w:val="22"/>
        </w:rPr>
        <w:t xml:space="preserve">as scheduled </w:t>
      </w:r>
      <w:r w:rsidR="00A92610">
        <w:rPr>
          <w:rFonts w:eastAsiaTheme="minorHAnsi" w:cstheme="minorBidi"/>
          <w:szCs w:val="22"/>
        </w:rPr>
        <w:t>on September 9, 2016 at 10:00 a</w:t>
      </w:r>
      <w:r w:rsidR="00C07F89">
        <w:rPr>
          <w:rFonts w:eastAsiaTheme="minorHAnsi" w:cstheme="minorBidi"/>
          <w:szCs w:val="22"/>
        </w:rPr>
        <w:t>.</w:t>
      </w:r>
      <w:r w:rsidR="00A92610">
        <w:rPr>
          <w:rFonts w:eastAsiaTheme="minorHAnsi" w:cstheme="minorBidi"/>
          <w:szCs w:val="22"/>
        </w:rPr>
        <w:t>m.</w:t>
      </w:r>
      <w:r>
        <w:rPr>
          <w:rFonts w:eastAsiaTheme="minorHAnsi" w:cstheme="minorBidi"/>
          <w:szCs w:val="22"/>
        </w:rPr>
        <w:t xml:space="preserve">  Complain</w:t>
      </w:r>
      <w:r w:rsidR="00D044FB">
        <w:rPr>
          <w:rFonts w:eastAsiaTheme="minorHAnsi" w:cstheme="minorBidi"/>
          <w:szCs w:val="22"/>
        </w:rPr>
        <w:t>ant appeared, self-represented.</w:t>
      </w:r>
      <w:r>
        <w:rPr>
          <w:rFonts w:eastAsiaTheme="minorHAnsi" w:cstheme="minorBidi"/>
          <w:szCs w:val="22"/>
        </w:rPr>
        <w:t xml:space="preserve"> </w:t>
      </w:r>
      <w:r w:rsidR="00EB40BF">
        <w:rPr>
          <w:rFonts w:eastAsiaTheme="minorHAnsi" w:cstheme="minorBidi"/>
          <w:szCs w:val="22"/>
        </w:rPr>
        <w:t xml:space="preserve"> </w:t>
      </w:r>
      <w:r>
        <w:rPr>
          <w:rFonts w:eastAsiaTheme="minorHAnsi" w:cstheme="minorBidi"/>
          <w:szCs w:val="22"/>
        </w:rPr>
        <w:t>Ms. Slaughter testified on her own behalf</w:t>
      </w:r>
      <w:r w:rsidR="00F05D4A">
        <w:rPr>
          <w:rFonts w:eastAsiaTheme="minorHAnsi" w:cstheme="minorBidi"/>
          <w:szCs w:val="22"/>
        </w:rPr>
        <w:t xml:space="preserve"> and was cross-examined</w:t>
      </w:r>
      <w:r>
        <w:rPr>
          <w:rFonts w:eastAsiaTheme="minorHAnsi" w:cstheme="minorBidi"/>
          <w:szCs w:val="22"/>
        </w:rPr>
        <w:t xml:space="preserve">. </w:t>
      </w:r>
      <w:r w:rsidR="00F05D4A">
        <w:rPr>
          <w:rFonts w:eastAsiaTheme="minorHAnsi" w:cstheme="minorBidi"/>
          <w:szCs w:val="22"/>
        </w:rPr>
        <w:t xml:space="preserve"> </w:t>
      </w:r>
      <w:r>
        <w:rPr>
          <w:rFonts w:eastAsiaTheme="minorHAnsi" w:cstheme="minorBidi"/>
          <w:szCs w:val="22"/>
        </w:rPr>
        <w:t>She did not sponsor any exhibits.</w:t>
      </w:r>
      <w:r w:rsidR="00D044FB">
        <w:rPr>
          <w:rFonts w:eastAsiaTheme="minorHAnsi" w:cstheme="minorBidi"/>
          <w:szCs w:val="22"/>
        </w:rPr>
        <w:t xml:space="preserve"> </w:t>
      </w:r>
      <w:r>
        <w:rPr>
          <w:rFonts w:eastAsiaTheme="minorHAnsi" w:cstheme="minorBidi"/>
          <w:szCs w:val="22"/>
        </w:rPr>
        <w:t xml:space="preserve"> Respondent was represented by </w:t>
      </w:r>
      <w:r>
        <w:rPr>
          <w:rFonts w:eastAsiaTheme="minorHAnsi" w:cstheme="minorBidi"/>
          <w:szCs w:val="22"/>
        </w:rPr>
        <w:lastRenderedPageBreak/>
        <w:t>Graciela</w:t>
      </w:r>
      <w:r w:rsidR="00284D85">
        <w:rPr>
          <w:rFonts w:eastAsiaTheme="minorHAnsi" w:cstheme="minorBidi"/>
          <w:szCs w:val="22"/>
        </w:rPr>
        <w:t> </w:t>
      </w:r>
      <w:proofErr w:type="spellStart"/>
      <w:r>
        <w:rPr>
          <w:rFonts w:eastAsiaTheme="minorHAnsi" w:cstheme="minorBidi"/>
          <w:szCs w:val="22"/>
        </w:rPr>
        <w:t>Cristlieb</w:t>
      </w:r>
      <w:proofErr w:type="spellEnd"/>
      <w:r>
        <w:rPr>
          <w:rFonts w:eastAsiaTheme="minorHAnsi" w:cstheme="minorBidi"/>
          <w:szCs w:val="22"/>
        </w:rPr>
        <w:t xml:space="preserve">, Esquire, who offered the testimony of Jessica Glace, a customer review officer.  Respondent sponsored Exhibits 1, 2, and 3, which were admitted into the record.  </w:t>
      </w:r>
    </w:p>
    <w:p w:rsidR="00F05D4A" w:rsidRDefault="00F05D4A" w:rsidP="007101C7">
      <w:pPr>
        <w:tabs>
          <w:tab w:val="clear" w:pos="1440"/>
        </w:tabs>
        <w:spacing w:before="0" w:after="0"/>
        <w:rPr>
          <w:rFonts w:eastAsiaTheme="minorHAnsi" w:cstheme="minorBidi"/>
          <w:szCs w:val="22"/>
        </w:rPr>
      </w:pPr>
    </w:p>
    <w:p w:rsidR="00AA304D" w:rsidRPr="001307F3" w:rsidRDefault="00F05D4A" w:rsidP="007101C7">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 xml:space="preserve">During the direct examination of Ms. Glace, Complainant </w:t>
      </w:r>
      <w:r w:rsidR="007E5755">
        <w:rPr>
          <w:rFonts w:eastAsiaTheme="minorHAnsi" w:cstheme="minorBidi"/>
          <w:szCs w:val="22"/>
        </w:rPr>
        <w:t xml:space="preserve">ended her telephonic participation and </w:t>
      </w:r>
      <w:r>
        <w:rPr>
          <w:rFonts w:eastAsiaTheme="minorHAnsi" w:cstheme="minorBidi"/>
          <w:szCs w:val="22"/>
        </w:rPr>
        <w:t xml:space="preserve">left the hearing at </w:t>
      </w:r>
      <w:proofErr w:type="gramStart"/>
      <w:r>
        <w:rPr>
          <w:rFonts w:eastAsiaTheme="minorHAnsi" w:cstheme="minorBidi"/>
          <w:szCs w:val="22"/>
        </w:rPr>
        <w:t xml:space="preserve">11:01 </w:t>
      </w:r>
      <w:r w:rsidR="00284D85">
        <w:rPr>
          <w:rFonts w:eastAsiaTheme="minorHAnsi" w:cstheme="minorBidi"/>
          <w:szCs w:val="22"/>
        </w:rPr>
        <w:t> </w:t>
      </w:r>
      <w:r>
        <w:rPr>
          <w:rFonts w:eastAsiaTheme="minorHAnsi" w:cstheme="minorBidi"/>
          <w:szCs w:val="22"/>
        </w:rPr>
        <w:t>a.m</w:t>
      </w:r>
      <w:proofErr w:type="gramEnd"/>
      <w:r>
        <w:rPr>
          <w:rFonts w:eastAsiaTheme="minorHAnsi" w:cstheme="minorBidi"/>
          <w:szCs w:val="22"/>
        </w:rPr>
        <w:t xml:space="preserve">. </w:t>
      </w:r>
      <w:r w:rsidR="00852BE1">
        <w:rPr>
          <w:rFonts w:eastAsiaTheme="minorHAnsi" w:cstheme="minorBidi"/>
          <w:szCs w:val="22"/>
        </w:rPr>
        <w:t xml:space="preserve"> </w:t>
      </w:r>
      <w:r w:rsidR="001307F3">
        <w:rPr>
          <w:rFonts w:eastAsiaTheme="minorHAnsi" w:cstheme="minorBidi"/>
          <w:szCs w:val="22"/>
        </w:rPr>
        <w:t xml:space="preserve">Tr. 30.  </w:t>
      </w:r>
      <w:r w:rsidR="00852BE1">
        <w:rPr>
          <w:rFonts w:eastAsiaTheme="minorHAnsi" w:cstheme="minorBidi"/>
          <w:szCs w:val="22"/>
        </w:rPr>
        <w:t>Upon</w:t>
      </w:r>
      <w:r>
        <w:rPr>
          <w:rFonts w:eastAsiaTheme="minorHAnsi" w:cstheme="minorBidi"/>
          <w:szCs w:val="22"/>
        </w:rPr>
        <w:t xml:space="preserve"> conclu</w:t>
      </w:r>
      <w:r w:rsidR="00852BE1">
        <w:rPr>
          <w:rFonts w:eastAsiaTheme="minorHAnsi" w:cstheme="minorBidi"/>
          <w:szCs w:val="22"/>
        </w:rPr>
        <w:t>ding</w:t>
      </w:r>
      <w:r>
        <w:rPr>
          <w:rFonts w:eastAsiaTheme="minorHAnsi" w:cstheme="minorBidi"/>
          <w:szCs w:val="22"/>
        </w:rPr>
        <w:t xml:space="preserve"> </w:t>
      </w:r>
      <w:r w:rsidR="00AA304D">
        <w:rPr>
          <w:rFonts w:eastAsiaTheme="minorHAnsi" w:cstheme="minorBidi"/>
          <w:szCs w:val="22"/>
        </w:rPr>
        <w:t xml:space="preserve">the direct examination of </w:t>
      </w:r>
      <w:r>
        <w:rPr>
          <w:rFonts w:eastAsiaTheme="minorHAnsi" w:cstheme="minorBidi"/>
          <w:szCs w:val="22"/>
        </w:rPr>
        <w:t>Ms. Glace</w:t>
      </w:r>
      <w:r w:rsidR="00AA304D">
        <w:rPr>
          <w:rFonts w:eastAsiaTheme="minorHAnsi" w:cstheme="minorBidi"/>
          <w:szCs w:val="22"/>
        </w:rPr>
        <w:t xml:space="preserve">, PGW motioned for dismissal </w:t>
      </w:r>
      <w:r w:rsidR="002D725F">
        <w:rPr>
          <w:rFonts w:eastAsiaTheme="minorHAnsi" w:cstheme="minorBidi"/>
          <w:szCs w:val="22"/>
        </w:rPr>
        <w:t xml:space="preserve">of the Complaint </w:t>
      </w:r>
      <w:r w:rsidR="00AA304D">
        <w:rPr>
          <w:rFonts w:eastAsiaTheme="minorHAnsi" w:cstheme="minorBidi"/>
          <w:szCs w:val="22"/>
        </w:rPr>
        <w:t xml:space="preserve">for Complainant’s failure to prosecute her </w:t>
      </w:r>
      <w:r w:rsidR="002D725F">
        <w:rPr>
          <w:rFonts w:eastAsiaTheme="minorHAnsi" w:cstheme="minorBidi"/>
          <w:szCs w:val="22"/>
        </w:rPr>
        <w:t>case</w:t>
      </w:r>
      <w:r w:rsidR="00AA304D">
        <w:rPr>
          <w:rFonts w:eastAsiaTheme="minorHAnsi" w:cstheme="minorBidi"/>
          <w:szCs w:val="22"/>
        </w:rPr>
        <w:t xml:space="preserve">. </w:t>
      </w:r>
      <w:r w:rsidR="00852BE1">
        <w:rPr>
          <w:rFonts w:eastAsiaTheme="minorHAnsi" w:cstheme="minorBidi"/>
          <w:szCs w:val="22"/>
        </w:rPr>
        <w:t xml:space="preserve"> </w:t>
      </w:r>
      <w:r w:rsidR="001307F3">
        <w:rPr>
          <w:rFonts w:eastAsiaTheme="minorHAnsi" w:cstheme="minorBidi"/>
          <w:szCs w:val="22"/>
        </w:rPr>
        <w:t xml:space="preserve">Tr. 47.  </w:t>
      </w:r>
      <w:r w:rsidR="00AA304D">
        <w:rPr>
          <w:rFonts w:eastAsiaTheme="minorHAnsi" w:cstheme="minorBidi"/>
          <w:szCs w:val="22"/>
        </w:rPr>
        <w:t>The motion was taken under advisement.</w:t>
      </w:r>
      <w:r w:rsidR="001307F3">
        <w:rPr>
          <w:rFonts w:eastAsiaTheme="minorHAnsi" w:cstheme="minorBidi"/>
          <w:szCs w:val="22"/>
        </w:rPr>
        <w:t xml:space="preserve">  </w:t>
      </w:r>
      <w:r w:rsidR="001307F3">
        <w:rPr>
          <w:rFonts w:eastAsiaTheme="minorHAnsi" w:cstheme="minorBidi"/>
          <w:i/>
          <w:szCs w:val="22"/>
        </w:rPr>
        <w:t>Id.</w:t>
      </w:r>
    </w:p>
    <w:p w:rsidR="00AA304D" w:rsidRDefault="00AA304D" w:rsidP="007101C7">
      <w:pPr>
        <w:tabs>
          <w:tab w:val="clear" w:pos="1440"/>
        </w:tabs>
        <w:spacing w:before="0" w:after="0"/>
        <w:rPr>
          <w:rFonts w:eastAsiaTheme="minorHAnsi" w:cstheme="minorBidi"/>
          <w:szCs w:val="22"/>
        </w:rPr>
      </w:pPr>
    </w:p>
    <w:p w:rsidR="00BD3E6B" w:rsidRDefault="00AA304D" w:rsidP="007101C7">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r w:rsidR="00F05D4A">
        <w:rPr>
          <w:rFonts w:eastAsiaTheme="minorHAnsi" w:cstheme="minorBidi"/>
          <w:szCs w:val="22"/>
        </w:rPr>
        <w:t xml:space="preserve">At 11:22 a.m., I recessed the hearing to determine whether Complainant had called the Office of Administrative Law Judge </w:t>
      </w:r>
      <w:r>
        <w:rPr>
          <w:rFonts w:eastAsiaTheme="minorHAnsi" w:cstheme="minorBidi"/>
          <w:szCs w:val="22"/>
        </w:rPr>
        <w:t xml:space="preserve">(OALJ) </w:t>
      </w:r>
      <w:r w:rsidR="00F05D4A">
        <w:rPr>
          <w:rFonts w:eastAsiaTheme="minorHAnsi" w:cstheme="minorBidi"/>
          <w:szCs w:val="22"/>
        </w:rPr>
        <w:t>to explain her exit from the hearing</w:t>
      </w:r>
      <w:r>
        <w:rPr>
          <w:rFonts w:eastAsiaTheme="minorHAnsi" w:cstheme="minorBidi"/>
          <w:szCs w:val="22"/>
        </w:rPr>
        <w:t xml:space="preserve"> during direct examination</w:t>
      </w:r>
      <w:r w:rsidR="00F05D4A">
        <w:rPr>
          <w:rFonts w:eastAsiaTheme="minorHAnsi" w:cstheme="minorBidi"/>
          <w:szCs w:val="22"/>
        </w:rPr>
        <w:t xml:space="preserve">. </w:t>
      </w:r>
      <w:r w:rsidR="00C07F89">
        <w:rPr>
          <w:rFonts w:eastAsiaTheme="minorHAnsi" w:cstheme="minorBidi"/>
          <w:szCs w:val="22"/>
        </w:rPr>
        <w:t xml:space="preserve"> </w:t>
      </w:r>
      <w:r>
        <w:rPr>
          <w:rFonts w:eastAsiaTheme="minorHAnsi" w:cstheme="minorBidi"/>
          <w:szCs w:val="22"/>
        </w:rPr>
        <w:t xml:space="preserve">The hearing reconvened at 11:25 a.m., and </w:t>
      </w:r>
      <w:r w:rsidR="00F05D4A">
        <w:rPr>
          <w:rFonts w:eastAsiaTheme="minorHAnsi" w:cstheme="minorBidi"/>
          <w:szCs w:val="22"/>
        </w:rPr>
        <w:t xml:space="preserve">Complainant had not called to explain her exit from the hearing.  </w:t>
      </w:r>
      <w:r>
        <w:rPr>
          <w:rFonts w:eastAsiaTheme="minorHAnsi" w:cstheme="minorBidi"/>
          <w:szCs w:val="22"/>
        </w:rPr>
        <w:t>The hearing was adjourned at 11:29 a.m.  Since the date of the hearing, Complainant ha</w:t>
      </w:r>
      <w:r w:rsidR="00852BE1">
        <w:rPr>
          <w:rFonts w:eastAsiaTheme="minorHAnsi" w:cstheme="minorBidi"/>
          <w:szCs w:val="22"/>
        </w:rPr>
        <w:t>s</w:t>
      </w:r>
      <w:r>
        <w:rPr>
          <w:rFonts w:eastAsiaTheme="minorHAnsi" w:cstheme="minorBidi"/>
          <w:szCs w:val="22"/>
        </w:rPr>
        <w:t xml:space="preserve"> not called the OALJ to explain her early exit from the hearing. </w:t>
      </w:r>
      <w:r w:rsidR="00707585">
        <w:rPr>
          <w:rFonts w:eastAsiaTheme="minorHAnsi" w:cstheme="minorBidi"/>
          <w:szCs w:val="22"/>
        </w:rPr>
        <w:t xml:space="preserve"> </w:t>
      </w:r>
      <w:r>
        <w:rPr>
          <w:rFonts w:eastAsiaTheme="minorHAnsi" w:cstheme="minorBidi"/>
          <w:szCs w:val="22"/>
        </w:rPr>
        <w:t xml:space="preserve">The </w:t>
      </w:r>
      <w:r w:rsidR="00F70142">
        <w:rPr>
          <w:rFonts w:eastAsiaTheme="minorHAnsi" w:cstheme="minorBidi"/>
          <w:szCs w:val="22"/>
        </w:rPr>
        <w:t>hearing generated a 53-page transcript.  The record was closed by interim order entered on October 6, 2016.  This case is procedurally reading for ruling.</w:t>
      </w:r>
    </w:p>
    <w:p w:rsidR="00705F9E" w:rsidRDefault="00705F9E" w:rsidP="007101C7">
      <w:pPr>
        <w:tabs>
          <w:tab w:val="clear" w:pos="1440"/>
        </w:tabs>
        <w:spacing w:before="0" w:after="0"/>
        <w:rPr>
          <w:rFonts w:eastAsiaTheme="minorHAnsi" w:cstheme="minorBidi"/>
          <w:szCs w:val="22"/>
        </w:rPr>
      </w:pPr>
    </w:p>
    <w:p w:rsidR="00F70142" w:rsidRPr="00F70142" w:rsidRDefault="00F70142" w:rsidP="00AB7B65">
      <w:pPr>
        <w:tabs>
          <w:tab w:val="clear" w:pos="1440"/>
        </w:tabs>
        <w:spacing w:before="0" w:after="0"/>
        <w:jc w:val="center"/>
        <w:rPr>
          <w:rFonts w:eastAsiaTheme="minorHAnsi" w:cstheme="minorBidi"/>
          <w:szCs w:val="22"/>
          <w:u w:val="single"/>
        </w:rPr>
      </w:pPr>
      <w:r w:rsidRPr="00F70142">
        <w:rPr>
          <w:rFonts w:eastAsiaTheme="minorHAnsi" w:cstheme="minorBidi"/>
          <w:szCs w:val="22"/>
          <w:u w:val="single"/>
        </w:rPr>
        <w:t>FINDINGS OF FACT</w:t>
      </w:r>
    </w:p>
    <w:p w:rsidR="00F70142" w:rsidRDefault="00F70142" w:rsidP="00AB7B65">
      <w:pPr>
        <w:tabs>
          <w:tab w:val="clear" w:pos="1440"/>
        </w:tabs>
        <w:spacing w:before="0" w:after="0"/>
        <w:jc w:val="center"/>
        <w:rPr>
          <w:rFonts w:eastAsiaTheme="minorHAnsi" w:cstheme="minorBidi"/>
          <w:szCs w:val="22"/>
          <w:u w:val="single"/>
        </w:rPr>
      </w:pPr>
    </w:p>
    <w:p w:rsidR="00F70142" w:rsidRDefault="00F70142" w:rsidP="00F7014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1.</w:t>
      </w:r>
      <w:r>
        <w:rPr>
          <w:rFonts w:eastAsiaTheme="minorHAnsi" w:cstheme="minorBidi"/>
          <w:szCs w:val="22"/>
        </w:rPr>
        <w:tab/>
        <w:t xml:space="preserve">Complainant </w:t>
      </w:r>
      <w:proofErr w:type="spellStart"/>
      <w:r>
        <w:rPr>
          <w:rFonts w:eastAsiaTheme="minorHAnsi" w:cstheme="minorBidi"/>
          <w:szCs w:val="22"/>
        </w:rPr>
        <w:t>Elease</w:t>
      </w:r>
      <w:proofErr w:type="spellEnd"/>
      <w:r>
        <w:rPr>
          <w:rFonts w:eastAsiaTheme="minorHAnsi" w:cstheme="minorBidi"/>
          <w:szCs w:val="22"/>
        </w:rPr>
        <w:t xml:space="preserve"> Slaughter resides </w:t>
      </w:r>
      <w:r w:rsidR="00B428EA">
        <w:rPr>
          <w:rFonts w:eastAsiaTheme="minorHAnsi" w:cstheme="minorBidi"/>
          <w:szCs w:val="22"/>
        </w:rPr>
        <w:t xml:space="preserve">and receives gas service </w:t>
      </w:r>
      <w:r>
        <w:rPr>
          <w:rFonts w:eastAsiaTheme="minorHAnsi" w:cstheme="minorBidi"/>
          <w:szCs w:val="22"/>
        </w:rPr>
        <w:t>at 3745 N</w:t>
      </w:r>
      <w:r w:rsidR="002D725F">
        <w:rPr>
          <w:rFonts w:eastAsiaTheme="minorHAnsi" w:cstheme="minorBidi"/>
          <w:szCs w:val="22"/>
        </w:rPr>
        <w:t>.</w:t>
      </w:r>
      <w:r>
        <w:rPr>
          <w:rFonts w:eastAsiaTheme="minorHAnsi" w:cstheme="minorBidi"/>
          <w:szCs w:val="22"/>
        </w:rPr>
        <w:t xml:space="preserve"> 16</w:t>
      </w:r>
      <w:r w:rsidRPr="00F70142">
        <w:rPr>
          <w:rFonts w:eastAsiaTheme="minorHAnsi" w:cstheme="minorBidi"/>
          <w:szCs w:val="22"/>
          <w:vertAlign w:val="superscript"/>
        </w:rPr>
        <w:t>th</w:t>
      </w:r>
      <w:r>
        <w:rPr>
          <w:rFonts w:eastAsiaTheme="minorHAnsi" w:cstheme="minorBidi"/>
          <w:szCs w:val="22"/>
        </w:rPr>
        <w:t xml:space="preserve"> Street, Philadelphia, PA 19140</w:t>
      </w:r>
      <w:r w:rsidR="00B36B16">
        <w:rPr>
          <w:rFonts w:eastAsiaTheme="minorHAnsi" w:cstheme="minorBidi"/>
          <w:szCs w:val="22"/>
        </w:rPr>
        <w:t xml:space="preserve"> (Service Address)</w:t>
      </w:r>
      <w:r>
        <w:rPr>
          <w:rFonts w:eastAsiaTheme="minorHAnsi" w:cstheme="minorBidi"/>
          <w:szCs w:val="22"/>
        </w:rPr>
        <w:t>.</w:t>
      </w:r>
    </w:p>
    <w:p w:rsidR="00F70142" w:rsidRDefault="00F70142" w:rsidP="00F70142">
      <w:pPr>
        <w:tabs>
          <w:tab w:val="clear" w:pos="1440"/>
        </w:tabs>
        <w:spacing w:before="0" w:after="0"/>
        <w:rPr>
          <w:rFonts w:eastAsiaTheme="minorHAnsi" w:cstheme="minorBidi"/>
          <w:szCs w:val="22"/>
        </w:rPr>
      </w:pPr>
    </w:p>
    <w:p w:rsidR="00F70142" w:rsidRDefault="00F70142" w:rsidP="00F7014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2.</w:t>
      </w:r>
      <w:r>
        <w:rPr>
          <w:rFonts w:eastAsiaTheme="minorHAnsi" w:cstheme="minorBidi"/>
          <w:szCs w:val="22"/>
        </w:rPr>
        <w:tab/>
        <w:t xml:space="preserve">Respondent Philadelphia Gas Works (PGW) </w:t>
      </w:r>
      <w:r w:rsidR="00B36B16">
        <w:rPr>
          <w:rFonts w:eastAsiaTheme="minorHAnsi" w:cstheme="minorBidi"/>
          <w:szCs w:val="22"/>
        </w:rPr>
        <w:t>is a jurisdictional public utility providing gas service to Complainant and other Pennsylvania customers.</w:t>
      </w:r>
    </w:p>
    <w:p w:rsidR="003239FB" w:rsidRDefault="003239FB" w:rsidP="00F70142">
      <w:pPr>
        <w:tabs>
          <w:tab w:val="clear" w:pos="1440"/>
        </w:tabs>
        <w:spacing w:before="0" w:after="0"/>
        <w:rPr>
          <w:rFonts w:eastAsiaTheme="minorHAnsi" w:cstheme="minorBidi"/>
          <w:szCs w:val="22"/>
        </w:rPr>
      </w:pPr>
    </w:p>
    <w:p w:rsidR="00B428EA" w:rsidRDefault="003239FB" w:rsidP="00F7014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3.</w:t>
      </w:r>
      <w:r>
        <w:rPr>
          <w:rFonts w:eastAsiaTheme="minorHAnsi" w:cstheme="minorBidi"/>
          <w:szCs w:val="22"/>
        </w:rPr>
        <w:tab/>
        <w:t xml:space="preserve"> </w:t>
      </w:r>
      <w:r w:rsidR="00763B7B">
        <w:rPr>
          <w:rFonts w:eastAsiaTheme="minorHAnsi" w:cstheme="minorBidi"/>
          <w:szCs w:val="22"/>
        </w:rPr>
        <w:t xml:space="preserve">On March 28, 2016, PGW issued and </w:t>
      </w:r>
      <w:r w:rsidR="00B428EA">
        <w:rPr>
          <w:rFonts w:eastAsiaTheme="minorHAnsi" w:cstheme="minorBidi"/>
          <w:szCs w:val="22"/>
        </w:rPr>
        <w:t xml:space="preserve">Complainant </w:t>
      </w:r>
      <w:r w:rsidR="00763B7B">
        <w:rPr>
          <w:rFonts w:eastAsiaTheme="minorHAnsi" w:cstheme="minorBidi"/>
          <w:szCs w:val="22"/>
        </w:rPr>
        <w:t xml:space="preserve">received </w:t>
      </w:r>
      <w:r w:rsidR="00B428EA">
        <w:rPr>
          <w:rFonts w:eastAsiaTheme="minorHAnsi" w:cstheme="minorBidi"/>
          <w:szCs w:val="22"/>
        </w:rPr>
        <w:t xml:space="preserve">a 10-day </w:t>
      </w:r>
      <w:proofErr w:type="gramStart"/>
      <w:r w:rsidR="002D725F">
        <w:rPr>
          <w:rFonts w:eastAsiaTheme="minorHAnsi" w:cstheme="minorBidi"/>
          <w:szCs w:val="22"/>
        </w:rPr>
        <w:t xml:space="preserve">gas </w:t>
      </w:r>
      <w:r w:rsidR="00B428EA">
        <w:rPr>
          <w:rFonts w:eastAsiaTheme="minorHAnsi" w:cstheme="minorBidi"/>
          <w:szCs w:val="22"/>
        </w:rPr>
        <w:t>service termination notice</w:t>
      </w:r>
      <w:proofErr w:type="gramEnd"/>
      <w:r w:rsidR="00E03268">
        <w:rPr>
          <w:rFonts w:eastAsiaTheme="minorHAnsi" w:cstheme="minorBidi"/>
          <w:szCs w:val="22"/>
        </w:rPr>
        <w:t xml:space="preserve"> </w:t>
      </w:r>
      <w:r w:rsidR="002D725F">
        <w:rPr>
          <w:rFonts w:eastAsiaTheme="minorHAnsi" w:cstheme="minorBidi"/>
          <w:szCs w:val="22"/>
        </w:rPr>
        <w:t xml:space="preserve">for </w:t>
      </w:r>
      <w:r w:rsidR="00E03268">
        <w:rPr>
          <w:rFonts w:eastAsiaTheme="minorHAnsi" w:cstheme="minorBidi"/>
          <w:szCs w:val="22"/>
        </w:rPr>
        <w:t>non-payment</w:t>
      </w:r>
      <w:r w:rsidR="00B428EA">
        <w:rPr>
          <w:rFonts w:eastAsiaTheme="minorHAnsi" w:cstheme="minorBidi"/>
          <w:szCs w:val="22"/>
        </w:rPr>
        <w:t xml:space="preserve">.  </w:t>
      </w:r>
      <w:proofErr w:type="spellStart"/>
      <w:proofErr w:type="gramStart"/>
      <w:r w:rsidR="00B428EA">
        <w:rPr>
          <w:rFonts w:eastAsiaTheme="minorHAnsi" w:cstheme="minorBidi"/>
          <w:szCs w:val="22"/>
        </w:rPr>
        <w:t>Tr</w:t>
      </w:r>
      <w:proofErr w:type="spellEnd"/>
      <w:proofErr w:type="gramEnd"/>
      <w:r w:rsidR="00B428EA">
        <w:rPr>
          <w:rFonts w:eastAsiaTheme="minorHAnsi" w:cstheme="minorBidi"/>
          <w:szCs w:val="22"/>
        </w:rPr>
        <w:t>, 17</w:t>
      </w:r>
      <w:r w:rsidR="004C02BF">
        <w:rPr>
          <w:rFonts w:eastAsiaTheme="minorHAnsi" w:cstheme="minorBidi"/>
          <w:szCs w:val="22"/>
        </w:rPr>
        <w:t>, 29; Exhibit 3.</w:t>
      </w:r>
    </w:p>
    <w:p w:rsidR="00B428EA" w:rsidRDefault="00B428EA" w:rsidP="00F70142">
      <w:pPr>
        <w:tabs>
          <w:tab w:val="clear" w:pos="1440"/>
        </w:tabs>
        <w:spacing w:before="0" w:after="0"/>
        <w:rPr>
          <w:rFonts w:eastAsiaTheme="minorHAnsi" w:cstheme="minorBidi"/>
          <w:szCs w:val="22"/>
        </w:rPr>
      </w:pPr>
    </w:p>
    <w:p w:rsidR="004C02BF" w:rsidRDefault="00B428EA" w:rsidP="00F7014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4.</w:t>
      </w:r>
      <w:r>
        <w:rPr>
          <w:rFonts w:eastAsiaTheme="minorHAnsi" w:cstheme="minorBidi"/>
          <w:szCs w:val="22"/>
        </w:rPr>
        <w:tab/>
      </w:r>
      <w:r w:rsidR="00763B7B">
        <w:rPr>
          <w:rFonts w:eastAsiaTheme="minorHAnsi" w:cstheme="minorBidi"/>
          <w:szCs w:val="22"/>
        </w:rPr>
        <w:t>On April 1, 2016, PGW telephoned and discussed the termination notice with Complain</w:t>
      </w:r>
      <w:r w:rsidR="00E03268">
        <w:rPr>
          <w:rFonts w:eastAsiaTheme="minorHAnsi" w:cstheme="minorBidi"/>
          <w:szCs w:val="22"/>
        </w:rPr>
        <w:t>an</w:t>
      </w:r>
      <w:r w:rsidR="00763B7B">
        <w:rPr>
          <w:rFonts w:eastAsiaTheme="minorHAnsi" w:cstheme="minorBidi"/>
          <w:szCs w:val="22"/>
        </w:rPr>
        <w:t xml:space="preserve">t. </w:t>
      </w:r>
      <w:r w:rsidR="00C07F89">
        <w:rPr>
          <w:rFonts w:eastAsiaTheme="minorHAnsi" w:cstheme="minorBidi"/>
          <w:szCs w:val="22"/>
        </w:rPr>
        <w:t xml:space="preserve"> </w:t>
      </w:r>
      <w:r w:rsidR="00763B7B">
        <w:rPr>
          <w:rFonts w:eastAsiaTheme="minorHAnsi" w:cstheme="minorBidi"/>
          <w:szCs w:val="22"/>
        </w:rPr>
        <w:t>Tr. 30-31.</w:t>
      </w:r>
    </w:p>
    <w:p w:rsidR="004C02BF" w:rsidRDefault="004C02BF" w:rsidP="00F70142">
      <w:pPr>
        <w:tabs>
          <w:tab w:val="clear" w:pos="1440"/>
        </w:tabs>
        <w:spacing w:before="0" w:after="0"/>
        <w:rPr>
          <w:rFonts w:eastAsiaTheme="minorHAnsi" w:cstheme="minorBidi"/>
          <w:szCs w:val="22"/>
        </w:rPr>
      </w:pPr>
    </w:p>
    <w:p w:rsidR="00B428EA" w:rsidRDefault="0037358B" w:rsidP="00F70142">
      <w:pPr>
        <w:tabs>
          <w:tab w:val="clear" w:pos="1440"/>
        </w:tabs>
        <w:spacing w:before="0" w:after="0"/>
        <w:rPr>
          <w:rFonts w:eastAsiaTheme="minorHAnsi" w:cstheme="minorBidi"/>
          <w:szCs w:val="22"/>
        </w:rPr>
      </w:pPr>
      <w:r>
        <w:rPr>
          <w:rFonts w:eastAsiaTheme="minorHAnsi" w:cstheme="minorBidi"/>
          <w:szCs w:val="22"/>
        </w:rPr>
        <w:lastRenderedPageBreak/>
        <w:tab/>
      </w:r>
      <w:r>
        <w:rPr>
          <w:rFonts w:eastAsiaTheme="minorHAnsi" w:cstheme="minorBidi"/>
          <w:szCs w:val="22"/>
        </w:rPr>
        <w:tab/>
        <w:t>5.</w:t>
      </w:r>
      <w:r>
        <w:rPr>
          <w:rFonts w:eastAsiaTheme="minorHAnsi" w:cstheme="minorBidi"/>
          <w:szCs w:val="22"/>
        </w:rPr>
        <w:tab/>
      </w:r>
      <w:r w:rsidR="00B428EA">
        <w:rPr>
          <w:rFonts w:eastAsiaTheme="minorHAnsi" w:cstheme="minorBidi"/>
          <w:szCs w:val="22"/>
        </w:rPr>
        <w:t>Complainant</w:t>
      </w:r>
      <w:r w:rsidR="008A5720">
        <w:rPr>
          <w:rFonts w:eastAsiaTheme="minorHAnsi" w:cstheme="minorBidi"/>
          <w:szCs w:val="22"/>
        </w:rPr>
        <w:t xml:space="preserve"> is the only occupant at the Service Address and the</w:t>
      </w:r>
      <w:r w:rsidR="00B428EA">
        <w:rPr>
          <w:rFonts w:eastAsiaTheme="minorHAnsi" w:cstheme="minorBidi"/>
          <w:szCs w:val="22"/>
        </w:rPr>
        <w:t xml:space="preserve"> gas </w:t>
      </w:r>
      <w:r w:rsidR="008A5720">
        <w:rPr>
          <w:rFonts w:eastAsiaTheme="minorHAnsi" w:cstheme="minorBidi"/>
          <w:szCs w:val="22"/>
        </w:rPr>
        <w:t xml:space="preserve">service </w:t>
      </w:r>
      <w:r w:rsidR="00B428EA">
        <w:rPr>
          <w:rFonts w:eastAsiaTheme="minorHAnsi" w:cstheme="minorBidi"/>
          <w:szCs w:val="22"/>
        </w:rPr>
        <w:t xml:space="preserve">is currently on.  </w:t>
      </w:r>
      <w:r w:rsidR="004C02BF">
        <w:rPr>
          <w:rFonts w:eastAsiaTheme="minorHAnsi" w:cstheme="minorBidi"/>
          <w:szCs w:val="22"/>
        </w:rPr>
        <w:t xml:space="preserve">Tr. </w:t>
      </w:r>
      <w:r>
        <w:rPr>
          <w:rFonts w:eastAsiaTheme="minorHAnsi" w:cstheme="minorBidi"/>
          <w:szCs w:val="22"/>
        </w:rPr>
        <w:t xml:space="preserve">17, </w:t>
      </w:r>
      <w:r w:rsidR="004C02BF">
        <w:rPr>
          <w:rFonts w:eastAsiaTheme="minorHAnsi" w:cstheme="minorBidi"/>
          <w:szCs w:val="22"/>
        </w:rPr>
        <w:t>31</w:t>
      </w:r>
    </w:p>
    <w:p w:rsidR="00B428EA" w:rsidRDefault="00B428EA" w:rsidP="00F70142">
      <w:pPr>
        <w:tabs>
          <w:tab w:val="clear" w:pos="1440"/>
        </w:tabs>
        <w:spacing w:before="0" w:after="0"/>
        <w:rPr>
          <w:rFonts w:eastAsiaTheme="minorHAnsi" w:cstheme="minorBidi"/>
          <w:szCs w:val="22"/>
        </w:rPr>
      </w:pPr>
    </w:p>
    <w:p w:rsidR="0037358B" w:rsidRDefault="00B428EA" w:rsidP="00F7014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r w:rsidR="0037358B">
        <w:rPr>
          <w:rFonts w:eastAsiaTheme="minorHAnsi" w:cstheme="minorBidi"/>
          <w:szCs w:val="22"/>
        </w:rPr>
        <w:t>6</w:t>
      </w:r>
      <w:r>
        <w:rPr>
          <w:rFonts w:eastAsiaTheme="minorHAnsi" w:cstheme="minorBidi"/>
          <w:szCs w:val="22"/>
        </w:rPr>
        <w:t>.</w:t>
      </w:r>
      <w:r>
        <w:rPr>
          <w:rFonts w:eastAsiaTheme="minorHAnsi" w:cstheme="minorBidi"/>
          <w:szCs w:val="22"/>
        </w:rPr>
        <w:tab/>
        <w:t xml:space="preserve">Complainant’s </w:t>
      </w:r>
      <w:r w:rsidR="008A5720">
        <w:rPr>
          <w:rFonts w:eastAsiaTheme="minorHAnsi" w:cstheme="minorBidi"/>
          <w:szCs w:val="22"/>
        </w:rPr>
        <w:t xml:space="preserve">monthly </w:t>
      </w:r>
      <w:r>
        <w:rPr>
          <w:rFonts w:eastAsiaTheme="minorHAnsi" w:cstheme="minorBidi"/>
          <w:szCs w:val="22"/>
        </w:rPr>
        <w:t xml:space="preserve">gas bill </w:t>
      </w:r>
      <w:r w:rsidR="008A5720">
        <w:rPr>
          <w:rFonts w:eastAsiaTheme="minorHAnsi" w:cstheme="minorBidi"/>
          <w:szCs w:val="22"/>
        </w:rPr>
        <w:t>for the p</w:t>
      </w:r>
      <w:r w:rsidR="00C07F89">
        <w:rPr>
          <w:rFonts w:eastAsiaTheme="minorHAnsi" w:cstheme="minorBidi"/>
          <w:szCs w:val="22"/>
        </w:rPr>
        <w:t>eriod August 18, 2015 to August </w:t>
      </w:r>
      <w:r w:rsidR="008A5720">
        <w:rPr>
          <w:rFonts w:eastAsiaTheme="minorHAnsi" w:cstheme="minorBidi"/>
          <w:szCs w:val="22"/>
        </w:rPr>
        <w:t>16, 2016, ranged for a low of $22.08 to a high of $187.70.  Exhibit 3.</w:t>
      </w:r>
    </w:p>
    <w:p w:rsidR="0037358B" w:rsidRDefault="0037358B" w:rsidP="00F70142">
      <w:pPr>
        <w:tabs>
          <w:tab w:val="clear" w:pos="1440"/>
        </w:tabs>
        <w:spacing w:before="0" w:after="0"/>
        <w:rPr>
          <w:rFonts w:eastAsiaTheme="minorHAnsi" w:cstheme="minorBidi"/>
          <w:szCs w:val="22"/>
        </w:rPr>
      </w:pPr>
    </w:p>
    <w:p w:rsidR="0071069D" w:rsidRDefault="0037358B" w:rsidP="00F7014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7.</w:t>
      </w:r>
      <w:r>
        <w:rPr>
          <w:rFonts w:eastAsiaTheme="minorHAnsi" w:cstheme="minorBidi"/>
          <w:szCs w:val="22"/>
        </w:rPr>
        <w:tab/>
      </w:r>
      <w:r w:rsidR="0071069D">
        <w:rPr>
          <w:rFonts w:eastAsiaTheme="minorHAnsi" w:cstheme="minorBidi"/>
          <w:szCs w:val="22"/>
        </w:rPr>
        <w:t xml:space="preserve">Complainant works for her </w:t>
      </w:r>
      <w:proofErr w:type="gramStart"/>
      <w:r w:rsidR="0071069D">
        <w:rPr>
          <w:rFonts w:eastAsiaTheme="minorHAnsi" w:cstheme="minorBidi"/>
          <w:szCs w:val="22"/>
        </w:rPr>
        <w:t>landlord</w:t>
      </w:r>
      <w:proofErr w:type="gramEnd"/>
      <w:r w:rsidR="0071069D">
        <w:rPr>
          <w:rFonts w:eastAsiaTheme="minorHAnsi" w:cstheme="minorBidi"/>
          <w:szCs w:val="22"/>
        </w:rPr>
        <w:t xml:space="preserve"> and is compensated $35.00 weekly, in addition to a free rental unit, which is valued at $675.00 monthly.  Tr. 17.</w:t>
      </w:r>
    </w:p>
    <w:p w:rsidR="0071069D" w:rsidRDefault="0071069D" w:rsidP="00F70142">
      <w:pPr>
        <w:tabs>
          <w:tab w:val="clear" w:pos="1440"/>
        </w:tabs>
        <w:spacing w:before="0" w:after="0"/>
        <w:rPr>
          <w:rFonts w:eastAsiaTheme="minorHAnsi" w:cstheme="minorBidi"/>
          <w:szCs w:val="22"/>
        </w:rPr>
      </w:pPr>
    </w:p>
    <w:p w:rsidR="0071069D" w:rsidRDefault="0071069D" w:rsidP="00F7014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r w:rsidR="0037358B">
        <w:rPr>
          <w:rFonts w:eastAsiaTheme="minorHAnsi" w:cstheme="minorBidi"/>
          <w:szCs w:val="22"/>
        </w:rPr>
        <w:t>8</w:t>
      </w:r>
      <w:r>
        <w:rPr>
          <w:rFonts w:eastAsiaTheme="minorHAnsi" w:cstheme="minorBidi"/>
          <w:szCs w:val="22"/>
        </w:rPr>
        <w:t>.</w:t>
      </w:r>
      <w:r>
        <w:rPr>
          <w:rFonts w:eastAsiaTheme="minorHAnsi" w:cstheme="minorBidi"/>
          <w:szCs w:val="22"/>
        </w:rPr>
        <w:tab/>
      </w:r>
      <w:r w:rsidR="003239FB">
        <w:rPr>
          <w:rFonts w:eastAsiaTheme="minorHAnsi" w:cstheme="minorBidi"/>
          <w:szCs w:val="22"/>
        </w:rPr>
        <w:t>Complainant</w:t>
      </w:r>
      <w:r>
        <w:rPr>
          <w:rFonts w:eastAsiaTheme="minorHAnsi" w:cstheme="minorBidi"/>
          <w:szCs w:val="22"/>
        </w:rPr>
        <w:t xml:space="preserve"> also receives </w:t>
      </w:r>
      <w:r w:rsidR="003239FB">
        <w:rPr>
          <w:rFonts w:eastAsiaTheme="minorHAnsi" w:cstheme="minorBidi"/>
          <w:szCs w:val="22"/>
        </w:rPr>
        <w:t>$30</w:t>
      </w:r>
      <w:r w:rsidR="009B10E6">
        <w:rPr>
          <w:rFonts w:eastAsiaTheme="minorHAnsi" w:cstheme="minorBidi"/>
          <w:szCs w:val="22"/>
        </w:rPr>
        <w:t>.00</w:t>
      </w:r>
      <w:r w:rsidR="003239FB">
        <w:rPr>
          <w:rFonts w:eastAsiaTheme="minorHAnsi" w:cstheme="minorBidi"/>
          <w:szCs w:val="22"/>
        </w:rPr>
        <w:t xml:space="preserve"> a month from her mother</w:t>
      </w:r>
      <w:r>
        <w:rPr>
          <w:rFonts w:eastAsiaTheme="minorHAnsi" w:cstheme="minorBidi"/>
          <w:szCs w:val="22"/>
        </w:rPr>
        <w:t>.  Tr. 16.</w:t>
      </w:r>
    </w:p>
    <w:p w:rsidR="0071069D" w:rsidRDefault="0071069D" w:rsidP="00F70142">
      <w:pPr>
        <w:tabs>
          <w:tab w:val="clear" w:pos="1440"/>
        </w:tabs>
        <w:spacing w:before="0" w:after="0"/>
        <w:rPr>
          <w:rFonts w:eastAsiaTheme="minorHAnsi" w:cstheme="minorBidi"/>
          <w:szCs w:val="22"/>
        </w:rPr>
      </w:pPr>
    </w:p>
    <w:p w:rsidR="003239FB" w:rsidRDefault="0071069D" w:rsidP="00F7014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r w:rsidR="0037358B">
        <w:rPr>
          <w:rFonts w:eastAsiaTheme="minorHAnsi" w:cstheme="minorBidi"/>
          <w:szCs w:val="22"/>
        </w:rPr>
        <w:t>9</w:t>
      </w:r>
      <w:r>
        <w:rPr>
          <w:rFonts w:eastAsiaTheme="minorHAnsi" w:cstheme="minorBidi"/>
          <w:szCs w:val="22"/>
        </w:rPr>
        <w:t>.</w:t>
      </w:r>
      <w:r>
        <w:rPr>
          <w:rFonts w:eastAsiaTheme="minorHAnsi" w:cstheme="minorBidi"/>
          <w:szCs w:val="22"/>
        </w:rPr>
        <w:tab/>
        <w:t xml:space="preserve">Complainant’s </w:t>
      </w:r>
      <w:r w:rsidR="008A5720">
        <w:rPr>
          <w:rFonts w:eastAsiaTheme="minorHAnsi" w:cstheme="minorBidi"/>
          <w:szCs w:val="22"/>
        </w:rPr>
        <w:t xml:space="preserve">household </w:t>
      </w:r>
      <w:r>
        <w:rPr>
          <w:rFonts w:eastAsiaTheme="minorHAnsi" w:cstheme="minorBidi"/>
          <w:szCs w:val="22"/>
        </w:rPr>
        <w:t xml:space="preserve">income </w:t>
      </w:r>
      <w:r w:rsidR="003239FB">
        <w:rPr>
          <w:rFonts w:eastAsiaTheme="minorHAnsi" w:cstheme="minorBidi"/>
          <w:szCs w:val="22"/>
        </w:rPr>
        <w:t>computes to approximately $181.66 monthly</w:t>
      </w:r>
      <w:r w:rsidR="00C173BD">
        <w:rPr>
          <w:rFonts w:eastAsiaTheme="minorHAnsi" w:cstheme="minorBidi"/>
          <w:szCs w:val="22"/>
        </w:rPr>
        <w:t>.</w:t>
      </w:r>
      <w:r w:rsidR="00C173BD">
        <w:rPr>
          <w:rStyle w:val="FootnoteReference"/>
          <w:rFonts w:eastAsiaTheme="minorHAnsi" w:cstheme="minorBidi"/>
          <w:szCs w:val="22"/>
        </w:rPr>
        <w:footnoteReference w:id="5"/>
      </w:r>
      <w:proofErr w:type="gramStart"/>
      <w:r w:rsidR="003239FB">
        <w:rPr>
          <w:rFonts w:eastAsiaTheme="minorHAnsi" w:cstheme="minorBidi"/>
          <w:szCs w:val="22"/>
        </w:rPr>
        <w:t xml:space="preserve"> </w:t>
      </w:r>
      <w:r w:rsidR="00C173BD">
        <w:rPr>
          <w:rFonts w:eastAsiaTheme="minorHAnsi" w:cstheme="minorBidi"/>
          <w:szCs w:val="22"/>
        </w:rPr>
        <w:t xml:space="preserve">  </w:t>
      </w:r>
      <w:proofErr w:type="gramEnd"/>
      <w:r w:rsidR="00C173BD">
        <w:rPr>
          <w:rFonts w:eastAsiaTheme="minorHAnsi" w:cstheme="minorBidi"/>
          <w:szCs w:val="22"/>
        </w:rPr>
        <w:t>Tr. 16-17.</w:t>
      </w:r>
    </w:p>
    <w:p w:rsidR="008A5720" w:rsidRDefault="005B1AC3" w:rsidP="00F7014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p>
    <w:p w:rsidR="005B1AC3" w:rsidRDefault="008A5720" w:rsidP="00F7014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r w:rsidR="0037358B">
        <w:rPr>
          <w:rFonts w:eastAsiaTheme="minorHAnsi" w:cstheme="minorBidi"/>
          <w:szCs w:val="22"/>
        </w:rPr>
        <w:t>10</w:t>
      </w:r>
      <w:r w:rsidR="005B1AC3">
        <w:rPr>
          <w:rFonts w:eastAsiaTheme="minorHAnsi" w:cstheme="minorBidi"/>
          <w:szCs w:val="22"/>
        </w:rPr>
        <w:t>.</w:t>
      </w:r>
      <w:r w:rsidR="005B1AC3">
        <w:rPr>
          <w:rFonts w:eastAsiaTheme="minorHAnsi" w:cstheme="minorBidi"/>
          <w:szCs w:val="22"/>
        </w:rPr>
        <w:tab/>
        <w:t xml:space="preserve">Complainant’s work for her </w:t>
      </w:r>
      <w:proofErr w:type="gramStart"/>
      <w:r w:rsidR="005B1AC3">
        <w:rPr>
          <w:rFonts w:eastAsiaTheme="minorHAnsi" w:cstheme="minorBidi"/>
          <w:szCs w:val="22"/>
        </w:rPr>
        <w:t>landlord</w:t>
      </w:r>
      <w:proofErr w:type="gramEnd"/>
      <w:r w:rsidR="005B1AC3">
        <w:rPr>
          <w:rFonts w:eastAsiaTheme="minorHAnsi" w:cstheme="minorBidi"/>
          <w:szCs w:val="22"/>
        </w:rPr>
        <w:t xml:space="preserve"> does not prevent her from other employment. </w:t>
      </w:r>
      <w:r w:rsidR="00B36BB5">
        <w:rPr>
          <w:rFonts w:eastAsiaTheme="minorHAnsi" w:cstheme="minorBidi"/>
          <w:szCs w:val="22"/>
        </w:rPr>
        <w:t xml:space="preserve"> </w:t>
      </w:r>
      <w:r w:rsidR="005B1AC3">
        <w:rPr>
          <w:rFonts w:eastAsiaTheme="minorHAnsi" w:cstheme="minorBidi"/>
          <w:szCs w:val="22"/>
        </w:rPr>
        <w:t xml:space="preserve">Tr. 22. </w:t>
      </w:r>
    </w:p>
    <w:p w:rsidR="008A5720" w:rsidRDefault="00E91642" w:rsidP="00F7014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p>
    <w:p w:rsidR="00786033" w:rsidRDefault="008A5720" w:rsidP="00F7014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r w:rsidR="00C903A5">
        <w:rPr>
          <w:rFonts w:eastAsiaTheme="minorHAnsi" w:cstheme="minorBidi"/>
          <w:szCs w:val="22"/>
        </w:rPr>
        <w:t>11</w:t>
      </w:r>
      <w:r w:rsidR="005B1AC3">
        <w:rPr>
          <w:rFonts w:eastAsiaTheme="minorHAnsi" w:cstheme="minorBidi"/>
          <w:szCs w:val="22"/>
        </w:rPr>
        <w:t>.</w:t>
      </w:r>
      <w:r w:rsidR="005B1AC3">
        <w:rPr>
          <w:rFonts w:eastAsiaTheme="minorHAnsi" w:cstheme="minorBidi"/>
          <w:szCs w:val="22"/>
        </w:rPr>
        <w:tab/>
        <w:t xml:space="preserve">Complainant was previously enrolled in PGW’s customer assistance program but was removed </w:t>
      </w:r>
      <w:r w:rsidR="004C02BF">
        <w:rPr>
          <w:rFonts w:eastAsiaTheme="minorHAnsi" w:cstheme="minorBidi"/>
          <w:szCs w:val="22"/>
        </w:rPr>
        <w:t xml:space="preserve">on July 9, 2014, </w:t>
      </w:r>
      <w:r w:rsidR="005B1AC3">
        <w:rPr>
          <w:rFonts w:eastAsiaTheme="minorHAnsi" w:cstheme="minorBidi"/>
          <w:szCs w:val="22"/>
        </w:rPr>
        <w:t>for non-payment.  Tr. 21</w:t>
      </w:r>
      <w:r w:rsidR="004C02BF">
        <w:rPr>
          <w:rFonts w:eastAsiaTheme="minorHAnsi" w:cstheme="minorBidi"/>
          <w:szCs w:val="22"/>
        </w:rPr>
        <w:t>, 27.</w:t>
      </w:r>
    </w:p>
    <w:p w:rsidR="00786033" w:rsidRDefault="00786033" w:rsidP="00F70142">
      <w:pPr>
        <w:tabs>
          <w:tab w:val="clear" w:pos="1440"/>
        </w:tabs>
        <w:spacing w:before="0" w:after="0"/>
        <w:rPr>
          <w:rFonts w:eastAsiaTheme="minorHAnsi" w:cstheme="minorBidi"/>
          <w:szCs w:val="22"/>
        </w:rPr>
      </w:pPr>
    </w:p>
    <w:p w:rsidR="00267C8B" w:rsidRDefault="00786033" w:rsidP="00F7014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r w:rsidR="00C903A5">
        <w:rPr>
          <w:rFonts w:eastAsiaTheme="minorHAnsi" w:cstheme="minorBidi"/>
          <w:szCs w:val="22"/>
        </w:rPr>
        <w:t>12</w:t>
      </w:r>
      <w:r>
        <w:rPr>
          <w:rFonts w:eastAsiaTheme="minorHAnsi" w:cstheme="minorBidi"/>
          <w:szCs w:val="22"/>
        </w:rPr>
        <w:t>.</w:t>
      </w:r>
      <w:r>
        <w:rPr>
          <w:rFonts w:eastAsiaTheme="minorHAnsi" w:cstheme="minorBidi"/>
          <w:szCs w:val="22"/>
        </w:rPr>
        <w:tab/>
        <w:t xml:space="preserve">Complainant seeks reinstatement into PGW’s </w:t>
      </w:r>
      <w:r w:rsidR="007B611F">
        <w:rPr>
          <w:rFonts w:eastAsiaTheme="minorHAnsi" w:cstheme="minorBidi"/>
          <w:szCs w:val="22"/>
        </w:rPr>
        <w:t>Customer Responsibility (</w:t>
      </w:r>
      <w:r>
        <w:rPr>
          <w:rFonts w:eastAsiaTheme="minorHAnsi" w:cstheme="minorBidi"/>
          <w:szCs w:val="22"/>
        </w:rPr>
        <w:t>CRP</w:t>
      </w:r>
      <w:r w:rsidR="007B611F">
        <w:rPr>
          <w:rFonts w:eastAsiaTheme="minorHAnsi" w:cstheme="minorBidi"/>
          <w:szCs w:val="22"/>
        </w:rPr>
        <w:t>)</w:t>
      </w:r>
      <w:r>
        <w:rPr>
          <w:rFonts w:eastAsiaTheme="minorHAnsi" w:cstheme="minorBidi"/>
          <w:szCs w:val="22"/>
        </w:rPr>
        <w:t xml:space="preserve"> Program. </w:t>
      </w:r>
      <w:r w:rsidR="00C07F89">
        <w:rPr>
          <w:rFonts w:eastAsiaTheme="minorHAnsi" w:cstheme="minorBidi"/>
          <w:szCs w:val="22"/>
        </w:rPr>
        <w:t xml:space="preserve"> </w:t>
      </w:r>
      <w:r w:rsidR="007B611F">
        <w:rPr>
          <w:rFonts w:eastAsiaTheme="minorHAnsi" w:cstheme="minorBidi"/>
          <w:szCs w:val="22"/>
        </w:rPr>
        <w:t>Tr. 21, 27, 45.</w:t>
      </w:r>
    </w:p>
    <w:p w:rsidR="00267C8B" w:rsidRDefault="00267C8B" w:rsidP="00F70142">
      <w:pPr>
        <w:tabs>
          <w:tab w:val="clear" w:pos="1440"/>
        </w:tabs>
        <w:spacing w:before="0" w:after="0"/>
        <w:rPr>
          <w:rFonts w:eastAsiaTheme="minorHAnsi" w:cstheme="minorBidi"/>
          <w:szCs w:val="22"/>
        </w:rPr>
      </w:pPr>
    </w:p>
    <w:p w:rsidR="009E1871" w:rsidRDefault="00267C8B" w:rsidP="00F7014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1</w:t>
      </w:r>
      <w:r w:rsidR="00C903A5">
        <w:rPr>
          <w:rFonts w:eastAsiaTheme="minorHAnsi" w:cstheme="minorBidi"/>
          <w:szCs w:val="22"/>
        </w:rPr>
        <w:t>3</w:t>
      </w:r>
      <w:r>
        <w:rPr>
          <w:rFonts w:eastAsiaTheme="minorHAnsi" w:cstheme="minorBidi"/>
          <w:szCs w:val="22"/>
        </w:rPr>
        <w:t>.</w:t>
      </w:r>
      <w:r>
        <w:rPr>
          <w:rFonts w:eastAsiaTheme="minorHAnsi" w:cstheme="minorBidi"/>
          <w:szCs w:val="22"/>
        </w:rPr>
        <w:tab/>
        <w:t xml:space="preserve">Complainant has an outstanding gas account balance </w:t>
      </w:r>
      <w:proofErr w:type="gramStart"/>
      <w:r>
        <w:rPr>
          <w:rFonts w:eastAsiaTheme="minorHAnsi" w:cstheme="minorBidi"/>
          <w:szCs w:val="22"/>
        </w:rPr>
        <w:t>in the amount of</w:t>
      </w:r>
      <w:proofErr w:type="gramEnd"/>
      <w:r>
        <w:rPr>
          <w:rFonts w:eastAsiaTheme="minorHAnsi" w:cstheme="minorBidi"/>
          <w:szCs w:val="22"/>
        </w:rPr>
        <w:t xml:space="preserve"> $4,353.50</w:t>
      </w:r>
      <w:r w:rsidR="009E1871">
        <w:rPr>
          <w:rFonts w:eastAsiaTheme="minorHAnsi" w:cstheme="minorBidi"/>
          <w:szCs w:val="22"/>
        </w:rPr>
        <w:t>.  Tr. 26-27</w:t>
      </w:r>
      <w:r w:rsidR="0006652F">
        <w:rPr>
          <w:rFonts w:eastAsiaTheme="minorHAnsi" w:cstheme="minorBidi"/>
          <w:szCs w:val="22"/>
        </w:rPr>
        <w:t>, 32</w:t>
      </w:r>
      <w:r w:rsidR="009E1871">
        <w:rPr>
          <w:rFonts w:eastAsiaTheme="minorHAnsi" w:cstheme="minorBidi"/>
          <w:szCs w:val="22"/>
        </w:rPr>
        <w:t>.</w:t>
      </w:r>
    </w:p>
    <w:p w:rsidR="004C02BF" w:rsidRDefault="004C02BF" w:rsidP="00F70142">
      <w:pPr>
        <w:tabs>
          <w:tab w:val="clear" w:pos="1440"/>
        </w:tabs>
        <w:spacing w:before="0" w:after="0"/>
        <w:rPr>
          <w:rFonts w:eastAsiaTheme="minorHAnsi" w:cstheme="minorBidi"/>
          <w:szCs w:val="22"/>
        </w:rPr>
      </w:pPr>
    </w:p>
    <w:p w:rsidR="004C02BF" w:rsidRDefault="004C02BF" w:rsidP="00F7014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1</w:t>
      </w:r>
      <w:r w:rsidR="00C903A5">
        <w:rPr>
          <w:rFonts w:eastAsiaTheme="minorHAnsi" w:cstheme="minorBidi"/>
          <w:szCs w:val="22"/>
        </w:rPr>
        <w:t>4</w:t>
      </w:r>
      <w:r>
        <w:rPr>
          <w:rFonts w:eastAsiaTheme="minorHAnsi" w:cstheme="minorBidi"/>
          <w:szCs w:val="22"/>
        </w:rPr>
        <w:t>.</w:t>
      </w:r>
      <w:r>
        <w:rPr>
          <w:rFonts w:eastAsiaTheme="minorHAnsi" w:cstheme="minorBidi"/>
          <w:szCs w:val="22"/>
        </w:rPr>
        <w:tab/>
        <w:t>Complainant’s account balance of $4,353.50 includes $913.00 in CRP arrears</w:t>
      </w:r>
      <w:r w:rsidR="0006652F">
        <w:rPr>
          <w:rFonts w:eastAsiaTheme="minorHAnsi" w:cstheme="minorBidi"/>
          <w:szCs w:val="22"/>
        </w:rPr>
        <w:t xml:space="preserve"> and arrears from two </w:t>
      </w:r>
      <w:r w:rsidR="00B36BB5">
        <w:rPr>
          <w:rFonts w:eastAsiaTheme="minorHAnsi" w:cstheme="minorBidi"/>
          <w:szCs w:val="22"/>
        </w:rPr>
        <w:t xml:space="preserve">payment </w:t>
      </w:r>
      <w:r w:rsidR="0006652F">
        <w:rPr>
          <w:rFonts w:eastAsiaTheme="minorHAnsi" w:cstheme="minorBidi"/>
          <w:szCs w:val="22"/>
        </w:rPr>
        <w:t>arrangements granted to her by PGW</w:t>
      </w:r>
      <w:r>
        <w:rPr>
          <w:rFonts w:eastAsiaTheme="minorHAnsi" w:cstheme="minorBidi"/>
          <w:szCs w:val="22"/>
        </w:rPr>
        <w:t>.  Tr. 28</w:t>
      </w:r>
      <w:r w:rsidR="0006652F">
        <w:rPr>
          <w:rFonts w:eastAsiaTheme="minorHAnsi" w:cstheme="minorBidi"/>
          <w:szCs w:val="22"/>
        </w:rPr>
        <w:t>, 41-4</w:t>
      </w:r>
      <w:r w:rsidR="00030923">
        <w:rPr>
          <w:rFonts w:eastAsiaTheme="minorHAnsi" w:cstheme="minorBidi"/>
          <w:szCs w:val="22"/>
        </w:rPr>
        <w:t>2</w:t>
      </w:r>
      <w:r>
        <w:rPr>
          <w:rFonts w:eastAsiaTheme="minorHAnsi" w:cstheme="minorBidi"/>
          <w:szCs w:val="22"/>
        </w:rPr>
        <w:t>.</w:t>
      </w:r>
    </w:p>
    <w:p w:rsidR="00267C8B" w:rsidRDefault="00267C8B" w:rsidP="00F70142">
      <w:pPr>
        <w:tabs>
          <w:tab w:val="clear" w:pos="1440"/>
        </w:tabs>
        <w:spacing w:before="0" w:after="0"/>
        <w:rPr>
          <w:rFonts w:eastAsiaTheme="minorHAnsi" w:cstheme="minorBidi"/>
          <w:szCs w:val="22"/>
        </w:rPr>
      </w:pPr>
    </w:p>
    <w:p w:rsidR="00267C8B" w:rsidRDefault="0025756A" w:rsidP="00F70142">
      <w:pPr>
        <w:tabs>
          <w:tab w:val="clear" w:pos="1440"/>
        </w:tabs>
        <w:spacing w:before="0" w:after="0"/>
        <w:rPr>
          <w:rFonts w:eastAsiaTheme="minorHAnsi" w:cstheme="minorBidi"/>
          <w:szCs w:val="22"/>
        </w:rPr>
      </w:pPr>
      <w:r>
        <w:rPr>
          <w:rFonts w:eastAsiaTheme="minorHAnsi" w:cstheme="minorBidi"/>
          <w:szCs w:val="22"/>
        </w:rPr>
        <w:lastRenderedPageBreak/>
        <w:tab/>
      </w:r>
      <w:r>
        <w:rPr>
          <w:rFonts w:eastAsiaTheme="minorHAnsi" w:cstheme="minorBidi"/>
          <w:szCs w:val="22"/>
        </w:rPr>
        <w:tab/>
        <w:t>1</w:t>
      </w:r>
      <w:r w:rsidR="00C903A5">
        <w:rPr>
          <w:rFonts w:eastAsiaTheme="minorHAnsi" w:cstheme="minorBidi"/>
          <w:szCs w:val="22"/>
        </w:rPr>
        <w:t>5</w:t>
      </w:r>
      <w:r>
        <w:rPr>
          <w:rFonts w:eastAsiaTheme="minorHAnsi" w:cstheme="minorBidi"/>
          <w:szCs w:val="22"/>
        </w:rPr>
        <w:t>.</w:t>
      </w:r>
      <w:r>
        <w:rPr>
          <w:rFonts w:eastAsiaTheme="minorHAnsi" w:cstheme="minorBidi"/>
          <w:szCs w:val="22"/>
        </w:rPr>
        <w:tab/>
        <w:t>Respondent granted Complainant a payment a</w:t>
      </w:r>
      <w:r w:rsidR="00707585">
        <w:rPr>
          <w:rFonts w:eastAsiaTheme="minorHAnsi" w:cstheme="minorBidi"/>
          <w:szCs w:val="22"/>
        </w:rPr>
        <w:t>rrangement</w:t>
      </w:r>
      <w:r>
        <w:rPr>
          <w:rFonts w:eastAsiaTheme="minorHAnsi" w:cstheme="minorBidi"/>
          <w:szCs w:val="22"/>
        </w:rPr>
        <w:t xml:space="preserve"> under Service Agreement Number ending in 7850 (SA No. 7850) for the billing period April 24, 2013 through June 25, 2014</w:t>
      </w:r>
      <w:proofErr w:type="gramStart"/>
      <w:r>
        <w:rPr>
          <w:rFonts w:eastAsiaTheme="minorHAnsi" w:cstheme="minorBidi"/>
          <w:szCs w:val="22"/>
        </w:rPr>
        <w:t xml:space="preserve">. </w:t>
      </w:r>
      <w:r w:rsidR="007B611F">
        <w:rPr>
          <w:rFonts w:eastAsiaTheme="minorHAnsi" w:cstheme="minorBidi"/>
          <w:szCs w:val="22"/>
        </w:rPr>
        <w:t xml:space="preserve">  </w:t>
      </w:r>
      <w:proofErr w:type="gramEnd"/>
      <w:r w:rsidR="007B611F">
        <w:rPr>
          <w:rFonts w:eastAsiaTheme="minorHAnsi" w:cstheme="minorBidi"/>
          <w:szCs w:val="22"/>
        </w:rPr>
        <w:t xml:space="preserve">Tr. </w:t>
      </w:r>
      <w:r w:rsidR="0059290B">
        <w:rPr>
          <w:rFonts w:eastAsiaTheme="minorHAnsi" w:cstheme="minorBidi"/>
          <w:szCs w:val="22"/>
        </w:rPr>
        <w:t>40, 41</w:t>
      </w:r>
      <w:r w:rsidR="00413377">
        <w:rPr>
          <w:rFonts w:eastAsiaTheme="minorHAnsi" w:cstheme="minorBidi"/>
          <w:szCs w:val="22"/>
        </w:rPr>
        <w:t>.</w:t>
      </w:r>
    </w:p>
    <w:p w:rsidR="0025756A" w:rsidRDefault="0025756A" w:rsidP="00F70142">
      <w:pPr>
        <w:tabs>
          <w:tab w:val="clear" w:pos="1440"/>
        </w:tabs>
        <w:spacing w:before="0" w:after="0"/>
        <w:rPr>
          <w:rFonts w:eastAsiaTheme="minorHAnsi" w:cstheme="minorBidi"/>
          <w:szCs w:val="22"/>
        </w:rPr>
      </w:pPr>
    </w:p>
    <w:p w:rsidR="00F51B14" w:rsidRDefault="0025756A" w:rsidP="00F7014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1</w:t>
      </w:r>
      <w:r w:rsidR="00C903A5">
        <w:rPr>
          <w:rFonts w:eastAsiaTheme="minorHAnsi" w:cstheme="minorBidi"/>
          <w:szCs w:val="22"/>
        </w:rPr>
        <w:t>6</w:t>
      </w:r>
      <w:r>
        <w:rPr>
          <w:rFonts w:eastAsiaTheme="minorHAnsi" w:cstheme="minorBidi"/>
          <w:szCs w:val="22"/>
        </w:rPr>
        <w:t>.</w:t>
      </w:r>
      <w:r>
        <w:rPr>
          <w:rFonts w:eastAsiaTheme="minorHAnsi" w:cstheme="minorBidi"/>
          <w:szCs w:val="22"/>
        </w:rPr>
        <w:tab/>
        <w:t xml:space="preserve">Under SA No. 7850 Complainant </w:t>
      </w:r>
      <w:r w:rsidR="00056F4E">
        <w:rPr>
          <w:rFonts w:eastAsiaTheme="minorHAnsi" w:cstheme="minorBidi"/>
          <w:szCs w:val="22"/>
        </w:rPr>
        <w:t xml:space="preserve">defaulted and </w:t>
      </w:r>
      <w:r>
        <w:rPr>
          <w:rFonts w:eastAsiaTheme="minorHAnsi" w:cstheme="minorBidi"/>
          <w:szCs w:val="22"/>
        </w:rPr>
        <w:t>incurred an outstanding balance of $</w:t>
      </w:r>
      <w:proofErr w:type="gramStart"/>
      <w:r>
        <w:rPr>
          <w:rFonts w:eastAsiaTheme="minorHAnsi" w:cstheme="minorBidi"/>
          <w:szCs w:val="22"/>
        </w:rPr>
        <w:t>1,780.45 which included late charge</w:t>
      </w:r>
      <w:r w:rsidR="00413377">
        <w:rPr>
          <w:rFonts w:eastAsiaTheme="minorHAnsi" w:cstheme="minorBidi"/>
          <w:szCs w:val="22"/>
        </w:rPr>
        <w:t>s</w:t>
      </w:r>
      <w:proofErr w:type="gramEnd"/>
      <w:r>
        <w:rPr>
          <w:rFonts w:eastAsiaTheme="minorHAnsi" w:cstheme="minorBidi"/>
          <w:szCs w:val="22"/>
        </w:rPr>
        <w:t xml:space="preserve"> billed to April 16, 2016.  </w:t>
      </w:r>
      <w:r w:rsidR="0059290B">
        <w:rPr>
          <w:rFonts w:eastAsiaTheme="minorHAnsi" w:cstheme="minorBidi"/>
          <w:i/>
          <w:szCs w:val="22"/>
        </w:rPr>
        <w:t>Id.</w:t>
      </w:r>
      <w:r w:rsidR="0059290B">
        <w:rPr>
          <w:rFonts w:eastAsiaTheme="minorHAnsi" w:cstheme="minorBidi"/>
          <w:szCs w:val="22"/>
        </w:rPr>
        <w:t xml:space="preserve">; </w:t>
      </w:r>
      <w:r w:rsidR="00F51B14">
        <w:rPr>
          <w:rFonts w:eastAsiaTheme="minorHAnsi" w:cstheme="minorBidi"/>
          <w:szCs w:val="22"/>
        </w:rPr>
        <w:t>Exhibit 1, at 1-2.</w:t>
      </w:r>
    </w:p>
    <w:p w:rsidR="00F51B14" w:rsidRDefault="00F51B14" w:rsidP="00F70142">
      <w:pPr>
        <w:tabs>
          <w:tab w:val="clear" w:pos="1440"/>
        </w:tabs>
        <w:spacing w:before="0" w:after="0"/>
        <w:rPr>
          <w:rFonts w:eastAsiaTheme="minorHAnsi" w:cstheme="minorBidi"/>
          <w:szCs w:val="22"/>
        </w:rPr>
      </w:pPr>
    </w:p>
    <w:p w:rsidR="00F51B14" w:rsidRDefault="00F51B14" w:rsidP="00F7014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1</w:t>
      </w:r>
      <w:r w:rsidR="00C903A5">
        <w:rPr>
          <w:rFonts w:eastAsiaTheme="minorHAnsi" w:cstheme="minorBidi"/>
          <w:szCs w:val="22"/>
        </w:rPr>
        <w:t>7</w:t>
      </w:r>
      <w:r>
        <w:rPr>
          <w:rFonts w:eastAsiaTheme="minorHAnsi" w:cstheme="minorBidi"/>
          <w:szCs w:val="22"/>
        </w:rPr>
        <w:t>.</w:t>
      </w:r>
      <w:r>
        <w:rPr>
          <w:rFonts w:eastAsiaTheme="minorHAnsi" w:cstheme="minorBidi"/>
          <w:szCs w:val="22"/>
        </w:rPr>
        <w:tab/>
        <w:t>Respondent granted Complainant a second payment a</w:t>
      </w:r>
      <w:r w:rsidR="00413377">
        <w:rPr>
          <w:rFonts w:eastAsiaTheme="minorHAnsi" w:cstheme="minorBidi"/>
          <w:szCs w:val="22"/>
        </w:rPr>
        <w:t>rrangement</w:t>
      </w:r>
      <w:r>
        <w:rPr>
          <w:rFonts w:eastAsiaTheme="minorHAnsi" w:cstheme="minorBidi"/>
          <w:szCs w:val="22"/>
        </w:rPr>
        <w:t xml:space="preserve"> under SA Number ending in 3295 (SA No. 3295).</w:t>
      </w:r>
      <w:r w:rsidR="0059290B">
        <w:rPr>
          <w:rFonts w:eastAsiaTheme="minorHAnsi" w:cstheme="minorBidi"/>
          <w:szCs w:val="22"/>
        </w:rPr>
        <w:t xml:space="preserve">  Tr. 42.</w:t>
      </w:r>
    </w:p>
    <w:p w:rsidR="00F51B14" w:rsidRDefault="00F51B14" w:rsidP="00F70142">
      <w:pPr>
        <w:tabs>
          <w:tab w:val="clear" w:pos="1440"/>
        </w:tabs>
        <w:spacing w:before="0" w:after="0"/>
        <w:rPr>
          <w:rFonts w:eastAsiaTheme="minorHAnsi" w:cstheme="minorBidi"/>
          <w:szCs w:val="22"/>
        </w:rPr>
      </w:pPr>
    </w:p>
    <w:p w:rsidR="0025756A" w:rsidRDefault="00F51B14" w:rsidP="00F7014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proofErr w:type="gramStart"/>
      <w:r>
        <w:rPr>
          <w:rFonts w:eastAsiaTheme="minorHAnsi" w:cstheme="minorBidi"/>
          <w:szCs w:val="22"/>
        </w:rPr>
        <w:t>1</w:t>
      </w:r>
      <w:r w:rsidR="00C903A5">
        <w:rPr>
          <w:rFonts w:eastAsiaTheme="minorHAnsi" w:cstheme="minorBidi"/>
          <w:szCs w:val="22"/>
        </w:rPr>
        <w:t>8</w:t>
      </w:r>
      <w:r>
        <w:rPr>
          <w:rFonts w:eastAsiaTheme="minorHAnsi" w:cstheme="minorBidi"/>
          <w:szCs w:val="22"/>
        </w:rPr>
        <w:t>.</w:t>
      </w:r>
      <w:r>
        <w:rPr>
          <w:rFonts w:eastAsiaTheme="minorHAnsi" w:cstheme="minorBidi"/>
          <w:szCs w:val="22"/>
        </w:rPr>
        <w:tab/>
        <w:t>Under SA No. 3295</w:t>
      </w:r>
      <w:proofErr w:type="gramEnd"/>
      <w:r w:rsidR="0025756A">
        <w:rPr>
          <w:rFonts w:eastAsiaTheme="minorHAnsi" w:cstheme="minorBidi"/>
          <w:szCs w:val="22"/>
        </w:rPr>
        <w:t xml:space="preserve"> </w:t>
      </w:r>
      <w:r>
        <w:rPr>
          <w:rFonts w:eastAsiaTheme="minorHAnsi" w:cstheme="minorBidi"/>
          <w:szCs w:val="22"/>
        </w:rPr>
        <w:t xml:space="preserve">Complainant </w:t>
      </w:r>
      <w:r w:rsidR="00056F4E" w:rsidRPr="00056F4E">
        <w:rPr>
          <w:rFonts w:eastAsiaTheme="minorHAnsi" w:cstheme="minorBidi"/>
          <w:szCs w:val="22"/>
        </w:rPr>
        <w:t xml:space="preserve">defaulted and </w:t>
      </w:r>
      <w:r>
        <w:rPr>
          <w:rFonts w:eastAsiaTheme="minorHAnsi" w:cstheme="minorBidi"/>
          <w:szCs w:val="22"/>
        </w:rPr>
        <w:t xml:space="preserve">incurred an outstanding balance of $1,349.63 for her gas usage for the billing period August 16, 2014 through August 16, 2016.  </w:t>
      </w:r>
      <w:r w:rsidR="0059290B">
        <w:rPr>
          <w:rFonts w:eastAsiaTheme="minorHAnsi" w:cstheme="minorBidi"/>
          <w:i/>
          <w:szCs w:val="22"/>
        </w:rPr>
        <w:t>Id.</w:t>
      </w:r>
      <w:r w:rsidR="0059290B">
        <w:rPr>
          <w:rFonts w:eastAsiaTheme="minorHAnsi" w:cstheme="minorBidi"/>
          <w:szCs w:val="22"/>
        </w:rPr>
        <w:t xml:space="preserve">; </w:t>
      </w:r>
      <w:r>
        <w:rPr>
          <w:rFonts w:eastAsiaTheme="minorHAnsi" w:cstheme="minorBidi"/>
          <w:szCs w:val="22"/>
        </w:rPr>
        <w:t xml:space="preserve">Exhibit 1, at 3-4. </w:t>
      </w:r>
    </w:p>
    <w:p w:rsidR="00B36BB5" w:rsidRDefault="00B36BB5" w:rsidP="00F51B14">
      <w:pPr>
        <w:tabs>
          <w:tab w:val="clear" w:pos="1440"/>
        </w:tabs>
        <w:spacing w:before="0" w:after="0"/>
        <w:rPr>
          <w:rFonts w:eastAsiaTheme="minorHAnsi" w:cstheme="minorBidi"/>
          <w:szCs w:val="22"/>
        </w:rPr>
      </w:pPr>
    </w:p>
    <w:p w:rsidR="0025756A" w:rsidRDefault="00F51B14" w:rsidP="00F70142">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r>
      <w:r w:rsidR="00C07F89">
        <w:rPr>
          <w:rFonts w:eastAsiaTheme="minorHAnsi" w:cstheme="minorBidi"/>
          <w:szCs w:val="22"/>
        </w:rPr>
        <w:t>19</w:t>
      </w:r>
      <w:r w:rsidR="00EC035D">
        <w:rPr>
          <w:rFonts w:eastAsiaTheme="minorHAnsi" w:cstheme="minorBidi"/>
          <w:szCs w:val="22"/>
        </w:rPr>
        <w:t>.</w:t>
      </w:r>
      <w:r w:rsidR="00EC035D">
        <w:rPr>
          <w:rFonts w:eastAsiaTheme="minorHAnsi" w:cstheme="minorBidi"/>
          <w:szCs w:val="22"/>
        </w:rPr>
        <w:tab/>
        <w:t xml:space="preserve">Between April 24, 2013 and August 16, 2016, Complainant made two payments on her service account: </w:t>
      </w:r>
      <w:r w:rsidR="00C07F89">
        <w:rPr>
          <w:rFonts w:eastAsiaTheme="minorHAnsi" w:cstheme="minorBidi"/>
          <w:szCs w:val="22"/>
        </w:rPr>
        <w:t xml:space="preserve"> </w:t>
      </w:r>
      <w:r w:rsidR="00EC035D">
        <w:rPr>
          <w:rFonts w:eastAsiaTheme="minorHAnsi" w:cstheme="minorBidi"/>
          <w:szCs w:val="22"/>
        </w:rPr>
        <w:t>$21.26 and $65.82 on November 25, 2015.  Exhibit 1 at 2</w:t>
      </w:r>
      <w:r w:rsidR="00B36BB5">
        <w:rPr>
          <w:rFonts w:eastAsiaTheme="minorHAnsi" w:cstheme="minorBidi"/>
          <w:szCs w:val="22"/>
        </w:rPr>
        <w:t>, 4</w:t>
      </w:r>
      <w:r w:rsidR="00EC035D">
        <w:rPr>
          <w:rFonts w:eastAsiaTheme="minorHAnsi" w:cstheme="minorBidi"/>
          <w:szCs w:val="22"/>
        </w:rPr>
        <w:t>.</w:t>
      </w:r>
    </w:p>
    <w:p w:rsidR="00B36BB5" w:rsidRDefault="00B36BB5" w:rsidP="00AB7B65">
      <w:pPr>
        <w:tabs>
          <w:tab w:val="clear" w:pos="1440"/>
        </w:tabs>
        <w:spacing w:before="0" w:after="0"/>
        <w:jc w:val="center"/>
        <w:rPr>
          <w:rFonts w:eastAsiaTheme="minorHAnsi" w:cstheme="minorBidi"/>
          <w:szCs w:val="22"/>
          <w:u w:val="single"/>
        </w:rPr>
      </w:pPr>
    </w:p>
    <w:p w:rsidR="00B80217" w:rsidRDefault="00B80217" w:rsidP="00B80217">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2</w:t>
      </w:r>
      <w:r w:rsidR="00C07F89">
        <w:rPr>
          <w:rFonts w:eastAsiaTheme="minorHAnsi" w:cstheme="minorBidi"/>
          <w:szCs w:val="22"/>
        </w:rPr>
        <w:t>0</w:t>
      </w:r>
      <w:r>
        <w:rPr>
          <w:rFonts w:eastAsiaTheme="minorHAnsi" w:cstheme="minorBidi"/>
          <w:szCs w:val="22"/>
        </w:rPr>
        <w:t>.</w:t>
      </w:r>
      <w:r>
        <w:rPr>
          <w:rFonts w:eastAsiaTheme="minorHAnsi" w:cstheme="minorBidi"/>
          <w:szCs w:val="22"/>
        </w:rPr>
        <w:tab/>
        <w:t xml:space="preserve">Complainant provided testimony on her own behalf; she was subject to </w:t>
      </w:r>
    </w:p>
    <w:p w:rsidR="002335E9" w:rsidRDefault="00B80217" w:rsidP="00B80217">
      <w:pPr>
        <w:tabs>
          <w:tab w:val="clear" w:pos="1440"/>
        </w:tabs>
        <w:spacing w:before="0" w:after="0"/>
        <w:rPr>
          <w:rFonts w:eastAsiaTheme="minorHAnsi" w:cstheme="minorBidi"/>
          <w:szCs w:val="22"/>
        </w:rPr>
      </w:pPr>
      <w:proofErr w:type="gramStart"/>
      <w:r>
        <w:rPr>
          <w:rFonts w:eastAsiaTheme="minorHAnsi" w:cstheme="minorBidi"/>
          <w:szCs w:val="22"/>
        </w:rPr>
        <w:t>cross-examination</w:t>
      </w:r>
      <w:proofErr w:type="gramEnd"/>
      <w:r>
        <w:rPr>
          <w:rFonts w:eastAsiaTheme="minorHAnsi" w:cstheme="minorBidi"/>
          <w:szCs w:val="22"/>
        </w:rPr>
        <w:t>; and she left the hearing, without explanation, prior to the conclusion of Respondent’s direct examination of its witness.  Tr. 30.</w:t>
      </w:r>
    </w:p>
    <w:p w:rsidR="008A5720" w:rsidRDefault="008A5720" w:rsidP="00B80217">
      <w:pPr>
        <w:tabs>
          <w:tab w:val="clear" w:pos="1440"/>
        </w:tabs>
        <w:spacing w:before="0" w:after="0"/>
        <w:rPr>
          <w:rFonts w:eastAsiaTheme="minorHAnsi" w:cstheme="minorBidi"/>
          <w:szCs w:val="22"/>
        </w:rPr>
      </w:pPr>
    </w:p>
    <w:p w:rsidR="008A5720" w:rsidRPr="00B80217" w:rsidRDefault="008A5720" w:rsidP="00B80217">
      <w:pPr>
        <w:tabs>
          <w:tab w:val="clear" w:pos="1440"/>
        </w:tabs>
        <w:spacing w:before="0" w:after="0"/>
        <w:rPr>
          <w:rFonts w:eastAsiaTheme="minorHAnsi" w:cstheme="minorBidi"/>
          <w:szCs w:val="22"/>
        </w:rPr>
      </w:pPr>
      <w:r>
        <w:rPr>
          <w:rFonts w:eastAsiaTheme="minorHAnsi" w:cstheme="minorBidi"/>
          <w:szCs w:val="22"/>
        </w:rPr>
        <w:tab/>
      </w:r>
      <w:r>
        <w:rPr>
          <w:rFonts w:eastAsiaTheme="minorHAnsi" w:cstheme="minorBidi"/>
          <w:szCs w:val="22"/>
        </w:rPr>
        <w:tab/>
        <w:t>2</w:t>
      </w:r>
      <w:r w:rsidR="00C07F89">
        <w:rPr>
          <w:rFonts w:eastAsiaTheme="minorHAnsi" w:cstheme="minorBidi"/>
          <w:szCs w:val="22"/>
        </w:rPr>
        <w:t>1</w:t>
      </w:r>
      <w:r>
        <w:rPr>
          <w:rFonts w:eastAsiaTheme="minorHAnsi" w:cstheme="minorBidi"/>
          <w:szCs w:val="22"/>
        </w:rPr>
        <w:t>.</w:t>
      </w:r>
      <w:r>
        <w:rPr>
          <w:rFonts w:eastAsiaTheme="minorHAnsi" w:cstheme="minorBidi"/>
          <w:szCs w:val="22"/>
        </w:rPr>
        <w:tab/>
        <w:t>Complainant has not previously received a Commission-ordered payment arrangement.  Tr. 20, 50.</w:t>
      </w:r>
    </w:p>
    <w:p w:rsidR="002335E9" w:rsidRDefault="002335E9" w:rsidP="00AB7B65">
      <w:pPr>
        <w:tabs>
          <w:tab w:val="clear" w:pos="1440"/>
        </w:tabs>
        <w:spacing w:before="0" w:after="0"/>
        <w:jc w:val="center"/>
        <w:rPr>
          <w:rFonts w:eastAsiaTheme="minorHAnsi" w:cstheme="minorBidi"/>
          <w:szCs w:val="22"/>
          <w:u w:val="single"/>
        </w:rPr>
      </w:pPr>
    </w:p>
    <w:p w:rsidR="00284D85" w:rsidRDefault="00284D85" w:rsidP="00AB7B65">
      <w:pPr>
        <w:tabs>
          <w:tab w:val="clear" w:pos="1440"/>
        </w:tabs>
        <w:spacing w:before="0" w:after="0"/>
        <w:jc w:val="center"/>
        <w:rPr>
          <w:rFonts w:eastAsiaTheme="minorHAnsi" w:cstheme="minorBidi"/>
          <w:szCs w:val="22"/>
          <w:u w:val="single"/>
        </w:rPr>
      </w:pPr>
    </w:p>
    <w:p w:rsidR="00284D85" w:rsidRDefault="00284D85" w:rsidP="00AB7B65">
      <w:pPr>
        <w:tabs>
          <w:tab w:val="clear" w:pos="1440"/>
        </w:tabs>
        <w:spacing w:before="0" w:after="0"/>
        <w:jc w:val="center"/>
        <w:rPr>
          <w:rFonts w:eastAsiaTheme="minorHAnsi" w:cstheme="minorBidi"/>
          <w:szCs w:val="22"/>
          <w:u w:val="single"/>
        </w:rPr>
      </w:pPr>
    </w:p>
    <w:p w:rsidR="00284D85" w:rsidRDefault="00284D85" w:rsidP="00AB7B65">
      <w:pPr>
        <w:tabs>
          <w:tab w:val="clear" w:pos="1440"/>
        </w:tabs>
        <w:spacing w:before="0" w:after="0"/>
        <w:jc w:val="center"/>
        <w:rPr>
          <w:rFonts w:eastAsiaTheme="minorHAnsi" w:cstheme="minorBidi"/>
          <w:szCs w:val="22"/>
          <w:u w:val="single"/>
        </w:rPr>
      </w:pPr>
    </w:p>
    <w:p w:rsidR="00284D85" w:rsidRDefault="00284D85" w:rsidP="00AB7B65">
      <w:pPr>
        <w:tabs>
          <w:tab w:val="clear" w:pos="1440"/>
        </w:tabs>
        <w:spacing w:before="0" w:after="0"/>
        <w:jc w:val="center"/>
        <w:rPr>
          <w:rFonts w:eastAsiaTheme="minorHAnsi" w:cstheme="minorBidi"/>
          <w:szCs w:val="22"/>
          <w:u w:val="single"/>
        </w:rPr>
      </w:pPr>
    </w:p>
    <w:p w:rsidR="00284D85" w:rsidRDefault="00284D85" w:rsidP="00AB7B65">
      <w:pPr>
        <w:tabs>
          <w:tab w:val="clear" w:pos="1440"/>
        </w:tabs>
        <w:spacing w:before="0" w:after="0"/>
        <w:jc w:val="center"/>
        <w:rPr>
          <w:rFonts w:eastAsiaTheme="minorHAnsi" w:cstheme="minorBidi"/>
          <w:szCs w:val="22"/>
          <w:u w:val="single"/>
        </w:rPr>
      </w:pPr>
    </w:p>
    <w:p w:rsidR="00284D85" w:rsidRDefault="00284D85" w:rsidP="00AB7B65">
      <w:pPr>
        <w:tabs>
          <w:tab w:val="clear" w:pos="1440"/>
        </w:tabs>
        <w:spacing w:before="0" w:after="0"/>
        <w:jc w:val="center"/>
        <w:rPr>
          <w:rFonts w:eastAsiaTheme="minorHAnsi" w:cstheme="minorBidi"/>
          <w:szCs w:val="22"/>
          <w:u w:val="single"/>
        </w:rPr>
      </w:pPr>
    </w:p>
    <w:p w:rsidR="00284D85" w:rsidRDefault="00284D85" w:rsidP="00AB7B65">
      <w:pPr>
        <w:tabs>
          <w:tab w:val="clear" w:pos="1440"/>
        </w:tabs>
        <w:spacing w:before="0" w:after="0"/>
        <w:jc w:val="center"/>
        <w:rPr>
          <w:rFonts w:eastAsiaTheme="minorHAnsi" w:cstheme="minorBidi"/>
          <w:szCs w:val="22"/>
          <w:u w:val="single"/>
        </w:rPr>
      </w:pPr>
    </w:p>
    <w:p w:rsidR="00AB7B65" w:rsidRPr="00AB7B65" w:rsidRDefault="00AB7B65" w:rsidP="00AB7B65">
      <w:pPr>
        <w:tabs>
          <w:tab w:val="clear" w:pos="1440"/>
        </w:tabs>
        <w:spacing w:before="0" w:after="0"/>
        <w:jc w:val="center"/>
        <w:rPr>
          <w:rFonts w:eastAsiaTheme="minorHAnsi" w:cstheme="minorBidi"/>
          <w:szCs w:val="22"/>
          <w:u w:val="single"/>
        </w:rPr>
      </w:pPr>
      <w:r>
        <w:rPr>
          <w:rFonts w:eastAsiaTheme="minorHAnsi" w:cstheme="minorBidi"/>
          <w:szCs w:val="22"/>
          <w:u w:val="single"/>
        </w:rPr>
        <w:lastRenderedPageBreak/>
        <w:t>DISCUSSION</w:t>
      </w:r>
    </w:p>
    <w:p w:rsidR="00B36BB5" w:rsidRDefault="00B36BB5" w:rsidP="00A73D5A">
      <w:pPr>
        <w:tabs>
          <w:tab w:val="clear" w:pos="1440"/>
          <w:tab w:val="left" w:pos="720"/>
        </w:tabs>
        <w:spacing w:before="0" w:after="0"/>
        <w:rPr>
          <w:snapToGrid w:val="0"/>
          <w:szCs w:val="24"/>
        </w:rPr>
      </w:pPr>
    </w:p>
    <w:p w:rsidR="00A73D5A" w:rsidRDefault="006E571F" w:rsidP="00A73D5A">
      <w:pPr>
        <w:tabs>
          <w:tab w:val="clear" w:pos="1440"/>
          <w:tab w:val="left" w:pos="720"/>
        </w:tabs>
        <w:spacing w:before="0" w:after="0"/>
        <w:rPr>
          <w:snapToGrid w:val="0"/>
          <w:szCs w:val="24"/>
        </w:rPr>
      </w:pPr>
      <w:r>
        <w:rPr>
          <w:snapToGrid w:val="0"/>
          <w:szCs w:val="24"/>
        </w:rPr>
        <w:t>A.</w:t>
      </w:r>
      <w:r w:rsidR="00A73D5A">
        <w:rPr>
          <w:snapToGrid w:val="0"/>
          <w:szCs w:val="24"/>
        </w:rPr>
        <w:tab/>
      </w:r>
      <w:r w:rsidR="00A73D5A" w:rsidRPr="008A5720">
        <w:rPr>
          <w:snapToGrid w:val="0"/>
          <w:szCs w:val="24"/>
          <w:u w:val="single"/>
        </w:rPr>
        <w:t>Legal Standards</w:t>
      </w:r>
    </w:p>
    <w:p w:rsidR="00A73D5A" w:rsidRDefault="00A73D5A" w:rsidP="00A73D5A">
      <w:pPr>
        <w:spacing w:before="0" w:after="0"/>
        <w:rPr>
          <w:snapToGrid w:val="0"/>
          <w:szCs w:val="24"/>
        </w:rPr>
      </w:pPr>
    </w:p>
    <w:p w:rsidR="006E571F" w:rsidRPr="00346805" w:rsidRDefault="00C07F89" w:rsidP="00C07F89">
      <w:pPr>
        <w:tabs>
          <w:tab w:val="clear" w:pos="1440"/>
          <w:tab w:val="left" w:pos="720"/>
        </w:tabs>
        <w:spacing w:before="0" w:after="0"/>
        <w:rPr>
          <w:snapToGrid w:val="0"/>
          <w:szCs w:val="24"/>
          <w:u w:val="single"/>
        </w:rPr>
      </w:pPr>
      <w:r>
        <w:rPr>
          <w:snapToGrid w:val="0"/>
          <w:szCs w:val="24"/>
        </w:rPr>
        <w:tab/>
      </w:r>
      <w:r w:rsidR="00A73D5A">
        <w:rPr>
          <w:snapToGrid w:val="0"/>
          <w:szCs w:val="24"/>
        </w:rPr>
        <w:t>1.</w:t>
      </w:r>
      <w:r w:rsidR="00A73D5A">
        <w:rPr>
          <w:snapToGrid w:val="0"/>
          <w:szCs w:val="24"/>
        </w:rPr>
        <w:tab/>
      </w:r>
      <w:r w:rsidR="006E571F">
        <w:rPr>
          <w:snapToGrid w:val="0"/>
          <w:szCs w:val="24"/>
          <w:u w:val="single"/>
        </w:rPr>
        <w:t>Burden of Proof</w:t>
      </w:r>
    </w:p>
    <w:p w:rsidR="00A73D5A" w:rsidRDefault="00A73D5A" w:rsidP="00A73D5A">
      <w:pPr>
        <w:suppressAutoHyphens/>
        <w:spacing w:before="0" w:after="0"/>
        <w:ind w:firstLine="1440"/>
        <w:rPr>
          <w:szCs w:val="24"/>
        </w:rPr>
      </w:pPr>
    </w:p>
    <w:p w:rsidR="00A73D5A" w:rsidRDefault="00A73D5A" w:rsidP="00A73D5A">
      <w:pPr>
        <w:suppressAutoHyphens/>
        <w:spacing w:before="0" w:after="0"/>
        <w:ind w:firstLine="1440"/>
        <w:rPr>
          <w:szCs w:val="24"/>
        </w:rPr>
      </w:pPr>
      <w:r>
        <w:rPr>
          <w:szCs w:val="24"/>
        </w:rPr>
        <w:t>I</w:t>
      </w:r>
      <w:r w:rsidRPr="00BF2531">
        <w:rPr>
          <w:szCs w:val="24"/>
        </w:rPr>
        <w:t xml:space="preserve">n this </w:t>
      </w:r>
      <w:proofErr w:type="gramStart"/>
      <w:r w:rsidRPr="00BF2531">
        <w:rPr>
          <w:szCs w:val="24"/>
        </w:rPr>
        <w:t>proceeding</w:t>
      </w:r>
      <w:proofErr w:type="gramEnd"/>
      <w:r>
        <w:rPr>
          <w:szCs w:val="24"/>
        </w:rPr>
        <w:t xml:space="preserve"> Complainant, as the party seeking affirmative relief from the Commission, </w:t>
      </w:r>
      <w:r w:rsidRPr="00BF2531">
        <w:rPr>
          <w:szCs w:val="24"/>
        </w:rPr>
        <w:t>bears the burden of proof pursuant to Section 332(a) of the Public Utility Code</w:t>
      </w:r>
      <w:r>
        <w:rPr>
          <w:szCs w:val="24"/>
        </w:rPr>
        <w:t xml:space="preserve"> (Code)</w:t>
      </w:r>
      <w:r w:rsidRPr="00BF2531">
        <w:rPr>
          <w:szCs w:val="24"/>
        </w:rPr>
        <w:t xml:space="preserve">.  66 </w:t>
      </w:r>
      <w:proofErr w:type="spellStart"/>
      <w:r w:rsidRPr="00BF2531">
        <w:rPr>
          <w:szCs w:val="24"/>
        </w:rPr>
        <w:t>Pa.C.S</w:t>
      </w:r>
      <w:proofErr w:type="spellEnd"/>
      <w:proofErr w:type="gramStart"/>
      <w:r w:rsidRPr="00BF2531">
        <w:rPr>
          <w:szCs w:val="24"/>
        </w:rPr>
        <w:t xml:space="preserve">. </w:t>
      </w:r>
      <w:proofErr w:type="gramEnd"/>
      <w:r w:rsidRPr="00BF2531">
        <w:rPr>
          <w:szCs w:val="24"/>
        </w:rPr>
        <w:t>§</w:t>
      </w:r>
      <w:r w:rsidR="00C07F89">
        <w:rPr>
          <w:szCs w:val="24"/>
        </w:rPr>
        <w:t xml:space="preserve"> </w:t>
      </w:r>
      <w:r w:rsidRPr="00BF2531">
        <w:rPr>
          <w:szCs w:val="24"/>
        </w:rPr>
        <w:t>332(a).  To satisfy this bur</w:t>
      </w:r>
      <w:r w:rsidR="00030923">
        <w:rPr>
          <w:szCs w:val="24"/>
        </w:rPr>
        <w:t xml:space="preserve">den, </w:t>
      </w:r>
      <w:r w:rsidRPr="00BF2531">
        <w:rPr>
          <w:szCs w:val="24"/>
        </w:rPr>
        <w:t xml:space="preserve">Complainant must demonstrate that Respondent </w:t>
      </w:r>
      <w:r w:rsidR="008A5720">
        <w:rPr>
          <w:szCs w:val="24"/>
        </w:rPr>
        <w:t>i</w:t>
      </w:r>
      <w:r w:rsidRPr="00BF2531">
        <w:rPr>
          <w:szCs w:val="24"/>
        </w:rPr>
        <w:t>s responsible for the problem alleged in h</w:t>
      </w:r>
      <w:r w:rsidR="008A5720">
        <w:rPr>
          <w:szCs w:val="24"/>
        </w:rPr>
        <w:t>er</w:t>
      </w:r>
      <w:r w:rsidRPr="00BF2531">
        <w:rPr>
          <w:szCs w:val="24"/>
        </w:rPr>
        <w:t xml:space="preserve"> Complaint through a violation of the Code or a </w:t>
      </w:r>
      <w:r>
        <w:rPr>
          <w:szCs w:val="24"/>
        </w:rPr>
        <w:t>r</w:t>
      </w:r>
      <w:r w:rsidRPr="00BF2531">
        <w:rPr>
          <w:szCs w:val="24"/>
        </w:rPr>
        <w:t xml:space="preserve">egulation or </w:t>
      </w:r>
      <w:r w:rsidR="0006753E">
        <w:rPr>
          <w:szCs w:val="24"/>
        </w:rPr>
        <w:t xml:space="preserve">outstanding </w:t>
      </w:r>
      <w:r>
        <w:rPr>
          <w:szCs w:val="24"/>
        </w:rPr>
        <w:t>o</w:t>
      </w:r>
      <w:r w:rsidRPr="00BF2531">
        <w:rPr>
          <w:szCs w:val="24"/>
        </w:rPr>
        <w:t xml:space="preserve">rder of the Commission.  </w:t>
      </w:r>
      <w:r w:rsidR="0006753E" w:rsidRPr="00BF2531">
        <w:rPr>
          <w:szCs w:val="24"/>
        </w:rPr>
        <w:t xml:space="preserve">66 </w:t>
      </w:r>
      <w:proofErr w:type="spellStart"/>
      <w:r w:rsidR="0006753E" w:rsidRPr="00BF2531">
        <w:rPr>
          <w:szCs w:val="24"/>
        </w:rPr>
        <w:t>Pa.C.S</w:t>
      </w:r>
      <w:proofErr w:type="spellEnd"/>
      <w:proofErr w:type="gramStart"/>
      <w:r w:rsidR="0006753E" w:rsidRPr="00BF2531">
        <w:rPr>
          <w:szCs w:val="24"/>
        </w:rPr>
        <w:t xml:space="preserve">. </w:t>
      </w:r>
      <w:proofErr w:type="gramEnd"/>
      <w:r w:rsidR="0006753E" w:rsidRPr="00BF2531">
        <w:rPr>
          <w:szCs w:val="24"/>
        </w:rPr>
        <w:t>§</w:t>
      </w:r>
      <w:r w:rsidR="00C07F89">
        <w:rPr>
          <w:szCs w:val="24"/>
        </w:rPr>
        <w:t xml:space="preserve"> </w:t>
      </w:r>
      <w:r w:rsidR="0006753E" w:rsidRPr="00BF2531">
        <w:rPr>
          <w:szCs w:val="24"/>
        </w:rPr>
        <w:t>701</w:t>
      </w:r>
      <w:r w:rsidR="0006753E">
        <w:rPr>
          <w:szCs w:val="24"/>
        </w:rPr>
        <w:t xml:space="preserve">.  </w:t>
      </w:r>
      <w:r w:rsidRPr="00BF2531">
        <w:rPr>
          <w:szCs w:val="24"/>
        </w:rPr>
        <w:t xml:space="preserve">This must be </w:t>
      </w:r>
      <w:r>
        <w:rPr>
          <w:szCs w:val="24"/>
        </w:rPr>
        <w:t>established</w:t>
      </w:r>
      <w:r w:rsidRPr="00BF2531">
        <w:rPr>
          <w:szCs w:val="24"/>
        </w:rPr>
        <w:t xml:space="preserve"> by a preponderance of the evidence.  </w:t>
      </w:r>
      <w:r w:rsidRPr="00BF2531">
        <w:rPr>
          <w:i/>
          <w:szCs w:val="24"/>
        </w:rPr>
        <w:t>Patterson v. Bell Telephone Company of Pennsylvania,</w:t>
      </w:r>
      <w:r w:rsidRPr="00BF2531">
        <w:rPr>
          <w:szCs w:val="24"/>
        </w:rPr>
        <w:t xml:space="preserve"> 72 P</w:t>
      </w:r>
      <w:r>
        <w:rPr>
          <w:szCs w:val="24"/>
        </w:rPr>
        <w:t>a.</w:t>
      </w:r>
      <w:r w:rsidRPr="00BF2531">
        <w:rPr>
          <w:szCs w:val="24"/>
        </w:rPr>
        <w:t xml:space="preserve"> PUC 196 (1990).  Preponderance of the evidence means that the party with the burden of proof has presented evidence that is more convincing than that presented by the other party.  </w:t>
      </w:r>
      <w:r w:rsidR="00284D85">
        <w:rPr>
          <w:i/>
          <w:szCs w:val="24"/>
        </w:rPr>
        <w:t xml:space="preserve">Samuel J. </w:t>
      </w:r>
      <w:proofErr w:type="spellStart"/>
      <w:r w:rsidR="00284D85">
        <w:rPr>
          <w:i/>
          <w:szCs w:val="24"/>
        </w:rPr>
        <w:t>Lansberry</w:t>
      </w:r>
      <w:proofErr w:type="spellEnd"/>
      <w:r w:rsidR="00284D85">
        <w:rPr>
          <w:i/>
          <w:szCs w:val="24"/>
        </w:rPr>
        <w:t>, Inc. v. Pa.</w:t>
      </w:r>
      <w:r w:rsidRPr="00BF2531">
        <w:rPr>
          <w:i/>
          <w:szCs w:val="24"/>
        </w:rPr>
        <w:t xml:space="preserve"> P</w:t>
      </w:r>
      <w:r w:rsidR="00C07F89">
        <w:rPr>
          <w:i/>
          <w:szCs w:val="24"/>
        </w:rPr>
        <w:t>ub</w:t>
      </w:r>
      <w:proofErr w:type="gramStart"/>
      <w:r w:rsidR="00284D85">
        <w:rPr>
          <w:i/>
          <w:szCs w:val="24"/>
        </w:rPr>
        <w:t xml:space="preserve">. </w:t>
      </w:r>
      <w:proofErr w:type="gramEnd"/>
      <w:r w:rsidRPr="00BF2531">
        <w:rPr>
          <w:i/>
          <w:szCs w:val="24"/>
        </w:rPr>
        <w:t>U</w:t>
      </w:r>
      <w:r w:rsidR="00C07F89">
        <w:rPr>
          <w:i/>
          <w:szCs w:val="24"/>
        </w:rPr>
        <w:t>til</w:t>
      </w:r>
      <w:r w:rsidRPr="00BF2531">
        <w:rPr>
          <w:i/>
          <w:szCs w:val="24"/>
        </w:rPr>
        <w:t>.</w:t>
      </w:r>
      <w:r w:rsidR="00284D85">
        <w:rPr>
          <w:i/>
          <w:szCs w:val="24"/>
        </w:rPr>
        <w:t xml:space="preserve"> </w:t>
      </w:r>
      <w:proofErr w:type="spellStart"/>
      <w:r w:rsidRPr="00BF2531">
        <w:rPr>
          <w:i/>
          <w:szCs w:val="24"/>
        </w:rPr>
        <w:t>C</w:t>
      </w:r>
      <w:r w:rsidR="00C07F89">
        <w:rPr>
          <w:i/>
          <w:szCs w:val="24"/>
        </w:rPr>
        <w:t>omm’n</w:t>
      </w:r>
      <w:proofErr w:type="spellEnd"/>
      <w:r w:rsidRPr="00BF2531">
        <w:rPr>
          <w:szCs w:val="24"/>
        </w:rPr>
        <w:t>,</w:t>
      </w:r>
      <w:r w:rsidRPr="00BF2531">
        <w:rPr>
          <w:i/>
          <w:szCs w:val="24"/>
        </w:rPr>
        <w:t xml:space="preserve"> </w:t>
      </w:r>
      <w:r w:rsidRPr="00BF2531">
        <w:rPr>
          <w:szCs w:val="24"/>
        </w:rPr>
        <w:t xml:space="preserve">578 A.2d 600, 602, </w:t>
      </w:r>
      <w:proofErr w:type="spellStart"/>
      <w:r w:rsidRPr="00BF2531">
        <w:rPr>
          <w:i/>
          <w:szCs w:val="24"/>
        </w:rPr>
        <w:t>alloc</w:t>
      </w:r>
      <w:proofErr w:type="spellEnd"/>
      <w:proofErr w:type="gramStart"/>
      <w:r w:rsidRPr="00BF2531">
        <w:rPr>
          <w:i/>
          <w:szCs w:val="24"/>
        </w:rPr>
        <w:t xml:space="preserve">. </w:t>
      </w:r>
      <w:proofErr w:type="gramEnd"/>
      <w:r w:rsidRPr="00BF2531">
        <w:rPr>
          <w:i/>
          <w:szCs w:val="24"/>
        </w:rPr>
        <w:t>den</w:t>
      </w:r>
      <w:r w:rsidRPr="00BF2531">
        <w:rPr>
          <w:szCs w:val="24"/>
        </w:rPr>
        <w:t xml:space="preserve">., 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Pr="00BF2531">
        <w:rPr>
          <w:i/>
          <w:szCs w:val="24"/>
        </w:rPr>
        <w:t xml:space="preserve">Norfolk and Western Railway v. Pa. </w:t>
      </w:r>
      <w:r w:rsidR="00C07F89" w:rsidRPr="00C07F89">
        <w:rPr>
          <w:i/>
          <w:szCs w:val="24"/>
        </w:rPr>
        <w:t>Pub</w:t>
      </w:r>
      <w:proofErr w:type="gramStart"/>
      <w:r w:rsidR="00C07F89" w:rsidRPr="00C07F89">
        <w:rPr>
          <w:i/>
          <w:szCs w:val="24"/>
        </w:rPr>
        <w:t>.</w:t>
      </w:r>
      <w:r w:rsidR="00284D85">
        <w:rPr>
          <w:i/>
          <w:szCs w:val="24"/>
        </w:rPr>
        <w:t xml:space="preserve"> </w:t>
      </w:r>
      <w:proofErr w:type="gramEnd"/>
      <w:r w:rsidR="00C07F89" w:rsidRPr="00C07F89">
        <w:rPr>
          <w:i/>
          <w:szCs w:val="24"/>
        </w:rPr>
        <w:t>Util.</w:t>
      </w:r>
      <w:r w:rsidR="00284D85">
        <w:rPr>
          <w:i/>
          <w:szCs w:val="24"/>
        </w:rPr>
        <w:t xml:space="preserve"> </w:t>
      </w:r>
      <w:proofErr w:type="spellStart"/>
      <w:r w:rsidR="00C07F89" w:rsidRPr="00C07F89">
        <w:rPr>
          <w:i/>
          <w:szCs w:val="24"/>
        </w:rPr>
        <w:t>Comm’n</w:t>
      </w:r>
      <w:proofErr w:type="spellEnd"/>
      <w:r w:rsidRPr="00BF2531">
        <w:rPr>
          <w:szCs w:val="24"/>
        </w:rPr>
        <w:t>, 489 Pa. 109, 413 A.2d 1037 (1980).</w:t>
      </w:r>
    </w:p>
    <w:p w:rsidR="00A73D5A" w:rsidRDefault="00A73D5A" w:rsidP="00A73D5A">
      <w:pPr>
        <w:spacing w:before="0" w:after="0"/>
        <w:ind w:firstLine="1440"/>
        <w:rPr>
          <w:szCs w:val="24"/>
        </w:rPr>
      </w:pPr>
    </w:p>
    <w:p w:rsidR="00A73D5A" w:rsidRDefault="00A73D5A" w:rsidP="00A73D5A">
      <w:pPr>
        <w:spacing w:before="0" w:after="0"/>
        <w:ind w:firstLine="1440"/>
        <w:rPr>
          <w:szCs w:val="24"/>
        </w:rPr>
      </w:pPr>
      <w:r>
        <w:rPr>
          <w:szCs w:val="24"/>
        </w:rPr>
        <w:t>U</w:t>
      </w:r>
      <w:r w:rsidRPr="00BF2531">
        <w:rPr>
          <w:szCs w:val="24"/>
        </w:rPr>
        <w:t xml:space="preserve">pon the presentation by the Complainant of evidence sufficient to initially </w:t>
      </w:r>
    </w:p>
    <w:p w:rsidR="00A73D5A" w:rsidRDefault="00A73D5A" w:rsidP="00B36BB5">
      <w:pPr>
        <w:spacing w:before="0" w:after="0"/>
        <w:rPr>
          <w:szCs w:val="24"/>
        </w:rPr>
      </w:pPr>
      <w:proofErr w:type="gramStart"/>
      <w:r w:rsidRPr="00BF2531">
        <w:rPr>
          <w:szCs w:val="24"/>
        </w:rPr>
        <w:t>satisfy</w:t>
      </w:r>
      <w:proofErr w:type="gramEnd"/>
      <w:r w:rsidRPr="00BF2531">
        <w:rPr>
          <w:szCs w:val="24"/>
        </w:rPr>
        <w:t xml:space="preserve"> the burden of proof, the burden of going forward with the evidence, to rebut the evidence of the Complainant, shifts to </w:t>
      </w:r>
      <w:r>
        <w:rPr>
          <w:szCs w:val="24"/>
        </w:rPr>
        <w:t>Respondent</w:t>
      </w:r>
      <w:r w:rsidRPr="00BF2531">
        <w:rPr>
          <w:szCs w:val="24"/>
        </w:rPr>
        <w:t xml:space="preserve">.  If the evidence presented by </w:t>
      </w:r>
      <w:r>
        <w:rPr>
          <w:szCs w:val="24"/>
        </w:rPr>
        <w:t>Respondent is</w:t>
      </w:r>
      <w:r w:rsidRPr="00BF2531">
        <w:rPr>
          <w:szCs w:val="24"/>
        </w:rPr>
        <w:t xml:space="preserve"> of co</w:t>
      </w:r>
      <w:r>
        <w:rPr>
          <w:szCs w:val="24"/>
        </w:rPr>
        <w:noBreakHyphen/>
      </w:r>
      <w:r w:rsidRPr="00BF2531">
        <w:rPr>
          <w:szCs w:val="24"/>
        </w:rPr>
        <w:t>equal weight, the Complainant has not satisfied h</w:t>
      </w:r>
      <w:r w:rsidR="0006753E">
        <w:rPr>
          <w:szCs w:val="24"/>
        </w:rPr>
        <w:t>er</w:t>
      </w:r>
      <w:r w:rsidRPr="00BF2531">
        <w:rPr>
          <w:szCs w:val="24"/>
        </w:rPr>
        <w:t xml:space="preserve"> burden of proof.  The Complainant now has to provide some additional evidence to rebut that of </w:t>
      </w:r>
      <w:r>
        <w:rPr>
          <w:szCs w:val="24"/>
        </w:rPr>
        <w:t>Respondent</w:t>
      </w:r>
      <w:r w:rsidRPr="00BF2531">
        <w:rPr>
          <w:szCs w:val="24"/>
        </w:rPr>
        <w:t xml:space="preserve">. </w:t>
      </w:r>
      <w:r w:rsidRPr="00BF2531">
        <w:rPr>
          <w:iCs/>
          <w:szCs w:val="24"/>
        </w:rPr>
        <w:t xml:space="preserve"> </w:t>
      </w:r>
      <w:r w:rsidRPr="00C0536A">
        <w:rPr>
          <w:i/>
          <w:iCs/>
          <w:szCs w:val="24"/>
        </w:rPr>
        <w:t xml:space="preserve">Burleson v. Pa. </w:t>
      </w:r>
      <w:r w:rsidR="00C07F89" w:rsidRPr="00C07F89">
        <w:rPr>
          <w:i/>
          <w:iCs/>
          <w:szCs w:val="24"/>
        </w:rPr>
        <w:t>Pub</w:t>
      </w:r>
      <w:proofErr w:type="gramStart"/>
      <w:r w:rsidR="00C07F89" w:rsidRPr="00C07F89">
        <w:rPr>
          <w:i/>
          <w:iCs/>
          <w:szCs w:val="24"/>
        </w:rPr>
        <w:t>.</w:t>
      </w:r>
      <w:r w:rsidR="00284D85">
        <w:rPr>
          <w:i/>
          <w:iCs/>
          <w:szCs w:val="24"/>
        </w:rPr>
        <w:t xml:space="preserve"> </w:t>
      </w:r>
      <w:proofErr w:type="gramEnd"/>
      <w:r w:rsidR="00C07F89" w:rsidRPr="00C07F89">
        <w:rPr>
          <w:i/>
          <w:iCs/>
          <w:szCs w:val="24"/>
        </w:rPr>
        <w:t>Util.</w:t>
      </w:r>
      <w:r w:rsidR="00284D85">
        <w:rPr>
          <w:i/>
          <w:iCs/>
          <w:szCs w:val="24"/>
        </w:rPr>
        <w:t xml:space="preserve"> </w:t>
      </w:r>
      <w:proofErr w:type="spellStart"/>
      <w:r w:rsidR="00C07F89" w:rsidRPr="00C07F89">
        <w:rPr>
          <w:i/>
          <w:iCs/>
          <w:szCs w:val="24"/>
        </w:rPr>
        <w:t>Comm’n</w:t>
      </w:r>
      <w:proofErr w:type="spellEnd"/>
      <w:r w:rsidR="00924A9D">
        <w:rPr>
          <w:iCs/>
          <w:szCs w:val="24"/>
        </w:rPr>
        <w:t>, 443 A.2d 1373 (</w:t>
      </w:r>
      <w:proofErr w:type="spellStart"/>
      <w:r w:rsidR="00924A9D">
        <w:rPr>
          <w:iCs/>
          <w:szCs w:val="24"/>
        </w:rPr>
        <w:t>Pa.</w:t>
      </w:r>
      <w:r w:rsidRPr="00C0536A">
        <w:rPr>
          <w:iCs/>
          <w:szCs w:val="24"/>
        </w:rPr>
        <w:t>Cmwlth</w:t>
      </w:r>
      <w:proofErr w:type="spellEnd"/>
      <w:r w:rsidRPr="00C0536A">
        <w:rPr>
          <w:iCs/>
          <w:szCs w:val="24"/>
        </w:rPr>
        <w:t xml:space="preserve">. 1982), </w:t>
      </w:r>
      <w:proofErr w:type="gramStart"/>
      <w:r w:rsidRPr="00C0536A">
        <w:rPr>
          <w:iCs/>
          <w:szCs w:val="24"/>
        </w:rPr>
        <w:t>aff’d</w:t>
      </w:r>
      <w:proofErr w:type="gramEnd"/>
      <w:r w:rsidRPr="00C0536A">
        <w:rPr>
          <w:iCs/>
          <w:szCs w:val="24"/>
        </w:rPr>
        <w:t>, 501 Pa. 433, 461 A.2d 1234 (1983).</w:t>
      </w:r>
      <w:r w:rsidR="00B36BB5">
        <w:rPr>
          <w:iCs/>
          <w:szCs w:val="24"/>
        </w:rPr>
        <w:t xml:space="preserve">  </w:t>
      </w:r>
      <w:r w:rsidRPr="00BF2531">
        <w:rPr>
          <w:szCs w:val="24"/>
        </w:rPr>
        <w:t xml:space="preserve">While the burden of persuasion may </w:t>
      </w:r>
      <w:r w:rsidRPr="0059290B">
        <w:rPr>
          <w:rStyle w:val="term1"/>
          <w:b w:val="0"/>
          <w:szCs w:val="24"/>
        </w:rPr>
        <w:t>shift</w:t>
      </w:r>
      <w:r w:rsidRPr="00BF2531">
        <w:rPr>
          <w:szCs w:val="24"/>
        </w:rPr>
        <w:t xml:space="preserve"> back and forth during a proceeding, the </w:t>
      </w:r>
      <w:r w:rsidRPr="0059290B">
        <w:rPr>
          <w:rStyle w:val="term1"/>
          <w:b w:val="0"/>
          <w:szCs w:val="24"/>
        </w:rPr>
        <w:t>burden of proof</w:t>
      </w:r>
      <w:r w:rsidRPr="0059290B">
        <w:rPr>
          <w:b/>
          <w:szCs w:val="24"/>
        </w:rPr>
        <w:t xml:space="preserve"> </w:t>
      </w:r>
      <w:r w:rsidRPr="0059290B">
        <w:rPr>
          <w:szCs w:val="24"/>
        </w:rPr>
        <w:t>never</w:t>
      </w:r>
      <w:r w:rsidRPr="0059290B">
        <w:rPr>
          <w:b/>
          <w:szCs w:val="24"/>
        </w:rPr>
        <w:t xml:space="preserve"> </w:t>
      </w:r>
      <w:r w:rsidRPr="0059290B">
        <w:rPr>
          <w:rStyle w:val="term1"/>
          <w:b w:val="0"/>
          <w:szCs w:val="24"/>
        </w:rPr>
        <w:t>shifts</w:t>
      </w:r>
      <w:r w:rsidRPr="0060513E">
        <w:rPr>
          <w:rStyle w:val="term1"/>
          <w:szCs w:val="24"/>
        </w:rPr>
        <w:t xml:space="preserve">. </w:t>
      </w:r>
      <w:r w:rsidRPr="00BF2531">
        <w:rPr>
          <w:rStyle w:val="term1"/>
          <w:szCs w:val="24"/>
        </w:rPr>
        <w:t xml:space="preserve"> </w:t>
      </w:r>
      <w:r w:rsidRPr="0059290B">
        <w:rPr>
          <w:rStyle w:val="term1"/>
          <w:b w:val="0"/>
          <w:szCs w:val="24"/>
        </w:rPr>
        <w:t>The burden of proof</w:t>
      </w:r>
      <w:r w:rsidRPr="00BF2531">
        <w:rPr>
          <w:szCs w:val="24"/>
        </w:rPr>
        <w:t xml:space="preserve"> always remains on the party seeking affirmative relief from the Commission.  </w:t>
      </w:r>
      <w:proofErr w:type="spellStart"/>
      <w:r w:rsidRPr="00BF2531">
        <w:rPr>
          <w:i/>
          <w:szCs w:val="24"/>
        </w:rPr>
        <w:t>Milkie</w:t>
      </w:r>
      <w:proofErr w:type="spellEnd"/>
      <w:r w:rsidRPr="00BF2531">
        <w:rPr>
          <w:i/>
          <w:szCs w:val="24"/>
        </w:rPr>
        <w:t xml:space="preserve"> v. Pa. </w:t>
      </w:r>
      <w:r w:rsidR="00924A9D" w:rsidRPr="00924A9D">
        <w:rPr>
          <w:i/>
          <w:szCs w:val="24"/>
        </w:rPr>
        <w:t>Pub</w:t>
      </w:r>
      <w:proofErr w:type="gramStart"/>
      <w:r w:rsidR="00924A9D" w:rsidRPr="00924A9D">
        <w:rPr>
          <w:i/>
          <w:szCs w:val="24"/>
        </w:rPr>
        <w:t>.</w:t>
      </w:r>
      <w:r w:rsidR="00284D85">
        <w:rPr>
          <w:i/>
          <w:szCs w:val="24"/>
        </w:rPr>
        <w:t xml:space="preserve"> </w:t>
      </w:r>
      <w:proofErr w:type="gramEnd"/>
      <w:r w:rsidR="00924A9D" w:rsidRPr="00924A9D">
        <w:rPr>
          <w:i/>
          <w:szCs w:val="24"/>
        </w:rPr>
        <w:t>Util.</w:t>
      </w:r>
      <w:r w:rsidR="00284D85">
        <w:rPr>
          <w:i/>
          <w:szCs w:val="24"/>
        </w:rPr>
        <w:t xml:space="preserve"> </w:t>
      </w:r>
      <w:proofErr w:type="spellStart"/>
      <w:r w:rsidR="00924A9D" w:rsidRPr="00924A9D">
        <w:rPr>
          <w:i/>
          <w:szCs w:val="24"/>
        </w:rPr>
        <w:t>Comm’n</w:t>
      </w:r>
      <w:proofErr w:type="spellEnd"/>
      <w:r w:rsidRPr="00BF2531">
        <w:rPr>
          <w:i/>
          <w:szCs w:val="24"/>
        </w:rPr>
        <w:t xml:space="preserve">, </w:t>
      </w:r>
      <w:r w:rsidR="00924A9D">
        <w:rPr>
          <w:szCs w:val="24"/>
        </w:rPr>
        <w:t>768 A.2d 1217 (</w:t>
      </w:r>
      <w:proofErr w:type="spellStart"/>
      <w:r w:rsidR="00924A9D">
        <w:rPr>
          <w:szCs w:val="24"/>
        </w:rPr>
        <w:t>Pa.</w:t>
      </w:r>
      <w:r w:rsidRPr="00BF2531">
        <w:rPr>
          <w:szCs w:val="24"/>
        </w:rPr>
        <w:t>Cmwlth</w:t>
      </w:r>
      <w:proofErr w:type="spellEnd"/>
      <w:r w:rsidRPr="00BF2531">
        <w:rPr>
          <w:szCs w:val="24"/>
        </w:rPr>
        <w:t>. 2001).</w:t>
      </w:r>
    </w:p>
    <w:p w:rsidR="008A5720" w:rsidRDefault="008A5720" w:rsidP="00A73D5A">
      <w:pPr>
        <w:spacing w:before="0" w:after="0"/>
        <w:rPr>
          <w:szCs w:val="24"/>
        </w:rPr>
      </w:pPr>
    </w:p>
    <w:p w:rsidR="00A73D5A" w:rsidRDefault="00A73D5A" w:rsidP="00924A9D">
      <w:pPr>
        <w:tabs>
          <w:tab w:val="clear" w:pos="1440"/>
          <w:tab w:val="left" w:pos="720"/>
        </w:tabs>
        <w:spacing w:before="0" w:after="0"/>
        <w:rPr>
          <w:szCs w:val="24"/>
          <w:u w:val="single"/>
        </w:rPr>
      </w:pPr>
      <w:r>
        <w:rPr>
          <w:szCs w:val="24"/>
        </w:rPr>
        <w:lastRenderedPageBreak/>
        <w:tab/>
      </w:r>
      <w:r w:rsidR="0006753E">
        <w:rPr>
          <w:szCs w:val="24"/>
        </w:rPr>
        <w:t>2</w:t>
      </w:r>
      <w:r>
        <w:rPr>
          <w:szCs w:val="24"/>
        </w:rPr>
        <w:t>.</w:t>
      </w:r>
      <w:r>
        <w:rPr>
          <w:szCs w:val="24"/>
        </w:rPr>
        <w:tab/>
      </w:r>
      <w:r>
        <w:rPr>
          <w:szCs w:val="24"/>
          <w:u w:val="single"/>
        </w:rPr>
        <w:t>Service Termination</w:t>
      </w:r>
    </w:p>
    <w:p w:rsidR="00A73D5A" w:rsidRPr="00A73D5A" w:rsidRDefault="00A73D5A" w:rsidP="00A73D5A">
      <w:pPr>
        <w:spacing w:before="0" w:after="0"/>
        <w:rPr>
          <w:szCs w:val="24"/>
          <w:u w:val="single"/>
        </w:rPr>
      </w:pPr>
    </w:p>
    <w:p w:rsidR="00A73D5A" w:rsidRPr="00ED6B9C" w:rsidRDefault="00A73D5A" w:rsidP="00A73D5A">
      <w:pPr>
        <w:spacing w:before="0" w:after="0"/>
        <w:rPr>
          <w:szCs w:val="24"/>
        </w:rPr>
      </w:pPr>
      <w:r>
        <w:rPr>
          <w:szCs w:val="24"/>
        </w:rPr>
        <w:tab/>
      </w:r>
      <w:r w:rsidRPr="00ED6B9C">
        <w:rPr>
          <w:szCs w:val="24"/>
        </w:rPr>
        <w:t>Section 1406 of the Code</w:t>
      </w:r>
      <w:r w:rsidR="0072691A">
        <w:rPr>
          <w:szCs w:val="24"/>
        </w:rPr>
        <w:t>,</w:t>
      </w:r>
      <w:r w:rsidRPr="00ED6B9C">
        <w:rPr>
          <w:szCs w:val="24"/>
        </w:rPr>
        <w:t xml:space="preserve"> </w:t>
      </w:r>
      <w:r w:rsidR="0072691A" w:rsidRPr="0072691A">
        <w:rPr>
          <w:szCs w:val="24"/>
        </w:rPr>
        <w:t xml:space="preserve">66 </w:t>
      </w:r>
      <w:proofErr w:type="spellStart"/>
      <w:r w:rsidR="0072691A" w:rsidRPr="0072691A">
        <w:rPr>
          <w:szCs w:val="24"/>
        </w:rPr>
        <w:t>Pa.C.S</w:t>
      </w:r>
      <w:proofErr w:type="spellEnd"/>
      <w:proofErr w:type="gramStart"/>
      <w:r w:rsidR="0072691A" w:rsidRPr="0072691A">
        <w:rPr>
          <w:szCs w:val="24"/>
        </w:rPr>
        <w:t xml:space="preserve">. </w:t>
      </w:r>
      <w:proofErr w:type="gramEnd"/>
      <w:r w:rsidR="0072691A" w:rsidRPr="0072691A">
        <w:rPr>
          <w:szCs w:val="24"/>
        </w:rPr>
        <w:t>§ 1406</w:t>
      </w:r>
      <w:r w:rsidR="0072691A">
        <w:rPr>
          <w:szCs w:val="24"/>
        </w:rPr>
        <w:t xml:space="preserve">, </w:t>
      </w:r>
      <w:r w:rsidRPr="00ED6B9C">
        <w:rPr>
          <w:szCs w:val="24"/>
        </w:rPr>
        <w:t>permits a utility company to terminate service under certain conditions and outlines the procedure the company must follow in order to terminate service.  Section 1406, in relevant part, states:</w:t>
      </w:r>
    </w:p>
    <w:p w:rsidR="00A73D5A" w:rsidRPr="00ED6B9C" w:rsidRDefault="00A73D5A" w:rsidP="00A73D5A">
      <w:pPr>
        <w:spacing w:before="0" w:after="0"/>
        <w:ind w:left="1440" w:right="1080"/>
        <w:rPr>
          <w:szCs w:val="24"/>
        </w:rPr>
      </w:pPr>
    </w:p>
    <w:p w:rsidR="00A73D5A" w:rsidRPr="00ED6B9C" w:rsidRDefault="00A73D5A" w:rsidP="00A73D5A">
      <w:pPr>
        <w:spacing w:before="0" w:after="0" w:line="240" w:lineRule="auto"/>
        <w:ind w:left="1440" w:right="1080"/>
        <w:rPr>
          <w:szCs w:val="24"/>
        </w:rPr>
      </w:pPr>
      <w:r w:rsidRPr="00ED6B9C">
        <w:rPr>
          <w:szCs w:val="24"/>
        </w:rPr>
        <w:tab/>
        <w:t>(a) Authorized termination</w:t>
      </w:r>
      <w:proofErr w:type="gramStart"/>
      <w:r w:rsidRPr="00ED6B9C">
        <w:rPr>
          <w:szCs w:val="24"/>
        </w:rPr>
        <w:t xml:space="preserve">. </w:t>
      </w:r>
      <w:proofErr w:type="gramEnd"/>
      <w:r w:rsidRPr="00ED6B9C">
        <w:rPr>
          <w:szCs w:val="24"/>
        </w:rPr>
        <w:t>— A public utility may notify a customer and terminate service provided to a customer after notice as provided in subsection (b) for any of the following actions by the customer.</w:t>
      </w:r>
    </w:p>
    <w:p w:rsidR="00A73D5A" w:rsidRPr="00ED6B9C" w:rsidRDefault="00A73D5A" w:rsidP="00A73D5A">
      <w:pPr>
        <w:spacing w:before="0" w:after="0" w:line="240" w:lineRule="auto"/>
        <w:ind w:left="1440" w:right="1080"/>
        <w:rPr>
          <w:szCs w:val="24"/>
        </w:rPr>
      </w:pPr>
    </w:p>
    <w:p w:rsidR="00A73D5A" w:rsidRPr="00ED6B9C" w:rsidRDefault="00A73D5A" w:rsidP="00A73D5A">
      <w:pPr>
        <w:spacing w:before="0" w:after="0" w:line="240" w:lineRule="auto"/>
        <w:ind w:left="1440" w:right="1080"/>
        <w:rPr>
          <w:szCs w:val="24"/>
        </w:rPr>
      </w:pPr>
      <w:r w:rsidRPr="00ED6B9C">
        <w:rPr>
          <w:szCs w:val="24"/>
        </w:rPr>
        <w:tab/>
        <w:t xml:space="preserve">    (1)  Nonpayment of an undisputed delinquent account.</w:t>
      </w:r>
    </w:p>
    <w:p w:rsidR="00A73D5A" w:rsidRPr="00ED6B9C" w:rsidRDefault="00A73D5A" w:rsidP="00A73D5A">
      <w:pPr>
        <w:spacing w:before="0" w:after="0" w:line="240" w:lineRule="auto"/>
        <w:ind w:left="1440" w:right="1080"/>
        <w:rPr>
          <w:szCs w:val="24"/>
        </w:rPr>
      </w:pPr>
      <w:r w:rsidRPr="00ED6B9C">
        <w:rPr>
          <w:szCs w:val="24"/>
        </w:rPr>
        <w:tab/>
      </w:r>
    </w:p>
    <w:p w:rsidR="00A73D5A" w:rsidRPr="00ED6B9C" w:rsidRDefault="00A73D5A" w:rsidP="00A73D5A">
      <w:pPr>
        <w:spacing w:before="0" w:after="0" w:line="240" w:lineRule="auto"/>
        <w:ind w:left="1440" w:right="1080"/>
        <w:rPr>
          <w:szCs w:val="24"/>
        </w:rPr>
      </w:pPr>
      <w:r w:rsidRPr="00ED6B9C">
        <w:rPr>
          <w:szCs w:val="24"/>
        </w:rPr>
        <w:tab/>
        <w:t xml:space="preserve">    ….</w:t>
      </w:r>
    </w:p>
    <w:p w:rsidR="00A73D5A" w:rsidRPr="00ED6B9C" w:rsidRDefault="00A73D5A" w:rsidP="00A73D5A">
      <w:pPr>
        <w:spacing w:before="0" w:after="0" w:line="240" w:lineRule="auto"/>
        <w:ind w:left="1440" w:right="1080"/>
        <w:rPr>
          <w:szCs w:val="24"/>
        </w:rPr>
      </w:pPr>
      <w:r w:rsidRPr="00ED6B9C">
        <w:rPr>
          <w:szCs w:val="24"/>
        </w:rPr>
        <w:tab/>
      </w:r>
    </w:p>
    <w:p w:rsidR="00A73D5A" w:rsidRPr="00ED6B9C" w:rsidRDefault="00A73D5A" w:rsidP="00A73D5A">
      <w:pPr>
        <w:spacing w:before="0" w:after="0" w:line="240" w:lineRule="auto"/>
        <w:ind w:left="1440" w:right="1080"/>
        <w:rPr>
          <w:szCs w:val="24"/>
        </w:rPr>
      </w:pPr>
      <w:r w:rsidRPr="00ED6B9C">
        <w:rPr>
          <w:szCs w:val="24"/>
        </w:rPr>
        <w:tab/>
        <w:t>(b)  Notice of termination of service.—</w:t>
      </w:r>
    </w:p>
    <w:p w:rsidR="00A73D5A" w:rsidRPr="00ED6B9C" w:rsidRDefault="00A73D5A" w:rsidP="00A73D5A">
      <w:pPr>
        <w:spacing w:before="0" w:after="0" w:line="240" w:lineRule="auto"/>
        <w:ind w:left="1440" w:right="1080"/>
        <w:rPr>
          <w:szCs w:val="24"/>
        </w:rPr>
      </w:pPr>
    </w:p>
    <w:p w:rsidR="00A73D5A" w:rsidRPr="00ED6B9C" w:rsidRDefault="00A73D5A" w:rsidP="00A73D5A">
      <w:pPr>
        <w:spacing w:before="0" w:after="0" w:line="240" w:lineRule="auto"/>
        <w:ind w:left="1440" w:right="1080"/>
        <w:rPr>
          <w:szCs w:val="24"/>
        </w:rPr>
      </w:pPr>
      <w:r w:rsidRPr="00ED6B9C">
        <w:rPr>
          <w:szCs w:val="24"/>
        </w:rPr>
        <w:tab/>
        <w:t xml:space="preserve">    (1)</w:t>
      </w:r>
      <w:r w:rsidR="0059290B">
        <w:rPr>
          <w:szCs w:val="24"/>
        </w:rPr>
        <w:t xml:space="preserve">    </w:t>
      </w:r>
      <w:proofErr w:type="gramStart"/>
      <w:r w:rsidR="0059290B">
        <w:rPr>
          <w:szCs w:val="24"/>
        </w:rPr>
        <w:t>Prior</w:t>
      </w:r>
      <w:proofErr w:type="gramEnd"/>
      <w:r w:rsidR="0059290B">
        <w:rPr>
          <w:szCs w:val="24"/>
        </w:rPr>
        <w:t xml:space="preserve"> </w:t>
      </w:r>
      <w:r w:rsidRPr="00ED6B9C">
        <w:rPr>
          <w:szCs w:val="24"/>
        </w:rPr>
        <w:t xml:space="preserve">to terminating service under subsection (a), a </w:t>
      </w:r>
      <w:r w:rsidRPr="00ED6B9C">
        <w:rPr>
          <w:szCs w:val="24"/>
        </w:rPr>
        <w:tab/>
      </w:r>
      <w:r w:rsidRPr="00ED6B9C">
        <w:rPr>
          <w:szCs w:val="24"/>
        </w:rPr>
        <w:tab/>
        <w:t xml:space="preserve">public utility: </w:t>
      </w:r>
    </w:p>
    <w:p w:rsidR="00A73D5A" w:rsidRPr="00ED6B9C" w:rsidRDefault="00A73D5A" w:rsidP="00A73D5A">
      <w:pPr>
        <w:spacing w:before="0" w:after="0" w:line="240" w:lineRule="auto"/>
        <w:ind w:left="1440" w:right="1080"/>
        <w:rPr>
          <w:szCs w:val="24"/>
        </w:rPr>
      </w:pPr>
    </w:p>
    <w:p w:rsidR="00A73D5A" w:rsidRPr="00ED6B9C" w:rsidRDefault="00A73D5A" w:rsidP="00A73D5A">
      <w:pPr>
        <w:spacing w:before="0" w:after="0" w:line="240" w:lineRule="auto"/>
        <w:ind w:left="1440" w:right="1080"/>
        <w:rPr>
          <w:szCs w:val="24"/>
        </w:rPr>
      </w:pPr>
      <w:r w:rsidRPr="00ED6B9C">
        <w:rPr>
          <w:szCs w:val="24"/>
        </w:rPr>
        <w:tab/>
        <w:t xml:space="preserve">        (</w:t>
      </w:r>
      <w:proofErr w:type="spellStart"/>
      <w:r w:rsidRPr="00ED6B9C">
        <w:rPr>
          <w:szCs w:val="24"/>
        </w:rPr>
        <w:t>i</w:t>
      </w:r>
      <w:proofErr w:type="spellEnd"/>
      <w:r w:rsidRPr="00ED6B9C">
        <w:rPr>
          <w:szCs w:val="24"/>
        </w:rPr>
        <w:t xml:space="preserve">)  Shall provide written notice of the termination to the </w:t>
      </w:r>
      <w:r w:rsidRPr="00ED6B9C">
        <w:rPr>
          <w:szCs w:val="24"/>
        </w:rPr>
        <w:tab/>
        <w:t xml:space="preserve">     customer at least ten days prior to the date of the proposed </w:t>
      </w:r>
      <w:r w:rsidRPr="00ED6B9C">
        <w:rPr>
          <w:szCs w:val="24"/>
        </w:rPr>
        <w:tab/>
        <w:t xml:space="preserve">     termination. </w:t>
      </w:r>
    </w:p>
    <w:p w:rsidR="00A73D5A" w:rsidRPr="00ED6B9C" w:rsidRDefault="00A73D5A" w:rsidP="00A73D5A">
      <w:pPr>
        <w:spacing w:before="0" w:after="0" w:line="240" w:lineRule="auto"/>
        <w:ind w:left="1440" w:right="1080"/>
        <w:rPr>
          <w:szCs w:val="24"/>
        </w:rPr>
      </w:pPr>
    </w:p>
    <w:p w:rsidR="00A73D5A" w:rsidRPr="00ED6B9C" w:rsidRDefault="00A73D5A" w:rsidP="00A73D5A">
      <w:pPr>
        <w:spacing w:before="0" w:after="0" w:line="240" w:lineRule="auto"/>
        <w:ind w:left="1440" w:right="1080"/>
        <w:rPr>
          <w:szCs w:val="24"/>
        </w:rPr>
      </w:pPr>
      <w:r w:rsidRPr="00ED6B9C">
        <w:rPr>
          <w:szCs w:val="24"/>
        </w:rPr>
        <w:tab/>
        <w:t xml:space="preserve">        (ii)  Shall attempt to contact the customer or occupant, </w:t>
      </w:r>
      <w:r w:rsidRPr="00ED6B9C">
        <w:rPr>
          <w:szCs w:val="24"/>
        </w:rPr>
        <w:tab/>
        <w:t xml:space="preserve">      either in person or by telephone to provide notice of the </w:t>
      </w:r>
      <w:r w:rsidRPr="00ED6B9C">
        <w:rPr>
          <w:szCs w:val="24"/>
        </w:rPr>
        <w:tab/>
        <w:t xml:space="preserve">      proposed termination at least three days prior to the           </w:t>
      </w:r>
      <w:r w:rsidRPr="00ED6B9C">
        <w:rPr>
          <w:szCs w:val="24"/>
        </w:rPr>
        <w:tab/>
        <w:t xml:space="preserve">      scheduled termination.  Phone contact shall be deemed  </w:t>
      </w:r>
      <w:r w:rsidRPr="00ED6B9C">
        <w:rPr>
          <w:szCs w:val="24"/>
        </w:rPr>
        <w:tab/>
        <w:t xml:space="preserve">   </w:t>
      </w:r>
      <w:r w:rsidRPr="00ED6B9C">
        <w:rPr>
          <w:szCs w:val="24"/>
        </w:rPr>
        <w:tab/>
        <w:t xml:space="preserve">      completed upon attempted calls on two separate days to </w:t>
      </w:r>
      <w:r>
        <w:rPr>
          <w:szCs w:val="24"/>
        </w:rPr>
        <w:tab/>
        <w:t xml:space="preserve">      t</w:t>
      </w:r>
      <w:r w:rsidRPr="00ED6B9C">
        <w:rPr>
          <w:szCs w:val="24"/>
        </w:rPr>
        <w:t xml:space="preserve">he residence between the hours of 7 a.m. and 9 p.m. if the </w:t>
      </w:r>
      <w:r>
        <w:rPr>
          <w:szCs w:val="24"/>
        </w:rPr>
        <w:tab/>
        <w:t xml:space="preserve">      </w:t>
      </w:r>
      <w:r w:rsidRPr="00ED6B9C">
        <w:rPr>
          <w:szCs w:val="24"/>
        </w:rPr>
        <w:t>calls were made at various times each day.</w:t>
      </w:r>
    </w:p>
    <w:p w:rsidR="006E571F" w:rsidRDefault="00A73D5A" w:rsidP="00947BB8">
      <w:pPr>
        <w:spacing w:before="0" w:after="0"/>
        <w:ind w:left="1440" w:right="1080"/>
        <w:rPr>
          <w:snapToGrid w:val="0"/>
          <w:color w:val="FF0000"/>
          <w:szCs w:val="24"/>
        </w:rPr>
      </w:pPr>
      <w:r w:rsidRPr="00ED6B9C">
        <w:rPr>
          <w:szCs w:val="24"/>
        </w:rPr>
        <w:t xml:space="preserve">      </w:t>
      </w:r>
    </w:p>
    <w:p w:rsidR="006E571F" w:rsidRPr="00346805" w:rsidRDefault="0006753E" w:rsidP="00924A9D">
      <w:pPr>
        <w:tabs>
          <w:tab w:val="clear" w:pos="1440"/>
          <w:tab w:val="left" w:pos="720"/>
        </w:tabs>
        <w:spacing w:before="0" w:after="0"/>
        <w:rPr>
          <w:snapToGrid w:val="0"/>
          <w:szCs w:val="24"/>
        </w:rPr>
      </w:pPr>
      <w:r>
        <w:rPr>
          <w:snapToGrid w:val="0"/>
          <w:szCs w:val="24"/>
        </w:rPr>
        <w:tab/>
        <w:t>3.</w:t>
      </w:r>
      <w:r w:rsidR="006E571F">
        <w:rPr>
          <w:snapToGrid w:val="0"/>
          <w:szCs w:val="24"/>
        </w:rPr>
        <w:tab/>
      </w:r>
      <w:r w:rsidRPr="0006753E">
        <w:rPr>
          <w:snapToGrid w:val="0"/>
          <w:szCs w:val="24"/>
          <w:u w:val="single"/>
        </w:rPr>
        <w:t>Payment Arrangement</w:t>
      </w:r>
      <w:r w:rsidR="006E571F" w:rsidRPr="00346805">
        <w:rPr>
          <w:snapToGrid w:val="0"/>
          <w:szCs w:val="24"/>
          <w:u w:val="single"/>
        </w:rPr>
        <w:t>s</w:t>
      </w:r>
    </w:p>
    <w:p w:rsidR="00AB7B65" w:rsidRDefault="00AB7B65" w:rsidP="006A47F3">
      <w:pPr>
        <w:tabs>
          <w:tab w:val="clear" w:pos="1440"/>
        </w:tabs>
        <w:spacing w:before="0" w:after="0"/>
        <w:rPr>
          <w:rFonts w:eastAsiaTheme="minorHAnsi" w:cstheme="minorBidi"/>
          <w:szCs w:val="22"/>
        </w:rPr>
      </w:pPr>
    </w:p>
    <w:p w:rsidR="007B06EB" w:rsidRDefault="007B06EB" w:rsidP="007B06EB">
      <w:pPr>
        <w:autoSpaceDE w:val="0"/>
        <w:autoSpaceDN w:val="0"/>
        <w:spacing w:before="0" w:after="0"/>
        <w:rPr>
          <w:color w:val="000000"/>
          <w:szCs w:val="24"/>
        </w:rPr>
      </w:pPr>
      <w:r w:rsidRPr="007B06EB">
        <w:rPr>
          <w:szCs w:val="24"/>
        </w:rPr>
        <w:tab/>
      </w:r>
      <w:r w:rsidRPr="007B06EB">
        <w:rPr>
          <w:color w:val="000000"/>
          <w:szCs w:val="24"/>
        </w:rPr>
        <w:t xml:space="preserve">Chapter 14 of the Code, the Responsible Utility Customer Protection Act, 66 </w:t>
      </w:r>
      <w:proofErr w:type="spellStart"/>
      <w:r w:rsidRPr="007B06EB">
        <w:rPr>
          <w:color w:val="000000"/>
          <w:szCs w:val="24"/>
        </w:rPr>
        <w:t>Pa.C.S</w:t>
      </w:r>
      <w:proofErr w:type="spellEnd"/>
      <w:proofErr w:type="gramStart"/>
      <w:r w:rsidRPr="007B06EB">
        <w:rPr>
          <w:color w:val="000000"/>
          <w:szCs w:val="24"/>
        </w:rPr>
        <w:t xml:space="preserve">. </w:t>
      </w:r>
      <w:proofErr w:type="gramEnd"/>
      <w:r w:rsidRPr="007B06EB">
        <w:rPr>
          <w:color w:val="000000"/>
          <w:szCs w:val="24"/>
        </w:rPr>
        <w:t xml:space="preserve">§ 1401, </w:t>
      </w:r>
      <w:proofErr w:type="gramStart"/>
      <w:r w:rsidRPr="007B06EB">
        <w:rPr>
          <w:color w:val="000000"/>
          <w:szCs w:val="24"/>
        </w:rPr>
        <w:t>et</w:t>
      </w:r>
      <w:proofErr w:type="gramEnd"/>
      <w:r w:rsidRPr="007B06EB">
        <w:rPr>
          <w:color w:val="000000"/>
          <w:szCs w:val="24"/>
        </w:rPr>
        <w:t xml:space="preserve"> seq</w:t>
      </w:r>
      <w:r w:rsidRPr="007B06EB">
        <w:rPr>
          <w:i/>
          <w:color w:val="000000"/>
          <w:szCs w:val="24"/>
        </w:rPr>
        <w:t>.</w:t>
      </w:r>
      <w:r w:rsidRPr="007B06EB">
        <w:rPr>
          <w:color w:val="000000"/>
          <w:szCs w:val="24"/>
        </w:rPr>
        <w:t xml:space="preserve">, effective December 22, 2014, </w:t>
      </w:r>
      <w:r w:rsidR="0075384D">
        <w:rPr>
          <w:color w:val="000000"/>
          <w:szCs w:val="24"/>
        </w:rPr>
        <w:t xml:space="preserve">authorizes the Commission to grant customers and applicants payment arrangements.  Specifically, </w:t>
      </w:r>
      <w:r w:rsidRPr="007B06EB">
        <w:rPr>
          <w:color w:val="000000"/>
          <w:szCs w:val="24"/>
        </w:rPr>
        <w:t xml:space="preserve">Section 1405 of the statute provides </w:t>
      </w:r>
      <w:r w:rsidR="008C4C8F">
        <w:rPr>
          <w:color w:val="000000"/>
          <w:szCs w:val="24"/>
        </w:rPr>
        <w:t xml:space="preserve">in pertinent part </w:t>
      </w:r>
      <w:r w:rsidRPr="007B06EB">
        <w:rPr>
          <w:color w:val="000000"/>
          <w:szCs w:val="24"/>
        </w:rPr>
        <w:t>as follows:</w:t>
      </w:r>
    </w:p>
    <w:p w:rsidR="0072691A" w:rsidRPr="007B06EB" w:rsidRDefault="0072691A" w:rsidP="007B06EB">
      <w:pPr>
        <w:autoSpaceDE w:val="0"/>
        <w:autoSpaceDN w:val="0"/>
        <w:spacing w:before="0" w:after="0"/>
        <w:rPr>
          <w:color w:val="000000"/>
          <w:szCs w:val="24"/>
        </w:rPr>
      </w:pPr>
    </w:p>
    <w:p w:rsidR="007B06EB" w:rsidRPr="007B06EB" w:rsidRDefault="007B06EB" w:rsidP="007B06EB">
      <w:pPr>
        <w:tabs>
          <w:tab w:val="clear" w:pos="1440"/>
        </w:tabs>
        <w:spacing w:before="0" w:after="0" w:line="240" w:lineRule="auto"/>
        <w:ind w:left="1440" w:right="1440"/>
        <w:rPr>
          <w:rFonts w:eastAsiaTheme="minorHAnsi"/>
          <w:szCs w:val="24"/>
        </w:rPr>
      </w:pPr>
      <w:r w:rsidRPr="007B06EB">
        <w:rPr>
          <w:rFonts w:eastAsiaTheme="minorHAnsi"/>
          <w:b/>
          <w:bCs/>
          <w:szCs w:val="24"/>
        </w:rPr>
        <w:lastRenderedPageBreak/>
        <w:t>§ 1405.  Payment arrangements.</w:t>
      </w:r>
      <w:r w:rsidRPr="007B06EB">
        <w:rPr>
          <w:rFonts w:eastAsiaTheme="minorHAnsi"/>
          <w:szCs w:val="24"/>
        </w:rPr>
        <w:t xml:space="preserve"> </w:t>
      </w:r>
    </w:p>
    <w:p w:rsidR="007B06EB" w:rsidRPr="007B06EB" w:rsidRDefault="007B06EB" w:rsidP="007B06EB">
      <w:pPr>
        <w:tabs>
          <w:tab w:val="clear" w:pos="1440"/>
        </w:tabs>
        <w:spacing w:before="0" w:after="0" w:line="240" w:lineRule="auto"/>
        <w:ind w:left="1440" w:right="1440"/>
        <w:rPr>
          <w:rFonts w:eastAsiaTheme="minorHAnsi"/>
          <w:szCs w:val="24"/>
        </w:rPr>
      </w:pPr>
    </w:p>
    <w:p w:rsidR="007B06EB" w:rsidRPr="007B06EB" w:rsidRDefault="007B06EB" w:rsidP="007B06EB">
      <w:pPr>
        <w:tabs>
          <w:tab w:val="clear" w:pos="1440"/>
          <w:tab w:val="left" w:pos="1800"/>
        </w:tabs>
        <w:spacing w:before="0" w:after="0" w:line="240" w:lineRule="auto"/>
        <w:ind w:left="1440" w:right="1440" w:firstLine="360"/>
        <w:rPr>
          <w:rFonts w:eastAsiaTheme="minorHAnsi"/>
          <w:szCs w:val="24"/>
        </w:rPr>
      </w:pPr>
      <w:r w:rsidRPr="007B06EB">
        <w:rPr>
          <w:rFonts w:eastAsiaTheme="minorHAnsi"/>
          <w:b/>
          <w:bCs/>
          <w:szCs w:val="24"/>
        </w:rPr>
        <w:t>(a)  General rule</w:t>
      </w:r>
      <w:r w:rsidR="00924A9D">
        <w:rPr>
          <w:rFonts w:eastAsiaTheme="minorHAnsi"/>
          <w:b/>
          <w:bCs/>
          <w:szCs w:val="24"/>
        </w:rPr>
        <w:t xml:space="preserve"> </w:t>
      </w:r>
      <w:r w:rsidRPr="007B06EB">
        <w:rPr>
          <w:rFonts w:eastAsiaTheme="minorHAnsi"/>
          <w:b/>
          <w:bCs/>
          <w:szCs w:val="24"/>
        </w:rPr>
        <w:t>–</w:t>
      </w:r>
      <w:r w:rsidR="00924A9D">
        <w:rPr>
          <w:rFonts w:eastAsiaTheme="minorHAnsi"/>
          <w:b/>
          <w:bCs/>
          <w:szCs w:val="24"/>
        </w:rPr>
        <w:t xml:space="preserve"> </w:t>
      </w:r>
      <w:r w:rsidRPr="007B06EB">
        <w:rPr>
          <w:rFonts w:eastAsiaTheme="minorHAnsi"/>
          <w:szCs w:val="24"/>
        </w:rPr>
        <w:t>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7B06EB" w:rsidRPr="007B06EB" w:rsidRDefault="007B06EB" w:rsidP="007B06EB">
      <w:pPr>
        <w:tabs>
          <w:tab w:val="clear" w:pos="1440"/>
          <w:tab w:val="left" w:pos="1800"/>
        </w:tabs>
        <w:spacing w:before="0" w:after="0" w:line="240" w:lineRule="auto"/>
        <w:ind w:left="1440" w:right="1440" w:firstLine="360"/>
        <w:rPr>
          <w:rFonts w:eastAsiaTheme="minorHAnsi"/>
          <w:szCs w:val="24"/>
        </w:rPr>
      </w:pPr>
    </w:p>
    <w:p w:rsidR="007B06EB" w:rsidRPr="007B06EB" w:rsidRDefault="007B06EB" w:rsidP="007B06EB">
      <w:pPr>
        <w:tabs>
          <w:tab w:val="clear" w:pos="1440"/>
        </w:tabs>
        <w:spacing w:before="0" w:after="0" w:line="240" w:lineRule="auto"/>
        <w:ind w:left="1800" w:right="1080" w:hanging="360"/>
        <w:rPr>
          <w:rFonts w:eastAsiaTheme="minorHAnsi"/>
          <w:szCs w:val="24"/>
        </w:rPr>
      </w:pPr>
      <w:r w:rsidRPr="007B06EB">
        <w:rPr>
          <w:rFonts w:eastAsiaTheme="minorHAnsi"/>
          <w:szCs w:val="24"/>
        </w:rPr>
        <w:t>. . . .</w:t>
      </w:r>
    </w:p>
    <w:p w:rsidR="007B06EB" w:rsidRPr="007B06EB" w:rsidRDefault="007B06EB" w:rsidP="007B06EB">
      <w:pPr>
        <w:tabs>
          <w:tab w:val="clear" w:pos="1440"/>
        </w:tabs>
        <w:spacing w:before="0" w:after="0" w:line="240" w:lineRule="auto"/>
        <w:ind w:left="1800" w:right="1080" w:hanging="360"/>
        <w:rPr>
          <w:rFonts w:eastAsiaTheme="minorHAnsi"/>
          <w:szCs w:val="24"/>
        </w:rPr>
      </w:pPr>
    </w:p>
    <w:p w:rsidR="007B06EB" w:rsidRPr="007B06EB" w:rsidRDefault="007B06EB" w:rsidP="007B06EB">
      <w:pPr>
        <w:tabs>
          <w:tab w:val="clear" w:pos="1440"/>
        </w:tabs>
        <w:spacing w:before="0" w:after="0" w:line="240" w:lineRule="auto"/>
        <w:ind w:left="1440" w:right="1080" w:firstLine="360"/>
        <w:rPr>
          <w:rFonts w:eastAsiaTheme="minorHAnsi"/>
          <w:szCs w:val="24"/>
        </w:rPr>
      </w:pPr>
      <w:r w:rsidRPr="007B06EB">
        <w:rPr>
          <w:rFonts w:eastAsiaTheme="minorHAnsi"/>
          <w:b/>
          <w:bCs/>
          <w:szCs w:val="24"/>
        </w:rPr>
        <w:t xml:space="preserve">(c)  Customer assistance programs – </w:t>
      </w:r>
      <w:r w:rsidRPr="007B06EB">
        <w:rPr>
          <w:rFonts w:eastAsiaTheme="minorHAnsi"/>
          <w:szCs w:val="24"/>
        </w:rPr>
        <w:t>Customer assistance program rates shall be timely paid and shall not be the subject of payment arrangements negotiated or approved by the commission.</w:t>
      </w:r>
    </w:p>
    <w:p w:rsidR="007B06EB" w:rsidRPr="007B06EB" w:rsidRDefault="007B06EB" w:rsidP="007B06EB">
      <w:pPr>
        <w:tabs>
          <w:tab w:val="clear" w:pos="1440"/>
        </w:tabs>
        <w:spacing w:before="0" w:after="0" w:line="240" w:lineRule="auto"/>
        <w:ind w:left="1440" w:right="1080" w:firstLine="360"/>
        <w:rPr>
          <w:rFonts w:eastAsiaTheme="minorHAnsi"/>
          <w:b/>
          <w:bCs/>
          <w:szCs w:val="24"/>
        </w:rPr>
      </w:pPr>
    </w:p>
    <w:p w:rsidR="007B06EB" w:rsidRPr="007B06EB" w:rsidRDefault="007B06EB" w:rsidP="007B06EB">
      <w:pPr>
        <w:tabs>
          <w:tab w:val="clear" w:pos="1440"/>
        </w:tabs>
        <w:spacing w:before="0" w:after="0" w:line="240" w:lineRule="auto"/>
        <w:ind w:left="1440" w:right="1080"/>
        <w:rPr>
          <w:rFonts w:eastAsiaTheme="minorHAnsi"/>
          <w:szCs w:val="24"/>
        </w:rPr>
      </w:pPr>
      <w:r w:rsidRPr="007B06EB">
        <w:rPr>
          <w:rFonts w:eastAsiaTheme="minorHAnsi"/>
          <w:szCs w:val="24"/>
        </w:rPr>
        <w:t>. . . .</w:t>
      </w:r>
    </w:p>
    <w:p w:rsidR="007B06EB" w:rsidRPr="007B06EB" w:rsidRDefault="007B06EB" w:rsidP="007B06EB">
      <w:pPr>
        <w:tabs>
          <w:tab w:val="clear" w:pos="1440"/>
        </w:tabs>
        <w:spacing w:before="0" w:after="0" w:line="240" w:lineRule="auto"/>
        <w:ind w:left="1440" w:right="1080"/>
        <w:rPr>
          <w:rFonts w:eastAsiaTheme="minorHAnsi"/>
          <w:szCs w:val="24"/>
        </w:rPr>
      </w:pPr>
    </w:p>
    <w:p w:rsidR="007B06EB" w:rsidRPr="007B06EB" w:rsidRDefault="007B06EB" w:rsidP="007B06EB">
      <w:pPr>
        <w:tabs>
          <w:tab w:val="clear" w:pos="1440"/>
        </w:tabs>
        <w:spacing w:before="0" w:after="0" w:line="240" w:lineRule="auto"/>
        <w:ind w:left="1440" w:right="1080" w:firstLine="360"/>
        <w:rPr>
          <w:rFonts w:eastAsiaTheme="minorHAnsi"/>
          <w:szCs w:val="24"/>
        </w:rPr>
      </w:pPr>
      <w:r w:rsidRPr="007B06EB">
        <w:rPr>
          <w:rFonts w:eastAsiaTheme="minorHAnsi"/>
          <w:b/>
          <w:bCs/>
          <w:szCs w:val="24"/>
        </w:rPr>
        <w:t>(f)  Failure to comply with payment arrangement</w:t>
      </w:r>
      <w:r w:rsidR="00924A9D">
        <w:rPr>
          <w:rFonts w:eastAsiaTheme="minorHAnsi"/>
          <w:b/>
          <w:bCs/>
          <w:szCs w:val="24"/>
        </w:rPr>
        <w:t xml:space="preserve"> </w:t>
      </w:r>
      <w:r w:rsidRPr="007B06EB">
        <w:rPr>
          <w:rFonts w:eastAsiaTheme="minorHAnsi"/>
          <w:b/>
          <w:bCs/>
          <w:szCs w:val="24"/>
        </w:rPr>
        <w:t>–</w:t>
      </w:r>
      <w:r w:rsidR="00924A9D">
        <w:rPr>
          <w:rFonts w:eastAsiaTheme="minorHAnsi"/>
          <w:b/>
          <w:bCs/>
          <w:szCs w:val="24"/>
        </w:rPr>
        <w:t xml:space="preserve"> </w:t>
      </w:r>
      <w:r w:rsidRPr="007B06EB">
        <w:rPr>
          <w:rFonts w:eastAsiaTheme="minorHAnsi"/>
          <w:szCs w:val="24"/>
        </w:rPr>
        <w:t>Failure of a customer to comply with the terms of a payment arrangement shall be grounds for a public utility to terminate the customer</w:t>
      </w:r>
      <w:r w:rsidR="00924A9D">
        <w:rPr>
          <w:rFonts w:eastAsiaTheme="minorHAnsi"/>
          <w:szCs w:val="24"/>
        </w:rPr>
        <w:t>’</w:t>
      </w:r>
      <w:r w:rsidRPr="007B06EB">
        <w:rPr>
          <w:rFonts w:eastAsiaTheme="minorHAnsi"/>
          <w:szCs w:val="24"/>
        </w:rPr>
        <w:t>s service</w:t>
      </w:r>
      <w:proofErr w:type="gramStart"/>
      <w:r w:rsidRPr="007B06EB">
        <w:rPr>
          <w:rFonts w:eastAsiaTheme="minorHAnsi"/>
          <w:szCs w:val="24"/>
        </w:rPr>
        <w:t xml:space="preserve">. </w:t>
      </w:r>
      <w:proofErr w:type="gramEnd"/>
      <w:r w:rsidRPr="007B06EB">
        <w:rPr>
          <w:rFonts w:eastAsiaTheme="minorHAnsi"/>
          <w:szCs w:val="24"/>
        </w:rPr>
        <w:t xml:space="preserve">Pending the outcome of a complaint filed with the commission, a customer shall be obligated to pay that portion of the </w:t>
      </w:r>
      <w:proofErr w:type="gramStart"/>
      <w:r w:rsidRPr="007B06EB">
        <w:rPr>
          <w:rFonts w:eastAsiaTheme="minorHAnsi"/>
          <w:szCs w:val="24"/>
        </w:rPr>
        <w:t>bill which</w:t>
      </w:r>
      <w:proofErr w:type="gramEnd"/>
      <w:r w:rsidRPr="007B06EB">
        <w:rPr>
          <w:rFonts w:eastAsiaTheme="minorHAnsi"/>
          <w:szCs w:val="24"/>
        </w:rPr>
        <w:t xml:space="preserve"> is not in dispute and subsequent bills which are not in dispute.</w:t>
      </w:r>
    </w:p>
    <w:p w:rsidR="007B06EB" w:rsidRPr="007B06EB" w:rsidRDefault="007B06EB" w:rsidP="00947BB8">
      <w:pPr>
        <w:tabs>
          <w:tab w:val="clear" w:pos="1440"/>
        </w:tabs>
        <w:spacing w:before="0" w:after="0"/>
        <w:ind w:left="1440" w:right="1080"/>
        <w:rPr>
          <w:rFonts w:eastAsiaTheme="minorHAnsi"/>
          <w:szCs w:val="24"/>
        </w:rPr>
      </w:pPr>
    </w:p>
    <w:p w:rsidR="007B06EB" w:rsidRPr="007B06EB" w:rsidRDefault="007B06EB" w:rsidP="007B06EB">
      <w:pPr>
        <w:tabs>
          <w:tab w:val="clear" w:pos="1440"/>
        </w:tabs>
        <w:spacing w:before="0" w:after="0" w:line="240" w:lineRule="auto"/>
        <w:rPr>
          <w:szCs w:val="24"/>
          <w:u w:val="single"/>
        </w:rPr>
      </w:pPr>
      <w:r w:rsidRPr="007B06EB">
        <w:rPr>
          <w:szCs w:val="24"/>
        </w:rPr>
        <w:t>B.</w:t>
      </w:r>
      <w:r w:rsidRPr="007B06EB">
        <w:rPr>
          <w:szCs w:val="24"/>
        </w:rPr>
        <w:tab/>
      </w:r>
      <w:r w:rsidRPr="002335E9">
        <w:rPr>
          <w:szCs w:val="24"/>
          <w:u w:val="single"/>
        </w:rPr>
        <w:t>Analysis</w:t>
      </w:r>
    </w:p>
    <w:p w:rsidR="007B06EB" w:rsidRPr="007B06EB" w:rsidRDefault="007B06EB" w:rsidP="007B06EB">
      <w:pPr>
        <w:tabs>
          <w:tab w:val="clear" w:pos="1440"/>
        </w:tabs>
        <w:spacing w:before="0" w:after="0" w:line="240" w:lineRule="auto"/>
        <w:rPr>
          <w:szCs w:val="24"/>
          <w:u w:val="single"/>
        </w:rPr>
      </w:pPr>
    </w:p>
    <w:p w:rsidR="007B06EB" w:rsidRPr="007B06EB" w:rsidRDefault="007B06EB" w:rsidP="007B06EB">
      <w:pPr>
        <w:tabs>
          <w:tab w:val="clear" w:pos="1440"/>
        </w:tabs>
        <w:spacing w:before="0" w:after="0" w:line="240" w:lineRule="auto"/>
        <w:rPr>
          <w:szCs w:val="24"/>
          <w:u w:val="single"/>
        </w:rPr>
      </w:pPr>
    </w:p>
    <w:p w:rsidR="00C8556F" w:rsidRDefault="00924A9D" w:rsidP="007B06EB">
      <w:pPr>
        <w:tabs>
          <w:tab w:val="clear" w:pos="1440"/>
        </w:tabs>
        <w:spacing w:before="0" w:after="0"/>
        <w:rPr>
          <w:szCs w:val="24"/>
        </w:rPr>
      </w:pPr>
      <w:r>
        <w:rPr>
          <w:szCs w:val="24"/>
        </w:rPr>
        <w:tab/>
      </w:r>
      <w:r w:rsidR="007B06EB" w:rsidRPr="007B06EB">
        <w:rPr>
          <w:szCs w:val="24"/>
        </w:rPr>
        <w:t>1.</w:t>
      </w:r>
      <w:r w:rsidR="007B06EB" w:rsidRPr="007B06EB">
        <w:rPr>
          <w:szCs w:val="24"/>
        </w:rPr>
        <w:tab/>
      </w:r>
      <w:r w:rsidR="00C8556F" w:rsidRPr="008A5720">
        <w:rPr>
          <w:szCs w:val="24"/>
          <w:u w:val="single"/>
        </w:rPr>
        <w:t>PGW’s Motion to Dismiss</w:t>
      </w:r>
      <w:r w:rsidR="00B80217" w:rsidRPr="008A5720">
        <w:rPr>
          <w:szCs w:val="24"/>
          <w:u w:val="single"/>
        </w:rPr>
        <w:t xml:space="preserve"> </w:t>
      </w:r>
      <w:r w:rsidR="008A5720">
        <w:rPr>
          <w:szCs w:val="24"/>
          <w:u w:val="single"/>
        </w:rPr>
        <w:t xml:space="preserve">Complaint </w:t>
      </w:r>
      <w:r w:rsidR="00B80217" w:rsidRPr="008A5720">
        <w:rPr>
          <w:szCs w:val="24"/>
          <w:u w:val="single"/>
        </w:rPr>
        <w:t>for Lack of Prosecution</w:t>
      </w:r>
    </w:p>
    <w:p w:rsidR="00C8556F" w:rsidRDefault="00C8556F" w:rsidP="0015445F">
      <w:pPr>
        <w:tabs>
          <w:tab w:val="clear" w:pos="1440"/>
        </w:tabs>
        <w:spacing w:before="0" w:after="0"/>
        <w:rPr>
          <w:szCs w:val="24"/>
        </w:rPr>
      </w:pPr>
    </w:p>
    <w:p w:rsidR="0015445F" w:rsidRDefault="0015445F" w:rsidP="0015445F">
      <w:pPr>
        <w:tabs>
          <w:tab w:val="left" w:pos="-1440"/>
          <w:tab w:val="left" w:pos="-720"/>
          <w:tab w:val="left" w:pos="0"/>
          <w:tab w:val="left" w:pos="720"/>
        </w:tabs>
        <w:spacing w:before="0" w:after="0"/>
        <w:rPr>
          <w:szCs w:val="24"/>
        </w:rPr>
      </w:pPr>
      <w:r>
        <w:rPr>
          <w:szCs w:val="24"/>
        </w:rPr>
        <w:tab/>
      </w:r>
      <w:r>
        <w:rPr>
          <w:szCs w:val="24"/>
        </w:rPr>
        <w:tab/>
        <w:t xml:space="preserve">Upon completing the direct examination of its witness, PGW moved for dismissal of the Complaint </w:t>
      </w:r>
      <w:r w:rsidR="00B80217">
        <w:rPr>
          <w:szCs w:val="24"/>
        </w:rPr>
        <w:t xml:space="preserve">for lack of prosecution </w:t>
      </w:r>
      <w:r>
        <w:rPr>
          <w:szCs w:val="24"/>
        </w:rPr>
        <w:t>because Complain</w:t>
      </w:r>
      <w:r w:rsidR="00030923">
        <w:rPr>
          <w:szCs w:val="24"/>
        </w:rPr>
        <w:t>ant</w:t>
      </w:r>
      <w:r>
        <w:rPr>
          <w:szCs w:val="24"/>
        </w:rPr>
        <w:t xml:space="preserve"> </w:t>
      </w:r>
      <w:r w:rsidR="008D6C27">
        <w:rPr>
          <w:szCs w:val="24"/>
        </w:rPr>
        <w:t xml:space="preserve">had </w:t>
      </w:r>
      <w:r>
        <w:rPr>
          <w:szCs w:val="24"/>
        </w:rPr>
        <w:t xml:space="preserve">left the hearing without explanation.  </w:t>
      </w:r>
      <w:proofErr w:type="gramStart"/>
      <w:r>
        <w:rPr>
          <w:szCs w:val="24"/>
        </w:rPr>
        <w:t>Generally</w:t>
      </w:r>
      <w:proofErr w:type="gramEnd"/>
      <w:r>
        <w:rPr>
          <w:szCs w:val="24"/>
        </w:rPr>
        <w:t xml:space="preserve"> in Commission proceeding</w:t>
      </w:r>
      <w:r w:rsidR="00B80217">
        <w:rPr>
          <w:szCs w:val="24"/>
        </w:rPr>
        <w:t>s</w:t>
      </w:r>
      <w:r>
        <w:rPr>
          <w:szCs w:val="24"/>
        </w:rPr>
        <w:t xml:space="preserve">, a motion to dismiss for lack of prosecution is appropriate when the party with the burden of proof has failed to appear for the hearing, without explanation, or has failed to participate in the hearing in any manner. </w:t>
      </w:r>
      <w:r w:rsidR="00924A9D">
        <w:rPr>
          <w:szCs w:val="24"/>
        </w:rPr>
        <w:t xml:space="preserve"> </w:t>
      </w:r>
      <w:r w:rsidRPr="0015445F">
        <w:rPr>
          <w:i/>
          <w:szCs w:val="24"/>
        </w:rPr>
        <w:t xml:space="preserve">Martin </w:t>
      </w:r>
      <w:r w:rsidR="008A5720">
        <w:rPr>
          <w:i/>
          <w:szCs w:val="24"/>
        </w:rPr>
        <w:t xml:space="preserve">W. </w:t>
      </w:r>
      <w:r w:rsidRPr="0015445F">
        <w:rPr>
          <w:i/>
          <w:szCs w:val="24"/>
        </w:rPr>
        <w:t>Jefferson v. UGI Utilities, Inc.</w:t>
      </w:r>
      <w:r w:rsidRPr="0015445F">
        <w:rPr>
          <w:szCs w:val="24"/>
        </w:rPr>
        <w:t>, Docket No</w:t>
      </w:r>
      <w:proofErr w:type="gramStart"/>
      <w:r w:rsidRPr="0015445F">
        <w:rPr>
          <w:szCs w:val="24"/>
        </w:rPr>
        <w:t xml:space="preserve">. </w:t>
      </w:r>
      <w:proofErr w:type="gramEnd"/>
      <w:r w:rsidRPr="0015445F">
        <w:rPr>
          <w:szCs w:val="24"/>
        </w:rPr>
        <w:t>Z</w:t>
      </w:r>
      <w:r w:rsidRPr="0015445F">
        <w:rPr>
          <w:szCs w:val="24"/>
        </w:rPr>
        <w:noBreakHyphen/>
        <w:t>00269892 (Opinion an</w:t>
      </w:r>
      <w:r w:rsidR="00924A9D">
        <w:rPr>
          <w:szCs w:val="24"/>
        </w:rPr>
        <w:t>d Order entered December </w:t>
      </w:r>
      <w:r w:rsidRPr="0015445F">
        <w:rPr>
          <w:szCs w:val="24"/>
        </w:rPr>
        <w:t>26, 1995)</w:t>
      </w:r>
      <w:r w:rsidR="00931B5A">
        <w:rPr>
          <w:szCs w:val="24"/>
        </w:rPr>
        <w:t>, 1995 WL 945812 (</w:t>
      </w:r>
      <w:proofErr w:type="spellStart"/>
      <w:r w:rsidR="00931B5A">
        <w:rPr>
          <w:szCs w:val="24"/>
        </w:rPr>
        <w:t>Pa.P.U.C</w:t>
      </w:r>
      <w:proofErr w:type="spellEnd"/>
      <w:r w:rsidR="00931B5A">
        <w:rPr>
          <w:szCs w:val="24"/>
        </w:rPr>
        <w:t>)</w:t>
      </w:r>
      <w:r w:rsidRPr="0015445F">
        <w:rPr>
          <w:szCs w:val="24"/>
        </w:rPr>
        <w:t xml:space="preserve">; 52 </w:t>
      </w:r>
      <w:proofErr w:type="spellStart"/>
      <w:r w:rsidRPr="0015445F">
        <w:rPr>
          <w:szCs w:val="24"/>
        </w:rPr>
        <w:t>Pa.Code</w:t>
      </w:r>
      <w:proofErr w:type="spellEnd"/>
      <w:r w:rsidRPr="0015445F">
        <w:rPr>
          <w:szCs w:val="24"/>
        </w:rPr>
        <w:t xml:space="preserve"> § 5.245; </w:t>
      </w:r>
      <w:r w:rsidRPr="0015445F">
        <w:rPr>
          <w:i/>
          <w:szCs w:val="24"/>
        </w:rPr>
        <w:t>Hanna El-</w:t>
      </w:r>
      <w:proofErr w:type="spellStart"/>
      <w:r w:rsidRPr="0015445F">
        <w:rPr>
          <w:i/>
          <w:szCs w:val="24"/>
        </w:rPr>
        <w:t>Ayazra</w:t>
      </w:r>
      <w:proofErr w:type="spellEnd"/>
      <w:r w:rsidRPr="0015445F">
        <w:rPr>
          <w:i/>
          <w:szCs w:val="24"/>
        </w:rPr>
        <w:t xml:space="preserve"> v. West Penn Power Company</w:t>
      </w:r>
      <w:r w:rsidRPr="0015445F">
        <w:rPr>
          <w:szCs w:val="24"/>
        </w:rPr>
        <w:t>, Docket No</w:t>
      </w:r>
      <w:proofErr w:type="gramStart"/>
      <w:r w:rsidRPr="0015445F">
        <w:rPr>
          <w:szCs w:val="24"/>
        </w:rPr>
        <w:t xml:space="preserve">. </w:t>
      </w:r>
      <w:proofErr w:type="gramEnd"/>
      <w:r w:rsidRPr="0015445F">
        <w:rPr>
          <w:szCs w:val="24"/>
        </w:rPr>
        <w:t>F-2015-2509292 (Opinion and Order dated June 30, 2016).</w:t>
      </w:r>
      <w:r>
        <w:rPr>
          <w:szCs w:val="24"/>
        </w:rPr>
        <w:t xml:space="preserve">  </w:t>
      </w:r>
    </w:p>
    <w:p w:rsidR="0015445F" w:rsidRDefault="0015445F" w:rsidP="0015445F">
      <w:pPr>
        <w:tabs>
          <w:tab w:val="left" w:pos="-1440"/>
          <w:tab w:val="left" w:pos="-720"/>
          <w:tab w:val="left" w:pos="0"/>
          <w:tab w:val="left" w:pos="720"/>
        </w:tabs>
        <w:spacing w:before="0" w:after="0"/>
        <w:rPr>
          <w:szCs w:val="24"/>
        </w:rPr>
      </w:pPr>
    </w:p>
    <w:p w:rsidR="00BE4956" w:rsidRDefault="001307F3" w:rsidP="0015445F">
      <w:pPr>
        <w:tabs>
          <w:tab w:val="left" w:pos="-1440"/>
          <w:tab w:val="left" w:pos="-720"/>
          <w:tab w:val="left" w:pos="0"/>
          <w:tab w:val="left" w:pos="720"/>
        </w:tabs>
        <w:spacing w:before="0" w:after="0"/>
        <w:rPr>
          <w:szCs w:val="24"/>
        </w:rPr>
      </w:pPr>
      <w:r>
        <w:rPr>
          <w:szCs w:val="24"/>
        </w:rPr>
        <w:lastRenderedPageBreak/>
        <w:tab/>
      </w:r>
      <w:r w:rsidR="0015445F">
        <w:rPr>
          <w:szCs w:val="24"/>
        </w:rPr>
        <w:tab/>
        <w:t>In the present case, Ms. Slaughter appeared for the hearing, present</w:t>
      </w:r>
      <w:r w:rsidR="00BE4956">
        <w:rPr>
          <w:szCs w:val="24"/>
        </w:rPr>
        <w:t>ed</w:t>
      </w:r>
      <w:r w:rsidR="0015445F">
        <w:rPr>
          <w:szCs w:val="24"/>
        </w:rPr>
        <w:t xml:space="preserve"> testimony</w:t>
      </w:r>
      <w:r>
        <w:rPr>
          <w:szCs w:val="24"/>
        </w:rPr>
        <w:t xml:space="preserve">, and she was subjected to cross-examination.  </w:t>
      </w:r>
      <w:r w:rsidR="00BE4956">
        <w:rPr>
          <w:szCs w:val="24"/>
        </w:rPr>
        <w:t xml:space="preserve">By exiting the hearing early, Complainant is deemed to have waived her right </w:t>
      </w:r>
      <w:r w:rsidR="004C474E">
        <w:rPr>
          <w:szCs w:val="24"/>
        </w:rPr>
        <w:t>to cross-examine PGW’s witness.</w:t>
      </w:r>
      <w:r w:rsidR="00BE4956">
        <w:rPr>
          <w:szCs w:val="24"/>
        </w:rPr>
        <w:t xml:space="preserve"> </w:t>
      </w:r>
      <w:r w:rsidR="0015445F">
        <w:rPr>
          <w:szCs w:val="24"/>
        </w:rPr>
        <w:t xml:space="preserve"> </w:t>
      </w:r>
      <w:proofErr w:type="gramStart"/>
      <w:r w:rsidR="00BE4956">
        <w:rPr>
          <w:szCs w:val="24"/>
        </w:rPr>
        <w:t>However</w:t>
      </w:r>
      <w:proofErr w:type="gramEnd"/>
      <w:r w:rsidR="00BE4956">
        <w:rPr>
          <w:szCs w:val="24"/>
        </w:rPr>
        <w:t xml:space="preserve"> a ruling that Complainant failed to prosecute her Complaint would be a blatant error. </w:t>
      </w:r>
      <w:r w:rsidR="008D6C27">
        <w:rPr>
          <w:szCs w:val="24"/>
        </w:rPr>
        <w:t xml:space="preserve"> Here, Complainant participated in the hearing and simply elected not to cross-examine PGW’s witness.  </w:t>
      </w:r>
    </w:p>
    <w:p w:rsidR="0015445F" w:rsidRPr="0015445F" w:rsidRDefault="00BE4956" w:rsidP="0015445F">
      <w:pPr>
        <w:tabs>
          <w:tab w:val="left" w:pos="-1440"/>
          <w:tab w:val="left" w:pos="-720"/>
          <w:tab w:val="left" w:pos="0"/>
          <w:tab w:val="left" w:pos="720"/>
        </w:tabs>
        <w:spacing w:before="0" w:after="0"/>
        <w:rPr>
          <w:szCs w:val="24"/>
        </w:rPr>
      </w:pPr>
      <w:r>
        <w:rPr>
          <w:szCs w:val="24"/>
        </w:rPr>
        <w:t xml:space="preserve">Additionally, PGW </w:t>
      </w:r>
      <w:r w:rsidR="008D6C27">
        <w:rPr>
          <w:szCs w:val="24"/>
        </w:rPr>
        <w:t>having pr</w:t>
      </w:r>
      <w:r>
        <w:rPr>
          <w:szCs w:val="24"/>
        </w:rPr>
        <w:t>esented testimony and evidence</w:t>
      </w:r>
      <w:r w:rsidR="008D6C27">
        <w:rPr>
          <w:szCs w:val="24"/>
        </w:rPr>
        <w:t xml:space="preserve">, </w:t>
      </w:r>
      <w:r>
        <w:rPr>
          <w:szCs w:val="24"/>
        </w:rPr>
        <w:t xml:space="preserve">there is sufficient evidence in </w:t>
      </w:r>
      <w:r w:rsidR="008D6C27">
        <w:rPr>
          <w:szCs w:val="24"/>
        </w:rPr>
        <w:t xml:space="preserve">the record </w:t>
      </w:r>
      <w:r>
        <w:rPr>
          <w:szCs w:val="24"/>
        </w:rPr>
        <w:t xml:space="preserve">upon which to base a decision. </w:t>
      </w:r>
      <w:r w:rsidR="008D6C27">
        <w:rPr>
          <w:szCs w:val="24"/>
        </w:rPr>
        <w:t xml:space="preserve"> Accordingly, PGW’s motion to dismiss for lack of prosecution will be denied in the ordering paragraphs below.</w:t>
      </w:r>
    </w:p>
    <w:p w:rsidR="0015445F" w:rsidRDefault="00C8556F" w:rsidP="0015445F">
      <w:pPr>
        <w:tabs>
          <w:tab w:val="clear" w:pos="1440"/>
        </w:tabs>
        <w:spacing w:before="0" w:after="0"/>
        <w:rPr>
          <w:szCs w:val="24"/>
        </w:rPr>
      </w:pPr>
      <w:r>
        <w:rPr>
          <w:szCs w:val="24"/>
        </w:rPr>
        <w:tab/>
      </w:r>
      <w:r>
        <w:rPr>
          <w:szCs w:val="24"/>
        </w:rPr>
        <w:tab/>
      </w:r>
    </w:p>
    <w:p w:rsidR="007B06EB" w:rsidRPr="007B06EB" w:rsidRDefault="004C474E" w:rsidP="007B06EB">
      <w:pPr>
        <w:tabs>
          <w:tab w:val="clear" w:pos="1440"/>
        </w:tabs>
        <w:spacing w:before="0" w:after="0"/>
        <w:rPr>
          <w:szCs w:val="24"/>
          <w:u w:val="single"/>
        </w:rPr>
      </w:pPr>
      <w:r>
        <w:rPr>
          <w:szCs w:val="24"/>
        </w:rPr>
        <w:tab/>
      </w:r>
      <w:r w:rsidR="008D6C27">
        <w:rPr>
          <w:szCs w:val="24"/>
        </w:rPr>
        <w:t>2.</w:t>
      </w:r>
      <w:r w:rsidR="008D6C27">
        <w:rPr>
          <w:szCs w:val="24"/>
        </w:rPr>
        <w:tab/>
      </w:r>
      <w:r w:rsidR="006B05D8" w:rsidRPr="006B05D8">
        <w:rPr>
          <w:szCs w:val="24"/>
          <w:u w:val="single"/>
        </w:rPr>
        <w:t>Disposition of the Issues</w:t>
      </w:r>
    </w:p>
    <w:p w:rsidR="007B06EB" w:rsidRPr="007B06EB" w:rsidRDefault="007B06EB" w:rsidP="007B06EB">
      <w:pPr>
        <w:tabs>
          <w:tab w:val="clear" w:pos="1440"/>
        </w:tabs>
        <w:spacing w:before="0" w:after="0"/>
        <w:rPr>
          <w:szCs w:val="24"/>
          <w:u w:val="single"/>
        </w:rPr>
      </w:pPr>
    </w:p>
    <w:p w:rsidR="006B18FF" w:rsidRDefault="007B06EB" w:rsidP="007B06EB">
      <w:pPr>
        <w:tabs>
          <w:tab w:val="clear" w:pos="1440"/>
        </w:tabs>
        <w:spacing w:before="0" w:after="0"/>
        <w:rPr>
          <w:szCs w:val="24"/>
        </w:rPr>
      </w:pPr>
      <w:r w:rsidRPr="007B06EB">
        <w:rPr>
          <w:szCs w:val="24"/>
        </w:rPr>
        <w:tab/>
      </w:r>
      <w:r w:rsidRPr="007B06EB">
        <w:rPr>
          <w:szCs w:val="24"/>
        </w:rPr>
        <w:tab/>
        <w:t xml:space="preserve">In </w:t>
      </w:r>
      <w:r w:rsidR="002335E9">
        <w:rPr>
          <w:szCs w:val="24"/>
        </w:rPr>
        <w:t>her Complaint</w:t>
      </w:r>
      <w:r w:rsidR="006B05D8">
        <w:rPr>
          <w:szCs w:val="24"/>
        </w:rPr>
        <w:t>,</w:t>
      </w:r>
      <w:r w:rsidR="002335E9">
        <w:rPr>
          <w:szCs w:val="24"/>
        </w:rPr>
        <w:t xml:space="preserve"> Ms. Slaughter raised three issues:</w:t>
      </w:r>
      <w:r w:rsidR="004C474E">
        <w:rPr>
          <w:szCs w:val="24"/>
        </w:rPr>
        <w:t xml:space="preserve"> </w:t>
      </w:r>
      <w:r w:rsidR="002335E9">
        <w:rPr>
          <w:szCs w:val="24"/>
        </w:rPr>
        <w:t xml:space="preserve"> service termination, billing charges dating back to 2007 and reinstatement into PGW’s </w:t>
      </w:r>
      <w:r w:rsidR="002335E9">
        <w:rPr>
          <w:rFonts w:eastAsiaTheme="minorHAnsi" w:cstheme="minorBidi"/>
          <w:szCs w:val="22"/>
        </w:rPr>
        <w:t>Customer Responsibility Program</w:t>
      </w:r>
      <w:r w:rsidR="002335E9">
        <w:rPr>
          <w:szCs w:val="24"/>
        </w:rPr>
        <w:t xml:space="preserve"> (CRP)</w:t>
      </w:r>
      <w:r w:rsidR="00D5476F">
        <w:rPr>
          <w:szCs w:val="24"/>
        </w:rPr>
        <w:t>.  As mentioned above</w:t>
      </w:r>
      <w:r w:rsidR="006B05D8">
        <w:rPr>
          <w:szCs w:val="24"/>
        </w:rPr>
        <w:t>,</w:t>
      </w:r>
      <w:r w:rsidR="00D5476F">
        <w:rPr>
          <w:szCs w:val="24"/>
        </w:rPr>
        <w:t xml:space="preserve"> the issue of Ms. Slaughter’s billing charges dating back to 2007 was dismissed on preliminary objections.</w:t>
      </w:r>
      <w:r w:rsidR="004C474E">
        <w:rPr>
          <w:szCs w:val="24"/>
        </w:rPr>
        <w:t xml:space="preserve"> </w:t>
      </w:r>
      <w:r w:rsidR="00D5476F">
        <w:rPr>
          <w:szCs w:val="24"/>
        </w:rPr>
        <w:t xml:space="preserve"> </w:t>
      </w:r>
      <w:r w:rsidR="00CF3AF6">
        <w:rPr>
          <w:szCs w:val="24"/>
        </w:rPr>
        <w:t>Concerning the</w:t>
      </w:r>
      <w:r w:rsidR="004C474E">
        <w:rPr>
          <w:szCs w:val="24"/>
        </w:rPr>
        <w:t xml:space="preserve"> service termination issue, Ms. </w:t>
      </w:r>
      <w:r w:rsidR="00CF3AF6">
        <w:rPr>
          <w:szCs w:val="24"/>
        </w:rPr>
        <w:t xml:space="preserve">Slaughter admitted she received a ten-day service termination notice.  Tr. 17.  However, she did not present any evidence that the termination </w:t>
      </w:r>
      <w:r w:rsidR="008D6C27">
        <w:rPr>
          <w:szCs w:val="24"/>
        </w:rPr>
        <w:t xml:space="preserve">notice </w:t>
      </w:r>
      <w:r w:rsidR="00CF3AF6">
        <w:rPr>
          <w:szCs w:val="24"/>
        </w:rPr>
        <w:t>in</w:t>
      </w:r>
      <w:r w:rsidR="004C474E">
        <w:rPr>
          <w:szCs w:val="24"/>
        </w:rPr>
        <w:t xml:space="preserve"> any manner violated the Code</w:t>
      </w:r>
      <w:proofErr w:type="gramStart"/>
      <w:r w:rsidR="004C474E">
        <w:rPr>
          <w:szCs w:val="24"/>
        </w:rPr>
        <w:t xml:space="preserve">. </w:t>
      </w:r>
      <w:proofErr w:type="gramEnd"/>
      <w:r w:rsidR="008D6C27" w:rsidRPr="00ED6B9C">
        <w:t>66</w:t>
      </w:r>
      <w:r w:rsidR="004C474E">
        <w:t> Pa. </w:t>
      </w:r>
      <w:r w:rsidR="008D6C27" w:rsidRPr="00ED6B9C">
        <w:t>C.S. §</w:t>
      </w:r>
      <w:r w:rsidR="00DA22BA">
        <w:t xml:space="preserve"> </w:t>
      </w:r>
      <w:r w:rsidR="008D6C27" w:rsidRPr="00ED6B9C">
        <w:t>1406</w:t>
      </w:r>
      <w:r w:rsidR="006B18FF">
        <w:t xml:space="preserve">.  </w:t>
      </w:r>
      <w:r w:rsidR="00CF3AF6">
        <w:rPr>
          <w:szCs w:val="24"/>
        </w:rPr>
        <w:t>Additionally, PGW presented evidence demonstrating that the termination notice was issued to Ms. Slaughter on March 28, 2016, because of an outstanding balance of $3,832.16.  Tr. 29; Exhibit 3 at 2.</w:t>
      </w:r>
      <w:r w:rsidR="006B18FF">
        <w:rPr>
          <w:szCs w:val="24"/>
        </w:rPr>
        <w:t xml:space="preserve">  </w:t>
      </w:r>
      <w:r w:rsidR="006B05D8">
        <w:rPr>
          <w:szCs w:val="24"/>
        </w:rPr>
        <w:t>Section 1406(a</w:t>
      </w:r>
      <w:proofErr w:type="gramStart"/>
      <w:r w:rsidR="006B05D8">
        <w:rPr>
          <w:szCs w:val="24"/>
        </w:rPr>
        <w:t>)(</w:t>
      </w:r>
      <w:proofErr w:type="gramEnd"/>
      <w:r w:rsidR="006B05D8">
        <w:rPr>
          <w:szCs w:val="24"/>
        </w:rPr>
        <w:t xml:space="preserve">1) of the Code permits a utility company to issue a customer a service termination notice for nonpayment of an undisputed delinquent account. </w:t>
      </w:r>
      <w:r w:rsidR="00947BB8">
        <w:rPr>
          <w:szCs w:val="24"/>
        </w:rPr>
        <w:t xml:space="preserve"> </w:t>
      </w:r>
      <w:r w:rsidR="006B05D8" w:rsidRPr="00ED6B9C">
        <w:t>66</w:t>
      </w:r>
      <w:r w:rsidR="006B05D8">
        <w:t xml:space="preserve"> </w:t>
      </w:r>
      <w:proofErr w:type="spellStart"/>
      <w:r w:rsidR="00947BB8">
        <w:t>Pa.</w:t>
      </w:r>
      <w:r w:rsidR="006B05D8" w:rsidRPr="00ED6B9C">
        <w:t>C.S</w:t>
      </w:r>
      <w:proofErr w:type="spellEnd"/>
      <w:proofErr w:type="gramStart"/>
      <w:r w:rsidR="006B05D8" w:rsidRPr="00ED6B9C">
        <w:t xml:space="preserve">. </w:t>
      </w:r>
      <w:proofErr w:type="gramEnd"/>
      <w:r w:rsidR="006B05D8" w:rsidRPr="00ED6B9C">
        <w:t>§</w:t>
      </w:r>
      <w:r w:rsidR="00947BB8">
        <w:t xml:space="preserve"> </w:t>
      </w:r>
      <w:r w:rsidR="006B05D8" w:rsidRPr="00ED6B9C">
        <w:t>1406</w:t>
      </w:r>
      <w:r w:rsidR="006B05D8">
        <w:t>(a</w:t>
      </w:r>
      <w:proofErr w:type="gramStart"/>
      <w:r w:rsidR="006B05D8">
        <w:t>)(</w:t>
      </w:r>
      <w:proofErr w:type="gramEnd"/>
      <w:r w:rsidR="006B05D8">
        <w:t xml:space="preserve">1).  </w:t>
      </w:r>
      <w:r w:rsidR="00CF3AF6">
        <w:rPr>
          <w:szCs w:val="24"/>
        </w:rPr>
        <w:t xml:space="preserve">Ms. </w:t>
      </w:r>
      <w:r w:rsidR="006B18FF">
        <w:rPr>
          <w:szCs w:val="24"/>
        </w:rPr>
        <w:t>S</w:t>
      </w:r>
      <w:r w:rsidR="00CF3AF6">
        <w:rPr>
          <w:szCs w:val="24"/>
        </w:rPr>
        <w:t xml:space="preserve">laughter did not present any evidence to establish that any of her outstanding charges </w:t>
      </w:r>
      <w:proofErr w:type="gramStart"/>
      <w:r w:rsidR="00F0669E">
        <w:rPr>
          <w:szCs w:val="24"/>
        </w:rPr>
        <w:t>in the amount of</w:t>
      </w:r>
      <w:proofErr w:type="gramEnd"/>
      <w:r w:rsidR="00F0669E">
        <w:rPr>
          <w:szCs w:val="24"/>
        </w:rPr>
        <w:t xml:space="preserve"> </w:t>
      </w:r>
      <w:r w:rsidR="00F0669E">
        <w:rPr>
          <w:rFonts w:eastAsiaTheme="minorHAnsi" w:cstheme="minorBidi"/>
          <w:szCs w:val="22"/>
        </w:rPr>
        <w:t xml:space="preserve">$4,353.50 </w:t>
      </w:r>
      <w:r w:rsidR="00CF3AF6">
        <w:rPr>
          <w:szCs w:val="24"/>
        </w:rPr>
        <w:t xml:space="preserve">were incorrect. </w:t>
      </w:r>
      <w:r w:rsidR="006B05D8">
        <w:rPr>
          <w:szCs w:val="24"/>
        </w:rPr>
        <w:t xml:space="preserve"> Also in accordance with the Code</w:t>
      </w:r>
      <w:r w:rsidR="00DA22BA">
        <w:rPr>
          <w:szCs w:val="24"/>
        </w:rPr>
        <w:t xml:space="preserve">, PGW made a follow-up telephone call to Ms. Slaughter on April 1, 2016, in order to discuss the pending service termination notice.  See </w:t>
      </w:r>
      <w:r w:rsidR="00DA22BA" w:rsidRPr="00ED6B9C">
        <w:t>66</w:t>
      </w:r>
      <w:r w:rsidR="00DA22BA">
        <w:t xml:space="preserve"> </w:t>
      </w:r>
      <w:proofErr w:type="spellStart"/>
      <w:r w:rsidR="004C474E">
        <w:t>Pa.</w:t>
      </w:r>
      <w:r w:rsidR="00030923">
        <w:t>C.S</w:t>
      </w:r>
      <w:proofErr w:type="spellEnd"/>
      <w:proofErr w:type="gramStart"/>
      <w:r w:rsidR="00030923">
        <w:t>.</w:t>
      </w:r>
      <w:r w:rsidR="00DA22BA" w:rsidRPr="00ED6B9C">
        <w:t xml:space="preserve"> </w:t>
      </w:r>
      <w:proofErr w:type="gramEnd"/>
      <w:r w:rsidR="00DA22BA" w:rsidRPr="00ED6B9C">
        <w:t>§</w:t>
      </w:r>
      <w:r w:rsidR="004C474E">
        <w:t xml:space="preserve"> </w:t>
      </w:r>
      <w:r w:rsidR="00DA22BA" w:rsidRPr="00ED6B9C">
        <w:t>1406</w:t>
      </w:r>
      <w:r w:rsidR="00DA22BA">
        <w:t>(b</w:t>
      </w:r>
      <w:proofErr w:type="gramStart"/>
      <w:r w:rsidR="00DA22BA">
        <w:t>)(</w:t>
      </w:r>
      <w:proofErr w:type="gramEnd"/>
      <w:r w:rsidR="00DA22BA">
        <w:t xml:space="preserve">ii).  Accordingly, Ms. Slaughter cannot prevail on the service termination issue. </w:t>
      </w:r>
    </w:p>
    <w:p w:rsidR="006B18FF" w:rsidRDefault="006B18FF" w:rsidP="007B06EB">
      <w:pPr>
        <w:tabs>
          <w:tab w:val="clear" w:pos="1440"/>
        </w:tabs>
        <w:spacing w:before="0" w:after="0"/>
        <w:rPr>
          <w:szCs w:val="24"/>
        </w:rPr>
      </w:pPr>
    </w:p>
    <w:p w:rsidR="007B06EB" w:rsidRPr="007B06EB" w:rsidRDefault="004C474E" w:rsidP="007B06EB">
      <w:pPr>
        <w:tabs>
          <w:tab w:val="clear" w:pos="1440"/>
        </w:tabs>
        <w:spacing w:before="0" w:after="0"/>
        <w:rPr>
          <w:szCs w:val="24"/>
        </w:rPr>
      </w:pPr>
      <w:r>
        <w:rPr>
          <w:szCs w:val="24"/>
        </w:rPr>
        <w:tab/>
      </w:r>
      <w:r w:rsidR="009063A2">
        <w:rPr>
          <w:szCs w:val="24"/>
        </w:rPr>
        <w:t>3.</w:t>
      </w:r>
      <w:r w:rsidR="009063A2">
        <w:rPr>
          <w:szCs w:val="24"/>
        </w:rPr>
        <w:tab/>
      </w:r>
      <w:r w:rsidR="009063A2" w:rsidRPr="00DA22BA">
        <w:rPr>
          <w:szCs w:val="24"/>
          <w:u w:val="single"/>
        </w:rPr>
        <w:t>Complainant’s Request for a Payment Arrangement</w:t>
      </w:r>
    </w:p>
    <w:p w:rsidR="009063A2" w:rsidRPr="009063A2" w:rsidRDefault="009063A2" w:rsidP="009063A2">
      <w:pPr>
        <w:tabs>
          <w:tab w:val="clear" w:pos="1440"/>
        </w:tabs>
        <w:spacing w:before="0" w:after="0"/>
        <w:rPr>
          <w:rFonts w:eastAsiaTheme="minorHAnsi"/>
          <w:szCs w:val="24"/>
          <w:highlight w:val="yellow"/>
          <w:u w:val="single"/>
        </w:rPr>
      </w:pPr>
    </w:p>
    <w:p w:rsidR="00DA22BA" w:rsidRDefault="00DA22BA" w:rsidP="00DA22BA">
      <w:pPr>
        <w:tabs>
          <w:tab w:val="clear" w:pos="1440"/>
        </w:tabs>
        <w:spacing w:before="0" w:after="0"/>
        <w:rPr>
          <w:szCs w:val="24"/>
        </w:rPr>
      </w:pPr>
      <w:r>
        <w:rPr>
          <w:szCs w:val="24"/>
        </w:rPr>
        <w:tab/>
      </w:r>
      <w:r>
        <w:rPr>
          <w:szCs w:val="24"/>
        </w:rPr>
        <w:tab/>
        <w:t xml:space="preserve">During the </w:t>
      </w:r>
      <w:proofErr w:type="gramStart"/>
      <w:r>
        <w:rPr>
          <w:szCs w:val="24"/>
        </w:rPr>
        <w:t>hearing</w:t>
      </w:r>
      <w:proofErr w:type="gramEnd"/>
      <w:r>
        <w:rPr>
          <w:szCs w:val="24"/>
        </w:rPr>
        <w:t xml:space="preserve"> Ms. Slaughter clarified that when she requested reinstatement into PGW’s CRP she was a</w:t>
      </w:r>
      <w:r w:rsidR="0072691A">
        <w:rPr>
          <w:szCs w:val="24"/>
        </w:rPr>
        <w:t>lso</w:t>
      </w:r>
      <w:r>
        <w:rPr>
          <w:szCs w:val="24"/>
        </w:rPr>
        <w:t xml:space="preserve"> seeking a Commission-order</w:t>
      </w:r>
      <w:r w:rsidR="0072691A">
        <w:rPr>
          <w:szCs w:val="24"/>
        </w:rPr>
        <w:t>ed</w:t>
      </w:r>
      <w:bookmarkStart w:id="0" w:name="_GoBack"/>
      <w:bookmarkEnd w:id="0"/>
      <w:r>
        <w:rPr>
          <w:szCs w:val="24"/>
        </w:rPr>
        <w:t xml:space="preserve"> payment arrangement. </w:t>
      </w:r>
      <w:r w:rsidR="00947BB8">
        <w:rPr>
          <w:szCs w:val="24"/>
        </w:rPr>
        <w:t xml:space="preserve"> </w:t>
      </w:r>
      <w:r>
        <w:rPr>
          <w:szCs w:val="24"/>
        </w:rPr>
        <w:t>Tr.</w:t>
      </w:r>
      <w:r w:rsidR="00772B81">
        <w:rPr>
          <w:szCs w:val="24"/>
        </w:rPr>
        <w:t> </w:t>
      </w:r>
      <w:r>
        <w:rPr>
          <w:szCs w:val="24"/>
        </w:rPr>
        <w:t>18</w:t>
      </w:r>
      <w:r w:rsidR="00772B81">
        <w:rPr>
          <w:szCs w:val="24"/>
        </w:rPr>
        <w:noBreakHyphen/>
      </w:r>
      <w:r>
        <w:rPr>
          <w:szCs w:val="24"/>
        </w:rPr>
        <w:t xml:space="preserve">19.  </w:t>
      </w:r>
      <w:r>
        <w:rPr>
          <w:szCs w:val="24"/>
        </w:rPr>
        <w:lastRenderedPageBreak/>
        <w:t>She has not previously received a payment arrang</w:t>
      </w:r>
      <w:r w:rsidR="003D1F32">
        <w:rPr>
          <w:szCs w:val="24"/>
        </w:rPr>
        <w:t>ement from the Commission.  Tr. </w:t>
      </w:r>
      <w:r>
        <w:rPr>
          <w:szCs w:val="24"/>
        </w:rPr>
        <w:t>20, 50.  PGW responded that Ms. Slaughter defaulted on her CRP, and she has not made a good faith effort to pay her bills.  Tr. 28.  Thus, PGW requested that the Commission deny Ms. Slaughter’s request for a payment arrangement.  Tr. 49.</w:t>
      </w:r>
    </w:p>
    <w:p w:rsidR="00DA22BA" w:rsidRDefault="00DA22BA" w:rsidP="009063A2">
      <w:pPr>
        <w:tabs>
          <w:tab w:val="clear" w:pos="1440"/>
        </w:tabs>
        <w:spacing w:before="0" w:after="0"/>
        <w:rPr>
          <w:rFonts w:eastAsiaTheme="minorHAnsi"/>
          <w:szCs w:val="24"/>
        </w:rPr>
      </w:pPr>
    </w:p>
    <w:p w:rsidR="009063A2" w:rsidRDefault="009063A2" w:rsidP="009063A2">
      <w:pPr>
        <w:tabs>
          <w:tab w:val="clear" w:pos="1440"/>
        </w:tabs>
        <w:spacing w:before="0" w:after="0"/>
        <w:rPr>
          <w:rFonts w:eastAsiaTheme="minorHAnsi"/>
          <w:szCs w:val="24"/>
        </w:rPr>
      </w:pPr>
      <w:r w:rsidRPr="009063A2">
        <w:rPr>
          <w:rFonts w:eastAsiaTheme="minorHAnsi"/>
          <w:szCs w:val="24"/>
        </w:rPr>
        <w:tab/>
      </w:r>
      <w:r w:rsidRPr="009063A2">
        <w:rPr>
          <w:rFonts w:eastAsiaTheme="minorHAnsi"/>
          <w:szCs w:val="24"/>
        </w:rPr>
        <w:tab/>
      </w:r>
      <w:r>
        <w:rPr>
          <w:rFonts w:eastAsiaTheme="minorHAnsi"/>
          <w:szCs w:val="24"/>
        </w:rPr>
        <w:t xml:space="preserve">Here, </w:t>
      </w:r>
      <w:r w:rsidRPr="009063A2">
        <w:rPr>
          <w:rFonts w:eastAsiaTheme="minorHAnsi"/>
          <w:szCs w:val="24"/>
        </w:rPr>
        <w:t>M</w:t>
      </w:r>
      <w:r>
        <w:rPr>
          <w:rFonts w:eastAsiaTheme="minorHAnsi"/>
          <w:szCs w:val="24"/>
        </w:rPr>
        <w:t>s</w:t>
      </w:r>
      <w:r w:rsidRPr="009063A2">
        <w:rPr>
          <w:rFonts w:eastAsiaTheme="minorHAnsi"/>
          <w:szCs w:val="24"/>
        </w:rPr>
        <w:t xml:space="preserve">. </w:t>
      </w:r>
      <w:r>
        <w:rPr>
          <w:rFonts w:eastAsiaTheme="minorHAnsi"/>
          <w:szCs w:val="24"/>
        </w:rPr>
        <w:t>Slaughter</w:t>
      </w:r>
      <w:r w:rsidRPr="009063A2">
        <w:rPr>
          <w:rFonts w:eastAsiaTheme="minorHAnsi"/>
          <w:szCs w:val="24"/>
        </w:rPr>
        <w:t xml:space="preserve"> </w:t>
      </w:r>
      <w:r w:rsidR="00DA22BA">
        <w:rPr>
          <w:rFonts w:eastAsiaTheme="minorHAnsi"/>
          <w:szCs w:val="24"/>
        </w:rPr>
        <w:t>admits she fail</w:t>
      </w:r>
      <w:r w:rsidR="004C474E">
        <w:rPr>
          <w:rFonts w:eastAsiaTheme="minorHAnsi"/>
          <w:szCs w:val="24"/>
        </w:rPr>
        <w:t>ed to make payments under PGW’s</w:t>
      </w:r>
      <w:r w:rsidR="00DA22BA">
        <w:rPr>
          <w:rFonts w:eastAsiaTheme="minorHAnsi"/>
          <w:szCs w:val="24"/>
        </w:rPr>
        <w:t xml:space="preserve"> CRP, but she </w:t>
      </w:r>
      <w:r w:rsidRPr="009063A2">
        <w:rPr>
          <w:rFonts w:eastAsiaTheme="minorHAnsi"/>
          <w:szCs w:val="24"/>
        </w:rPr>
        <w:t>seeks a reasonable payment a</w:t>
      </w:r>
      <w:r w:rsidR="00030923">
        <w:rPr>
          <w:rFonts w:eastAsiaTheme="minorHAnsi"/>
          <w:szCs w:val="24"/>
        </w:rPr>
        <w:t>rrange</w:t>
      </w:r>
      <w:r w:rsidRPr="009063A2">
        <w:rPr>
          <w:rFonts w:eastAsiaTheme="minorHAnsi"/>
          <w:szCs w:val="24"/>
        </w:rPr>
        <w:t>ment</w:t>
      </w:r>
      <w:r w:rsidR="00DA22BA">
        <w:rPr>
          <w:rFonts w:eastAsiaTheme="minorHAnsi"/>
          <w:szCs w:val="24"/>
        </w:rPr>
        <w:t xml:space="preserve"> from the Commission</w:t>
      </w:r>
      <w:r w:rsidRPr="009063A2">
        <w:rPr>
          <w:rFonts w:eastAsiaTheme="minorHAnsi"/>
          <w:szCs w:val="24"/>
        </w:rPr>
        <w:t xml:space="preserve">.  </w:t>
      </w:r>
      <w:r w:rsidR="00DA22BA">
        <w:rPr>
          <w:rFonts w:eastAsiaTheme="minorHAnsi"/>
          <w:szCs w:val="24"/>
        </w:rPr>
        <w:t xml:space="preserve">Tr. 15-16.  </w:t>
      </w:r>
      <w:r w:rsidR="00F0669E">
        <w:rPr>
          <w:rFonts w:eastAsiaTheme="minorHAnsi"/>
          <w:szCs w:val="24"/>
        </w:rPr>
        <w:t>The importance of making payment for utility service cannot be understated, even for customers on a utility’s customer assistance p</w:t>
      </w:r>
      <w:r w:rsidR="004C474E">
        <w:rPr>
          <w:rFonts w:eastAsiaTheme="minorHAnsi"/>
          <w:szCs w:val="24"/>
        </w:rPr>
        <w:t>rogram (CAP) such as PGW’s CRP.</w:t>
      </w:r>
      <w:r w:rsidR="00F0669E">
        <w:rPr>
          <w:rFonts w:eastAsiaTheme="minorHAnsi"/>
          <w:szCs w:val="24"/>
        </w:rPr>
        <w:t xml:space="preserve">  PGW, as </w:t>
      </w:r>
      <w:r w:rsidR="00436133">
        <w:rPr>
          <w:rFonts w:eastAsiaTheme="minorHAnsi"/>
          <w:szCs w:val="24"/>
        </w:rPr>
        <w:t xml:space="preserve">a </w:t>
      </w:r>
      <w:r w:rsidRPr="009063A2">
        <w:rPr>
          <w:rFonts w:eastAsiaTheme="minorHAnsi"/>
          <w:szCs w:val="24"/>
        </w:rPr>
        <w:t>public utility</w:t>
      </w:r>
      <w:r w:rsidR="00F0669E">
        <w:rPr>
          <w:rFonts w:eastAsiaTheme="minorHAnsi"/>
          <w:szCs w:val="24"/>
        </w:rPr>
        <w:t>,</w:t>
      </w:r>
      <w:r w:rsidRPr="009063A2">
        <w:rPr>
          <w:rFonts w:eastAsiaTheme="minorHAnsi"/>
          <w:szCs w:val="24"/>
        </w:rPr>
        <w:t xml:space="preserve"> is entitled to full payment for service provided to customers and all customers are obligated to pay for the utility service provided to them.  Otherwise, a customer’s unpaid bills are included in the utility’s uncollectible expenses and ultimately paid for by other utility customers.  </w:t>
      </w:r>
      <w:proofErr w:type="spellStart"/>
      <w:r w:rsidRPr="009063A2">
        <w:rPr>
          <w:rFonts w:eastAsiaTheme="minorHAnsi"/>
          <w:i/>
          <w:szCs w:val="24"/>
        </w:rPr>
        <w:t>Scaccia</w:t>
      </w:r>
      <w:proofErr w:type="spellEnd"/>
      <w:r w:rsidRPr="009063A2">
        <w:rPr>
          <w:rFonts w:eastAsiaTheme="minorHAnsi"/>
          <w:i/>
          <w:szCs w:val="24"/>
        </w:rPr>
        <w:t xml:space="preserve"> v. West Penn Power Co.</w:t>
      </w:r>
      <w:r w:rsidRPr="009063A2">
        <w:rPr>
          <w:rFonts w:eastAsiaTheme="minorHAnsi"/>
          <w:szCs w:val="24"/>
        </w:rPr>
        <w:t xml:space="preserve">, 55 Pa. P.U.C. 637 (1982); </w:t>
      </w:r>
      <w:r w:rsidRPr="009063A2">
        <w:rPr>
          <w:rFonts w:eastAsiaTheme="minorHAnsi"/>
          <w:i/>
          <w:szCs w:val="24"/>
        </w:rPr>
        <w:t>Mill v. Pa. Pub</w:t>
      </w:r>
      <w:proofErr w:type="gramStart"/>
      <w:r w:rsidR="004C474E">
        <w:rPr>
          <w:rFonts w:eastAsiaTheme="minorHAnsi"/>
          <w:i/>
          <w:szCs w:val="24"/>
        </w:rPr>
        <w:t>.</w:t>
      </w:r>
      <w:r w:rsidRPr="009063A2">
        <w:rPr>
          <w:rFonts w:eastAsiaTheme="minorHAnsi"/>
          <w:i/>
          <w:szCs w:val="24"/>
        </w:rPr>
        <w:t xml:space="preserve"> </w:t>
      </w:r>
      <w:proofErr w:type="gramEnd"/>
      <w:r w:rsidRPr="009063A2">
        <w:rPr>
          <w:rFonts w:eastAsiaTheme="minorHAnsi"/>
          <w:i/>
          <w:szCs w:val="24"/>
        </w:rPr>
        <w:t>Util</w:t>
      </w:r>
      <w:r w:rsidR="004C474E">
        <w:rPr>
          <w:rFonts w:eastAsiaTheme="minorHAnsi"/>
          <w:i/>
          <w:szCs w:val="24"/>
        </w:rPr>
        <w:t>.</w:t>
      </w:r>
      <w:r w:rsidRPr="009063A2">
        <w:rPr>
          <w:rFonts w:eastAsiaTheme="minorHAnsi"/>
          <w:i/>
          <w:szCs w:val="24"/>
        </w:rPr>
        <w:t xml:space="preserve"> </w:t>
      </w:r>
      <w:proofErr w:type="spellStart"/>
      <w:r w:rsidRPr="009063A2">
        <w:rPr>
          <w:rFonts w:eastAsiaTheme="minorHAnsi"/>
          <w:i/>
          <w:szCs w:val="24"/>
        </w:rPr>
        <w:t>Comm’n</w:t>
      </w:r>
      <w:proofErr w:type="spellEnd"/>
      <w:r w:rsidR="004C474E">
        <w:rPr>
          <w:rFonts w:eastAsiaTheme="minorHAnsi"/>
          <w:i/>
          <w:szCs w:val="24"/>
        </w:rPr>
        <w:t>,</w:t>
      </w:r>
      <w:r w:rsidRPr="009063A2">
        <w:rPr>
          <w:rFonts w:eastAsiaTheme="minorHAnsi"/>
          <w:szCs w:val="24"/>
        </w:rPr>
        <w:t xml:space="preserve"> 447 A.2d 1100 (1982); </w:t>
      </w:r>
      <w:r w:rsidRPr="009063A2">
        <w:rPr>
          <w:rFonts w:eastAsiaTheme="minorHAnsi"/>
          <w:i/>
          <w:szCs w:val="24"/>
        </w:rPr>
        <w:t>Bolt v. Duquesne Light  Company</w:t>
      </w:r>
      <w:r w:rsidRPr="009063A2">
        <w:rPr>
          <w:rFonts w:eastAsiaTheme="minorHAnsi"/>
          <w:szCs w:val="24"/>
        </w:rPr>
        <w:t>, Docket No</w:t>
      </w:r>
      <w:proofErr w:type="gramStart"/>
      <w:r w:rsidRPr="009063A2">
        <w:rPr>
          <w:rFonts w:eastAsiaTheme="minorHAnsi"/>
          <w:szCs w:val="24"/>
        </w:rPr>
        <w:t xml:space="preserve">. </w:t>
      </w:r>
      <w:proofErr w:type="gramEnd"/>
      <w:r w:rsidRPr="009063A2">
        <w:rPr>
          <w:rFonts w:eastAsiaTheme="minorHAnsi"/>
          <w:szCs w:val="24"/>
        </w:rPr>
        <w:t xml:space="preserve">Z-8712758 (Order entered April 8, 1988).  </w:t>
      </w:r>
    </w:p>
    <w:p w:rsidR="00F0669E" w:rsidRPr="009063A2" w:rsidRDefault="00F0669E" w:rsidP="009063A2">
      <w:pPr>
        <w:tabs>
          <w:tab w:val="clear" w:pos="1440"/>
        </w:tabs>
        <w:spacing w:before="0" w:after="0"/>
        <w:rPr>
          <w:rFonts w:eastAsiaTheme="minorHAnsi"/>
          <w:szCs w:val="24"/>
        </w:rPr>
      </w:pPr>
    </w:p>
    <w:p w:rsidR="00F0669E" w:rsidRDefault="00F0669E" w:rsidP="008D08E9">
      <w:pPr>
        <w:tabs>
          <w:tab w:val="clear" w:pos="1440"/>
        </w:tabs>
        <w:spacing w:before="0" w:after="0"/>
        <w:rPr>
          <w:rFonts w:eastAsiaTheme="minorHAnsi"/>
          <w:szCs w:val="24"/>
        </w:rPr>
      </w:pPr>
      <w:r>
        <w:rPr>
          <w:rFonts w:eastAsiaTheme="minorHAnsi"/>
          <w:szCs w:val="24"/>
        </w:rPr>
        <w:tab/>
      </w:r>
      <w:r>
        <w:rPr>
          <w:rFonts w:eastAsiaTheme="minorHAnsi"/>
          <w:szCs w:val="24"/>
        </w:rPr>
        <w:tab/>
        <w:t xml:space="preserve">While </w:t>
      </w:r>
      <w:r w:rsidR="005468A5">
        <w:rPr>
          <w:rFonts w:eastAsiaTheme="minorHAnsi"/>
          <w:szCs w:val="24"/>
        </w:rPr>
        <w:t xml:space="preserve">Section 1405(a) </w:t>
      </w:r>
      <w:r>
        <w:rPr>
          <w:rFonts w:eastAsiaTheme="minorHAnsi"/>
          <w:szCs w:val="24"/>
        </w:rPr>
        <w:t>of the Code</w:t>
      </w:r>
      <w:r w:rsidR="005468A5">
        <w:rPr>
          <w:rFonts w:eastAsiaTheme="minorHAnsi"/>
          <w:szCs w:val="24"/>
        </w:rPr>
        <w:t xml:space="preserve">, 66 </w:t>
      </w:r>
      <w:proofErr w:type="spellStart"/>
      <w:r w:rsidR="005468A5">
        <w:rPr>
          <w:rFonts w:eastAsiaTheme="minorHAnsi"/>
          <w:szCs w:val="24"/>
        </w:rPr>
        <w:t>Pa.C.S</w:t>
      </w:r>
      <w:proofErr w:type="spellEnd"/>
      <w:proofErr w:type="gramStart"/>
      <w:r w:rsidR="005468A5">
        <w:rPr>
          <w:rFonts w:eastAsiaTheme="minorHAnsi"/>
          <w:szCs w:val="24"/>
        </w:rPr>
        <w:t xml:space="preserve">. </w:t>
      </w:r>
      <w:proofErr w:type="gramEnd"/>
      <w:r w:rsidR="005468A5">
        <w:rPr>
          <w:rFonts w:eastAsiaTheme="minorHAnsi"/>
          <w:szCs w:val="24"/>
        </w:rPr>
        <w:t>§ 1405(a),</w:t>
      </w:r>
      <w:r>
        <w:rPr>
          <w:rFonts w:eastAsiaTheme="minorHAnsi"/>
          <w:szCs w:val="24"/>
        </w:rPr>
        <w:t xml:space="preserve"> does authorize the Commission</w:t>
      </w:r>
      <w:r w:rsidR="005468A5">
        <w:rPr>
          <w:rFonts w:eastAsiaTheme="minorHAnsi"/>
          <w:szCs w:val="24"/>
        </w:rPr>
        <w:t xml:space="preserve"> to grant a payment arrangement to a customer, the Code restricts the Commission from granting a customer a payment arrangement on CAP arrears.</w:t>
      </w:r>
      <w:r w:rsidR="009063A2" w:rsidRPr="009063A2">
        <w:rPr>
          <w:rFonts w:eastAsiaTheme="minorHAnsi"/>
          <w:szCs w:val="24"/>
        </w:rPr>
        <w:tab/>
      </w:r>
      <w:r w:rsidR="005468A5">
        <w:rPr>
          <w:rFonts w:eastAsiaTheme="minorHAnsi"/>
          <w:szCs w:val="24"/>
        </w:rPr>
        <w:t>Section 1</w:t>
      </w:r>
      <w:r w:rsidR="008E79E2">
        <w:rPr>
          <w:rFonts w:eastAsiaTheme="minorHAnsi"/>
          <w:szCs w:val="24"/>
        </w:rPr>
        <w:t>40</w:t>
      </w:r>
      <w:r w:rsidR="005468A5">
        <w:rPr>
          <w:rFonts w:eastAsiaTheme="minorHAnsi"/>
          <w:szCs w:val="24"/>
        </w:rPr>
        <w:t>5(</w:t>
      </w:r>
      <w:r w:rsidR="00E54A01">
        <w:rPr>
          <w:rFonts w:eastAsiaTheme="minorHAnsi"/>
          <w:szCs w:val="24"/>
        </w:rPr>
        <w:t>c</w:t>
      </w:r>
      <w:r w:rsidR="005468A5">
        <w:rPr>
          <w:rFonts w:eastAsiaTheme="minorHAnsi"/>
          <w:szCs w:val="24"/>
        </w:rPr>
        <w:t xml:space="preserve">) </w:t>
      </w:r>
      <w:r w:rsidR="00E54A01">
        <w:rPr>
          <w:rFonts w:eastAsiaTheme="minorHAnsi"/>
          <w:szCs w:val="24"/>
        </w:rPr>
        <w:t xml:space="preserve">of the Code </w:t>
      </w:r>
      <w:r w:rsidR="005468A5">
        <w:rPr>
          <w:rFonts w:eastAsiaTheme="minorHAnsi"/>
          <w:szCs w:val="24"/>
        </w:rPr>
        <w:t>states, “Customer assistance program rates shall be timely paid and shall not be the subject of payment arrangements negotiated or approved by the commission.”</w:t>
      </w:r>
      <w:r w:rsidR="004C474E">
        <w:rPr>
          <w:rFonts w:eastAsiaTheme="minorHAnsi"/>
          <w:szCs w:val="24"/>
        </w:rPr>
        <w:t xml:space="preserve"> </w:t>
      </w:r>
      <w:r w:rsidR="005468A5">
        <w:rPr>
          <w:rFonts w:eastAsiaTheme="minorHAnsi"/>
          <w:szCs w:val="24"/>
        </w:rPr>
        <w:t xml:space="preserve"> </w:t>
      </w:r>
      <w:r w:rsidR="00E54A01">
        <w:rPr>
          <w:rFonts w:eastAsiaTheme="minorHAnsi"/>
          <w:szCs w:val="24"/>
        </w:rPr>
        <w:t xml:space="preserve">66 </w:t>
      </w:r>
      <w:proofErr w:type="spellStart"/>
      <w:r w:rsidR="00E54A01">
        <w:rPr>
          <w:rFonts w:eastAsiaTheme="minorHAnsi"/>
          <w:szCs w:val="24"/>
        </w:rPr>
        <w:t>Pa.C.S</w:t>
      </w:r>
      <w:proofErr w:type="spellEnd"/>
      <w:proofErr w:type="gramStart"/>
      <w:r w:rsidR="00E54A01">
        <w:rPr>
          <w:rFonts w:eastAsiaTheme="minorHAnsi"/>
          <w:szCs w:val="24"/>
        </w:rPr>
        <w:t xml:space="preserve">. </w:t>
      </w:r>
      <w:proofErr w:type="gramEnd"/>
      <w:r w:rsidR="00E54A01">
        <w:rPr>
          <w:rFonts w:eastAsiaTheme="minorHAnsi"/>
          <w:szCs w:val="24"/>
        </w:rPr>
        <w:t xml:space="preserve">§ 1405(c).  </w:t>
      </w:r>
      <w:r w:rsidR="005468A5">
        <w:rPr>
          <w:rFonts w:eastAsiaTheme="minorHAnsi"/>
          <w:szCs w:val="24"/>
        </w:rPr>
        <w:t>Here, Ms. Slaughter’s account balance includes $913.00 in CRP arrears, which are CAP arrears.  Accordingly, Ms. Slaughter cannot be granted a payment arrangement of these arrears.</w:t>
      </w:r>
      <w:r w:rsidR="009063A2" w:rsidRPr="009063A2">
        <w:rPr>
          <w:rFonts w:eastAsiaTheme="minorHAnsi"/>
          <w:szCs w:val="24"/>
        </w:rPr>
        <w:tab/>
      </w:r>
    </w:p>
    <w:p w:rsidR="00F0669E" w:rsidRDefault="00F0669E" w:rsidP="008D08E9">
      <w:pPr>
        <w:tabs>
          <w:tab w:val="clear" w:pos="1440"/>
        </w:tabs>
        <w:spacing w:before="0" w:after="0"/>
        <w:rPr>
          <w:rFonts w:eastAsiaTheme="minorHAnsi"/>
          <w:szCs w:val="24"/>
        </w:rPr>
      </w:pPr>
    </w:p>
    <w:p w:rsidR="009063A2" w:rsidRPr="009063A2" w:rsidRDefault="005468A5" w:rsidP="008D08E9">
      <w:pPr>
        <w:tabs>
          <w:tab w:val="clear" w:pos="1440"/>
        </w:tabs>
        <w:spacing w:before="0" w:after="0"/>
      </w:pPr>
      <w:r>
        <w:rPr>
          <w:rFonts w:eastAsiaTheme="minorHAnsi"/>
          <w:szCs w:val="24"/>
        </w:rPr>
        <w:tab/>
      </w:r>
      <w:r>
        <w:rPr>
          <w:rFonts w:eastAsiaTheme="minorHAnsi"/>
          <w:szCs w:val="24"/>
        </w:rPr>
        <w:tab/>
      </w:r>
      <w:r w:rsidR="009063A2">
        <w:rPr>
          <w:rFonts w:eastAsiaTheme="minorHAnsi"/>
          <w:szCs w:val="24"/>
        </w:rPr>
        <w:t xml:space="preserve">Additionally, </w:t>
      </w:r>
      <w:r w:rsidR="009063A2" w:rsidRPr="009063A2">
        <w:rPr>
          <w:rFonts w:eastAsiaTheme="minorHAnsi"/>
          <w:szCs w:val="24"/>
        </w:rPr>
        <w:t>the evidence demonstrates that over the last three years M</w:t>
      </w:r>
      <w:r w:rsidR="009063A2">
        <w:rPr>
          <w:rFonts w:eastAsiaTheme="minorHAnsi"/>
          <w:szCs w:val="24"/>
        </w:rPr>
        <w:t>s</w:t>
      </w:r>
      <w:r w:rsidR="00947BB8">
        <w:rPr>
          <w:rFonts w:eastAsiaTheme="minorHAnsi"/>
          <w:szCs w:val="24"/>
        </w:rPr>
        <w:t>. </w:t>
      </w:r>
      <w:r w:rsidR="009063A2">
        <w:rPr>
          <w:rFonts w:eastAsiaTheme="minorHAnsi"/>
          <w:szCs w:val="24"/>
        </w:rPr>
        <w:t>Slaughter has only made two payment</w:t>
      </w:r>
      <w:r w:rsidR="008D08E9">
        <w:rPr>
          <w:rFonts w:eastAsiaTheme="minorHAnsi"/>
          <w:szCs w:val="24"/>
        </w:rPr>
        <w:t>s</w:t>
      </w:r>
      <w:r w:rsidR="009063A2">
        <w:rPr>
          <w:rFonts w:eastAsiaTheme="minorHAnsi"/>
          <w:szCs w:val="24"/>
        </w:rPr>
        <w:t xml:space="preserve"> on her bill.  </w:t>
      </w:r>
      <w:r>
        <w:rPr>
          <w:rFonts w:eastAsiaTheme="minorHAnsi"/>
          <w:szCs w:val="24"/>
        </w:rPr>
        <w:t xml:space="preserve">Exhibit 1 at 2, 4.  </w:t>
      </w:r>
      <w:r w:rsidR="009063A2">
        <w:rPr>
          <w:rFonts w:eastAsiaTheme="minorHAnsi"/>
          <w:szCs w:val="24"/>
        </w:rPr>
        <w:t>PGW argued that through the use of medical certifications and the complaint process, Ms. Slaughter has avoided service termination.</w:t>
      </w:r>
      <w:r w:rsidR="00947BB8">
        <w:rPr>
          <w:rFonts w:eastAsiaTheme="minorHAnsi"/>
          <w:szCs w:val="24"/>
        </w:rPr>
        <w:t xml:space="preserve">  </w:t>
      </w:r>
      <w:r w:rsidR="009063A2">
        <w:rPr>
          <w:rFonts w:eastAsiaTheme="minorHAnsi"/>
          <w:szCs w:val="24"/>
        </w:rPr>
        <w:t xml:space="preserve">Tr. </w:t>
      </w:r>
      <w:r>
        <w:rPr>
          <w:rFonts w:eastAsiaTheme="minorHAnsi"/>
          <w:szCs w:val="24"/>
        </w:rPr>
        <w:t xml:space="preserve">35-36, </w:t>
      </w:r>
      <w:r w:rsidR="009063A2">
        <w:rPr>
          <w:rFonts w:eastAsiaTheme="minorHAnsi"/>
          <w:szCs w:val="24"/>
        </w:rPr>
        <w:t>49.</w:t>
      </w:r>
      <w:r w:rsidR="00DC7EBA">
        <w:rPr>
          <w:rFonts w:eastAsiaTheme="minorHAnsi"/>
          <w:szCs w:val="24"/>
        </w:rPr>
        <w:t xml:space="preserve"> </w:t>
      </w:r>
      <w:r w:rsidR="009063A2">
        <w:rPr>
          <w:rFonts w:eastAsiaTheme="minorHAnsi"/>
          <w:szCs w:val="24"/>
        </w:rPr>
        <w:t xml:space="preserve"> Ms. Slaughter admitted that </w:t>
      </w:r>
      <w:r w:rsidR="00DC7EBA">
        <w:rPr>
          <w:rFonts w:eastAsiaTheme="minorHAnsi"/>
          <w:szCs w:val="24"/>
        </w:rPr>
        <w:t xml:space="preserve">she has submitted medical certifications, Tr. 16, and </w:t>
      </w:r>
      <w:r w:rsidR="009063A2">
        <w:rPr>
          <w:rFonts w:eastAsiaTheme="minorHAnsi"/>
          <w:szCs w:val="24"/>
        </w:rPr>
        <w:t>her gas service is still on.  Thus</w:t>
      </w:r>
      <w:r w:rsidR="00DC7EBA">
        <w:rPr>
          <w:rFonts w:eastAsiaTheme="minorHAnsi"/>
          <w:szCs w:val="24"/>
        </w:rPr>
        <w:t>,</w:t>
      </w:r>
      <w:r w:rsidR="009063A2">
        <w:rPr>
          <w:rFonts w:eastAsiaTheme="minorHAnsi"/>
          <w:szCs w:val="24"/>
        </w:rPr>
        <w:t xml:space="preserve"> under the Commission regulations </w:t>
      </w:r>
      <w:r w:rsidR="009063A2">
        <w:rPr>
          <w:rFonts w:eastAsiaTheme="minorHAnsi"/>
          <w:szCs w:val="24"/>
        </w:rPr>
        <w:lastRenderedPageBreak/>
        <w:t>Ms.</w:t>
      </w:r>
      <w:r w:rsidR="00947BB8">
        <w:rPr>
          <w:rFonts w:eastAsiaTheme="minorHAnsi"/>
          <w:szCs w:val="24"/>
        </w:rPr>
        <w:t> </w:t>
      </w:r>
      <w:r w:rsidR="009063A2">
        <w:rPr>
          <w:rFonts w:eastAsiaTheme="minorHAnsi"/>
          <w:szCs w:val="24"/>
        </w:rPr>
        <w:t>Slaughter was required to pay her gas bill pending the outcome of her Complaint</w:t>
      </w:r>
      <w:r w:rsidR="009063A2" w:rsidRPr="009063A2">
        <w:rPr>
          <w:vertAlign w:val="superscript"/>
        </w:rPr>
        <w:footnoteReference w:id="6"/>
      </w:r>
      <w:r w:rsidR="009063A2">
        <w:rPr>
          <w:rFonts w:eastAsiaTheme="minorHAnsi"/>
          <w:szCs w:val="24"/>
        </w:rPr>
        <w:t xml:space="preserve">.  </w:t>
      </w:r>
      <w:proofErr w:type="gramStart"/>
      <w:r w:rsidR="009063A2">
        <w:rPr>
          <w:rFonts w:eastAsiaTheme="minorHAnsi"/>
          <w:szCs w:val="24"/>
        </w:rPr>
        <w:t>However</w:t>
      </w:r>
      <w:proofErr w:type="gramEnd"/>
      <w:r w:rsidR="009063A2">
        <w:rPr>
          <w:rFonts w:eastAsiaTheme="minorHAnsi"/>
          <w:szCs w:val="24"/>
        </w:rPr>
        <w:t xml:space="preserve"> the record establishes she has not made any payment since filing her Complaint. </w:t>
      </w:r>
      <w:r w:rsidR="008D08E9">
        <w:rPr>
          <w:rFonts w:eastAsiaTheme="minorHAnsi"/>
          <w:szCs w:val="24"/>
        </w:rPr>
        <w:t xml:space="preserve"> </w:t>
      </w:r>
      <w:r w:rsidR="009063A2" w:rsidRPr="009063A2">
        <w:t xml:space="preserve">Exhibit </w:t>
      </w:r>
      <w:r w:rsidR="008D08E9">
        <w:t>3</w:t>
      </w:r>
      <w:proofErr w:type="gramStart"/>
      <w:r w:rsidR="009063A2" w:rsidRPr="009063A2">
        <w:t xml:space="preserve">.  </w:t>
      </w:r>
      <w:r w:rsidR="008D08E9">
        <w:t xml:space="preserve"> Also</w:t>
      </w:r>
      <w:proofErr w:type="gramEnd"/>
      <w:r w:rsidR="008D08E9">
        <w:t xml:space="preserve">, Ms. Slaughter defaulted on two payment arrangements </w:t>
      </w:r>
      <w:r w:rsidR="00947BB8">
        <w:t>extended to her by PGW.  Tr. 40</w:t>
      </w:r>
      <w:r w:rsidR="00947BB8">
        <w:noBreakHyphen/>
      </w:r>
      <w:r w:rsidR="008D08E9">
        <w:t>42.</w:t>
      </w:r>
      <w:r w:rsidR="00DC7EBA">
        <w:t xml:space="preserve"> </w:t>
      </w:r>
    </w:p>
    <w:p w:rsidR="009063A2" w:rsidRPr="009063A2" w:rsidRDefault="009063A2" w:rsidP="009063A2">
      <w:pPr>
        <w:tabs>
          <w:tab w:val="clear" w:pos="1440"/>
          <w:tab w:val="left" w:pos="0"/>
        </w:tabs>
        <w:spacing w:before="0" w:after="0"/>
      </w:pPr>
    </w:p>
    <w:p w:rsidR="009063A2" w:rsidRPr="009063A2" w:rsidRDefault="009063A2" w:rsidP="009063A2">
      <w:pPr>
        <w:spacing w:before="0" w:after="0"/>
        <w:rPr>
          <w:snapToGrid w:val="0"/>
          <w:szCs w:val="24"/>
        </w:rPr>
      </w:pPr>
      <w:r w:rsidRPr="009063A2">
        <w:rPr>
          <w:snapToGrid w:val="0"/>
          <w:szCs w:val="24"/>
        </w:rPr>
        <w:tab/>
        <w:t>When a complainant with a poor payment history seeks a payment plan, the Commission has stated as follows:</w:t>
      </w:r>
    </w:p>
    <w:p w:rsidR="009063A2" w:rsidRPr="009063A2" w:rsidRDefault="009063A2" w:rsidP="009063A2">
      <w:pPr>
        <w:widowControl w:val="0"/>
        <w:tabs>
          <w:tab w:val="clear" w:pos="1440"/>
        </w:tabs>
        <w:autoSpaceDE w:val="0"/>
        <w:autoSpaceDN w:val="0"/>
        <w:spacing w:before="0" w:after="0"/>
        <w:rPr>
          <w:snapToGrid w:val="0"/>
          <w:szCs w:val="24"/>
        </w:rPr>
      </w:pPr>
    </w:p>
    <w:p w:rsidR="009063A2" w:rsidRPr="009063A2" w:rsidRDefault="009063A2" w:rsidP="009063A2">
      <w:pPr>
        <w:widowControl w:val="0"/>
        <w:tabs>
          <w:tab w:val="clear" w:pos="1440"/>
        </w:tabs>
        <w:spacing w:before="0" w:after="0" w:line="240" w:lineRule="auto"/>
        <w:ind w:left="1440" w:right="1440"/>
        <w:rPr>
          <w:snapToGrid w:val="0"/>
          <w:szCs w:val="24"/>
        </w:rPr>
      </w:pPr>
      <w:r w:rsidRPr="009063A2">
        <w:rPr>
          <w:snapToGrid w:val="0"/>
          <w:szCs w:val="24"/>
        </w:rPr>
        <w:t xml:space="preserve">We believe that the Commission has a responsibility to exercise its authority very judiciously when a utility has lawfully terminated a customer for nonpayment.  Specifically, this Commission should </w:t>
      </w:r>
    </w:p>
    <w:p w:rsidR="009063A2" w:rsidRPr="009063A2" w:rsidRDefault="009063A2" w:rsidP="009063A2">
      <w:pPr>
        <w:widowControl w:val="0"/>
        <w:tabs>
          <w:tab w:val="clear" w:pos="1440"/>
        </w:tabs>
        <w:spacing w:before="0" w:after="0" w:line="240" w:lineRule="auto"/>
        <w:ind w:left="1440" w:right="1440"/>
        <w:rPr>
          <w:snapToGrid w:val="0"/>
          <w:szCs w:val="24"/>
        </w:rPr>
      </w:pPr>
      <w:proofErr w:type="gramStart"/>
      <w:r w:rsidRPr="009063A2">
        <w:rPr>
          <w:snapToGrid w:val="0"/>
          <w:szCs w:val="24"/>
        </w:rPr>
        <w:t>exercise</w:t>
      </w:r>
      <w:proofErr w:type="gramEnd"/>
      <w:r w:rsidRPr="009063A2">
        <w:rPr>
          <w:snapToGrid w:val="0"/>
          <w:szCs w:val="24"/>
        </w:rPr>
        <w:t xml:space="preserve"> its discretion only on behalf of customers who have demonstrated some evidence of good faith efforts to pay their utility bills, or who have experienced a significant change of circumstance outside of their control.</w:t>
      </w:r>
    </w:p>
    <w:p w:rsidR="009063A2" w:rsidRPr="009063A2" w:rsidRDefault="009063A2" w:rsidP="009063A2">
      <w:pPr>
        <w:widowControl w:val="0"/>
        <w:tabs>
          <w:tab w:val="clear" w:pos="1440"/>
        </w:tabs>
        <w:autoSpaceDE w:val="0"/>
        <w:autoSpaceDN w:val="0"/>
        <w:spacing w:before="0" w:after="0" w:line="240" w:lineRule="auto"/>
        <w:ind w:left="1440" w:right="1440"/>
        <w:rPr>
          <w:snapToGrid w:val="0"/>
          <w:szCs w:val="24"/>
        </w:rPr>
      </w:pPr>
      <w:r w:rsidRPr="009063A2">
        <w:rPr>
          <w:snapToGrid w:val="0"/>
          <w:szCs w:val="24"/>
        </w:rPr>
        <w:t xml:space="preserve"> </w:t>
      </w:r>
    </w:p>
    <w:p w:rsidR="009063A2" w:rsidRPr="009063A2" w:rsidRDefault="009063A2" w:rsidP="009063A2">
      <w:pPr>
        <w:tabs>
          <w:tab w:val="clear" w:pos="1440"/>
        </w:tabs>
        <w:spacing w:before="0" w:after="0"/>
        <w:rPr>
          <w:szCs w:val="24"/>
        </w:rPr>
      </w:pPr>
      <w:r w:rsidRPr="009063A2">
        <w:rPr>
          <w:i/>
          <w:szCs w:val="24"/>
        </w:rPr>
        <w:t xml:space="preserve">George Crawford v. National Fuel Gas Distribution Corporation, </w:t>
      </w:r>
      <w:r w:rsidRPr="009063A2">
        <w:rPr>
          <w:szCs w:val="24"/>
        </w:rPr>
        <w:t>Docket No</w:t>
      </w:r>
      <w:proofErr w:type="gramStart"/>
      <w:r w:rsidRPr="009063A2">
        <w:rPr>
          <w:szCs w:val="24"/>
        </w:rPr>
        <w:t xml:space="preserve">. </w:t>
      </w:r>
      <w:proofErr w:type="gramEnd"/>
      <w:r w:rsidRPr="009063A2">
        <w:rPr>
          <w:szCs w:val="24"/>
        </w:rPr>
        <w:t xml:space="preserve">C-20066348, at </w:t>
      </w:r>
    </w:p>
    <w:p w:rsidR="009063A2" w:rsidRPr="009063A2" w:rsidRDefault="009063A2" w:rsidP="009063A2">
      <w:pPr>
        <w:tabs>
          <w:tab w:val="clear" w:pos="1440"/>
        </w:tabs>
        <w:spacing w:before="0" w:after="0"/>
      </w:pPr>
      <w:r w:rsidRPr="009063A2">
        <w:rPr>
          <w:szCs w:val="24"/>
        </w:rPr>
        <w:t xml:space="preserve">15-16 (Opinion and Order entered August 3, 2007). </w:t>
      </w:r>
    </w:p>
    <w:p w:rsidR="009063A2" w:rsidRPr="009063A2" w:rsidRDefault="009063A2" w:rsidP="009063A2">
      <w:pPr>
        <w:spacing w:before="0" w:after="0"/>
      </w:pPr>
    </w:p>
    <w:p w:rsidR="009063A2" w:rsidRPr="009063A2" w:rsidRDefault="009063A2" w:rsidP="009063A2">
      <w:pPr>
        <w:spacing w:before="0" w:after="0"/>
        <w:rPr>
          <w:szCs w:val="24"/>
        </w:rPr>
      </w:pPr>
      <w:r w:rsidRPr="009063A2">
        <w:rPr>
          <w:rFonts w:ascii="Times New (W1)" w:hAnsi="Times New (W1)"/>
          <w:kern w:val="26"/>
        </w:rPr>
        <w:tab/>
      </w:r>
      <w:r w:rsidRPr="009063A2">
        <w:rPr>
          <w:szCs w:val="24"/>
        </w:rPr>
        <w:t>Based upon all of the above reasoning, a conclusion is required that the M</w:t>
      </w:r>
      <w:r w:rsidR="008D08E9">
        <w:rPr>
          <w:szCs w:val="24"/>
        </w:rPr>
        <w:t>s</w:t>
      </w:r>
      <w:r w:rsidR="00F64741">
        <w:rPr>
          <w:szCs w:val="24"/>
        </w:rPr>
        <w:t>. </w:t>
      </w:r>
      <w:r w:rsidR="008D08E9">
        <w:rPr>
          <w:szCs w:val="24"/>
        </w:rPr>
        <w:t xml:space="preserve">Slaughter </w:t>
      </w:r>
      <w:r w:rsidRPr="009063A2">
        <w:rPr>
          <w:szCs w:val="24"/>
        </w:rPr>
        <w:t>has not made any good faith effort to make payments on h</w:t>
      </w:r>
      <w:r w:rsidR="008D08E9">
        <w:rPr>
          <w:szCs w:val="24"/>
        </w:rPr>
        <w:t>er</w:t>
      </w:r>
      <w:r w:rsidRPr="009063A2">
        <w:rPr>
          <w:szCs w:val="24"/>
        </w:rPr>
        <w:t xml:space="preserve"> utility account.  </w:t>
      </w:r>
      <w:proofErr w:type="gramStart"/>
      <w:r w:rsidRPr="009063A2">
        <w:rPr>
          <w:szCs w:val="24"/>
        </w:rPr>
        <w:t>Therefore</w:t>
      </w:r>
      <w:proofErr w:type="gramEnd"/>
      <w:r w:rsidRPr="009063A2">
        <w:rPr>
          <w:szCs w:val="24"/>
        </w:rPr>
        <w:t xml:space="preserve"> it is not appropriate to award h</w:t>
      </w:r>
      <w:r w:rsidR="008D08E9">
        <w:rPr>
          <w:szCs w:val="24"/>
        </w:rPr>
        <w:t>er</w:t>
      </w:r>
      <w:r w:rsidRPr="009063A2">
        <w:rPr>
          <w:szCs w:val="24"/>
        </w:rPr>
        <w:t xml:space="preserve"> a payment arrangement based upon h</w:t>
      </w:r>
      <w:r w:rsidR="00DC7EBA">
        <w:rPr>
          <w:szCs w:val="24"/>
        </w:rPr>
        <w:t>er</w:t>
      </w:r>
      <w:r w:rsidRPr="009063A2">
        <w:rPr>
          <w:szCs w:val="24"/>
        </w:rPr>
        <w:t xml:space="preserve"> payment history.</w:t>
      </w:r>
    </w:p>
    <w:p w:rsidR="007B06EB" w:rsidRDefault="007B06EB" w:rsidP="007B06EB">
      <w:pPr>
        <w:tabs>
          <w:tab w:val="clear" w:pos="1440"/>
        </w:tabs>
        <w:spacing w:before="0" w:after="0"/>
        <w:rPr>
          <w:szCs w:val="24"/>
        </w:rPr>
      </w:pPr>
    </w:p>
    <w:p w:rsidR="007A5913" w:rsidRPr="007A5913" w:rsidRDefault="007A5913" w:rsidP="00B31333">
      <w:pPr>
        <w:tabs>
          <w:tab w:val="clear" w:pos="1440"/>
        </w:tabs>
        <w:spacing w:before="0" w:after="0"/>
        <w:jc w:val="center"/>
        <w:rPr>
          <w:szCs w:val="24"/>
          <w:u w:val="single"/>
        </w:rPr>
      </w:pPr>
      <w:r w:rsidRPr="005D25FC">
        <w:rPr>
          <w:szCs w:val="24"/>
          <w:u w:val="single"/>
        </w:rPr>
        <w:t>CONCLUSIONS OF LAW</w:t>
      </w:r>
    </w:p>
    <w:p w:rsidR="007A5913" w:rsidRPr="007A5913" w:rsidRDefault="007A5913" w:rsidP="00B31333">
      <w:pPr>
        <w:tabs>
          <w:tab w:val="clear" w:pos="1440"/>
        </w:tabs>
        <w:spacing w:before="0" w:after="0"/>
        <w:rPr>
          <w:szCs w:val="24"/>
        </w:rPr>
      </w:pPr>
    </w:p>
    <w:p w:rsidR="007A5913" w:rsidRPr="007A5913" w:rsidRDefault="007A5913" w:rsidP="00B31333">
      <w:pPr>
        <w:tabs>
          <w:tab w:val="clear" w:pos="1440"/>
        </w:tabs>
        <w:spacing w:before="0" w:after="0"/>
        <w:ind w:firstLine="1440"/>
      </w:pPr>
      <w:r w:rsidRPr="007A5913">
        <w:t>1.</w:t>
      </w:r>
      <w:r w:rsidRPr="007A5913">
        <w:tab/>
        <w:t xml:space="preserve">The Commission has jurisdiction over the parties and the subject matter of this dispute.  66 </w:t>
      </w:r>
      <w:proofErr w:type="spellStart"/>
      <w:r w:rsidRPr="007A5913">
        <w:t>Pa.C.S</w:t>
      </w:r>
      <w:proofErr w:type="spellEnd"/>
      <w:proofErr w:type="gramStart"/>
      <w:r w:rsidRPr="007A5913">
        <w:t xml:space="preserve">. </w:t>
      </w:r>
      <w:proofErr w:type="gramEnd"/>
      <w:r w:rsidRPr="007A5913">
        <w:t>§ 701.</w:t>
      </w:r>
    </w:p>
    <w:p w:rsidR="007A5913" w:rsidRPr="007A5913" w:rsidRDefault="007A5913" w:rsidP="00B31333">
      <w:pPr>
        <w:tabs>
          <w:tab w:val="clear" w:pos="1440"/>
        </w:tabs>
        <w:spacing w:before="0" w:after="0"/>
        <w:ind w:firstLine="1440"/>
        <w:rPr>
          <w:szCs w:val="24"/>
        </w:rPr>
      </w:pPr>
    </w:p>
    <w:p w:rsidR="00502ED6" w:rsidRPr="00502ED6" w:rsidRDefault="007A5913" w:rsidP="00502ED6">
      <w:pPr>
        <w:tabs>
          <w:tab w:val="clear" w:pos="1440"/>
        </w:tabs>
        <w:spacing w:after="0"/>
        <w:rPr>
          <w:rFonts w:eastAsiaTheme="minorHAnsi"/>
          <w:szCs w:val="24"/>
        </w:rPr>
      </w:pPr>
      <w:r w:rsidRPr="007A5913">
        <w:rPr>
          <w:szCs w:val="24"/>
        </w:rPr>
        <w:lastRenderedPageBreak/>
        <w:tab/>
      </w:r>
      <w:r w:rsidR="00502ED6" w:rsidRPr="00502ED6">
        <w:rPr>
          <w:rFonts w:eastAsiaTheme="minorHAnsi"/>
          <w:szCs w:val="24"/>
        </w:rPr>
        <w:tab/>
        <w:t>2.</w:t>
      </w:r>
      <w:r w:rsidR="00502ED6" w:rsidRPr="00502ED6">
        <w:rPr>
          <w:rFonts w:eastAsiaTheme="minorHAnsi"/>
          <w:szCs w:val="24"/>
        </w:rPr>
        <w:tab/>
        <w:t>Complainant carries the burden of proving Respondent has in some manner violated the provisions of the Public Utility Code or the regulations of the Commission in the course of providing her service.  66 </w:t>
      </w:r>
      <w:proofErr w:type="spellStart"/>
      <w:r w:rsidR="00502ED6" w:rsidRPr="00502ED6">
        <w:rPr>
          <w:rFonts w:eastAsiaTheme="minorHAnsi"/>
          <w:szCs w:val="24"/>
        </w:rPr>
        <w:t>Pa.C.S</w:t>
      </w:r>
      <w:proofErr w:type="spellEnd"/>
      <w:proofErr w:type="gramStart"/>
      <w:r w:rsidR="00502ED6" w:rsidRPr="00502ED6">
        <w:rPr>
          <w:rFonts w:eastAsiaTheme="minorHAnsi"/>
          <w:szCs w:val="24"/>
        </w:rPr>
        <w:t xml:space="preserve">. </w:t>
      </w:r>
      <w:proofErr w:type="gramEnd"/>
      <w:r w:rsidR="00502ED6" w:rsidRPr="00502ED6">
        <w:rPr>
          <w:rFonts w:eastAsiaTheme="minorHAnsi"/>
          <w:szCs w:val="24"/>
        </w:rPr>
        <w:t xml:space="preserve">§ 332(a). </w:t>
      </w:r>
    </w:p>
    <w:p w:rsidR="00502ED6" w:rsidRPr="00502ED6" w:rsidRDefault="00502ED6" w:rsidP="00502ED6">
      <w:pPr>
        <w:tabs>
          <w:tab w:val="clear" w:pos="1440"/>
        </w:tabs>
        <w:autoSpaceDE w:val="0"/>
        <w:autoSpaceDN w:val="0"/>
        <w:spacing w:before="0" w:after="0"/>
        <w:rPr>
          <w:rFonts w:eastAsiaTheme="minorHAnsi"/>
          <w:szCs w:val="24"/>
        </w:rPr>
      </w:pPr>
      <w:r w:rsidRPr="00502ED6">
        <w:rPr>
          <w:rFonts w:eastAsiaTheme="minorHAnsi"/>
          <w:szCs w:val="24"/>
        </w:rPr>
        <w:t xml:space="preserve"> </w:t>
      </w:r>
    </w:p>
    <w:p w:rsidR="00502ED6" w:rsidRPr="00502ED6" w:rsidRDefault="00502ED6" w:rsidP="00502ED6">
      <w:pPr>
        <w:tabs>
          <w:tab w:val="clear" w:pos="1440"/>
        </w:tabs>
        <w:spacing w:before="0" w:after="0"/>
        <w:rPr>
          <w:rFonts w:eastAsiaTheme="minorHAnsi"/>
          <w:szCs w:val="24"/>
        </w:rPr>
      </w:pPr>
      <w:r w:rsidRPr="00502ED6">
        <w:rPr>
          <w:rFonts w:eastAsiaTheme="minorHAnsi"/>
          <w:szCs w:val="24"/>
        </w:rPr>
        <w:tab/>
      </w:r>
      <w:r w:rsidRPr="00502ED6">
        <w:rPr>
          <w:rFonts w:eastAsiaTheme="minorHAnsi"/>
          <w:szCs w:val="24"/>
        </w:rPr>
        <w:tab/>
        <w:t>3.</w:t>
      </w:r>
      <w:r w:rsidRPr="00502ED6">
        <w:rPr>
          <w:rFonts w:eastAsiaTheme="minorHAnsi"/>
          <w:szCs w:val="24"/>
        </w:rPr>
        <w:tab/>
        <w:t>Complainant carrie</w:t>
      </w:r>
      <w:r w:rsidR="00DC7EBA">
        <w:rPr>
          <w:rFonts w:eastAsiaTheme="minorHAnsi"/>
          <w:szCs w:val="24"/>
        </w:rPr>
        <w:t>s</w:t>
      </w:r>
      <w:r w:rsidRPr="00502ED6">
        <w:rPr>
          <w:rFonts w:eastAsiaTheme="minorHAnsi"/>
          <w:szCs w:val="24"/>
        </w:rPr>
        <w:t xml:space="preserve"> the burden of proving Respondent violated the Code and Commission regulations and failed to provide Complainant with reasonable customer service relating to the Respondent’s billing practices and </w:t>
      </w:r>
      <w:r w:rsidR="00DC7EBA">
        <w:rPr>
          <w:rFonts w:eastAsiaTheme="minorHAnsi"/>
          <w:szCs w:val="24"/>
        </w:rPr>
        <w:t>service termination notice</w:t>
      </w:r>
      <w:r w:rsidRPr="00502ED6">
        <w:rPr>
          <w:rFonts w:eastAsiaTheme="minorHAnsi"/>
          <w:szCs w:val="24"/>
        </w:rPr>
        <w:t xml:space="preserve">.  66 </w:t>
      </w:r>
      <w:proofErr w:type="spellStart"/>
      <w:r w:rsidRPr="00502ED6">
        <w:rPr>
          <w:rFonts w:eastAsiaTheme="minorHAnsi"/>
          <w:szCs w:val="24"/>
        </w:rPr>
        <w:t>Pa.C.S</w:t>
      </w:r>
      <w:proofErr w:type="spellEnd"/>
      <w:proofErr w:type="gramStart"/>
      <w:r w:rsidRPr="00502ED6">
        <w:rPr>
          <w:rFonts w:eastAsiaTheme="minorHAnsi"/>
          <w:szCs w:val="24"/>
        </w:rPr>
        <w:t xml:space="preserve">. </w:t>
      </w:r>
      <w:proofErr w:type="gramEnd"/>
      <w:r w:rsidRPr="00502ED6">
        <w:rPr>
          <w:rFonts w:eastAsiaTheme="minorHAnsi"/>
          <w:szCs w:val="24"/>
        </w:rPr>
        <w:t>§ 1501.</w:t>
      </w:r>
    </w:p>
    <w:p w:rsidR="00502ED6" w:rsidRPr="00502ED6" w:rsidRDefault="00502ED6" w:rsidP="00502ED6">
      <w:pPr>
        <w:tabs>
          <w:tab w:val="clear" w:pos="1440"/>
        </w:tabs>
        <w:spacing w:before="0" w:after="0"/>
        <w:ind w:left="1440" w:right="1080"/>
        <w:rPr>
          <w:rFonts w:eastAsiaTheme="minorHAnsi"/>
          <w:szCs w:val="24"/>
        </w:rPr>
      </w:pPr>
    </w:p>
    <w:p w:rsidR="00502ED6" w:rsidRPr="00502ED6" w:rsidRDefault="00502ED6" w:rsidP="00DC7EBA">
      <w:pPr>
        <w:tabs>
          <w:tab w:val="clear" w:pos="1440"/>
        </w:tabs>
        <w:spacing w:before="0" w:after="0"/>
        <w:rPr>
          <w:rFonts w:eastAsiaTheme="minorHAnsi" w:cstheme="minorBidi"/>
          <w:szCs w:val="24"/>
        </w:rPr>
      </w:pPr>
      <w:r w:rsidRPr="00502ED6">
        <w:rPr>
          <w:rFonts w:eastAsiaTheme="minorHAnsi"/>
          <w:szCs w:val="24"/>
        </w:rPr>
        <w:tab/>
      </w:r>
      <w:r w:rsidRPr="00502ED6">
        <w:rPr>
          <w:rFonts w:eastAsiaTheme="minorHAnsi"/>
          <w:szCs w:val="24"/>
        </w:rPr>
        <w:tab/>
        <w:t>4.</w:t>
      </w:r>
      <w:r w:rsidRPr="00502ED6">
        <w:rPr>
          <w:rFonts w:eastAsiaTheme="minorHAnsi"/>
          <w:szCs w:val="24"/>
        </w:rPr>
        <w:tab/>
      </w:r>
      <w:r w:rsidRPr="00502ED6">
        <w:rPr>
          <w:rFonts w:eastAsiaTheme="minorHAnsi" w:cstheme="minorBidi"/>
          <w:szCs w:val="24"/>
        </w:rPr>
        <w:t xml:space="preserve">The Responsible Utility Customer Protection Act, 66 </w:t>
      </w:r>
      <w:proofErr w:type="spellStart"/>
      <w:r w:rsidRPr="00502ED6">
        <w:rPr>
          <w:rFonts w:eastAsiaTheme="minorHAnsi" w:cstheme="minorBidi"/>
          <w:szCs w:val="24"/>
        </w:rPr>
        <w:t>Pa.C.S</w:t>
      </w:r>
      <w:proofErr w:type="spellEnd"/>
      <w:proofErr w:type="gramStart"/>
      <w:r w:rsidRPr="00502ED6">
        <w:rPr>
          <w:rFonts w:eastAsiaTheme="minorHAnsi" w:cstheme="minorBidi"/>
          <w:szCs w:val="24"/>
        </w:rPr>
        <w:t xml:space="preserve">. </w:t>
      </w:r>
      <w:proofErr w:type="gramEnd"/>
      <w:r w:rsidRPr="00502ED6">
        <w:rPr>
          <w:rFonts w:eastAsiaTheme="minorHAnsi" w:cstheme="minorBidi"/>
          <w:szCs w:val="24"/>
        </w:rPr>
        <w:t xml:space="preserve">§ 1401, </w:t>
      </w:r>
      <w:r w:rsidR="00EA44B8">
        <w:rPr>
          <w:rFonts w:eastAsiaTheme="minorHAnsi" w:cstheme="minorBidi"/>
          <w:szCs w:val="24"/>
        </w:rPr>
        <w:t>et </w:t>
      </w:r>
      <w:r w:rsidRPr="00030923">
        <w:rPr>
          <w:rFonts w:eastAsiaTheme="minorHAnsi" w:cstheme="minorBidi"/>
          <w:szCs w:val="24"/>
        </w:rPr>
        <w:t>seq</w:t>
      </w:r>
      <w:r w:rsidRPr="00502ED6">
        <w:rPr>
          <w:rFonts w:eastAsiaTheme="minorHAnsi" w:cstheme="minorBidi"/>
          <w:i/>
          <w:szCs w:val="24"/>
        </w:rPr>
        <w:t>.</w:t>
      </w:r>
      <w:r w:rsidRPr="00502ED6">
        <w:rPr>
          <w:rFonts w:eastAsiaTheme="minorHAnsi" w:cstheme="minorBidi"/>
          <w:szCs w:val="24"/>
        </w:rPr>
        <w:t>, applies to this proceeding.</w:t>
      </w:r>
    </w:p>
    <w:p w:rsidR="00502ED6" w:rsidRPr="00502ED6" w:rsidRDefault="00502ED6" w:rsidP="00502ED6">
      <w:pPr>
        <w:tabs>
          <w:tab w:val="clear" w:pos="1440"/>
        </w:tabs>
        <w:spacing w:before="0" w:after="0"/>
        <w:ind w:firstLine="1440"/>
        <w:rPr>
          <w:rFonts w:eastAsiaTheme="minorHAnsi" w:cstheme="minorBidi"/>
          <w:szCs w:val="24"/>
        </w:rPr>
      </w:pPr>
    </w:p>
    <w:p w:rsidR="00DC7EBA" w:rsidRDefault="00502ED6" w:rsidP="00502ED6">
      <w:pPr>
        <w:widowControl w:val="0"/>
        <w:tabs>
          <w:tab w:val="clear" w:pos="1440"/>
        </w:tabs>
        <w:autoSpaceDE w:val="0"/>
        <w:autoSpaceDN w:val="0"/>
        <w:spacing w:before="0" w:after="0"/>
        <w:rPr>
          <w:rFonts w:eastAsiaTheme="minorHAnsi" w:cstheme="minorBidi"/>
          <w:szCs w:val="24"/>
        </w:rPr>
      </w:pPr>
      <w:r w:rsidRPr="00502ED6">
        <w:rPr>
          <w:rFonts w:eastAsiaTheme="minorHAnsi" w:cstheme="minorBidi"/>
          <w:szCs w:val="24"/>
        </w:rPr>
        <w:tab/>
      </w:r>
      <w:r w:rsidRPr="00502ED6">
        <w:rPr>
          <w:rFonts w:eastAsiaTheme="minorHAnsi" w:cstheme="minorBidi"/>
          <w:szCs w:val="24"/>
        </w:rPr>
        <w:tab/>
      </w:r>
      <w:r w:rsidR="00DC7EBA">
        <w:rPr>
          <w:rFonts w:eastAsiaTheme="minorHAnsi" w:cstheme="minorBidi"/>
          <w:szCs w:val="24"/>
        </w:rPr>
        <w:t>5</w:t>
      </w:r>
      <w:r w:rsidRPr="00502ED6">
        <w:rPr>
          <w:rFonts w:eastAsiaTheme="minorHAnsi" w:cstheme="minorBidi"/>
          <w:szCs w:val="24"/>
        </w:rPr>
        <w:t xml:space="preserve">. </w:t>
      </w:r>
      <w:r w:rsidRPr="00502ED6">
        <w:rPr>
          <w:rFonts w:eastAsiaTheme="minorHAnsi" w:cstheme="minorBidi"/>
          <w:szCs w:val="24"/>
        </w:rPr>
        <w:tab/>
      </w:r>
      <w:r w:rsidR="00DC7EBA">
        <w:rPr>
          <w:rFonts w:eastAsiaTheme="minorHAnsi" w:cstheme="minorBidi"/>
          <w:szCs w:val="24"/>
        </w:rPr>
        <w:t>Customer assistance program rates shall be timely paid and shall not be the subject of payment agreements negotiated or approved by the Commission.</w:t>
      </w:r>
      <w:r w:rsidR="00F64741">
        <w:rPr>
          <w:rFonts w:eastAsiaTheme="minorHAnsi" w:cstheme="minorBidi"/>
          <w:szCs w:val="24"/>
        </w:rPr>
        <w:t xml:space="preserve"> </w:t>
      </w:r>
      <w:r w:rsidR="00DC7EBA">
        <w:rPr>
          <w:rFonts w:eastAsiaTheme="minorHAnsi" w:cstheme="minorBidi"/>
          <w:szCs w:val="24"/>
        </w:rPr>
        <w:t xml:space="preserve"> </w:t>
      </w:r>
      <w:r w:rsidR="00DC7EBA" w:rsidRPr="00502ED6">
        <w:rPr>
          <w:rFonts w:eastAsiaTheme="minorHAnsi" w:cstheme="minorBidi"/>
          <w:szCs w:val="24"/>
        </w:rPr>
        <w:t xml:space="preserve">66 </w:t>
      </w:r>
      <w:proofErr w:type="spellStart"/>
      <w:r w:rsidR="00DC7EBA" w:rsidRPr="00502ED6">
        <w:rPr>
          <w:rFonts w:eastAsiaTheme="minorHAnsi" w:cstheme="minorBidi"/>
          <w:szCs w:val="24"/>
        </w:rPr>
        <w:t>Pa.C.</w:t>
      </w:r>
      <w:r w:rsidR="00456039">
        <w:rPr>
          <w:rFonts w:eastAsiaTheme="minorHAnsi" w:cstheme="minorBidi"/>
          <w:szCs w:val="24"/>
        </w:rPr>
        <w:t>S</w:t>
      </w:r>
      <w:proofErr w:type="spellEnd"/>
      <w:proofErr w:type="gramStart"/>
      <w:r w:rsidR="00456039">
        <w:rPr>
          <w:rFonts w:eastAsiaTheme="minorHAnsi" w:cstheme="minorBidi"/>
          <w:szCs w:val="24"/>
        </w:rPr>
        <w:t>.</w:t>
      </w:r>
      <w:r w:rsidR="00F64741">
        <w:rPr>
          <w:rFonts w:eastAsiaTheme="minorHAnsi" w:cstheme="minorBidi"/>
          <w:szCs w:val="24"/>
        </w:rPr>
        <w:t xml:space="preserve"> </w:t>
      </w:r>
      <w:proofErr w:type="gramEnd"/>
      <w:r w:rsidR="00F64741">
        <w:rPr>
          <w:rFonts w:eastAsiaTheme="minorHAnsi" w:cstheme="minorBidi"/>
          <w:szCs w:val="24"/>
        </w:rPr>
        <w:t>§ </w:t>
      </w:r>
      <w:r w:rsidR="00DC7EBA" w:rsidRPr="00502ED6">
        <w:rPr>
          <w:rFonts w:eastAsiaTheme="minorHAnsi" w:cstheme="minorBidi"/>
          <w:szCs w:val="24"/>
        </w:rPr>
        <w:t>140</w:t>
      </w:r>
      <w:r w:rsidR="00DC7EBA">
        <w:rPr>
          <w:rFonts w:eastAsiaTheme="minorHAnsi" w:cstheme="minorBidi"/>
          <w:szCs w:val="24"/>
        </w:rPr>
        <w:t>5</w:t>
      </w:r>
      <w:r w:rsidR="00456039">
        <w:rPr>
          <w:rFonts w:eastAsiaTheme="minorHAnsi" w:cstheme="minorBidi"/>
          <w:szCs w:val="24"/>
        </w:rPr>
        <w:t>(c).</w:t>
      </w:r>
      <w:r w:rsidR="00DC7EBA">
        <w:rPr>
          <w:rFonts w:eastAsiaTheme="minorHAnsi" w:cstheme="minorBidi"/>
          <w:szCs w:val="24"/>
        </w:rPr>
        <w:t xml:space="preserve"> </w:t>
      </w:r>
    </w:p>
    <w:p w:rsidR="00DC7EBA" w:rsidRDefault="00DC7EBA" w:rsidP="00502ED6">
      <w:pPr>
        <w:widowControl w:val="0"/>
        <w:tabs>
          <w:tab w:val="clear" w:pos="1440"/>
        </w:tabs>
        <w:autoSpaceDE w:val="0"/>
        <w:autoSpaceDN w:val="0"/>
        <w:spacing w:before="0" w:after="0"/>
        <w:rPr>
          <w:rFonts w:eastAsiaTheme="minorHAnsi" w:cstheme="minorBidi"/>
          <w:szCs w:val="24"/>
        </w:rPr>
      </w:pPr>
    </w:p>
    <w:p w:rsidR="00456039" w:rsidRDefault="00456039" w:rsidP="00502ED6">
      <w:pPr>
        <w:widowControl w:val="0"/>
        <w:tabs>
          <w:tab w:val="clear" w:pos="1440"/>
        </w:tabs>
        <w:autoSpaceDE w:val="0"/>
        <w:autoSpaceDN w:val="0"/>
        <w:spacing w:before="0" w:after="0"/>
        <w:rPr>
          <w:szCs w:val="24"/>
        </w:rPr>
      </w:pPr>
      <w:r>
        <w:rPr>
          <w:rFonts w:eastAsiaTheme="minorHAnsi" w:cstheme="minorBidi"/>
          <w:szCs w:val="24"/>
        </w:rPr>
        <w:tab/>
      </w:r>
      <w:r>
        <w:rPr>
          <w:rFonts w:eastAsiaTheme="minorHAnsi" w:cstheme="minorBidi"/>
          <w:szCs w:val="24"/>
        </w:rPr>
        <w:tab/>
      </w:r>
      <w:proofErr w:type="gramStart"/>
      <w:r>
        <w:rPr>
          <w:rFonts w:eastAsiaTheme="minorHAnsi" w:cstheme="minorBidi"/>
          <w:szCs w:val="24"/>
        </w:rPr>
        <w:t>6.</w:t>
      </w:r>
      <w:r>
        <w:rPr>
          <w:rFonts w:eastAsiaTheme="minorHAnsi" w:cstheme="minorBidi"/>
          <w:szCs w:val="24"/>
        </w:rPr>
        <w:tab/>
      </w:r>
      <w:r w:rsidR="00502ED6" w:rsidRPr="00502ED6">
        <w:rPr>
          <w:rFonts w:eastAsiaTheme="minorHAnsi" w:cstheme="minorBidi"/>
          <w:szCs w:val="24"/>
        </w:rPr>
        <w:t>T</w:t>
      </w:r>
      <w:r w:rsidR="00502ED6" w:rsidRPr="00502ED6">
        <w:rPr>
          <w:snapToGrid w:val="0"/>
          <w:szCs w:val="24"/>
        </w:rPr>
        <w:t>he Commission has a responsibility to exercise its authority very judiciously when granting a customer a payment arrangement and should exercise its discretion only on behalf of customers who have demonstrated some evidence of good faith efforts to pay their utility bills</w:t>
      </w:r>
      <w:r w:rsidR="00DC7EBA">
        <w:rPr>
          <w:snapToGrid w:val="0"/>
          <w:szCs w:val="24"/>
        </w:rPr>
        <w:t>.</w:t>
      </w:r>
      <w:proofErr w:type="gramEnd"/>
      <w:r w:rsidR="00502ED6" w:rsidRPr="00502ED6">
        <w:rPr>
          <w:snapToGrid w:val="0"/>
          <w:szCs w:val="24"/>
        </w:rPr>
        <w:t xml:space="preserve">  </w:t>
      </w:r>
      <w:r w:rsidR="00502ED6" w:rsidRPr="00502ED6">
        <w:rPr>
          <w:i/>
          <w:szCs w:val="24"/>
        </w:rPr>
        <w:t xml:space="preserve">George Crawford v. National Fuel Gas Distribution Corporation, </w:t>
      </w:r>
      <w:r w:rsidR="00502ED6" w:rsidRPr="00502ED6">
        <w:rPr>
          <w:szCs w:val="24"/>
        </w:rPr>
        <w:t>Docket No</w:t>
      </w:r>
      <w:proofErr w:type="gramStart"/>
      <w:r w:rsidR="00502ED6" w:rsidRPr="00502ED6">
        <w:rPr>
          <w:szCs w:val="24"/>
        </w:rPr>
        <w:t xml:space="preserve">. </w:t>
      </w:r>
      <w:proofErr w:type="gramEnd"/>
      <w:r w:rsidR="00502ED6" w:rsidRPr="00502ED6">
        <w:rPr>
          <w:szCs w:val="24"/>
        </w:rPr>
        <w:t>C-20066348, at 15-16 (Opinion and Order entered August 3, 2007).</w:t>
      </w:r>
    </w:p>
    <w:p w:rsidR="00456039" w:rsidRDefault="00456039" w:rsidP="00502ED6">
      <w:pPr>
        <w:widowControl w:val="0"/>
        <w:tabs>
          <w:tab w:val="clear" w:pos="1440"/>
        </w:tabs>
        <w:autoSpaceDE w:val="0"/>
        <w:autoSpaceDN w:val="0"/>
        <w:spacing w:before="0" w:after="0"/>
        <w:rPr>
          <w:szCs w:val="24"/>
        </w:rPr>
      </w:pPr>
    </w:p>
    <w:p w:rsidR="00502ED6" w:rsidRPr="00502ED6" w:rsidRDefault="00456039" w:rsidP="00502ED6">
      <w:pPr>
        <w:widowControl w:val="0"/>
        <w:tabs>
          <w:tab w:val="clear" w:pos="1440"/>
        </w:tabs>
        <w:autoSpaceDE w:val="0"/>
        <w:autoSpaceDN w:val="0"/>
        <w:spacing w:before="0" w:after="0"/>
      </w:pPr>
      <w:r>
        <w:rPr>
          <w:szCs w:val="24"/>
        </w:rPr>
        <w:tab/>
      </w:r>
      <w:r>
        <w:rPr>
          <w:szCs w:val="24"/>
        </w:rPr>
        <w:tab/>
        <w:t>7.</w:t>
      </w:r>
      <w:r>
        <w:rPr>
          <w:szCs w:val="24"/>
        </w:rPr>
        <w:tab/>
        <w:t xml:space="preserve">Complainant failed to carry her burden of proving that Respondent violated a Commission order, statute or regulation.  66 </w:t>
      </w:r>
      <w:proofErr w:type="spellStart"/>
      <w:r>
        <w:rPr>
          <w:szCs w:val="24"/>
        </w:rPr>
        <w:t>Pa.C.S</w:t>
      </w:r>
      <w:proofErr w:type="spellEnd"/>
      <w:proofErr w:type="gramStart"/>
      <w:r>
        <w:rPr>
          <w:szCs w:val="24"/>
        </w:rPr>
        <w:t xml:space="preserve">. </w:t>
      </w:r>
      <w:proofErr w:type="gramEnd"/>
      <w:r>
        <w:rPr>
          <w:szCs w:val="24"/>
        </w:rPr>
        <w:t>§§ 332, 701.</w:t>
      </w:r>
      <w:r w:rsidR="00502ED6" w:rsidRPr="00502ED6">
        <w:rPr>
          <w:szCs w:val="24"/>
        </w:rPr>
        <w:t xml:space="preserve"> </w:t>
      </w:r>
    </w:p>
    <w:p w:rsidR="00502ED6" w:rsidRPr="00502ED6" w:rsidRDefault="00502ED6" w:rsidP="00502ED6">
      <w:pPr>
        <w:tabs>
          <w:tab w:val="clear" w:pos="1440"/>
        </w:tabs>
        <w:spacing w:before="0" w:after="0"/>
        <w:rPr>
          <w:rFonts w:eastAsiaTheme="minorHAnsi"/>
          <w:szCs w:val="24"/>
        </w:rPr>
      </w:pPr>
    </w:p>
    <w:p w:rsidR="008C4C8F" w:rsidRDefault="008C4C8F" w:rsidP="00502ED6">
      <w:pPr>
        <w:spacing w:before="0" w:after="0"/>
        <w:jc w:val="center"/>
        <w:rPr>
          <w:szCs w:val="24"/>
          <w:u w:val="single"/>
        </w:rPr>
      </w:pPr>
    </w:p>
    <w:p w:rsidR="00EA44B8" w:rsidRDefault="00EA44B8" w:rsidP="00502ED6">
      <w:pPr>
        <w:spacing w:before="0" w:after="0"/>
        <w:jc w:val="center"/>
        <w:rPr>
          <w:szCs w:val="24"/>
          <w:u w:val="single"/>
        </w:rPr>
      </w:pPr>
    </w:p>
    <w:p w:rsidR="00EA44B8" w:rsidRDefault="00EA44B8" w:rsidP="00502ED6">
      <w:pPr>
        <w:spacing w:before="0" w:after="0"/>
        <w:jc w:val="center"/>
        <w:rPr>
          <w:szCs w:val="24"/>
          <w:u w:val="single"/>
        </w:rPr>
      </w:pPr>
    </w:p>
    <w:p w:rsidR="00EA44B8" w:rsidRDefault="00EA44B8" w:rsidP="00502ED6">
      <w:pPr>
        <w:spacing w:before="0" w:after="0"/>
        <w:jc w:val="center"/>
        <w:rPr>
          <w:szCs w:val="24"/>
          <w:u w:val="single"/>
        </w:rPr>
      </w:pPr>
    </w:p>
    <w:p w:rsidR="00EA44B8" w:rsidRDefault="00EA44B8" w:rsidP="00502ED6">
      <w:pPr>
        <w:spacing w:before="0" w:after="0"/>
        <w:jc w:val="center"/>
        <w:rPr>
          <w:szCs w:val="24"/>
          <w:u w:val="single"/>
        </w:rPr>
      </w:pPr>
    </w:p>
    <w:p w:rsidR="00EA44B8" w:rsidRDefault="00EA44B8" w:rsidP="00502ED6">
      <w:pPr>
        <w:spacing w:before="0" w:after="0"/>
        <w:jc w:val="center"/>
        <w:rPr>
          <w:szCs w:val="24"/>
          <w:u w:val="single"/>
        </w:rPr>
      </w:pPr>
    </w:p>
    <w:p w:rsidR="008C4C8F" w:rsidRDefault="008C4C8F" w:rsidP="00502ED6">
      <w:pPr>
        <w:spacing w:before="0" w:after="0"/>
        <w:jc w:val="center"/>
        <w:rPr>
          <w:szCs w:val="24"/>
          <w:u w:val="single"/>
        </w:rPr>
      </w:pPr>
    </w:p>
    <w:p w:rsidR="00502ED6" w:rsidRDefault="00502ED6" w:rsidP="00502ED6">
      <w:pPr>
        <w:spacing w:before="0" w:after="0"/>
        <w:jc w:val="center"/>
        <w:rPr>
          <w:szCs w:val="24"/>
          <w:u w:val="single"/>
        </w:rPr>
      </w:pPr>
      <w:r w:rsidRPr="00502ED6">
        <w:rPr>
          <w:szCs w:val="24"/>
          <w:u w:val="single"/>
        </w:rPr>
        <w:lastRenderedPageBreak/>
        <w:t>ORDER</w:t>
      </w:r>
    </w:p>
    <w:p w:rsidR="00F64741" w:rsidRPr="00502ED6" w:rsidRDefault="00F64741" w:rsidP="00502ED6">
      <w:pPr>
        <w:spacing w:before="0" w:after="0"/>
        <w:jc w:val="center"/>
        <w:rPr>
          <w:szCs w:val="24"/>
          <w:u w:val="single"/>
        </w:rPr>
      </w:pPr>
    </w:p>
    <w:p w:rsidR="00502ED6" w:rsidRPr="00502ED6" w:rsidRDefault="00502ED6" w:rsidP="00502ED6">
      <w:pPr>
        <w:spacing w:before="0" w:after="0"/>
        <w:rPr>
          <w:szCs w:val="24"/>
        </w:rPr>
      </w:pPr>
    </w:p>
    <w:p w:rsidR="00502ED6" w:rsidRPr="00502ED6" w:rsidRDefault="00502ED6" w:rsidP="00502ED6">
      <w:pPr>
        <w:spacing w:before="0" w:after="0"/>
        <w:rPr>
          <w:szCs w:val="24"/>
        </w:rPr>
      </w:pPr>
      <w:r w:rsidRPr="00502ED6">
        <w:rPr>
          <w:szCs w:val="24"/>
        </w:rPr>
        <w:tab/>
        <w:t>THEREFORE,</w:t>
      </w:r>
    </w:p>
    <w:p w:rsidR="00502ED6" w:rsidRPr="00502ED6" w:rsidRDefault="00502ED6" w:rsidP="00502ED6">
      <w:pPr>
        <w:spacing w:before="0" w:after="0"/>
        <w:rPr>
          <w:szCs w:val="24"/>
        </w:rPr>
      </w:pPr>
    </w:p>
    <w:p w:rsidR="00502ED6" w:rsidRPr="00502ED6" w:rsidRDefault="00502ED6" w:rsidP="00502ED6">
      <w:pPr>
        <w:spacing w:before="0" w:after="0"/>
        <w:rPr>
          <w:szCs w:val="24"/>
        </w:rPr>
      </w:pPr>
      <w:r w:rsidRPr="00502ED6">
        <w:rPr>
          <w:szCs w:val="24"/>
        </w:rPr>
        <w:tab/>
        <w:t>IT IS ORDERED:</w:t>
      </w:r>
    </w:p>
    <w:p w:rsidR="00502ED6" w:rsidRPr="00502ED6" w:rsidRDefault="00502ED6" w:rsidP="00502ED6">
      <w:pPr>
        <w:tabs>
          <w:tab w:val="clear" w:pos="1440"/>
        </w:tabs>
        <w:autoSpaceDE w:val="0"/>
        <w:autoSpaceDN w:val="0"/>
        <w:spacing w:before="0" w:after="0" w:line="240" w:lineRule="auto"/>
        <w:rPr>
          <w:rFonts w:eastAsiaTheme="minorHAnsi"/>
          <w:szCs w:val="24"/>
        </w:rPr>
      </w:pPr>
    </w:p>
    <w:p w:rsidR="002C326E" w:rsidRDefault="002C326E" w:rsidP="00502ED6">
      <w:pPr>
        <w:numPr>
          <w:ilvl w:val="0"/>
          <w:numId w:val="35"/>
        </w:numPr>
        <w:tabs>
          <w:tab w:val="clear" w:pos="1440"/>
        </w:tabs>
        <w:autoSpaceDE w:val="0"/>
        <w:autoSpaceDN w:val="0"/>
        <w:spacing w:before="0" w:after="0"/>
        <w:ind w:left="0" w:firstLine="1440"/>
        <w:rPr>
          <w:rFonts w:eastAsiaTheme="minorHAnsi"/>
          <w:szCs w:val="24"/>
        </w:rPr>
      </w:pPr>
      <w:r>
        <w:rPr>
          <w:rFonts w:eastAsiaTheme="minorHAnsi"/>
          <w:szCs w:val="24"/>
        </w:rPr>
        <w:t xml:space="preserve">That the motion of Philadelphia Gas Works to dismiss the Complaint of </w:t>
      </w:r>
      <w:proofErr w:type="spellStart"/>
      <w:r>
        <w:rPr>
          <w:rFonts w:eastAsiaTheme="minorHAnsi"/>
          <w:szCs w:val="24"/>
        </w:rPr>
        <w:t>Elease</w:t>
      </w:r>
      <w:proofErr w:type="spellEnd"/>
      <w:r>
        <w:rPr>
          <w:rFonts w:eastAsiaTheme="minorHAnsi"/>
          <w:szCs w:val="24"/>
        </w:rPr>
        <w:t xml:space="preserve"> Slaughter at Docket </w:t>
      </w:r>
      <w:r>
        <w:t>C-2016-2541771 for lack of prosecution is denied.</w:t>
      </w:r>
    </w:p>
    <w:p w:rsidR="002C326E" w:rsidRDefault="002C326E" w:rsidP="002C326E">
      <w:pPr>
        <w:tabs>
          <w:tab w:val="clear" w:pos="1440"/>
        </w:tabs>
        <w:autoSpaceDE w:val="0"/>
        <w:autoSpaceDN w:val="0"/>
        <w:spacing w:before="0" w:after="0"/>
        <w:rPr>
          <w:rFonts w:eastAsiaTheme="minorHAnsi"/>
          <w:szCs w:val="24"/>
        </w:rPr>
      </w:pPr>
    </w:p>
    <w:p w:rsidR="002C326E" w:rsidRDefault="00502ED6" w:rsidP="00502ED6">
      <w:pPr>
        <w:numPr>
          <w:ilvl w:val="0"/>
          <w:numId w:val="35"/>
        </w:numPr>
        <w:tabs>
          <w:tab w:val="clear" w:pos="1440"/>
        </w:tabs>
        <w:autoSpaceDE w:val="0"/>
        <w:autoSpaceDN w:val="0"/>
        <w:spacing w:before="0" w:after="0"/>
        <w:ind w:left="0" w:firstLine="1440"/>
        <w:rPr>
          <w:rFonts w:eastAsiaTheme="minorHAnsi"/>
          <w:szCs w:val="24"/>
        </w:rPr>
      </w:pPr>
      <w:r w:rsidRPr="00502ED6">
        <w:rPr>
          <w:rFonts w:eastAsiaTheme="minorHAnsi"/>
          <w:szCs w:val="24"/>
        </w:rPr>
        <w:t xml:space="preserve">That the </w:t>
      </w:r>
      <w:r w:rsidR="002C326E" w:rsidRPr="002C326E">
        <w:rPr>
          <w:rFonts w:eastAsiaTheme="minorHAnsi"/>
          <w:szCs w:val="24"/>
        </w:rPr>
        <w:t xml:space="preserve">request of </w:t>
      </w:r>
      <w:r w:rsidRPr="00502ED6">
        <w:rPr>
          <w:rFonts w:eastAsiaTheme="minorHAnsi"/>
          <w:szCs w:val="24"/>
        </w:rPr>
        <w:t>Complain</w:t>
      </w:r>
      <w:r w:rsidR="002C326E" w:rsidRPr="002C326E">
        <w:rPr>
          <w:rFonts w:eastAsiaTheme="minorHAnsi"/>
          <w:szCs w:val="24"/>
        </w:rPr>
        <w:t>an</w:t>
      </w:r>
      <w:r w:rsidRPr="00502ED6">
        <w:rPr>
          <w:rFonts w:eastAsiaTheme="minorHAnsi"/>
          <w:szCs w:val="24"/>
        </w:rPr>
        <w:t xml:space="preserve">t </w:t>
      </w:r>
      <w:proofErr w:type="spellStart"/>
      <w:r w:rsidR="002C326E">
        <w:t>Elease</w:t>
      </w:r>
      <w:proofErr w:type="spellEnd"/>
      <w:r w:rsidR="002C326E">
        <w:t xml:space="preserve"> Slaughter</w:t>
      </w:r>
      <w:r w:rsidR="002C326E" w:rsidRPr="002C326E">
        <w:rPr>
          <w:rFonts w:eastAsiaTheme="minorHAnsi"/>
          <w:szCs w:val="24"/>
        </w:rPr>
        <w:t xml:space="preserve"> for a payment arrangement in the Complaint filed </w:t>
      </w:r>
      <w:r w:rsidRPr="00502ED6">
        <w:rPr>
          <w:rFonts w:eastAsiaTheme="minorHAnsi"/>
          <w:szCs w:val="24"/>
        </w:rPr>
        <w:t>against P</w:t>
      </w:r>
      <w:r w:rsidR="002C326E" w:rsidRPr="002C326E">
        <w:rPr>
          <w:rFonts w:eastAsiaTheme="minorHAnsi"/>
          <w:szCs w:val="24"/>
        </w:rPr>
        <w:t xml:space="preserve">hiladelphia Gas Works </w:t>
      </w:r>
      <w:r w:rsidRPr="00502ED6">
        <w:rPr>
          <w:rFonts w:eastAsiaTheme="minorHAnsi"/>
          <w:szCs w:val="24"/>
        </w:rPr>
        <w:t>at Docket No</w:t>
      </w:r>
      <w:proofErr w:type="gramStart"/>
      <w:r w:rsidRPr="00502ED6">
        <w:rPr>
          <w:rFonts w:eastAsiaTheme="minorHAnsi"/>
          <w:szCs w:val="24"/>
        </w:rPr>
        <w:t xml:space="preserve">. </w:t>
      </w:r>
      <w:proofErr w:type="gramEnd"/>
      <w:r w:rsidR="002C326E">
        <w:t>C-2016-2541771</w:t>
      </w:r>
      <w:r w:rsidRPr="00502ED6">
        <w:rPr>
          <w:rFonts w:eastAsiaTheme="minorHAnsi"/>
          <w:szCs w:val="24"/>
        </w:rPr>
        <w:t xml:space="preserve"> is </w:t>
      </w:r>
      <w:r w:rsidR="002C326E">
        <w:rPr>
          <w:rFonts w:eastAsiaTheme="minorHAnsi"/>
          <w:szCs w:val="24"/>
        </w:rPr>
        <w:t>denied.</w:t>
      </w:r>
    </w:p>
    <w:p w:rsidR="002C326E" w:rsidRDefault="002C326E" w:rsidP="002C326E">
      <w:pPr>
        <w:tabs>
          <w:tab w:val="clear" w:pos="1440"/>
        </w:tabs>
        <w:autoSpaceDE w:val="0"/>
        <w:autoSpaceDN w:val="0"/>
        <w:spacing w:before="0" w:after="0"/>
        <w:rPr>
          <w:rFonts w:eastAsiaTheme="minorHAnsi"/>
          <w:szCs w:val="24"/>
        </w:rPr>
      </w:pPr>
    </w:p>
    <w:p w:rsidR="002C326E" w:rsidRPr="002C326E" w:rsidRDefault="002C326E" w:rsidP="002C326E">
      <w:pPr>
        <w:pStyle w:val="ListParagraph"/>
        <w:rPr>
          <w:rFonts w:eastAsiaTheme="minorHAnsi"/>
        </w:rPr>
      </w:pPr>
      <w:r w:rsidRPr="002C326E">
        <w:rPr>
          <w:rFonts w:eastAsiaTheme="minorHAnsi"/>
        </w:rPr>
        <w:t>Th</w:t>
      </w:r>
      <w:r w:rsidR="00456039">
        <w:rPr>
          <w:rFonts w:eastAsiaTheme="minorHAnsi"/>
        </w:rPr>
        <w:t xml:space="preserve">at the </w:t>
      </w:r>
      <w:r w:rsidRPr="002C326E">
        <w:rPr>
          <w:rFonts w:eastAsiaTheme="minorHAnsi"/>
        </w:rPr>
        <w:t xml:space="preserve">Complaint of </w:t>
      </w:r>
      <w:proofErr w:type="spellStart"/>
      <w:r w:rsidRPr="002C326E">
        <w:rPr>
          <w:rFonts w:eastAsiaTheme="minorHAnsi"/>
        </w:rPr>
        <w:t>Elease</w:t>
      </w:r>
      <w:proofErr w:type="spellEnd"/>
      <w:r w:rsidRPr="002C326E">
        <w:rPr>
          <w:rFonts w:eastAsiaTheme="minorHAnsi"/>
        </w:rPr>
        <w:t xml:space="preserve"> Slaughter filed against Philadelphia Gas Works at Docket No</w:t>
      </w:r>
      <w:proofErr w:type="gramStart"/>
      <w:r w:rsidRPr="002C326E">
        <w:rPr>
          <w:rFonts w:eastAsiaTheme="minorHAnsi"/>
        </w:rPr>
        <w:t xml:space="preserve">. </w:t>
      </w:r>
      <w:proofErr w:type="gramEnd"/>
      <w:r w:rsidRPr="002C326E">
        <w:rPr>
          <w:rFonts w:eastAsiaTheme="minorHAnsi"/>
        </w:rPr>
        <w:t>C-2016-2541771 is d</w:t>
      </w:r>
      <w:r>
        <w:rPr>
          <w:rFonts w:eastAsiaTheme="minorHAnsi"/>
        </w:rPr>
        <w:t>ismissed</w:t>
      </w:r>
      <w:r w:rsidRPr="002C326E">
        <w:rPr>
          <w:rFonts w:eastAsiaTheme="minorHAnsi"/>
        </w:rPr>
        <w:t>.</w:t>
      </w:r>
    </w:p>
    <w:p w:rsidR="002C326E" w:rsidRDefault="002C326E" w:rsidP="00502ED6">
      <w:pPr>
        <w:tabs>
          <w:tab w:val="clear" w:pos="1440"/>
          <w:tab w:val="left" w:pos="0"/>
        </w:tabs>
        <w:spacing w:before="0" w:after="0"/>
        <w:rPr>
          <w:rFonts w:eastAsiaTheme="minorHAnsi"/>
          <w:szCs w:val="24"/>
        </w:rPr>
      </w:pPr>
    </w:p>
    <w:p w:rsidR="00502ED6" w:rsidRPr="00502ED6" w:rsidRDefault="00502ED6" w:rsidP="002C326E">
      <w:pPr>
        <w:tabs>
          <w:tab w:val="clear" w:pos="1440"/>
          <w:tab w:val="left" w:pos="0"/>
        </w:tabs>
        <w:spacing w:before="0" w:after="0"/>
        <w:rPr>
          <w:rFonts w:eastAsiaTheme="minorHAnsi"/>
          <w:szCs w:val="24"/>
        </w:rPr>
      </w:pPr>
      <w:r w:rsidRPr="00502ED6">
        <w:rPr>
          <w:rFonts w:eastAsiaTheme="minorHAnsi"/>
          <w:szCs w:val="24"/>
        </w:rPr>
        <w:tab/>
      </w:r>
      <w:r w:rsidRPr="00502ED6">
        <w:rPr>
          <w:rFonts w:eastAsiaTheme="minorHAnsi"/>
          <w:szCs w:val="24"/>
        </w:rPr>
        <w:tab/>
      </w:r>
      <w:r w:rsidR="002C326E">
        <w:rPr>
          <w:rFonts w:eastAsiaTheme="minorHAnsi"/>
          <w:szCs w:val="24"/>
        </w:rPr>
        <w:t>4</w:t>
      </w:r>
      <w:r w:rsidRPr="00502ED6">
        <w:rPr>
          <w:rFonts w:eastAsiaTheme="minorHAnsi"/>
          <w:szCs w:val="24"/>
        </w:rPr>
        <w:t>.</w:t>
      </w:r>
      <w:r w:rsidRPr="00502ED6">
        <w:rPr>
          <w:rFonts w:eastAsiaTheme="minorHAnsi"/>
          <w:szCs w:val="24"/>
        </w:rPr>
        <w:tab/>
        <w:t>That the Secretary’s Bureau shall mark Docket No</w:t>
      </w:r>
      <w:proofErr w:type="gramStart"/>
      <w:r w:rsidRPr="00502ED6">
        <w:rPr>
          <w:rFonts w:eastAsiaTheme="minorHAnsi"/>
          <w:szCs w:val="24"/>
        </w:rPr>
        <w:t xml:space="preserve">. </w:t>
      </w:r>
      <w:proofErr w:type="gramEnd"/>
      <w:r w:rsidR="002C326E" w:rsidRPr="002C326E">
        <w:rPr>
          <w:rFonts w:eastAsiaTheme="minorHAnsi"/>
        </w:rPr>
        <w:t>C-2016-2541771</w:t>
      </w:r>
      <w:r w:rsidRPr="00502ED6">
        <w:rPr>
          <w:rFonts w:eastAsiaTheme="minorHAnsi"/>
          <w:szCs w:val="24"/>
        </w:rPr>
        <w:t xml:space="preserve"> closed.</w:t>
      </w:r>
    </w:p>
    <w:p w:rsidR="00502ED6" w:rsidRPr="00502ED6" w:rsidRDefault="00502ED6" w:rsidP="00502ED6">
      <w:pPr>
        <w:tabs>
          <w:tab w:val="clear" w:pos="1440"/>
          <w:tab w:val="num" w:pos="2160"/>
        </w:tabs>
        <w:autoSpaceDE w:val="0"/>
        <w:autoSpaceDN w:val="0"/>
        <w:spacing w:before="0" w:after="0"/>
        <w:rPr>
          <w:rFonts w:eastAsiaTheme="minorHAnsi"/>
          <w:szCs w:val="24"/>
        </w:rPr>
      </w:pPr>
    </w:p>
    <w:p w:rsidR="00502ED6" w:rsidRPr="00502ED6" w:rsidRDefault="00502ED6" w:rsidP="00502ED6">
      <w:pPr>
        <w:spacing w:before="0" w:after="0"/>
        <w:rPr>
          <w:szCs w:val="24"/>
        </w:rPr>
      </w:pPr>
    </w:p>
    <w:p w:rsidR="00502ED6" w:rsidRPr="00502ED6" w:rsidRDefault="00502ED6" w:rsidP="00502ED6">
      <w:pPr>
        <w:keepLines/>
        <w:widowControl w:val="0"/>
        <w:tabs>
          <w:tab w:val="clear" w:pos="1440"/>
          <w:tab w:val="left" w:pos="5040"/>
        </w:tabs>
        <w:autoSpaceDE w:val="0"/>
        <w:autoSpaceDN w:val="0"/>
        <w:adjustRightInd w:val="0"/>
        <w:spacing w:before="0" w:after="0" w:line="240" w:lineRule="auto"/>
        <w:jc w:val="both"/>
        <w:rPr>
          <w:snapToGrid w:val="0"/>
          <w:szCs w:val="24"/>
        </w:rPr>
      </w:pPr>
      <w:r w:rsidRPr="00502ED6">
        <w:rPr>
          <w:snapToGrid w:val="0"/>
          <w:szCs w:val="24"/>
        </w:rPr>
        <w:t xml:space="preserve">Date:  </w:t>
      </w:r>
      <w:r w:rsidR="002C326E" w:rsidRPr="002C326E">
        <w:rPr>
          <w:snapToGrid w:val="0"/>
          <w:szCs w:val="24"/>
          <w:u w:val="single"/>
        </w:rPr>
        <w:t xml:space="preserve">November </w:t>
      </w:r>
      <w:r w:rsidR="00EE4F90">
        <w:rPr>
          <w:snapToGrid w:val="0"/>
          <w:szCs w:val="24"/>
          <w:u w:val="single"/>
        </w:rPr>
        <w:t>30</w:t>
      </w:r>
      <w:r w:rsidRPr="00502ED6">
        <w:rPr>
          <w:snapToGrid w:val="0"/>
          <w:szCs w:val="24"/>
          <w:u w:val="single"/>
        </w:rPr>
        <w:t>, 2016</w:t>
      </w:r>
      <w:r w:rsidRPr="00502ED6">
        <w:rPr>
          <w:snapToGrid w:val="0"/>
          <w:szCs w:val="24"/>
        </w:rPr>
        <w:tab/>
      </w:r>
      <w:r w:rsidRPr="00502ED6">
        <w:rPr>
          <w:snapToGrid w:val="0"/>
          <w:szCs w:val="24"/>
          <w:u w:val="single"/>
        </w:rPr>
        <w:t xml:space="preserve">                           /s/</w:t>
      </w:r>
      <w:r w:rsidRPr="00502ED6">
        <w:rPr>
          <w:snapToGrid w:val="0"/>
          <w:szCs w:val="24"/>
          <w:u w:val="single"/>
        </w:rPr>
        <w:tab/>
      </w:r>
      <w:r w:rsidRPr="00502ED6">
        <w:rPr>
          <w:snapToGrid w:val="0"/>
          <w:szCs w:val="24"/>
          <w:u w:val="single"/>
        </w:rPr>
        <w:tab/>
      </w:r>
      <w:r w:rsidRPr="00502ED6">
        <w:rPr>
          <w:snapToGrid w:val="0"/>
          <w:szCs w:val="24"/>
          <w:u w:val="single"/>
        </w:rPr>
        <w:tab/>
      </w:r>
      <w:r w:rsidRPr="00502ED6">
        <w:rPr>
          <w:snapToGrid w:val="0"/>
          <w:szCs w:val="24"/>
          <w:u w:val="single"/>
        </w:rPr>
        <w:tab/>
      </w:r>
      <w:r w:rsidRPr="00502ED6">
        <w:rPr>
          <w:snapToGrid w:val="0"/>
          <w:szCs w:val="24"/>
        </w:rPr>
        <w:tab/>
        <w:t>Conrad A. Johnson</w:t>
      </w:r>
    </w:p>
    <w:p w:rsidR="00502ED6" w:rsidRPr="00502ED6" w:rsidRDefault="00502ED6" w:rsidP="00502ED6">
      <w:pPr>
        <w:keepLines/>
        <w:widowControl w:val="0"/>
        <w:tabs>
          <w:tab w:val="clear" w:pos="1440"/>
        </w:tabs>
        <w:autoSpaceDE w:val="0"/>
        <w:autoSpaceDN w:val="0"/>
        <w:adjustRightInd w:val="0"/>
        <w:spacing w:before="0" w:after="0" w:line="240" w:lineRule="auto"/>
        <w:jc w:val="both"/>
        <w:rPr>
          <w:snapToGrid w:val="0"/>
          <w:szCs w:val="24"/>
        </w:rPr>
      </w:pPr>
      <w:r w:rsidRPr="00502ED6">
        <w:rPr>
          <w:snapToGrid w:val="0"/>
          <w:szCs w:val="24"/>
        </w:rPr>
        <w:tab/>
      </w:r>
      <w:r w:rsidRPr="00502ED6">
        <w:rPr>
          <w:snapToGrid w:val="0"/>
          <w:szCs w:val="24"/>
        </w:rPr>
        <w:tab/>
      </w:r>
      <w:r w:rsidRPr="00502ED6">
        <w:rPr>
          <w:snapToGrid w:val="0"/>
          <w:szCs w:val="24"/>
        </w:rPr>
        <w:tab/>
      </w:r>
      <w:r w:rsidRPr="00502ED6">
        <w:rPr>
          <w:snapToGrid w:val="0"/>
          <w:szCs w:val="24"/>
        </w:rPr>
        <w:tab/>
      </w:r>
      <w:r w:rsidRPr="00502ED6">
        <w:rPr>
          <w:snapToGrid w:val="0"/>
          <w:szCs w:val="24"/>
        </w:rPr>
        <w:tab/>
      </w:r>
      <w:r w:rsidRPr="00502ED6">
        <w:rPr>
          <w:snapToGrid w:val="0"/>
          <w:szCs w:val="24"/>
        </w:rPr>
        <w:tab/>
      </w:r>
      <w:r w:rsidRPr="00502ED6">
        <w:rPr>
          <w:snapToGrid w:val="0"/>
          <w:szCs w:val="24"/>
        </w:rPr>
        <w:tab/>
        <w:t>Administrative Law Judge</w:t>
      </w:r>
    </w:p>
    <w:p w:rsidR="00966D62" w:rsidRDefault="00966D62" w:rsidP="00B76C28">
      <w:pPr>
        <w:tabs>
          <w:tab w:val="clear" w:pos="1440"/>
        </w:tabs>
        <w:spacing w:before="0" w:after="0"/>
      </w:pPr>
    </w:p>
    <w:sectPr w:rsidR="00966D62" w:rsidSect="00C2613E">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D3D" w:rsidRDefault="00732D3D" w:rsidP="00C51596">
      <w:pPr>
        <w:spacing w:before="0" w:after="0" w:line="240" w:lineRule="auto"/>
      </w:pPr>
      <w:r>
        <w:separator/>
      </w:r>
    </w:p>
  </w:endnote>
  <w:endnote w:type="continuationSeparator" w:id="0">
    <w:p w:rsidR="00732D3D" w:rsidRDefault="00732D3D" w:rsidP="00C515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297668"/>
      <w:docPartObj>
        <w:docPartGallery w:val="Page Numbers (Bottom of Page)"/>
        <w:docPartUnique/>
      </w:docPartObj>
    </w:sdtPr>
    <w:sdtEndPr>
      <w:rPr>
        <w:noProof/>
        <w:sz w:val="20"/>
      </w:rPr>
    </w:sdtEndPr>
    <w:sdtContent>
      <w:p w:rsidR="006627B3" w:rsidRPr="00212EA2" w:rsidRDefault="006627B3">
        <w:pPr>
          <w:pStyle w:val="Footer"/>
          <w:jc w:val="center"/>
          <w:rPr>
            <w:sz w:val="20"/>
          </w:rPr>
        </w:pPr>
        <w:r w:rsidRPr="00212EA2">
          <w:rPr>
            <w:sz w:val="20"/>
          </w:rPr>
          <w:fldChar w:fldCharType="begin"/>
        </w:r>
        <w:r w:rsidRPr="00212EA2">
          <w:rPr>
            <w:sz w:val="20"/>
          </w:rPr>
          <w:instrText xml:space="preserve"> PAGE   \* MERGEFORMAT </w:instrText>
        </w:r>
        <w:r w:rsidRPr="00212EA2">
          <w:rPr>
            <w:sz w:val="20"/>
          </w:rPr>
          <w:fldChar w:fldCharType="separate"/>
        </w:r>
        <w:r w:rsidR="0072691A">
          <w:rPr>
            <w:noProof/>
            <w:sz w:val="20"/>
          </w:rPr>
          <w:t>12</w:t>
        </w:r>
        <w:r w:rsidRPr="00212EA2">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D3D" w:rsidRDefault="00732D3D" w:rsidP="00C51596">
      <w:pPr>
        <w:spacing w:before="0" w:after="0" w:line="240" w:lineRule="auto"/>
      </w:pPr>
      <w:r>
        <w:separator/>
      </w:r>
    </w:p>
  </w:footnote>
  <w:footnote w:type="continuationSeparator" w:id="0">
    <w:p w:rsidR="00732D3D" w:rsidRDefault="00732D3D" w:rsidP="00C51596">
      <w:pPr>
        <w:spacing w:before="0" w:after="0" w:line="240" w:lineRule="auto"/>
      </w:pPr>
      <w:r>
        <w:continuationSeparator/>
      </w:r>
    </w:p>
  </w:footnote>
  <w:footnote w:id="1">
    <w:p w:rsidR="002C1789" w:rsidRDefault="002C1789">
      <w:pPr>
        <w:pStyle w:val="FootnoteText"/>
      </w:pPr>
      <w:r>
        <w:rPr>
          <w:rStyle w:val="FootnoteReference"/>
        </w:rPr>
        <w:footnoteRef/>
      </w:r>
      <w:r>
        <w:t xml:space="preserve">   </w:t>
      </w:r>
      <w:r w:rsidR="00F20882">
        <w:tab/>
      </w:r>
      <w:r>
        <w:t xml:space="preserve">66 </w:t>
      </w:r>
      <w:proofErr w:type="spellStart"/>
      <w:r>
        <w:t>Pa.C.S</w:t>
      </w:r>
      <w:proofErr w:type="spellEnd"/>
      <w:proofErr w:type="gramStart"/>
      <w:r>
        <w:t xml:space="preserve">. </w:t>
      </w:r>
      <w:proofErr w:type="gramEnd"/>
      <w:r>
        <w:t>§ 3314.</w:t>
      </w:r>
    </w:p>
    <w:p w:rsidR="008A3996" w:rsidRDefault="008A3996">
      <w:pPr>
        <w:pStyle w:val="FootnoteText"/>
      </w:pPr>
    </w:p>
  </w:footnote>
  <w:footnote w:id="2">
    <w:p w:rsidR="008A3996" w:rsidRPr="008A3996" w:rsidRDefault="008A3996">
      <w:pPr>
        <w:pStyle w:val="FootnoteText"/>
      </w:pPr>
      <w:r>
        <w:rPr>
          <w:rStyle w:val="FootnoteReference"/>
        </w:rPr>
        <w:footnoteRef/>
      </w:r>
      <w:r>
        <w:t xml:space="preserve"> </w:t>
      </w:r>
      <w:r w:rsidR="00F20882">
        <w:tab/>
      </w:r>
      <w:r>
        <w:rPr>
          <w:i/>
        </w:rPr>
        <w:t xml:space="preserve">Id. </w:t>
      </w:r>
      <w:r>
        <w:t xml:space="preserve">§ </w:t>
      </w:r>
      <w:r w:rsidR="00030923">
        <w:t>316</w:t>
      </w:r>
      <w:r>
        <w:t>.</w:t>
      </w:r>
    </w:p>
    <w:p w:rsidR="008A3996" w:rsidRDefault="008A3996">
      <w:pPr>
        <w:pStyle w:val="FootnoteText"/>
      </w:pPr>
    </w:p>
  </w:footnote>
  <w:footnote w:id="3">
    <w:p w:rsidR="0000017B" w:rsidRPr="0000017B" w:rsidRDefault="0000017B" w:rsidP="00D044FB">
      <w:pPr>
        <w:pStyle w:val="FootnoteText"/>
      </w:pPr>
      <w:r>
        <w:rPr>
          <w:rStyle w:val="FootnoteReference"/>
        </w:rPr>
        <w:footnoteRef/>
      </w:r>
      <w:r w:rsidR="00CE35B6">
        <w:t xml:space="preserve">  </w:t>
      </w:r>
      <w:r w:rsidR="00D044FB">
        <w:tab/>
      </w:r>
      <w:r>
        <w:t>The First Interim Order noted that while PGW improperly raised the affirmative defense of the statute of limitation</w:t>
      </w:r>
      <w:r w:rsidR="002B057B">
        <w:t xml:space="preserve">s </w:t>
      </w:r>
      <w:r>
        <w:t xml:space="preserve">as a preliminary objection, this technical error or procedural defect did not affect the substantive rights of the parties.  See </w:t>
      </w:r>
      <w:r>
        <w:rPr>
          <w:i/>
        </w:rPr>
        <w:t>Feldman</w:t>
      </w:r>
      <w:r w:rsidR="00212079">
        <w:rPr>
          <w:i/>
        </w:rPr>
        <w:t xml:space="preserve"> </w:t>
      </w:r>
      <w:r>
        <w:rPr>
          <w:i/>
        </w:rPr>
        <w:t>v. Hoffman,</w:t>
      </w:r>
      <w:r>
        <w:t xml:space="preserve"> </w:t>
      </w:r>
      <w:proofErr w:type="gramStart"/>
      <w:r>
        <w:t>107 A.3d 821</w:t>
      </w:r>
      <w:proofErr w:type="gramEnd"/>
      <w:r>
        <w:t xml:space="preserve"> (</w:t>
      </w:r>
      <w:proofErr w:type="spellStart"/>
      <w:r>
        <w:t>Pa.Cmwlth</w:t>
      </w:r>
      <w:proofErr w:type="spellEnd"/>
      <w:r>
        <w:t>. 2014).</w:t>
      </w:r>
    </w:p>
  </w:footnote>
  <w:footnote w:id="4">
    <w:p w:rsidR="00CE35B6" w:rsidRDefault="00CE35B6">
      <w:pPr>
        <w:pStyle w:val="FootnoteText"/>
      </w:pPr>
    </w:p>
    <w:p w:rsidR="00CE35B6" w:rsidRPr="00CE35B6" w:rsidRDefault="00CE35B6">
      <w:pPr>
        <w:pStyle w:val="FootnoteText"/>
      </w:pPr>
      <w:r>
        <w:rPr>
          <w:rStyle w:val="FootnoteReference"/>
        </w:rPr>
        <w:footnoteRef/>
      </w:r>
      <w:r>
        <w:t xml:space="preserve">   </w:t>
      </w:r>
      <w:r w:rsidR="00D044FB">
        <w:tab/>
      </w:r>
      <w:r>
        <w:t xml:space="preserve">The reader is directed to the </w:t>
      </w:r>
      <w:r>
        <w:rPr>
          <w:i/>
        </w:rPr>
        <w:t>First Interim Order Granting in Part and Denying in Part Respondent’s Preliminary Objections and Denying Motion for Summary Judgment</w:t>
      </w:r>
      <w:r>
        <w:t xml:space="preserve"> for a more detailed </w:t>
      </w:r>
      <w:r w:rsidR="00707585">
        <w:t>discussion of the</w:t>
      </w:r>
      <w:r>
        <w:rPr>
          <w:i/>
        </w:rPr>
        <w:t xml:space="preserve"> </w:t>
      </w:r>
      <w:r>
        <w:t xml:space="preserve">rulings on </w:t>
      </w:r>
      <w:r w:rsidR="00707585">
        <w:t xml:space="preserve">the </w:t>
      </w:r>
      <w:r>
        <w:t xml:space="preserve"> preliminary motions.</w:t>
      </w:r>
    </w:p>
  </w:footnote>
  <w:footnote w:id="5">
    <w:p w:rsidR="00C173BD" w:rsidRDefault="00C173BD">
      <w:pPr>
        <w:pStyle w:val="FootnoteText"/>
      </w:pPr>
      <w:r>
        <w:rPr>
          <w:rStyle w:val="FootnoteReference"/>
        </w:rPr>
        <w:footnoteRef/>
      </w:r>
      <w:r>
        <w:t xml:space="preserve">  </w:t>
      </w:r>
      <w:r w:rsidR="00C07F89">
        <w:tab/>
      </w:r>
      <w:r>
        <w:rPr>
          <w:rFonts w:eastAsiaTheme="minorHAnsi" w:cstheme="minorBidi"/>
          <w:szCs w:val="22"/>
        </w:rPr>
        <w:t xml:space="preserve">[($30 x 12 months = $360.00) + ($35.00 x 52 weeks = $1,820) = $2,180 annually.  $2,180 </w:t>
      </w:r>
      <w:r>
        <w:rPr>
          <w:rFonts w:eastAsiaTheme="minorHAnsi"/>
          <w:szCs w:val="22"/>
        </w:rPr>
        <w:t>÷</w:t>
      </w:r>
      <w:r>
        <w:rPr>
          <w:rFonts w:eastAsiaTheme="minorHAnsi" w:cstheme="minorBidi"/>
          <w:szCs w:val="22"/>
        </w:rPr>
        <w:t xml:space="preserve"> 12 months = $181.66 monthly].  </w:t>
      </w:r>
    </w:p>
  </w:footnote>
  <w:footnote w:id="6">
    <w:p w:rsidR="009063A2" w:rsidRDefault="009063A2" w:rsidP="009063A2">
      <w:pPr>
        <w:pStyle w:val="FootnoteText"/>
      </w:pPr>
      <w:r>
        <w:rPr>
          <w:rStyle w:val="FootnoteReference"/>
        </w:rPr>
        <w:footnoteRef/>
      </w:r>
      <w:r>
        <w:t xml:space="preserve">  </w:t>
      </w:r>
      <w:r w:rsidR="00EA44B8">
        <w:tab/>
      </w:r>
      <w:r>
        <w:t>Section 1410(2) of the Code provides, “Pending the outcome of a formal or informal complaint filed with the commission, a customer shall be obligated to pay that portion of the bill which is not in dispute and subsequent bill</w:t>
      </w:r>
      <w:r w:rsidR="00030923">
        <w:t>s</w:t>
      </w:r>
      <w:r>
        <w:t xml:space="preserve"> which are not in dispute.  66 </w:t>
      </w:r>
      <w:proofErr w:type="spellStart"/>
      <w:r>
        <w:t>Pa.C.S</w:t>
      </w:r>
      <w:proofErr w:type="spellEnd"/>
      <w:proofErr w:type="gramStart"/>
      <w:r>
        <w:t xml:space="preserve">. </w:t>
      </w:r>
      <w:proofErr w:type="gramEnd"/>
      <w:r>
        <w:t>§ 1410(2).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789EA4"/>
    <w:lvl w:ilvl="0">
      <w:start w:val="1"/>
      <w:numFmt w:val="decimal"/>
      <w:lvlText w:val="%1."/>
      <w:lvlJc w:val="left"/>
      <w:pPr>
        <w:tabs>
          <w:tab w:val="num" w:pos="1800"/>
        </w:tabs>
        <w:ind w:left="1800" w:hanging="360"/>
      </w:pPr>
    </w:lvl>
  </w:abstractNum>
  <w:abstractNum w:abstractNumId="1">
    <w:nsid w:val="FFFFFF7D"/>
    <w:multiLevelType w:val="singleLevel"/>
    <w:tmpl w:val="3E663296"/>
    <w:lvl w:ilvl="0">
      <w:start w:val="1"/>
      <w:numFmt w:val="decimal"/>
      <w:lvlText w:val="%1."/>
      <w:lvlJc w:val="left"/>
      <w:pPr>
        <w:tabs>
          <w:tab w:val="num" w:pos="1440"/>
        </w:tabs>
        <w:ind w:left="1440" w:hanging="360"/>
      </w:pPr>
    </w:lvl>
  </w:abstractNum>
  <w:abstractNum w:abstractNumId="2">
    <w:nsid w:val="FFFFFF7E"/>
    <w:multiLevelType w:val="singleLevel"/>
    <w:tmpl w:val="9404E3F2"/>
    <w:lvl w:ilvl="0">
      <w:start w:val="1"/>
      <w:numFmt w:val="decimal"/>
      <w:lvlText w:val="%1."/>
      <w:lvlJc w:val="left"/>
      <w:pPr>
        <w:tabs>
          <w:tab w:val="num" w:pos="1080"/>
        </w:tabs>
        <w:ind w:left="1080" w:hanging="360"/>
      </w:pPr>
    </w:lvl>
  </w:abstractNum>
  <w:abstractNum w:abstractNumId="3">
    <w:nsid w:val="FFFFFF7F"/>
    <w:multiLevelType w:val="singleLevel"/>
    <w:tmpl w:val="881E4E92"/>
    <w:lvl w:ilvl="0">
      <w:start w:val="1"/>
      <w:numFmt w:val="decimal"/>
      <w:lvlText w:val="%1."/>
      <w:lvlJc w:val="left"/>
      <w:pPr>
        <w:tabs>
          <w:tab w:val="num" w:pos="720"/>
        </w:tabs>
        <w:ind w:left="720" w:hanging="360"/>
      </w:pPr>
    </w:lvl>
  </w:abstractNum>
  <w:abstractNum w:abstractNumId="4">
    <w:nsid w:val="FFFFFF80"/>
    <w:multiLevelType w:val="singleLevel"/>
    <w:tmpl w:val="9D0C66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EEEA52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7C09C4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E8AD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88C3E"/>
    <w:lvl w:ilvl="0">
      <w:start w:val="1"/>
      <w:numFmt w:val="decimal"/>
      <w:lvlText w:val="%1."/>
      <w:lvlJc w:val="left"/>
      <w:pPr>
        <w:tabs>
          <w:tab w:val="num" w:pos="360"/>
        </w:tabs>
        <w:ind w:left="360" w:hanging="360"/>
      </w:pPr>
    </w:lvl>
  </w:abstractNum>
  <w:abstractNum w:abstractNumId="9">
    <w:nsid w:val="FFFFFF89"/>
    <w:multiLevelType w:val="singleLevel"/>
    <w:tmpl w:val="7212A644"/>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9913FD1"/>
    <w:multiLevelType w:val="hybridMultilevel"/>
    <w:tmpl w:val="DF3E0CB0"/>
    <w:lvl w:ilvl="0" w:tplc="FAD0A1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1AB38B1"/>
    <w:multiLevelType w:val="hybridMultilevel"/>
    <w:tmpl w:val="4EFCAA06"/>
    <w:lvl w:ilvl="0" w:tplc="4C9A2E56">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2"/>
  </w:num>
  <w:num w:numId="3">
    <w:abstractNumId w:val="28"/>
  </w:num>
  <w:num w:numId="4">
    <w:abstractNumId w:val="32"/>
  </w:num>
  <w:num w:numId="5">
    <w:abstractNumId w:val="16"/>
  </w:num>
  <w:num w:numId="6">
    <w:abstractNumId w:val="14"/>
  </w:num>
  <w:num w:numId="7">
    <w:abstractNumId w:val="13"/>
  </w:num>
  <w:num w:numId="8">
    <w:abstractNumId w:val="31"/>
  </w:num>
  <w:num w:numId="9">
    <w:abstractNumId w:val="11"/>
  </w:num>
  <w:num w:numId="10">
    <w:abstractNumId w:val="25"/>
  </w:num>
  <w:num w:numId="11">
    <w:abstractNumId w:val="27"/>
  </w:num>
  <w:num w:numId="12">
    <w:abstractNumId w:val="20"/>
  </w:num>
  <w:num w:numId="13">
    <w:abstractNumId w:val="26"/>
  </w:num>
  <w:num w:numId="14">
    <w:abstractNumId w:val="29"/>
  </w:num>
  <w:num w:numId="15">
    <w:abstractNumId w:val="10"/>
  </w:num>
  <w:num w:numId="16">
    <w:abstractNumId w:val="24"/>
  </w:num>
  <w:num w:numId="17">
    <w:abstractNumId w:val="24"/>
  </w:num>
  <w:num w:numId="18">
    <w:abstractNumId w:val="15"/>
  </w:num>
  <w:num w:numId="19">
    <w:abstractNumId w:val="21"/>
  </w:num>
  <w:num w:numId="20">
    <w:abstractNumId w:val="33"/>
  </w:num>
  <w:num w:numId="21">
    <w:abstractNumId w:val="18"/>
  </w:num>
  <w:num w:numId="22">
    <w:abstractNumId w:val="12"/>
  </w:num>
  <w:num w:numId="23">
    <w:abstractNumId w:val="19"/>
  </w:num>
  <w:num w:numId="24">
    <w:abstractNumId w:val="17"/>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E7"/>
    <w:rsid w:val="0000017B"/>
    <w:rsid w:val="00004C37"/>
    <w:rsid w:val="00015C40"/>
    <w:rsid w:val="00024EE4"/>
    <w:rsid w:val="00025F2C"/>
    <w:rsid w:val="00030923"/>
    <w:rsid w:val="0005241F"/>
    <w:rsid w:val="00056F4E"/>
    <w:rsid w:val="000654DA"/>
    <w:rsid w:val="0006652F"/>
    <w:rsid w:val="0006753E"/>
    <w:rsid w:val="000839D4"/>
    <w:rsid w:val="00090DEA"/>
    <w:rsid w:val="00091765"/>
    <w:rsid w:val="00093535"/>
    <w:rsid w:val="000A59DA"/>
    <w:rsid w:val="000B44B3"/>
    <w:rsid w:val="000E01DE"/>
    <w:rsid w:val="000E3EDE"/>
    <w:rsid w:val="000E7AFE"/>
    <w:rsid w:val="000F1729"/>
    <w:rsid w:val="000F2C40"/>
    <w:rsid w:val="0010179D"/>
    <w:rsid w:val="001059A0"/>
    <w:rsid w:val="001208C2"/>
    <w:rsid w:val="001228EE"/>
    <w:rsid w:val="00125A25"/>
    <w:rsid w:val="00126598"/>
    <w:rsid w:val="001307F3"/>
    <w:rsid w:val="00142D27"/>
    <w:rsid w:val="00145633"/>
    <w:rsid w:val="0015445F"/>
    <w:rsid w:val="00165893"/>
    <w:rsid w:val="0016673E"/>
    <w:rsid w:val="001706EE"/>
    <w:rsid w:val="00191732"/>
    <w:rsid w:val="001974BE"/>
    <w:rsid w:val="001A21B6"/>
    <w:rsid w:val="001A708C"/>
    <w:rsid w:val="001B1CBA"/>
    <w:rsid w:val="001B25AF"/>
    <w:rsid w:val="001B2707"/>
    <w:rsid w:val="001B4B0A"/>
    <w:rsid w:val="001B6154"/>
    <w:rsid w:val="001C560D"/>
    <w:rsid w:val="001D0BFF"/>
    <w:rsid w:val="001D2587"/>
    <w:rsid w:val="001D2AF7"/>
    <w:rsid w:val="001E0F42"/>
    <w:rsid w:val="001F13E3"/>
    <w:rsid w:val="001F513B"/>
    <w:rsid w:val="001F5680"/>
    <w:rsid w:val="00207878"/>
    <w:rsid w:val="00212079"/>
    <w:rsid w:val="00212EA2"/>
    <w:rsid w:val="00213167"/>
    <w:rsid w:val="0021784A"/>
    <w:rsid w:val="00222323"/>
    <w:rsid w:val="002335E9"/>
    <w:rsid w:val="00234F19"/>
    <w:rsid w:val="00235B57"/>
    <w:rsid w:val="00235FA4"/>
    <w:rsid w:val="0023662B"/>
    <w:rsid w:val="00237FE3"/>
    <w:rsid w:val="00240BBF"/>
    <w:rsid w:val="00247F8C"/>
    <w:rsid w:val="002512F9"/>
    <w:rsid w:val="0025756A"/>
    <w:rsid w:val="00264E8C"/>
    <w:rsid w:val="00267C8B"/>
    <w:rsid w:val="00274CFD"/>
    <w:rsid w:val="00275DCE"/>
    <w:rsid w:val="00284D85"/>
    <w:rsid w:val="00284DD0"/>
    <w:rsid w:val="00286B5E"/>
    <w:rsid w:val="00290713"/>
    <w:rsid w:val="00290AC7"/>
    <w:rsid w:val="002A3A89"/>
    <w:rsid w:val="002A6569"/>
    <w:rsid w:val="002A7865"/>
    <w:rsid w:val="002B027A"/>
    <w:rsid w:val="002B057B"/>
    <w:rsid w:val="002B42A7"/>
    <w:rsid w:val="002C1789"/>
    <w:rsid w:val="002C1DB6"/>
    <w:rsid w:val="002C326E"/>
    <w:rsid w:val="002D2B25"/>
    <w:rsid w:val="002D725F"/>
    <w:rsid w:val="002E038A"/>
    <w:rsid w:val="002E1EAB"/>
    <w:rsid w:val="00301222"/>
    <w:rsid w:val="003145FA"/>
    <w:rsid w:val="00317B5F"/>
    <w:rsid w:val="003239FB"/>
    <w:rsid w:val="00355DFD"/>
    <w:rsid w:val="003579FB"/>
    <w:rsid w:val="00361751"/>
    <w:rsid w:val="00365A72"/>
    <w:rsid w:val="003667B4"/>
    <w:rsid w:val="00367A41"/>
    <w:rsid w:val="0037358B"/>
    <w:rsid w:val="00374075"/>
    <w:rsid w:val="00377017"/>
    <w:rsid w:val="00380690"/>
    <w:rsid w:val="00384DF8"/>
    <w:rsid w:val="00391E86"/>
    <w:rsid w:val="00393C92"/>
    <w:rsid w:val="003A15A7"/>
    <w:rsid w:val="003A64D6"/>
    <w:rsid w:val="003A6B74"/>
    <w:rsid w:val="003A71C9"/>
    <w:rsid w:val="003B0304"/>
    <w:rsid w:val="003B2BB1"/>
    <w:rsid w:val="003B3EB2"/>
    <w:rsid w:val="003B71EB"/>
    <w:rsid w:val="003C18C7"/>
    <w:rsid w:val="003C44E4"/>
    <w:rsid w:val="003D1F32"/>
    <w:rsid w:val="003E2278"/>
    <w:rsid w:val="003F05B3"/>
    <w:rsid w:val="003F06C9"/>
    <w:rsid w:val="003F1F5E"/>
    <w:rsid w:val="003F6B5B"/>
    <w:rsid w:val="004015D0"/>
    <w:rsid w:val="00413377"/>
    <w:rsid w:val="00427572"/>
    <w:rsid w:val="00436133"/>
    <w:rsid w:val="0043752C"/>
    <w:rsid w:val="0044228B"/>
    <w:rsid w:val="00450D64"/>
    <w:rsid w:val="00456039"/>
    <w:rsid w:val="004641D9"/>
    <w:rsid w:val="00473E87"/>
    <w:rsid w:val="00476090"/>
    <w:rsid w:val="004826A4"/>
    <w:rsid w:val="00484A37"/>
    <w:rsid w:val="00486269"/>
    <w:rsid w:val="00495B6E"/>
    <w:rsid w:val="004B4298"/>
    <w:rsid w:val="004B42CB"/>
    <w:rsid w:val="004B4817"/>
    <w:rsid w:val="004C02BF"/>
    <w:rsid w:val="004C474E"/>
    <w:rsid w:val="004C5F1E"/>
    <w:rsid w:val="004D523C"/>
    <w:rsid w:val="004D5373"/>
    <w:rsid w:val="00502ED6"/>
    <w:rsid w:val="00503E16"/>
    <w:rsid w:val="00515E4A"/>
    <w:rsid w:val="005217A2"/>
    <w:rsid w:val="005279A2"/>
    <w:rsid w:val="005317A5"/>
    <w:rsid w:val="00534F75"/>
    <w:rsid w:val="005463FC"/>
    <w:rsid w:val="005468A5"/>
    <w:rsid w:val="00550C0E"/>
    <w:rsid w:val="005563EC"/>
    <w:rsid w:val="005602DF"/>
    <w:rsid w:val="00567D35"/>
    <w:rsid w:val="0057364C"/>
    <w:rsid w:val="00576D29"/>
    <w:rsid w:val="0058169A"/>
    <w:rsid w:val="0059130B"/>
    <w:rsid w:val="0059290B"/>
    <w:rsid w:val="005A1C17"/>
    <w:rsid w:val="005A2ABA"/>
    <w:rsid w:val="005A561F"/>
    <w:rsid w:val="005B0CEA"/>
    <w:rsid w:val="005B1AC3"/>
    <w:rsid w:val="005D25FC"/>
    <w:rsid w:val="005E4191"/>
    <w:rsid w:val="005E4C50"/>
    <w:rsid w:val="005E7B69"/>
    <w:rsid w:val="005F0006"/>
    <w:rsid w:val="00600CF3"/>
    <w:rsid w:val="006069AC"/>
    <w:rsid w:val="00610F2C"/>
    <w:rsid w:val="0061215B"/>
    <w:rsid w:val="0061775F"/>
    <w:rsid w:val="006205B4"/>
    <w:rsid w:val="00647BEE"/>
    <w:rsid w:val="006620D4"/>
    <w:rsid w:val="006627B3"/>
    <w:rsid w:val="00665D52"/>
    <w:rsid w:val="00674AB6"/>
    <w:rsid w:val="006829B6"/>
    <w:rsid w:val="00686F49"/>
    <w:rsid w:val="00692028"/>
    <w:rsid w:val="006969B2"/>
    <w:rsid w:val="00696C0D"/>
    <w:rsid w:val="006A47F3"/>
    <w:rsid w:val="006B05D8"/>
    <w:rsid w:val="006B18FF"/>
    <w:rsid w:val="006D5123"/>
    <w:rsid w:val="006D591F"/>
    <w:rsid w:val="006E571F"/>
    <w:rsid w:val="006F0329"/>
    <w:rsid w:val="006F67F8"/>
    <w:rsid w:val="00700807"/>
    <w:rsid w:val="00705F9E"/>
    <w:rsid w:val="00707585"/>
    <w:rsid w:val="00707C21"/>
    <w:rsid w:val="007101C7"/>
    <w:rsid w:val="0071069D"/>
    <w:rsid w:val="00712E58"/>
    <w:rsid w:val="0071520D"/>
    <w:rsid w:val="00721CE3"/>
    <w:rsid w:val="0072691A"/>
    <w:rsid w:val="00730900"/>
    <w:rsid w:val="00732D3D"/>
    <w:rsid w:val="007370CD"/>
    <w:rsid w:val="0074102B"/>
    <w:rsid w:val="00741B0B"/>
    <w:rsid w:val="007429F3"/>
    <w:rsid w:val="007455F5"/>
    <w:rsid w:val="00745B7A"/>
    <w:rsid w:val="0075384D"/>
    <w:rsid w:val="00761D9C"/>
    <w:rsid w:val="00763B7B"/>
    <w:rsid w:val="00772B81"/>
    <w:rsid w:val="00774D84"/>
    <w:rsid w:val="00786033"/>
    <w:rsid w:val="00787BD5"/>
    <w:rsid w:val="0079206A"/>
    <w:rsid w:val="00792796"/>
    <w:rsid w:val="007A3F35"/>
    <w:rsid w:val="007A5913"/>
    <w:rsid w:val="007B06EB"/>
    <w:rsid w:val="007B611F"/>
    <w:rsid w:val="007C4525"/>
    <w:rsid w:val="007D2058"/>
    <w:rsid w:val="007E06D5"/>
    <w:rsid w:val="007E5623"/>
    <w:rsid w:val="007E5755"/>
    <w:rsid w:val="007E6779"/>
    <w:rsid w:val="007F267C"/>
    <w:rsid w:val="007F44FF"/>
    <w:rsid w:val="00801430"/>
    <w:rsid w:val="00812161"/>
    <w:rsid w:val="00820B4C"/>
    <w:rsid w:val="00834710"/>
    <w:rsid w:val="00846DFE"/>
    <w:rsid w:val="00847FBC"/>
    <w:rsid w:val="008529D2"/>
    <w:rsid w:val="00852BE1"/>
    <w:rsid w:val="00890209"/>
    <w:rsid w:val="00893999"/>
    <w:rsid w:val="00893F39"/>
    <w:rsid w:val="008A31CA"/>
    <w:rsid w:val="008A3996"/>
    <w:rsid w:val="008A3DFF"/>
    <w:rsid w:val="008A44CE"/>
    <w:rsid w:val="008A5720"/>
    <w:rsid w:val="008C232A"/>
    <w:rsid w:val="008C29EA"/>
    <w:rsid w:val="008C46FC"/>
    <w:rsid w:val="008C4C8F"/>
    <w:rsid w:val="008C54E1"/>
    <w:rsid w:val="008D02ED"/>
    <w:rsid w:val="008D08E9"/>
    <w:rsid w:val="008D6C27"/>
    <w:rsid w:val="008E26A0"/>
    <w:rsid w:val="008E79E2"/>
    <w:rsid w:val="008F13FB"/>
    <w:rsid w:val="008F21CD"/>
    <w:rsid w:val="008F6247"/>
    <w:rsid w:val="009063A2"/>
    <w:rsid w:val="009151A5"/>
    <w:rsid w:val="00923A06"/>
    <w:rsid w:val="00924A9D"/>
    <w:rsid w:val="009267C6"/>
    <w:rsid w:val="0093102E"/>
    <w:rsid w:val="00931B5A"/>
    <w:rsid w:val="009450D7"/>
    <w:rsid w:val="00945C45"/>
    <w:rsid w:val="00947BB8"/>
    <w:rsid w:val="00966D62"/>
    <w:rsid w:val="009830A6"/>
    <w:rsid w:val="009A0D61"/>
    <w:rsid w:val="009A4B51"/>
    <w:rsid w:val="009B0EB5"/>
    <w:rsid w:val="009B10E6"/>
    <w:rsid w:val="009B1CA3"/>
    <w:rsid w:val="009B5334"/>
    <w:rsid w:val="009B7766"/>
    <w:rsid w:val="009C36A2"/>
    <w:rsid w:val="009E0104"/>
    <w:rsid w:val="009E1871"/>
    <w:rsid w:val="009E2939"/>
    <w:rsid w:val="009E4FFB"/>
    <w:rsid w:val="009F1D27"/>
    <w:rsid w:val="009F5106"/>
    <w:rsid w:val="009F6A3E"/>
    <w:rsid w:val="00A0620D"/>
    <w:rsid w:val="00A07292"/>
    <w:rsid w:val="00A130D9"/>
    <w:rsid w:val="00A330B0"/>
    <w:rsid w:val="00A42FB8"/>
    <w:rsid w:val="00A43639"/>
    <w:rsid w:val="00A47096"/>
    <w:rsid w:val="00A50FAA"/>
    <w:rsid w:val="00A5273C"/>
    <w:rsid w:val="00A55395"/>
    <w:rsid w:val="00A576C3"/>
    <w:rsid w:val="00A64336"/>
    <w:rsid w:val="00A738C8"/>
    <w:rsid w:val="00A73D5A"/>
    <w:rsid w:val="00A75B19"/>
    <w:rsid w:val="00A767A3"/>
    <w:rsid w:val="00A92610"/>
    <w:rsid w:val="00A942CF"/>
    <w:rsid w:val="00AA29E9"/>
    <w:rsid w:val="00AA2EC5"/>
    <w:rsid w:val="00AA304D"/>
    <w:rsid w:val="00AB0645"/>
    <w:rsid w:val="00AB3FBB"/>
    <w:rsid w:val="00AB4C73"/>
    <w:rsid w:val="00AB7B65"/>
    <w:rsid w:val="00AD6565"/>
    <w:rsid w:val="00AD778C"/>
    <w:rsid w:val="00AE078E"/>
    <w:rsid w:val="00AE6F47"/>
    <w:rsid w:val="00AF2EC0"/>
    <w:rsid w:val="00AF2F7F"/>
    <w:rsid w:val="00B03227"/>
    <w:rsid w:val="00B31333"/>
    <w:rsid w:val="00B36B16"/>
    <w:rsid w:val="00B36BB5"/>
    <w:rsid w:val="00B428EA"/>
    <w:rsid w:val="00B47C6D"/>
    <w:rsid w:val="00B6740F"/>
    <w:rsid w:val="00B76C28"/>
    <w:rsid w:val="00B77DCF"/>
    <w:rsid w:val="00B80217"/>
    <w:rsid w:val="00B86F54"/>
    <w:rsid w:val="00B877D3"/>
    <w:rsid w:val="00B91E47"/>
    <w:rsid w:val="00B92F4C"/>
    <w:rsid w:val="00B969F7"/>
    <w:rsid w:val="00BB5DBD"/>
    <w:rsid w:val="00BB6CAB"/>
    <w:rsid w:val="00BC1297"/>
    <w:rsid w:val="00BC5B8A"/>
    <w:rsid w:val="00BC6B21"/>
    <w:rsid w:val="00BD3E6B"/>
    <w:rsid w:val="00BE402C"/>
    <w:rsid w:val="00BE4956"/>
    <w:rsid w:val="00BF06A6"/>
    <w:rsid w:val="00BF2548"/>
    <w:rsid w:val="00BF321F"/>
    <w:rsid w:val="00C024E7"/>
    <w:rsid w:val="00C02B3D"/>
    <w:rsid w:val="00C07F89"/>
    <w:rsid w:val="00C15072"/>
    <w:rsid w:val="00C1673F"/>
    <w:rsid w:val="00C16FF1"/>
    <w:rsid w:val="00C173BD"/>
    <w:rsid w:val="00C2093E"/>
    <w:rsid w:val="00C2613E"/>
    <w:rsid w:val="00C4077C"/>
    <w:rsid w:val="00C459F2"/>
    <w:rsid w:val="00C47B4A"/>
    <w:rsid w:val="00C51596"/>
    <w:rsid w:val="00C55480"/>
    <w:rsid w:val="00C56BDB"/>
    <w:rsid w:val="00C665D3"/>
    <w:rsid w:val="00C71A0D"/>
    <w:rsid w:val="00C775D2"/>
    <w:rsid w:val="00C811EF"/>
    <w:rsid w:val="00C8556F"/>
    <w:rsid w:val="00C86376"/>
    <w:rsid w:val="00C87E57"/>
    <w:rsid w:val="00C903A5"/>
    <w:rsid w:val="00C9193C"/>
    <w:rsid w:val="00C92607"/>
    <w:rsid w:val="00C92DF5"/>
    <w:rsid w:val="00C93C28"/>
    <w:rsid w:val="00C9685E"/>
    <w:rsid w:val="00CA34BE"/>
    <w:rsid w:val="00CD420B"/>
    <w:rsid w:val="00CD42D8"/>
    <w:rsid w:val="00CD7A65"/>
    <w:rsid w:val="00CE35B6"/>
    <w:rsid w:val="00CE57B4"/>
    <w:rsid w:val="00CF3AF6"/>
    <w:rsid w:val="00D01776"/>
    <w:rsid w:val="00D044FB"/>
    <w:rsid w:val="00D10FBF"/>
    <w:rsid w:val="00D21BB1"/>
    <w:rsid w:val="00D30AA6"/>
    <w:rsid w:val="00D4348B"/>
    <w:rsid w:val="00D46CB9"/>
    <w:rsid w:val="00D5476F"/>
    <w:rsid w:val="00D661AF"/>
    <w:rsid w:val="00D727D9"/>
    <w:rsid w:val="00D927E2"/>
    <w:rsid w:val="00D97302"/>
    <w:rsid w:val="00DA22BA"/>
    <w:rsid w:val="00DB0545"/>
    <w:rsid w:val="00DC7EBA"/>
    <w:rsid w:val="00DD21B0"/>
    <w:rsid w:val="00DD4D17"/>
    <w:rsid w:val="00DD5C37"/>
    <w:rsid w:val="00DD5CB3"/>
    <w:rsid w:val="00DE3039"/>
    <w:rsid w:val="00DE7399"/>
    <w:rsid w:val="00DE7F31"/>
    <w:rsid w:val="00DF1568"/>
    <w:rsid w:val="00DF41F5"/>
    <w:rsid w:val="00E02458"/>
    <w:rsid w:val="00E03268"/>
    <w:rsid w:val="00E10BD3"/>
    <w:rsid w:val="00E22AD8"/>
    <w:rsid w:val="00E4239A"/>
    <w:rsid w:val="00E51EBC"/>
    <w:rsid w:val="00E54A01"/>
    <w:rsid w:val="00E62F8E"/>
    <w:rsid w:val="00E753F7"/>
    <w:rsid w:val="00E91642"/>
    <w:rsid w:val="00E943B6"/>
    <w:rsid w:val="00E94E57"/>
    <w:rsid w:val="00EA4206"/>
    <w:rsid w:val="00EA44B8"/>
    <w:rsid w:val="00EB2E3E"/>
    <w:rsid w:val="00EB40BF"/>
    <w:rsid w:val="00EC035D"/>
    <w:rsid w:val="00EC1CBA"/>
    <w:rsid w:val="00ED48C6"/>
    <w:rsid w:val="00EE4F90"/>
    <w:rsid w:val="00EE5226"/>
    <w:rsid w:val="00EE7801"/>
    <w:rsid w:val="00EF2261"/>
    <w:rsid w:val="00EF4F56"/>
    <w:rsid w:val="00EF692C"/>
    <w:rsid w:val="00F02444"/>
    <w:rsid w:val="00F05D4A"/>
    <w:rsid w:val="00F0669E"/>
    <w:rsid w:val="00F07741"/>
    <w:rsid w:val="00F1590A"/>
    <w:rsid w:val="00F15EE2"/>
    <w:rsid w:val="00F16554"/>
    <w:rsid w:val="00F20882"/>
    <w:rsid w:val="00F23021"/>
    <w:rsid w:val="00F34D50"/>
    <w:rsid w:val="00F368FF"/>
    <w:rsid w:val="00F36C9B"/>
    <w:rsid w:val="00F376CE"/>
    <w:rsid w:val="00F458A1"/>
    <w:rsid w:val="00F50CE7"/>
    <w:rsid w:val="00F51B14"/>
    <w:rsid w:val="00F544E1"/>
    <w:rsid w:val="00F64741"/>
    <w:rsid w:val="00F70142"/>
    <w:rsid w:val="00F81441"/>
    <w:rsid w:val="00F83872"/>
    <w:rsid w:val="00F87100"/>
    <w:rsid w:val="00F94B32"/>
    <w:rsid w:val="00FB234E"/>
    <w:rsid w:val="00FB773B"/>
    <w:rsid w:val="00FC71F7"/>
    <w:rsid w:val="00FD29F0"/>
    <w:rsid w:val="00FD5C10"/>
    <w:rsid w:val="00FD7F74"/>
    <w:rsid w:val="00FE214C"/>
    <w:rsid w:val="00FE5B94"/>
    <w:rsid w:val="00FE6E90"/>
    <w:rsid w:val="00FE719D"/>
    <w:rsid w:val="00FF3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C326E"/>
    <w:pPr>
      <w:numPr>
        <w:numId w:val="35"/>
      </w:numPr>
      <w:tabs>
        <w:tab w:val="clear" w:pos="1440"/>
      </w:tabs>
      <w:spacing w:before="0" w:after="0"/>
      <w:ind w:left="0" w:firstLine="1440"/>
    </w:pPr>
  </w:style>
  <w:style w:type="paragraph" w:styleId="FootnoteText">
    <w:name w:val="footnote text"/>
    <w:aliases w:val="Car"/>
    <w:link w:val="FootnoteTextChar"/>
    <w:autoRedefine/>
    <w:unhideWhenUsed/>
    <w:qFormat/>
    <w:rsid w:val="00C775D2"/>
    <w:pPr>
      <w:spacing w:after="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C775D2"/>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51596"/>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51596"/>
    <w:rPr>
      <w:rFonts w:ascii="Times New Roman" w:hAnsi="Times New Roman" w:cs="Times New Roman"/>
      <w:sz w:val="24"/>
      <w:szCs w:val="20"/>
    </w:rPr>
  </w:style>
  <w:style w:type="paragraph" w:styleId="Footer">
    <w:name w:val="footer"/>
    <w:basedOn w:val="Normal"/>
    <w:link w:val="FooterChar"/>
    <w:uiPriority w:val="99"/>
    <w:unhideWhenUsed/>
    <w:rsid w:val="00C51596"/>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51596"/>
    <w:rPr>
      <w:rFonts w:ascii="Times New Roman" w:hAnsi="Times New Roman" w:cs="Times New Roman"/>
      <w:sz w:val="24"/>
      <w:szCs w:val="20"/>
    </w:rPr>
  </w:style>
  <w:style w:type="character" w:styleId="FootnoteReference">
    <w:name w:val="footnote reference"/>
    <w:basedOn w:val="DefaultParagraphFont"/>
    <w:unhideWhenUsed/>
    <w:rsid w:val="001E0F42"/>
    <w:rPr>
      <w:vertAlign w:val="superscript"/>
    </w:rPr>
  </w:style>
  <w:style w:type="paragraph" w:styleId="Quote">
    <w:name w:val="Quote"/>
    <w:basedOn w:val="Normal"/>
    <w:next w:val="Normal"/>
    <w:link w:val="QuoteChar"/>
    <w:uiPriority w:val="29"/>
    <w:qFormat/>
    <w:rsid w:val="008F21CD"/>
    <w:pPr>
      <w:tabs>
        <w:tab w:val="clear" w:pos="1440"/>
      </w:tabs>
      <w:spacing w:before="0" w:line="240" w:lineRule="auto"/>
    </w:pPr>
    <w:rPr>
      <w:iCs/>
      <w:color w:val="000000" w:themeColor="text1"/>
    </w:rPr>
  </w:style>
  <w:style w:type="character" w:customStyle="1" w:styleId="QuoteChar">
    <w:name w:val="Quote Char"/>
    <w:basedOn w:val="DefaultParagraphFont"/>
    <w:link w:val="Quote"/>
    <w:uiPriority w:val="29"/>
    <w:rsid w:val="008F21CD"/>
    <w:rPr>
      <w:rFonts w:ascii="Times New Roman" w:hAnsi="Times New Roman" w:cs="Times New Roman"/>
      <w:iCs/>
      <w:color w:val="000000" w:themeColor="text1"/>
      <w:sz w:val="24"/>
      <w:szCs w:val="20"/>
    </w:rPr>
  </w:style>
  <w:style w:type="paragraph" w:customStyle="1" w:styleId="IndentedQuote">
    <w:name w:val="Indented Quote"/>
    <w:basedOn w:val="Normal"/>
    <w:qFormat/>
    <w:rsid w:val="00503E16"/>
    <w:pPr>
      <w:tabs>
        <w:tab w:val="clear" w:pos="1440"/>
      </w:tabs>
      <w:spacing w:before="0" w:after="0" w:line="240" w:lineRule="auto"/>
      <w:ind w:left="720" w:right="720"/>
    </w:pPr>
    <w:rPr>
      <w:szCs w:val="24"/>
    </w:rPr>
  </w:style>
  <w:style w:type="paragraph" w:styleId="NoSpacing">
    <w:name w:val="No Spacing"/>
    <w:uiPriority w:val="1"/>
    <w:qFormat/>
    <w:rsid w:val="00503E16"/>
    <w:pPr>
      <w:spacing w:after="0" w:line="240" w:lineRule="auto"/>
    </w:pPr>
    <w:rPr>
      <w:rFonts w:ascii="Times New Roman" w:hAnsi="Times New Roman" w:cs="Times New Roman"/>
      <w:sz w:val="26"/>
      <w:szCs w:val="20"/>
    </w:rPr>
  </w:style>
  <w:style w:type="paragraph" w:styleId="Title">
    <w:name w:val="Title"/>
    <w:basedOn w:val="Normal"/>
    <w:link w:val="TitleChar"/>
    <w:qFormat/>
    <w:rsid w:val="00A42FB8"/>
    <w:pPr>
      <w:tabs>
        <w:tab w:val="clear" w:pos="1440"/>
        <w:tab w:val="left" w:pos="360"/>
      </w:tabs>
      <w:spacing w:before="0" w:after="0" w:line="233" w:lineRule="auto"/>
      <w:jc w:val="center"/>
    </w:pPr>
    <w:rPr>
      <w:b/>
    </w:rPr>
  </w:style>
  <w:style w:type="character" w:customStyle="1" w:styleId="TitleChar">
    <w:name w:val="Title Char"/>
    <w:basedOn w:val="DefaultParagraphFont"/>
    <w:link w:val="Title"/>
    <w:rsid w:val="00A42FB8"/>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C775D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5D2"/>
    <w:rPr>
      <w:rFonts w:ascii="Tahoma" w:hAnsi="Tahoma" w:cs="Tahoma"/>
      <w:sz w:val="16"/>
      <w:szCs w:val="16"/>
    </w:rPr>
  </w:style>
  <w:style w:type="character" w:customStyle="1" w:styleId="term1">
    <w:name w:val="term1"/>
    <w:basedOn w:val="DefaultParagraphFont"/>
    <w:rsid w:val="00A73D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C326E"/>
    <w:pPr>
      <w:numPr>
        <w:numId w:val="35"/>
      </w:numPr>
      <w:tabs>
        <w:tab w:val="clear" w:pos="1440"/>
      </w:tabs>
      <w:spacing w:before="0" w:after="0"/>
      <w:ind w:left="0" w:firstLine="1440"/>
    </w:pPr>
  </w:style>
  <w:style w:type="paragraph" w:styleId="FootnoteText">
    <w:name w:val="footnote text"/>
    <w:aliases w:val="Car"/>
    <w:link w:val="FootnoteTextChar"/>
    <w:autoRedefine/>
    <w:unhideWhenUsed/>
    <w:qFormat/>
    <w:rsid w:val="00C775D2"/>
    <w:pPr>
      <w:spacing w:after="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C775D2"/>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51596"/>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51596"/>
    <w:rPr>
      <w:rFonts w:ascii="Times New Roman" w:hAnsi="Times New Roman" w:cs="Times New Roman"/>
      <w:sz w:val="24"/>
      <w:szCs w:val="20"/>
    </w:rPr>
  </w:style>
  <w:style w:type="paragraph" w:styleId="Footer">
    <w:name w:val="footer"/>
    <w:basedOn w:val="Normal"/>
    <w:link w:val="FooterChar"/>
    <w:uiPriority w:val="99"/>
    <w:unhideWhenUsed/>
    <w:rsid w:val="00C51596"/>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51596"/>
    <w:rPr>
      <w:rFonts w:ascii="Times New Roman" w:hAnsi="Times New Roman" w:cs="Times New Roman"/>
      <w:sz w:val="24"/>
      <w:szCs w:val="20"/>
    </w:rPr>
  </w:style>
  <w:style w:type="character" w:styleId="FootnoteReference">
    <w:name w:val="footnote reference"/>
    <w:basedOn w:val="DefaultParagraphFont"/>
    <w:unhideWhenUsed/>
    <w:rsid w:val="001E0F42"/>
    <w:rPr>
      <w:vertAlign w:val="superscript"/>
    </w:rPr>
  </w:style>
  <w:style w:type="paragraph" w:styleId="Quote">
    <w:name w:val="Quote"/>
    <w:basedOn w:val="Normal"/>
    <w:next w:val="Normal"/>
    <w:link w:val="QuoteChar"/>
    <w:uiPriority w:val="29"/>
    <w:qFormat/>
    <w:rsid w:val="008F21CD"/>
    <w:pPr>
      <w:tabs>
        <w:tab w:val="clear" w:pos="1440"/>
      </w:tabs>
      <w:spacing w:before="0" w:line="240" w:lineRule="auto"/>
    </w:pPr>
    <w:rPr>
      <w:iCs/>
      <w:color w:val="000000" w:themeColor="text1"/>
    </w:rPr>
  </w:style>
  <w:style w:type="character" w:customStyle="1" w:styleId="QuoteChar">
    <w:name w:val="Quote Char"/>
    <w:basedOn w:val="DefaultParagraphFont"/>
    <w:link w:val="Quote"/>
    <w:uiPriority w:val="29"/>
    <w:rsid w:val="008F21CD"/>
    <w:rPr>
      <w:rFonts w:ascii="Times New Roman" w:hAnsi="Times New Roman" w:cs="Times New Roman"/>
      <w:iCs/>
      <w:color w:val="000000" w:themeColor="text1"/>
      <w:sz w:val="24"/>
      <w:szCs w:val="20"/>
    </w:rPr>
  </w:style>
  <w:style w:type="paragraph" w:customStyle="1" w:styleId="IndentedQuote">
    <w:name w:val="Indented Quote"/>
    <w:basedOn w:val="Normal"/>
    <w:qFormat/>
    <w:rsid w:val="00503E16"/>
    <w:pPr>
      <w:tabs>
        <w:tab w:val="clear" w:pos="1440"/>
      </w:tabs>
      <w:spacing w:before="0" w:after="0" w:line="240" w:lineRule="auto"/>
      <w:ind w:left="720" w:right="720"/>
    </w:pPr>
    <w:rPr>
      <w:szCs w:val="24"/>
    </w:rPr>
  </w:style>
  <w:style w:type="paragraph" w:styleId="NoSpacing">
    <w:name w:val="No Spacing"/>
    <w:uiPriority w:val="1"/>
    <w:qFormat/>
    <w:rsid w:val="00503E16"/>
    <w:pPr>
      <w:spacing w:after="0" w:line="240" w:lineRule="auto"/>
    </w:pPr>
    <w:rPr>
      <w:rFonts w:ascii="Times New Roman" w:hAnsi="Times New Roman" w:cs="Times New Roman"/>
      <w:sz w:val="26"/>
      <w:szCs w:val="20"/>
    </w:rPr>
  </w:style>
  <w:style w:type="paragraph" w:styleId="Title">
    <w:name w:val="Title"/>
    <w:basedOn w:val="Normal"/>
    <w:link w:val="TitleChar"/>
    <w:qFormat/>
    <w:rsid w:val="00A42FB8"/>
    <w:pPr>
      <w:tabs>
        <w:tab w:val="clear" w:pos="1440"/>
        <w:tab w:val="left" w:pos="360"/>
      </w:tabs>
      <w:spacing w:before="0" w:after="0" w:line="233" w:lineRule="auto"/>
      <w:jc w:val="center"/>
    </w:pPr>
    <w:rPr>
      <w:b/>
    </w:rPr>
  </w:style>
  <w:style w:type="character" w:customStyle="1" w:styleId="TitleChar">
    <w:name w:val="Title Char"/>
    <w:basedOn w:val="DefaultParagraphFont"/>
    <w:link w:val="Title"/>
    <w:rsid w:val="00A42FB8"/>
    <w:rPr>
      <w:rFonts w:ascii="Times New Roman" w:hAnsi="Times New Roman" w:cs="Times New Roman"/>
      <w:b/>
      <w:sz w:val="24"/>
      <w:szCs w:val="20"/>
    </w:rPr>
  </w:style>
  <w:style w:type="paragraph" w:styleId="BalloonText">
    <w:name w:val="Balloon Text"/>
    <w:basedOn w:val="Normal"/>
    <w:link w:val="BalloonTextChar"/>
    <w:uiPriority w:val="99"/>
    <w:semiHidden/>
    <w:unhideWhenUsed/>
    <w:rsid w:val="00C775D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5D2"/>
    <w:rPr>
      <w:rFonts w:ascii="Tahoma" w:hAnsi="Tahoma" w:cs="Tahoma"/>
      <w:sz w:val="16"/>
      <w:szCs w:val="16"/>
    </w:rPr>
  </w:style>
  <w:style w:type="character" w:customStyle="1" w:styleId="term1">
    <w:name w:val="term1"/>
    <w:basedOn w:val="DefaultParagraphFont"/>
    <w:rsid w:val="00A73D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C7F32-D24A-4682-8AAF-17D74FA6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3752</Words>
  <Characters>21390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3</cp:revision>
  <cp:lastPrinted>2016-12-28T14:25:00Z</cp:lastPrinted>
  <dcterms:created xsi:type="dcterms:W3CDTF">2016-11-30T17:25:00Z</dcterms:created>
  <dcterms:modified xsi:type="dcterms:W3CDTF">2016-12-28T14:25:00Z</dcterms:modified>
</cp:coreProperties>
</file>