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DB0" w:rsidRDefault="00F31DB0" w:rsidP="00F31DB0">
      <w:pPr>
        <w:jc w:val="center"/>
        <w:rPr>
          <w:b/>
        </w:rPr>
      </w:pPr>
      <w:r>
        <w:rPr>
          <w:b/>
        </w:rPr>
        <w:t>BEFORE THE</w:t>
      </w:r>
    </w:p>
    <w:p w:rsidR="00F31DB0" w:rsidRDefault="00F31DB0" w:rsidP="00F31DB0">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F31DB0" w:rsidRDefault="00F31DB0" w:rsidP="00F31DB0">
      <w:pPr>
        <w:jc w:val="center"/>
      </w:pPr>
    </w:p>
    <w:p w:rsidR="00F31DB0" w:rsidRDefault="00F31DB0" w:rsidP="00F31DB0">
      <w:pPr>
        <w:jc w:val="center"/>
      </w:pPr>
    </w:p>
    <w:p w:rsidR="00F31DB0" w:rsidRDefault="00F31DB0" w:rsidP="00F31DB0">
      <w:pPr>
        <w:jc w:val="center"/>
      </w:pPr>
    </w:p>
    <w:p w:rsidR="00F31DB0" w:rsidRDefault="002674AA" w:rsidP="002674AA">
      <w:r>
        <w:t>Christopher L. Bretz</w:t>
      </w:r>
      <w:r w:rsidR="00F31DB0">
        <w:tab/>
      </w:r>
      <w:r w:rsidR="00F31DB0">
        <w:tab/>
      </w:r>
      <w:r>
        <w:tab/>
      </w:r>
      <w:r>
        <w:tab/>
      </w:r>
      <w:r>
        <w:tab/>
        <w:t>:</w:t>
      </w:r>
      <w:r w:rsidR="00F31DB0">
        <w:tab/>
      </w:r>
      <w:r w:rsidR="00F31DB0">
        <w:tab/>
      </w:r>
      <w:r w:rsidR="00F31DB0">
        <w:tab/>
      </w:r>
      <w:r w:rsidR="00F31DB0">
        <w:tab/>
      </w:r>
      <w:r w:rsidR="00F31DB0">
        <w:tab/>
      </w:r>
      <w:r w:rsidR="00F31DB0">
        <w:tab/>
      </w:r>
    </w:p>
    <w:p w:rsidR="002674AA" w:rsidRDefault="002674AA" w:rsidP="00F31DB0">
      <w:r>
        <w:tab/>
      </w:r>
      <w:r>
        <w:tab/>
      </w:r>
      <w:r>
        <w:tab/>
      </w:r>
      <w:r>
        <w:tab/>
      </w:r>
      <w:r>
        <w:tab/>
      </w:r>
      <w:r>
        <w:tab/>
      </w:r>
      <w:r>
        <w:tab/>
        <w:t>:</w:t>
      </w:r>
    </w:p>
    <w:p w:rsidR="002674AA" w:rsidRDefault="002674AA" w:rsidP="00F31DB0">
      <w:r>
        <w:tab/>
        <w:t>v.</w:t>
      </w:r>
      <w:r>
        <w:tab/>
      </w:r>
      <w:r>
        <w:tab/>
      </w:r>
      <w:r>
        <w:tab/>
      </w:r>
      <w:r>
        <w:tab/>
      </w:r>
      <w:r>
        <w:tab/>
      </w:r>
      <w:r>
        <w:tab/>
        <w:t>:</w:t>
      </w:r>
      <w:r>
        <w:tab/>
      </w:r>
      <w:r>
        <w:tab/>
        <w:t>F-2016-2543880</w:t>
      </w:r>
    </w:p>
    <w:p w:rsidR="002674AA" w:rsidRDefault="002674AA" w:rsidP="00F31DB0">
      <w:r>
        <w:tab/>
      </w:r>
      <w:r>
        <w:tab/>
      </w:r>
      <w:r>
        <w:tab/>
      </w:r>
      <w:r>
        <w:tab/>
      </w:r>
      <w:r>
        <w:tab/>
      </w:r>
      <w:r>
        <w:tab/>
      </w:r>
      <w:r>
        <w:tab/>
        <w:t>:</w:t>
      </w:r>
    </w:p>
    <w:p w:rsidR="002674AA" w:rsidRDefault="002674AA" w:rsidP="00F31DB0">
      <w:r>
        <w:t>Philadelphia Gas Works</w:t>
      </w:r>
      <w:r>
        <w:tab/>
      </w:r>
      <w:r>
        <w:tab/>
      </w:r>
      <w:r>
        <w:tab/>
      </w:r>
      <w:r>
        <w:tab/>
        <w:t>:</w:t>
      </w:r>
    </w:p>
    <w:p w:rsidR="00F31DB0" w:rsidRDefault="00F31DB0" w:rsidP="00F31DB0"/>
    <w:p w:rsidR="00F31DB0" w:rsidRDefault="00F31DB0" w:rsidP="00F31DB0"/>
    <w:p w:rsidR="00F31DB0" w:rsidRDefault="00F31DB0" w:rsidP="00F31DB0"/>
    <w:p w:rsidR="00F31DB0" w:rsidRDefault="00F31DB0" w:rsidP="00F31DB0">
      <w:pPr>
        <w:jc w:val="center"/>
        <w:rPr>
          <w:b/>
          <w:u w:val="single"/>
        </w:rPr>
      </w:pPr>
      <w:r>
        <w:rPr>
          <w:b/>
          <w:u w:val="single"/>
        </w:rPr>
        <w:t xml:space="preserve">ORDER </w:t>
      </w:r>
    </w:p>
    <w:p w:rsidR="00F31DB0" w:rsidRDefault="00F31DB0" w:rsidP="00F31DB0">
      <w:pPr>
        <w:jc w:val="center"/>
      </w:pPr>
    </w:p>
    <w:p w:rsidR="00F31DB0" w:rsidRDefault="00F31DB0" w:rsidP="00F31DB0">
      <w:pPr>
        <w:jc w:val="center"/>
      </w:pPr>
    </w:p>
    <w:p w:rsidR="00F31DB0" w:rsidRDefault="00F31DB0" w:rsidP="00F31DB0">
      <w:pPr>
        <w:rPr>
          <w:u w:val="single"/>
        </w:rPr>
      </w:pPr>
      <w:r>
        <w:t>I.</w:t>
      </w:r>
      <w:r>
        <w:tab/>
      </w:r>
      <w:r w:rsidRPr="00C139D3">
        <w:rPr>
          <w:u w:val="single"/>
        </w:rPr>
        <w:t>BACKGROUND</w:t>
      </w:r>
    </w:p>
    <w:p w:rsidR="00F31DB0" w:rsidRDefault="00F31DB0" w:rsidP="00F31DB0">
      <w:pPr>
        <w:spacing w:line="360" w:lineRule="auto"/>
      </w:pPr>
    </w:p>
    <w:p w:rsidR="00E555A2" w:rsidRDefault="00F31DB0" w:rsidP="00AF00BB">
      <w:pPr>
        <w:spacing w:line="360" w:lineRule="auto"/>
      </w:pPr>
      <w:r>
        <w:tab/>
      </w:r>
      <w:r>
        <w:tab/>
        <w:t>On</w:t>
      </w:r>
      <w:r w:rsidR="003616EB">
        <w:t xml:space="preserve"> May 4, 2016</w:t>
      </w:r>
      <w:r>
        <w:t xml:space="preserve">, </w:t>
      </w:r>
      <w:r w:rsidR="002674AA">
        <w:t>Christopher L. Bretz</w:t>
      </w:r>
      <w:r>
        <w:t xml:space="preserve"> (Complainant) filed a </w:t>
      </w:r>
      <w:r w:rsidR="003616EB">
        <w:t xml:space="preserve">formal </w:t>
      </w:r>
      <w:r>
        <w:t xml:space="preserve">Complaint against (Respondent or </w:t>
      </w:r>
      <w:r w:rsidR="003616EB">
        <w:t>PGW</w:t>
      </w:r>
      <w:r>
        <w:t xml:space="preserve">), at Docket No. </w:t>
      </w:r>
      <w:r w:rsidR="003616EB">
        <w:t>F-2016-2543880</w:t>
      </w:r>
      <w:r>
        <w:t xml:space="preserve">.  </w:t>
      </w:r>
      <w:r w:rsidR="003616EB">
        <w:t xml:space="preserve">In his Complaint, Mr. Bretz alleged that PGW is threatening to shut off his gas service or has already shut off his service.  </w:t>
      </w:r>
      <w:r w:rsidR="004E2CBC">
        <w:t xml:space="preserve">He explained that he and his stepfather had purchased the Service Address as an investment property in February of 2009.  Mr. Bretz averred that he finished the gas line installation to the furnace in the fall of 2015 and discovered that gas service was already present at the property.  He stated that he had at first assumed that his stepfather had had the gas service turned on only to be informed by PGW that that was not the case. </w:t>
      </w:r>
    </w:p>
    <w:p w:rsidR="00E555A2" w:rsidRDefault="00E555A2" w:rsidP="00AF00BB">
      <w:pPr>
        <w:spacing w:line="360" w:lineRule="auto"/>
      </w:pPr>
    </w:p>
    <w:p w:rsidR="003616EB" w:rsidRDefault="004E2CBC" w:rsidP="00E555A2">
      <w:pPr>
        <w:spacing w:line="360" w:lineRule="auto"/>
        <w:ind w:firstLine="1440"/>
      </w:pPr>
      <w:r>
        <w:t xml:space="preserve">As relief, </w:t>
      </w:r>
      <w:r w:rsidR="003616EB">
        <w:t>Mr. Bretz requested</w:t>
      </w:r>
      <w:r>
        <w:t xml:space="preserve"> that the Commission order PGW to calculate the bill for unauthorized gas usage to cover </w:t>
      </w:r>
      <w:r w:rsidR="00AF00BB">
        <w:t xml:space="preserve">only </w:t>
      </w:r>
      <w:r>
        <w:t>the period from January 2016 to April 2</w:t>
      </w:r>
      <w:r w:rsidR="00AF00BB">
        <w:t>016, and establish</w:t>
      </w:r>
      <w:r w:rsidR="003616EB">
        <w:t xml:space="preserve"> a payment arrangement</w:t>
      </w:r>
      <w:r w:rsidR="00AF00BB">
        <w:t xml:space="preserve"> on his behalf</w:t>
      </w:r>
      <w:r w:rsidR="003616EB">
        <w:t xml:space="preserve">.  </w:t>
      </w:r>
    </w:p>
    <w:p w:rsidR="003616EB" w:rsidRDefault="003616EB" w:rsidP="003616EB">
      <w:pPr>
        <w:spacing w:line="360" w:lineRule="auto"/>
        <w:ind w:firstLine="1440"/>
      </w:pPr>
    </w:p>
    <w:p w:rsidR="003616EB" w:rsidRDefault="003616EB" w:rsidP="003616EB">
      <w:pPr>
        <w:spacing w:line="360" w:lineRule="auto"/>
        <w:ind w:firstLine="1440"/>
        <w:rPr>
          <w:rFonts w:eastAsiaTheme="minorHAnsi"/>
        </w:rPr>
      </w:pPr>
      <w:r>
        <w:t>The Complaint is a timely appeal of the Commission’s Bureau of Consumer Services (BCS) decision at BCS No. 3425304, which denied the Complainant’s informal complaint.</w:t>
      </w:r>
    </w:p>
    <w:p w:rsidR="003616EB" w:rsidRDefault="003616EB" w:rsidP="003616EB">
      <w:pPr>
        <w:spacing w:line="360" w:lineRule="auto"/>
        <w:ind w:firstLine="1440"/>
        <w:rPr>
          <w:rFonts w:eastAsiaTheme="minorHAnsi"/>
        </w:rPr>
      </w:pPr>
    </w:p>
    <w:p w:rsidR="003616EB" w:rsidRDefault="00F31DB0" w:rsidP="003616EB">
      <w:pPr>
        <w:spacing w:line="360" w:lineRule="auto"/>
        <w:ind w:firstLine="1440"/>
      </w:pPr>
      <w:r>
        <w:t>On</w:t>
      </w:r>
      <w:r w:rsidR="003616EB">
        <w:t xml:space="preserve"> May 26, 2016</w:t>
      </w:r>
      <w:r>
        <w:t>, Respondent filed a</w:t>
      </w:r>
      <w:r w:rsidR="003616EB">
        <w:t>n Answer denying the material allegations of</w:t>
      </w:r>
      <w:r>
        <w:t xml:space="preserve"> the Complaint.  </w:t>
      </w:r>
    </w:p>
    <w:p w:rsidR="003616EB" w:rsidRDefault="003616EB" w:rsidP="003616EB">
      <w:pPr>
        <w:tabs>
          <w:tab w:val="center" w:pos="4680"/>
        </w:tabs>
        <w:suppressAutoHyphens/>
        <w:spacing w:line="360" w:lineRule="auto"/>
        <w:ind w:firstLine="1440"/>
      </w:pPr>
      <w:r>
        <w:lastRenderedPageBreak/>
        <w:t>A Hearing Notice dated June 14, 2016, notified the parties that an initial hearing was scheduled for Wednesday, July 13, 2016, at 10:00 a.m.</w:t>
      </w:r>
    </w:p>
    <w:p w:rsidR="003616EB" w:rsidRDefault="003616EB" w:rsidP="003616EB">
      <w:pPr>
        <w:tabs>
          <w:tab w:val="center" w:pos="0"/>
        </w:tabs>
        <w:suppressAutoHyphens/>
        <w:spacing w:line="360" w:lineRule="auto"/>
        <w:rPr>
          <w:spacing w:val="-3"/>
        </w:rPr>
      </w:pPr>
    </w:p>
    <w:p w:rsidR="003616EB" w:rsidRDefault="003616EB" w:rsidP="003616EB">
      <w:pPr>
        <w:spacing w:line="360" w:lineRule="auto"/>
        <w:ind w:firstLine="1440"/>
      </w:pPr>
      <w:r>
        <w:t xml:space="preserve">A Prehearing Order was issued on June 17, 2016, reminding the parties of the date and time of the scheduled hearing, informing them of the procedures applicable to this proceeding, and directing the submission of documents prior to the hearing.  </w:t>
      </w:r>
    </w:p>
    <w:p w:rsidR="00F31DB0" w:rsidRDefault="00F31DB0" w:rsidP="00F31DB0">
      <w:pPr>
        <w:spacing w:line="360" w:lineRule="auto"/>
      </w:pPr>
    </w:p>
    <w:p w:rsidR="00ED52C2" w:rsidRPr="00ED52C2" w:rsidRDefault="00ED52C2" w:rsidP="00ED52C2">
      <w:pPr>
        <w:tabs>
          <w:tab w:val="left" w:pos="-1440"/>
          <w:tab w:val="left" w:pos="-720"/>
        </w:tabs>
        <w:suppressAutoHyphens/>
        <w:spacing w:line="360" w:lineRule="auto"/>
        <w:ind w:firstLine="1440"/>
      </w:pPr>
      <w:r w:rsidRPr="00ED52C2">
        <w:rPr>
          <w:rFonts w:eastAsia="Calibri"/>
        </w:rPr>
        <w:t>The initial hearing convened as scheduled on</w:t>
      </w:r>
      <w:r>
        <w:rPr>
          <w:rFonts w:eastAsia="Calibri"/>
        </w:rPr>
        <w:t xml:space="preserve"> July 13</w:t>
      </w:r>
      <w:r w:rsidRPr="00ED52C2">
        <w:rPr>
          <w:rFonts w:eastAsia="Calibri"/>
        </w:rPr>
        <w:t>, 2016</w:t>
      </w:r>
      <w:r w:rsidRPr="00ED52C2">
        <w:t xml:space="preserve">.  </w:t>
      </w:r>
      <w:r w:rsidRPr="00ED52C2">
        <w:rPr>
          <w:rFonts w:eastAsia="Calibri"/>
        </w:rPr>
        <w:t xml:space="preserve">Mr. </w:t>
      </w:r>
      <w:r>
        <w:rPr>
          <w:rFonts w:eastAsia="Calibri"/>
        </w:rPr>
        <w:t xml:space="preserve">Bretz </w:t>
      </w:r>
      <w:r w:rsidRPr="00ED52C2">
        <w:t xml:space="preserve">appeared </w:t>
      </w:r>
      <w:r w:rsidRPr="00ED52C2">
        <w:rPr>
          <w:i/>
        </w:rPr>
        <w:t xml:space="preserve">pro se </w:t>
      </w:r>
      <w:r w:rsidRPr="00ED52C2">
        <w:t xml:space="preserve">and testified in support of the Complaint.  </w:t>
      </w:r>
      <w:r>
        <w:t>Mr. Bretz sponsored four exhibits</w:t>
      </w:r>
      <w:r w:rsidR="006F1B44">
        <w:t xml:space="preserve"> which were admitted into the record</w:t>
      </w:r>
      <w:r>
        <w:t xml:space="preserve">.  </w:t>
      </w:r>
      <w:r w:rsidR="006F1B44">
        <w:t xml:space="preserve">Tr. 108.  </w:t>
      </w:r>
      <w:r>
        <w:t>Laureto Farinas</w:t>
      </w:r>
      <w:r w:rsidRPr="00ED52C2">
        <w:t xml:space="preserve">, Esq. represented the Respondent, and presented the testimonies of </w:t>
      </w:r>
      <w:r>
        <w:t>Adrian Crawford, John Yoak, and Timothy Sullivan. The Re</w:t>
      </w:r>
      <w:r w:rsidR="006F1B44">
        <w:t>spondent sponsored six exhibits which were admitted into the record.  Tr. 108.</w:t>
      </w:r>
    </w:p>
    <w:p w:rsidR="00ED52C2" w:rsidRPr="00ED52C2" w:rsidRDefault="00ED52C2" w:rsidP="00ED52C2">
      <w:pPr>
        <w:tabs>
          <w:tab w:val="left" w:pos="-1440"/>
          <w:tab w:val="left" w:pos="-720"/>
        </w:tabs>
        <w:suppressAutoHyphens/>
        <w:spacing w:line="360" w:lineRule="auto"/>
      </w:pPr>
    </w:p>
    <w:p w:rsidR="006650BD" w:rsidRDefault="00ED52C2" w:rsidP="006650BD">
      <w:pPr>
        <w:spacing w:line="360" w:lineRule="auto"/>
        <w:ind w:firstLine="1440"/>
      </w:pPr>
      <w:r>
        <w:t xml:space="preserve">At the hearing, Mr. Bretz testified that he purchased the Service Address with his stepfather, Leslie Goss, in </w:t>
      </w:r>
      <w:r w:rsidR="006710D3">
        <w:t xml:space="preserve">March </w:t>
      </w:r>
      <w:r>
        <w:t xml:space="preserve">of 2009.  Mr. Goss appears as the sole owner of the Service Address in its deed; however, Mr. Bretz has been working to renovate the property with the intention of residing there.  </w:t>
      </w:r>
      <w:r w:rsidR="00A40D57">
        <w:t xml:space="preserve">Tr. 22.  He testified that he began residing there in January of 2016.  Tr. 20-21.  </w:t>
      </w:r>
      <w:r w:rsidR="00026625">
        <w:t>According to Mr. Bretz</w:t>
      </w:r>
      <w:r w:rsidR="00A40D57">
        <w:t xml:space="preserve">, the property set unoccupied from March 2009 to January 2016.  Tr. 20-11.  </w:t>
      </w:r>
    </w:p>
    <w:p w:rsidR="006650BD" w:rsidRDefault="006650BD" w:rsidP="006650BD">
      <w:pPr>
        <w:spacing w:line="360" w:lineRule="auto"/>
        <w:ind w:firstLine="1440"/>
      </w:pPr>
    </w:p>
    <w:p w:rsidR="00F31DB0" w:rsidRDefault="00026625" w:rsidP="0065240D">
      <w:pPr>
        <w:spacing w:line="360" w:lineRule="auto"/>
        <w:ind w:firstLine="1440"/>
      </w:pPr>
      <w:r>
        <w:t xml:space="preserve">PGW’s witness Adrian Crawford testified that on April 5, 2016, PGW found a tampered meter and </w:t>
      </w:r>
      <w:r w:rsidR="006650BD">
        <w:t>gas turned on at the Service Address when it had last been turned off in 2005.  Tr. 47.  On April 6, 2016, Mr. Bretz contacted PGW presenting himself as the owner of the Service Address and requesting reconnection terms.  Tr. 47-48.  On April 7, 2016, PGW informed Mr. Bretz that in order to have gas service restored at the Service Address he needed to pay $19,220.98.  This amount consisted of $18,893.75 for the unauthorized usage of 12,009 CCF of gas billed from February 23, 2009 to April 5, 2016, a $204 security deposit and a</w:t>
      </w:r>
      <w:r w:rsidR="004275BB">
        <w:t xml:space="preserve"> </w:t>
      </w:r>
      <w:r w:rsidR="006650BD">
        <w:t>$123.23 reconnection fee.  Tr. 48.</w:t>
      </w:r>
      <w:r w:rsidR="0065240D">
        <w:t xml:space="preserve">  Mr. Bretz argued that while is responsible for the amount of the bill accumulated during the period January 2016 to April 2016, he is not responsible for the rest of it as he was residing elsewhere at the time.  Because Mr. Bretz presented himself both as the owner </w:t>
      </w:r>
      <w:r w:rsidR="0065240D">
        <w:lastRenderedPageBreak/>
        <w:t>of the Service Address</w:t>
      </w:r>
      <w:r w:rsidR="004275BB">
        <w:t>,</w:t>
      </w:r>
      <w:r w:rsidR="0065240D">
        <w:t xml:space="preserve"> and at times as just a guest residing there with his stepfather’s permission, I concluded that the Complainant could not be resolved without the participation of his stepfather, Mr. Goss.  Tr. 31. </w:t>
      </w:r>
      <w:r w:rsidR="00AF00BB">
        <w:t xml:space="preserve"> </w:t>
      </w:r>
      <w:r w:rsidR="0065240D">
        <w:t>It was agreed that Mr. Bretz and PGW would complete their respective cases in chief and cross examination of op</w:t>
      </w:r>
      <w:r w:rsidR="006F1B44">
        <w:t>posing witnesses, and that a further hearing would be scheduled after Mr. Goss was join</w:t>
      </w:r>
      <w:r w:rsidR="00AF00BB">
        <w:t xml:space="preserve">ed as an indispensable party.  </w:t>
      </w:r>
      <w:r w:rsidR="006F1B44">
        <w:t>Tr. 23-26.  In addition, I instructed Mr. Bretz to submit any additional documentation substantiating his claim that he resided elsewhere prior to January 2016.</w:t>
      </w:r>
      <w:r w:rsidR="006713D6">
        <w:t xml:space="preserve">  Tr. 110.</w:t>
      </w:r>
    </w:p>
    <w:p w:rsidR="00F31DB0" w:rsidRPr="00436D3B" w:rsidRDefault="00F31DB0" w:rsidP="00F31DB0">
      <w:pPr>
        <w:spacing w:line="360" w:lineRule="auto"/>
        <w:ind w:firstLine="1440"/>
        <w:rPr>
          <w:b/>
        </w:rPr>
      </w:pPr>
    </w:p>
    <w:p w:rsidR="00F31DB0" w:rsidRDefault="00F31DB0" w:rsidP="00F31DB0">
      <w:pPr>
        <w:spacing w:line="360" w:lineRule="auto"/>
        <w:rPr>
          <w:u w:val="single"/>
        </w:rPr>
      </w:pPr>
      <w:r>
        <w:t>II.</w:t>
      </w:r>
      <w:r>
        <w:tab/>
      </w:r>
      <w:r>
        <w:rPr>
          <w:u w:val="single"/>
        </w:rPr>
        <w:t>DISCUSSION</w:t>
      </w:r>
    </w:p>
    <w:p w:rsidR="00F31DB0" w:rsidRDefault="00F31DB0" w:rsidP="00F31DB0">
      <w:pPr>
        <w:spacing w:line="360" w:lineRule="auto"/>
      </w:pPr>
    </w:p>
    <w:p w:rsidR="00F31DB0" w:rsidRDefault="00F31DB0" w:rsidP="00F31DB0">
      <w:pPr>
        <w:spacing w:line="360" w:lineRule="auto"/>
      </w:pPr>
      <w:r>
        <w:tab/>
      </w:r>
      <w:r>
        <w:tab/>
        <w:t xml:space="preserve">In </w:t>
      </w:r>
      <w:r>
        <w:rPr>
          <w:u w:val="single"/>
        </w:rPr>
        <w:t>Mechanicsburg Area School District v. Kline,</w:t>
      </w:r>
      <w:r>
        <w:t xml:space="preserve"> 494 Pa. 476, 431 A.2d 953 (1981), the Pennsylvania Supreme Court ruled that “a party is indispensable where his [her] rights are so connected with the claims of the litigants that no decree can be made between them without impairing such rights.”  The Court further stated that determination of an indispensable party question involves at least these considerations:</w:t>
      </w:r>
    </w:p>
    <w:p w:rsidR="00F31DB0" w:rsidRDefault="00F31DB0" w:rsidP="00F31DB0">
      <w:pPr>
        <w:spacing w:line="360" w:lineRule="auto"/>
      </w:pPr>
    </w:p>
    <w:p w:rsidR="00F31DB0" w:rsidRDefault="00F31DB0" w:rsidP="00F31DB0">
      <w:pPr>
        <w:spacing w:line="360" w:lineRule="auto"/>
      </w:pPr>
      <w:r>
        <w:tab/>
        <w:t>1.</w:t>
      </w:r>
      <w:r>
        <w:tab/>
        <w:t>Do absent parties have a right or interest related to the claim?</w:t>
      </w:r>
    </w:p>
    <w:p w:rsidR="00F31DB0" w:rsidRDefault="00F31DB0" w:rsidP="00F31DB0">
      <w:pPr>
        <w:spacing w:line="360" w:lineRule="auto"/>
      </w:pPr>
      <w:r>
        <w:tab/>
        <w:t>2.</w:t>
      </w:r>
      <w:r>
        <w:tab/>
        <w:t>If so, what is the nature of that right or interest?</w:t>
      </w:r>
    </w:p>
    <w:p w:rsidR="00F31DB0" w:rsidRDefault="00F31DB0" w:rsidP="00F31DB0">
      <w:pPr>
        <w:spacing w:line="360" w:lineRule="auto"/>
      </w:pPr>
      <w:r>
        <w:tab/>
        <w:t>3.</w:t>
      </w:r>
      <w:r>
        <w:tab/>
        <w:t>Is that right or interest essential to the merits of the issues?</w:t>
      </w:r>
    </w:p>
    <w:p w:rsidR="00F31DB0" w:rsidRDefault="00F31DB0" w:rsidP="00F31DB0">
      <w:pPr>
        <w:spacing w:line="360" w:lineRule="auto"/>
      </w:pPr>
      <w:r>
        <w:tab/>
        <w:t>4.</w:t>
      </w:r>
      <w:r>
        <w:tab/>
        <w:t>Can justice be afforded without violating due process rights of absent parties?</w:t>
      </w:r>
    </w:p>
    <w:p w:rsidR="00F31DB0" w:rsidRDefault="00F31DB0" w:rsidP="00F31DB0">
      <w:pPr>
        <w:spacing w:line="360" w:lineRule="auto"/>
      </w:pPr>
    </w:p>
    <w:p w:rsidR="00F31DB0" w:rsidRDefault="004275BB" w:rsidP="004E2CBC">
      <w:pPr>
        <w:spacing w:line="360" w:lineRule="auto"/>
        <w:ind w:firstLine="1440"/>
      </w:pPr>
      <w:r>
        <w:t>After carefully reviewing the record created during the hearing,</w:t>
      </w:r>
      <w:r w:rsidR="00AF00BB">
        <w:t xml:space="preserve"> I do not believe that Mr. Goss’ rights on the Service Address will be affected by a ruling on Mr. Bretz’ Complaint against PGW.  Mr. Goss is not an indispensable party in the present matter and no further hearing will be scheduled in this case.  If Mr. Bretz still intends to submit as late-filed exhibits any additional documentation substantiating his claim that he resided elsewhere prior to January 2016, he may do so by no later than January 31, 2017.  In turn, PGW may submit written</w:t>
      </w:r>
      <w:r w:rsidR="007925D3">
        <w:t xml:space="preserve"> objection to an</w:t>
      </w:r>
      <w:r w:rsidR="00AF00BB">
        <w:t xml:space="preserve">y late-filed exhibits submitted by the Complainant by no later than </w:t>
      </w:r>
      <w:r w:rsidR="007925D3">
        <w:t xml:space="preserve">February </w:t>
      </w:r>
      <w:r w:rsidR="00AF00BB">
        <w:t>14, 2017.</w:t>
      </w:r>
      <w:r w:rsidR="007925D3">
        <w:t xml:space="preserve"> </w:t>
      </w:r>
    </w:p>
    <w:p w:rsidR="00F31DB0" w:rsidRDefault="00F31DB0" w:rsidP="00F31DB0">
      <w:pPr>
        <w:spacing w:line="360" w:lineRule="auto"/>
      </w:pPr>
    </w:p>
    <w:p w:rsidR="00F31DB0" w:rsidRDefault="00F31DB0" w:rsidP="00F31DB0">
      <w:pPr>
        <w:spacing w:line="360" w:lineRule="auto"/>
        <w:jc w:val="center"/>
        <w:rPr>
          <w:u w:val="single"/>
        </w:rPr>
      </w:pPr>
      <w:r w:rsidRPr="00C24AC9">
        <w:rPr>
          <w:u w:val="single"/>
        </w:rPr>
        <w:lastRenderedPageBreak/>
        <w:t>ORDER</w:t>
      </w:r>
    </w:p>
    <w:p w:rsidR="00F31DB0" w:rsidRDefault="00F31DB0" w:rsidP="00F31DB0">
      <w:pPr>
        <w:spacing w:line="360" w:lineRule="auto"/>
        <w:jc w:val="center"/>
        <w:rPr>
          <w:u w:val="single"/>
        </w:rPr>
      </w:pPr>
    </w:p>
    <w:p w:rsidR="00F31DB0" w:rsidRPr="00C24AC9" w:rsidRDefault="00F31DB0" w:rsidP="00F31DB0">
      <w:pPr>
        <w:spacing w:line="360" w:lineRule="auto"/>
        <w:jc w:val="center"/>
        <w:rPr>
          <w:u w:val="single"/>
        </w:rPr>
      </w:pPr>
    </w:p>
    <w:p w:rsidR="00F31DB0" w:rsidRDefault="00F31DB0" w:rsidP="00F31DB0">
      <w:pPr>
        <w:spacing w:line="360" w:lineRule="auto"/>
      </w:pPr>
      <w:r>
        <w:tab/>
      </w:r>
      <w:r>
        <w:tab/>
        <w:t>THEREFORE,</w:t>
      </w:r>
    </w:p>
    <w:p w:rsidR="00F31DB0" w:rsidRDefault="00F31DB0" w:rsidP="00F31DB0">
      <w:pPr>
        <w:spacing w:line="360" w:lineRule="auto"/>
      </w:pPr>
    </w:p>
    <w:p w:rsidR="00F31DB0" w:rsidRDefault="00F31DB0" w:rsidP="00F31DB0">
      <w:pPr>
        <w:spacing w:line="360" w:lineRule="auto"/>
      </w:pPr>
      <w:r>
        <w:tab/>
      </w:r>
      <w:r>
        <w:tab/>
        <w:t>IT IS ORDERED:</w:t>
      </w:r>
    </w:p>
    <w:p w:rsidR="00F31DB0" w:rsidRDefault="00F31DB0" w:rsidP="00F31DB0">
      <w:pPr>
        <w:spacing w:line="360" w:lineRule="auto"/>
      </w:pPr>
    </w:p>
    <w:p w:rsidR="007925D3" w:rsidRDefault="007925D3" w:rsidP="007925D3">
      <w:pPr>
        <w:spacing w:line="360" w:lineRule="auto"/>
        <w:ind w:firstLine="1440"/>
      </w:pPr>
      <w:r>
        <w:t>1.</w:t>
      </w:r>
      <w:r>
        <w:tab/>
      </w:r>
      <w:r w:rsidR="004A21AA">
        <w:t>That Leslie</w:t>
      </w:r>
      <w:r>
        <w:t xml:space="preserve"> Goss shall not be joined as an indispensable party in the present matter.</w:t>
      </w:r>
    </w:p>
    <w:p w:rsidR="007925D3" w:rsidRDefault="007925D3" w:rsidP="007925D3">
      <w:pPr>
        <w:spacing w:line="360" w:lineRule="auto"/>
        <w:ind w:firstLine="1440"/>
      </w:pPr>
    </w:p>
    <w:p w:rsidR="007925D3" w:rsidRDefault="007925D3" w:rsidP="007925D3">
      <w:pPr>
        <w:spacing w:line="360" w:lineRule="auto"/>
        <w:ind w:firstLine="1440"/>
      </w:pPr>
      <w:r>
        <w:t>2.</w:t>
      </w:r>
      <w:r>
        <w:tab/>
        <w:t>That no further hearing shall be scheduled in this case.</w:t>
      </w:r>
    </w:p>
    <w:p w:rsidR="007925D3" w:rsidRDefault="007925D3" w:rsidP="007925D3">
      <w:pPr>
        <w:spacing w:line="360" w:lineRule="auto"/>
        <w:ind w:firstLine="1440"/>
      </w:pPr>
    </w:p>
    <w:p w:rsidR="007925D3" w:rsidRDefault="007925D3" w:rsidP="007925D3">
      <w:pPr>
        <w:spacing w:line="360" w:lineRule="auto"/>
        <w:ind w:firstLine="1440"/>
      </w:pPr>
      <w:r>
        <w:t>3.</w:t>
      </w:r>
      <w:r>
        <w:tab/>
        <w:t xml:space="preserve">That Christopher L. Bretz may submit documentation regarding his residence address prior to January 2016 by no later than January 31, 2017. </w:t>
      </w:r>
    </w:p>
    <w:p w:rsidR="007925D3" w:rsidRDefault="007925D3" w:rsidP="007925D3">
      <w:pPr>
        <w:spacing w:line="360" w:lineRule="auto"/>
        <w:ind w:firstLine="1440"/>
      </w:pPr>
    </w:p>
    <w:p w:rsidR="007925D3" w:rsidRDefault="007925D3" w:rsidP="007925D3">
      <w:pPr>
        <w:spacing w:line="360" w:lineRule="auto"/>
        <w:ind w:firstLine="1440"/>
      </w:pPr>
      <w:r>
        <w:t>4.</w:t>
      </w:r>
      <w:r>
        <w:tab/>
        <w:t xml:space="preserve">That Philadelphia Gas Works may submit written objection to any late-filed exhibits submitted by the Complainant by no later than February 14, 2017. </w:t>
      </w:r>
    </w:p>
    <w:p w:rsidR="00F31DB0" w:rsidRPr="00E11E08" w:rsidRDefault="00F31DB0" w:rsidP="007925D3">
      <w:pPr>
        <w:spacing w:line="360" w:lineRule="auto"/>
      </w:pPr>
    </w:p>
    <w:p w:rsidR="00F31DB0" w:rsidRDefault="00F31DB0" w:rsidP="00F31DB0">
      <w:pPr>
        <w:spacing w:line="360" w:lineRule="auto"/>
      </w:pPr>
    </w:p>
    <w:p w:rsidR="00F31DB0" w:rsidRDefault="00F31DB0" w:rsidP="00F31DB0">
      <w:pPr>
        <w:spacing w:line="360" w:lineRule="auto"/>
      </w:pPr>
    </w:p>
    <w:p w:rsidR="00F31DB0" w:rsidRDefault="00F31DB0" w:rsidP="00F31DB0">
      <w:r>
        <w:t>Date:</w:t>
      </w:r>
      <w:r>
        <w:tab/>
      </w:r>
      <w:r w:rsidR="007925D3">
        <w:rPr>
          <w:u w:val="single"/>
        </w:rPr>
        <w:t>January 10, 2017</w:t>
      </w:r>
      <w:r>
        <w:tab/>
      </w:r>
      <w:r>
        <w:tab/>
      </w:r>
      <w:r>
        <w:tab/>
      </w:r>
      <w:r>
        <w:tab/>
        <w:t>___________________________________</w:t>
      </w:r>
    </w:p>
    <w:p w:rsidR="00F31DB0" w:rsidRDefault="00F31DB0" w:rsidP="00F31DB0">
      <w:r>
        <w:tab/>
      </w:r>
      <w:r>
        <w:tab/>
      </w:r>
      <w:r>
        <w:tab/>
      </w:r>
      <w:r>
        <w:tab/>
      </w:r>
      <w:r>
        <w:tab/>
      </w:r>
      <w:r>
        <w:tab/>
      </w:r>
      <w:r>
        <w:tab/>
      </w:r>
      <w:r w:rsidR="007925D3">
        <w:t>Eranda Vero</w:t>
      </w:r>
    </w:p>
    <w:p w:rsidR="00B91BCE" w:rsidRDefault="00F31DB0" w:rsidP="004A21AA">
      <w:r>
        <w:tab/>
      </w:r>
      <w:r>
        <w:tab/>
      </w:r>
      <w:r>
        <w:tab/>
      </w:r>
      <w:r>
        <w:tab/>
      </w:r>
      <w:r>
        <w:tab/>
      </w:r>
      <w:r>
        <w:tab/>
      </w:r>
      <w:r>
        <w:tab/>
      </w:r>
      <w:r w:rsidR="004A21AA">
        <w:t>Administrative Law Judg</w:t>
      </w:r>
      <w:r w:rsidR="00E555A2">
        <w:t>e</w:t>
      </w:r>
    </w:p>
    <w:p w:rsidR="00B91BCE" w:rsidRDefault="00B91BCE">
      <w:pPr>
        <w:spacing w:after="200" w:line="276" w:lineRule="auto"/>
      </w:pPr>
      <w:r>
        <w:br w:type="page"/>
      </w:r>
    </w:p>
    <w:p w:rsidR="00B91BCE" w:rsidRDefault="00B91BCE" w:rsidP="00B91BCE">
      <w:pPr>
        <w:pStyle w:val="NoSpacing"/>
        <w:rPr>
          <w:rFonts w:ascii="Times New Roman" w:hAnsi="Times New Roman" w:cs="Times New Roman"/>
          <w:sz w:val="24"/>
          <w:szCs w:val="24"/>
        </w:rPr>
      </w:pPr>
      <w:r>
        <w:rPr>
          <w:rFonts w:ascii="Times New Roman" w:hAnsi="Times New Roman" w:cs="Times New Roman"/>
          <w:sz w:val="24"/>
          <w:szCs w:val="24"/>
        </w:rPr>
        <w:lastRenderedPageBreak/>
        <w:t>F-2016-2543880 - CHRISTOPHER L BRETZ v. PHILADELPHIA GAS WORKS</w:t>
      </w:r>
    </w:p>
    <w:p w:rsidR="00B91BCE" w:rsidRDefault="00B91BCE" w:rsidP="00B91BCE">
      <w:pPr>
        <w:pStyle w:val="NoSpacing"/>
        <w:rPr>
          <w:rFonts w:ascii="Times New Roman" w:hAnsi="Times New Roman" w:cs="Times New Roman"/>
          <w:sz w:val="24"/>
          <w:szCs w:val="24"/>
        </w:rPr>
      </w:pPr>
    </w:p>
    <w:p w:rsidR="00B91BCE" w:rsidRDefault="00B91BCE" w:rsidP="00B91BCE">
      <w:pPr>
        <w:pStyle w:val="NoSpacing"/>
        <w:rPr>
          <w:rFonts w:ascii="Times New Roman" w:hAnsi="Times New Roman" w:cs="Times New Roman"/>
          <w:sz w:val="24"/>
          <w:szCs w:val="24"/>
        </w:rPr>
      </w:pPr>
    </w:p>
    <w:p w:rsidR="00B91BCE" w:rsidRDefault="00B91BCE" w:rsidP="00B91BCE">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SERVICE LIST</w:t>
      </w:r>
    </w:p>
    <w:p w:rsidR="00B91BCE" w:rsidRDefault="00B91BCE" w:rsidP="00B91BCE">
      <w:pPr>
        <w:pStyle w:val="NoSpacing"/>
        <w:rPr>
          <w:rFonts w:ascii="Times New Roman" w:hAnsi="Times New Roman" w:cs="Times New Roman"/>
          <w:sz w:val="24"/>
          <w:szCs w:val="24"/>
        </w:rPr>
      </w:pPr>
    </w:p>
    <w:p w:rsidR="00B91BCE" w:rsidRDefault="00B91BCE" w:rsidP="00B91BCE">
      <w:pPr>
        <w:pStyle w:val="NoSpacing"/>
        <w:rPr>
          <w:rFonts w:ascii="Times New Roman" w:hAnsi="Times New Roman" w:cs="Times New Roman"/>
          <w:sz w:val="24"/>
          <w:szCs w:val="24"/>
        </w:rPr>
      </w:pPr>
    </w:p>
    <w:p w:rsidR="00B91BCE" w:rsidRDefault="00B91BCE" w:rsidP="00B91BCE">
      <w:pPr>
        <w:pStyle w:val="NoSpacing"/>
        <w:rPr>
          <w:rFonts w:ascii="Times New Roman" w:hAnsi="Times New Roman" w:cs="Times New Roman"/>
          <w:sz w:val="24"/>
          <w:szCs w:val="24"/>
        </w:rPr>
      </w:pPr>
      <w:r>
        <w:rPr>
          <w:rFonts w:ascii="Times New Roman" w:hAnsi="Times New Roman" w:cs="Times New Roman"/>
          <w:sz w:val="24"/>
          <w:szCs w:val="24"/>
        </w:rPr>
        <w:t>CHRISTOPHER BRETZ</w:t>
      </w:r>
    </w:p>
    <w:p w:rsidR="00B91BCE" w:rsidRDefault="00B91BCE" w:rsidP="00B91BCE">
      <w:pPr>
        <w:pStyle w:val="NoSpacing"/>
        <w:rPr>
          <w:rFonts w:ascii="Times New Roman" w:hAnsi="Times New Roman" w:cs="Times New Roman"/>
          <w:sz w:val="24"/>
          <w:szCs w:val="24"/>
        </w:rPr>
      </w:pPr>
      <w:r>
        <w:rPr>
          <w:rFonts w:ascii="Times New Roman" w:hAnsi="Times New Roman" w:cs="Times New Roman"/>
          <w:sz w:val="24"/>
          <w:szCs w:val="24"/>
        </w:rPr>
        <w:t>2717 SALMON STREET</w:t>
      </w:r>
    </w:p>
    <w:p w:rsidR="00B91BCE" w:rsidRDefault="00B91BCE" w:rsidP="00B91BCE">
      <w:pPr>
        <w:pStyle w:val="NoSpacing"/>
        <w:rPr>
          <w:rFonts w:ascii="Times New Roman" w:hAnsi="Times New Roman" w:cs="Times New Roman"/>
          <w:sz w:val="24"/>
          <w:szCs w:val="24"/>
        </w:rPr>
      </w:pPr>
      <w:r>
        <w:rPr>
          <w:rFonts w:ascii="Times New Roman" w:hAnsi="Times New Roman" w:cs="Times New Roman"/>
          <w:sz w:val="24"/>
          <w:szCs w:val="24"/>
        </w:rPr>
        <w:t>PHILADELPHIA PA  19134</w:t>
      </w:r>
    </w:p>
    <w:p w:rsidR="00B91BCE" w:rsidRDefault="00B91BCE" w:rsidP="00B91BCE">
      <w:pPr>
        <w:pStyle w:val="NoSpacing"/>
        <w:rPr>
          <w:rFonts w:ascii="Times New Roman" w:hAnsi="Times New Roman" w:cs="Times New Roman"/>
          <w:sz w:val="24"/>
          <w:szCs w:val="24"/>
        </w:rPr>
      </w:pPr>
      <w:r>
        <w:rPr>
          <w:rFonts w:ascii="Times New Roman" w:hAnsi="Times New Roman" w:cs="Times New Roman"/>
          <w:sz w:val="24"/>
          <w:szCs w:val="24"/>
        </w:rPr>
        <w:t>267.258.6489</w:t>
      </w:r>
    </w:p>
    <w:p w:rsidR="00B91BCE" w:rsidRDefault="00B91BCE" w:rsidP="00B91BCE">
      <w:pPr>
        <w:pStyle w:val="NoSpacing"/>
        <w:rPr>
          <w:rFonts w:ascii="Times New Roman" w:hAnsi="Times New Roman" w:cs="Times New Roman"/>
          <w:sz w:val="24"/>
          <w:szCs w:val="24"/>
        </w:rPr>
      </w:pPr>
    </w:p>
    <w:p w:rsidR="00B91BCE" w:rsidRDefault="00B91BCE" w:rsidP="00B91BCE">
      <w:pPr>
        <w:pStyle w:val="NoSpacing"/>
        <w:rPr>
          <w:rFonts w:ascii="Times New Roman" w:hAnsi="Times New Roman" w:cs="Times New Roman"/>
          <w:sz w:val="24"/>
          <w:szCs w:val="24"/>
        </w:rPr>
      </w:pPr>
      <w:r>
        <w:rPr>
          <w:rFonts w:ascii="Times New Roman" w:hAnsi="Times New Roman" w:cs="Times New Roman"/>
          <w:sz w:val="24"/>
          <w:szCs w:val="24"/>
        </w:rPr>
        <w:t>GRACIELA CHRISTLIEB ESQUIRE</w:t>
      </w:r>
    </w:p>
    <w:p w:rsidR="00B91BCE" w:rsidRDefault="00B91BCE" w:rsidP="00B91BCE">
      <w:pPr>
        <w:pStyle w:val="NoSpacing"/>
        <w:rPr>
          <w:rFonts w:ascii="Times New Roman" w:hAnsi="Times New Roman" w:cs="Times New Roman"/>
          <w:sz w:val="24"/>
          <w:szCs w:val="24"/>
        </w:rPr>
      </w:pPr>
      <w:r>
        <w:rPr>
          <w:rFonts w:ascii="Times New Roman" w:hAnsi="Times New Roman" w:cs="Times New Roman"/>
          <w:sz w:val="24"/>
          <w:szCs w:val="24"/>
        </w:rPr>
        <w:t>PHILADELPHIA GAS WORKS</w:t>
      </w:r>
    </w:p>
    <w:p w:rsidR="00B91BCE" w:rsidRDefault="00B91BCE" w:rsidP="00B91BCE">
      <w:pPr>
        <w:pStyle w:val="NoSpacing"/>
        <w:rPr>
          <w:rFonts w:ascii="Times New Roman" w:hAnsi="Times New Roman" w:cs="Times New Roman"/>
          <w:sz w:val="24"/>
          <w:szCs w:val="24"/>
        </w:rPr>
      </w:pPr>
      <w:r>
        <w:rPr>
          <w:rFonts w:ascii="Times New Roman" w:hAnsi="Times New Roman" w:cs="Times New Roman"/>
          <w:sz w:val="24"/>
          <w:szCs w:val="24"/>
        </w:rPr>
        <w:t>800 WEST MONTGOMERY AVENUE</w:t>
      </w:r>
    </w:p>
    <w:p w:rsidR="00B91BCE" w:rsidRDefault="00B91BCE" w:rsidP="00B91BCE">
      <w:pPr>
        <w:pStyle w:val="NoSpacing"/>
        <w:rPr>
          <w:rFonts w:ascii="Times New Roman" w:hAnsi="Times New Roman" w:cs="Times New Roman"/>
          <w:sz w:val="24"/>
          <w:szCs w:val="24"/>
        </w:rPr>
      </w:pPr>
      <w:r>
        <w:rPr>
          <w:rFonts w:ascii="Times New Roman" w:hAnsi="Times New Roman" w:cs="Times New Roman"/>
          <w:sz w:val="24"/>
          <w:szCs w:val="24"/>
        </w:rPr>
        <w:t>PHILADELPHIA PA  19122</w:t>
      </w:r>
    </w:p>
    <w:p w:rsidR="00B91BCE" w:rsidRDefault="00B91BCE" w:rsidP="00B91BCE">
      <w:pPr>
        <w:pStyle w:val="NoSpacing"/>
        <w:rPr>
          <w:rFonts w:ascii="Times New Roman" w:hAnsi="Times New Roman" w:cs="Times New Roman"/>
          <w:sz w:val="24"/>
          <w:szCs w:val="24"/>
        </w:rPr>
      </w:pPr>
      <w:r>
        <w:rPr>
          <w:rFonts w:ascii="Times New Roman" w:hAnsi="Times New Roman" w:cs="Times New Roman"/>
          <w:sz w:val="24"/>
          <w:szCs w:val="24"/>
        </w:rPr>
        <w:t>215.684.6164</w:t>
      </w:r>
    </w:p>
    <w:p w:rsidR="00B91BCE" w:rsidRDefault="00B91BCE" w:rsidP="00B91BCE">
      <w:pPr>
        <w:pStyle w:val="NoSpacing"/>
        <w:rPr>
          <w:rFonts w:ascii="Times New Roman" w:hAnsi="Times New Roman" w:cs="Times New Roman"/>
          <w:i/>
          <w:sz w:val="24"/>
          <w:szCs w:val="24"/>
        </w:rPr>
      </w:pPr>
      <w:r>
        <w:rPr>
          <w:rFonts w:ascii="Times New Roman" w:hAnsi="Times New Roman" w:cs="Times New Roman"/>
          <w:i/>
          <w:sz w:val="24"/>
          <w:szCs w:val="24"/>
        </w:rPr>
        <w:t>-ACCEPTS E- SERVICE-</w:t>
      </w:r>
    </w:p>
    <w:p w:rsidR="00A4551D" w:rsidRDefault="00A4551D" w:rsidP="004A21AA">
      <w:bookmarkStart w:id="0" w:name="_GoBack"/>
      <w:bookmarkEnd w:id="0"/>
    </w:p>
    <w:sectPr w:rsidR="00A4551D" w:rsidSect="00973658">
      <w:footerReference w:type="default" r:id="rId7"/>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4D2" w:rsidRDefault="005444D2" w:rsidP="002674AA">
      <w:r>
        <w:separator/>
      </w:r>
    </w:p>
  </w:endnote>
  <w:endnote w:type="continuationSeparator" w:id="0">
    <w:p w:rsidR="005444D2" w:rsidRDefault="005444D2" w:rsidP="00267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498117"/>
      <w:docPartObj>
        <w:docPartGallery w:val="Page Numbers (Bottom of Page)"/>
        <w:docPartUnique/>
      </w:docPartObj>
    </w:sdtPr>
    <w:sdtEndPr>
      <w:rPr>
        <w:noProof/>
      </w:rPr>
    </w:sdtEndPr>
    <w:sdtContent>
      <w:p w:rsidR="00E555A2" w:rsidRDefault="00E555A2">
        <w:pPr>
          <w:pStyle w:val="Footer"/>
          <w:jc w:val="center"/>
        </w:pPr>
        <w:r>
          <w:fldChar w:fldCharType="begin"/>
        </w:r>
        <w:r>
          <w:instrText xml:space="preserve"> PAGE   \* MERGEFORMAT </w:instrText>
        </w:r>
        <w:r>
          <w:fldChar w:fldCharType="separate"/>
        </w:r>
        <w:r w:rsidR="00CF0445">
          <w:rPr>
            <w:noProof/>
          </w:rPr>
          <w:t>5</w:t>
        </w:r>
        <w:r>
          <w:rPr>
            <w:noProof/>
          </w:rPr>
          <w:fldChar w:fldCharType="end"/>
        </w:r>
      </w:p>
    </w:sdtContent>
  </w:sdt>
  <w:p w:rsidR="004C134C" w:rsidRDefault="00544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4D2" w:rsidRDefault="005444D2" w:rsidP="002674AA">
      <w:r>
        <w:separator/>
      </w:r>
    </w:p>
  </w:footnote>
  <w:footnote w:type="continuationSeparator" w:id="0">
    <w:p w:rsidR="005444D2" w:rsidRDefault="005444D2" w:rsidP="002674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DB0"/>
    <w:rsid w:val="00026625"/>
    <w:rsid w:val="001737C8"/>
    <w:rsid w:val="002674AA"/>
    <w:rsid w:val="003616EB"/>
    <w:rsid w:val="004275BB"/>
    <w:rsid w:val="004A21AA"/>
    <w:rsid w:val="004B5999"/>
    <w:rsid w:val="004E2CBC"/>
    <w:rsid w:val="005444D2"/>
    <w:rsid w:val="00585666"/>
    <w:rsid w:val="00594E9C"/>
    <w:rsid w:val="005A207D"/>
    <w:rsid w:val="0065240D"/>
    <w:rsid w:val="006650BD"/>
    <w:rsid w:val="006710D3"/>
    <w:rsid w:val="006713D6"/>
    <w:rsid w:val="006F1B44"/>
    <w:rsid w:val="007925D3"/>
    <w:rsid w:val="00A40D57"/>
    <w:rsid w:val="00A4551D"/>
    <w:rsid w:val="00AF00BB"/>
    <w:rsid w:val="00B91BCE"/>
    <w:rsid w:val="00CF0445"/>
    <w:rsid w:val="00DE6C49"/>
    <w:rsid w:val="00E555A2"/>
    <w:rsid w:val="00ED52C2"/>
    <w:rsid w:val="00F31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1DB0"/>
    <w:pPr>
      <w:tabs>
        <w:tab w:val="center" w:pos="4320"/>
        <w:tab w:val="right" w:pos="8640"/>
      </w:tabs>
    </w:pPr>
  </w:style>
  <w:style w:type="character" w:customStyle="1" w:styleId="FooterChar">
    <w:name w:val="Footer Char"/>
    <w:basedOn w:val="DefaultParagraphFont"/>
    <w:link w:val="Footer"/>
    <w:uiPriority w:val="99"/>
    <w:rsid w:val="00F31DB0"/>
    <w:rPr>
      <w:rFonts w:ascii="Times New Roman" w:eastAsia="Times New Roman" w:hAnsi="Times New Roman" w:cs="Times New Roman"/>
      <w:sz w:val="24"/>
      <w:szCs w:val="24"/>
    </w:rPr>
  </w:style>
  <w:style w:type="paragraph" w:styleId="Header">
    <w:name w:val="header"/>
    <w:basedOn w:val="Normal"/>
    <w:link w:val="HeaderChar"/>
    <w:rsid w:val="00F31DB0"/>
    <w:pPr>
      <w:tabs>
        <w:tab w:val="center" w:pos="4680"/>
        <w:tab w:val="right" w:pos="9360"/>
      </w:tabs>
    </w:pPr>
  </w:style>
  <w:style w:type="character" w:customStyle="1" w:styleId="HeaderChar">
    <w:name w:val="Header Char"/>
    <w:basedOn w:val="DefaultParagraphFont"/>
    <w:link w:val="Header"/>
    <w:rsid w:val="00F31DB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D52C2"/>
    <w:rPr>
      <w:sz w:val="20"/>
      <w:szCs w:val="20"/>
    </w:rPr>
  </w:style>
  <w:style w:type="character" w:customStyle="1" w:styleId="FootnoteTextChar">
    <w:name w:val="Footnote Text Char"/>
    <w:basedOn w:val="DefaultParagraphFont"/>
    <w:link w:val="FootnoteText"/>
    <w:uiPriority w:val="99"/>
    <w:semiHidden/>
    <w:rsid w:val="00ED52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D52C2"/>
    <w:rPr>
      <w:vertAlign w:val="superscript"/>
    </w:rPr>
  </w:style>
  <w:style w:type="paragraph" w:styleId="ListParagraph">
    <w:name w:val="List Paragraph"/>
    <w:basedOn w:val="Normal"/>
    <w:uiPriority w:val="34"/>
    <w:qFormat/>
    <w:rsid w:val="007925D3"/>
    <w:pPr>
      <w:ind w:left="720"/>
      <w:contextualSpacing/>
    </w:pPr>
  </w:style>
  <w:style w:type="paragraph" w:styleId="NoSpacing">
    <w:name w:val="No Spacing"/>
    <w:uiPriority w:val="1"/>
    <w:qFormat/>
    <w:rsid w:val="00B91B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D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1DB0"/>
    <w:pPr>
      <w:tabs>
        <w:tab w:val="center" w:pos="4320"/>
        <w:tab w:val="right" w:pos="8640"/>
      </w:tabs>
    </w:pPr>
  </w:style>
  <w:style w:type="character" w:customStyle="1" w:styleId="FooterChar">
    <w:name w:val="Footer Char"/>
    <w:basedOn w:val="DefaultParagraphFont"/>
    <w:link w:val="Footer"/>
    <w:uiPriority w:val="99"/>
    <w:rsid w:val="00F31DB0"/>
    <w:rPr>
      <w:rFonts w:ascii="Times New Roman" w:eastAsia="Times New Roman" w:hAnsi="Times New Roman" w:cs="Times New Roman"/>
      <w:sz w:val="24"/>
      <w:szCs w:val="24"/>
    </w:rPr>
  </w:style>
  <w:style w:type="paragraph" w:styleId="Header">
    <w:name w:val="header"/>
    <w:basedOn w:val="Normal"/>
    <w:link w:val="HeaderChar"/>
    <w:rsid w:val="00F31DB0"/>
    <w:pPr>
      <w:tabs>
        <w:tab w:val="center" w:pos="4680"/>
        <w:tab w:val="right" w:pos="9360"/>
      </w:tabs>
    </w:pPr>
  </w:style>
  <w:style w:type="character" w:customStyle="1" w:styleId="HeaderChar">
    <w:name w:val="Header Char"/>
    <w:basedOn w:val="DefaultParagraphFont"/>
    <w:link w:val="Header"/>
    <w:rsid w:val="00F31DB0"/>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ED52C2"/>
    <w:rPr>
      <w:sz w:val="20"/>
      <w:szCs w:val="20"/>
    </w:rPr>
  </w:style>
  <w:style w:type="character" w:customStyle="1" w:styleId="FootnoteTextChar">
    <w:name w:val="Footnote Text Char"/>
    <w:basedOn w:val="DefaultParagraphFont"/>
    <w:link w:val="FootnoteText"/>
    <w:uiPriority w:val="99"/>
    <w:semiHidden/>
    <w:rsid w:val="00ED52C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D52C2"/>
    <w:rPr>
      <w:vertAlign w:val="superscript"/>
    </w:rPr>
  </w:style>
  <w:style w:type="paragraph" w:styleId="ListParagraph">
    <w:name w:val="List Paragraph"/>
    <w:basedOn w:val="Normal"/>
    <w:uiPriority w:val="34"/>
    <w:qFormat/>
    <w:rsid w:val="007925D3"/>
    <w:pPr>
      <w:ind w:left="720"/>
      <w:contextualSpacing/>
    </w:pPr>
  </w:style>
  <w:style w:type="paragraph" w:styleId="NoSpacing">
    <w:name w:val="No Spacing"/>
    <w:uiPriority w:val="1"/>
    <w:qFormat/>
    <w:rsid w:val="00B91B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897112">
      <w:bodyDiv w:val="1"/>
      <w:marLeft w:val="0"/>
      <w:marRight w:val="0"/>
      <w:marTop w:val="0"/>
      <w:marBottom w:val="0"/>
      <w:divBdr>
        <w:top w:val="none" w:sz="0" w:space="0" w:color="auto"/>
        <w:left w:val="none" w:sz="0" w:space="0" w:color="auto"/>
        <w:bottom w:val="none" w:sz="0" w:space="0" w:color="auto"/>
        <w:right w:val="none" w:sz="0" w:space="0" w:color="auto"/>
      </w:divBdr>
    </w:div>
    <w:div w:id="182924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2017-01-10T19:21:00Z</cp:lastPrinted>
  <dcterms:created xsi:type="dcterms:W3CDTF">2017-01-10T19:46:00Z</dcterms:created>
  <dcterms:modified xsi:type="dcterms:W3CDTF">2017-01-10T19:46:00Z</dcterms:modified>
</cp:coreProperties>
</file>