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D355E" w:rsidP="00560DC5">
      <w:pPr>
        <w:tabs>
          <w:tab w:val="left" w:pos="0"/>
        </w:tabs>
        <w:spacing w:line="233" w:lineRule="auto"/>
        <w:jc w:val="both"/>
        <w:rPr>
          <w:b/>
          <w:sz w:val="24"/>
        </w:rPr>
      </w:pPr>
      <w:r>
        <w:rPr>
          <w:sz w:val="24"/>
        </w:rPr>
        <w:t>Tina Reppert</w:t>
      </w:r>
      <w:r w:rsidR="008A056A">
        <w:rPr>
          <w:sz w:val="24"/>
        </w:rPr>
        <w:tab/>
      </w:r>
      <w:r w:rsidR="00332CA0">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D355E">
        <w:rPr>
          <w:sz w:val="24"/>
        </w:rPr>
        <w:t>F-2016-2550316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BD355E" w:rsidP="00560DC5">
      <w:pPr>
        <w:tabs>
          <w:tab w:val="left" w:pos="0"/>
        </w:tabs>
        <w:spacing w:line="233" w:lineRule="auto"/>
        <w:jc w:val="both"/>
        <w:rPr>
          <w:sz w:val="24"/>
        </w:rPr>
      </w:pPr>
      <w:r>
        <w:rPr>
          <w:sz w:val="24"/>
        </w:rPr>
        <w:t>PPL Electric Utilities Corporation</w:t>
      </w:r>
      <w:r>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6A759E" w:rsidRDefault="006A759E" w:rsidP="006A759E">
      <w:pPr>
        <w:tabs>
          <w:tab w:val="left" w:pos="0"/>
        </w:tabs>
        <w:spacing w:line="233" w:lineRule="auto"/>
        <w:jc w:val="center"/>
        <w:rPr>
          <w:b/>
          <w:sz w:val="24"/>
          <w:u w:val="single"/>
        </w:rPr>
      </w:pPr>
      <w:r>
        <w:rPr>
          <w:b/>
          <w:sz w:val="24"/>
          <w:u w:val="single"/>
        </w:rPr>
        <w:t>INITIAL DECISION</w:t>
      </w: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sz w:val="24"/>
        </w:rPr>
      </w:pPr>
      <w:r>
        <w:rPr>
          <w:sz w:val="24"/>
        </w:rPr>
        <w:t>Before</w:t>
      </w:r>
    </w:p>
    <w:p w:rsidR="006A759E" w:rsidRDefault="006A759E" w:rsidP="006A759E">
      <w:pPr>
        <w:tabs>
          <w:tab w:val="left" w:pos="0"/>
        </w:tabs>
        <w:spacing w:line="233" w:lineRule="auto"/>
        <w:jc w:val="center"/>
        <w:rPr>
          <w:sz w:val="24"/>
        </w:rPr>
      </w:pPr>
      <w:r>
        <w:rPr>
          <w:sz w:val="24"/>
        </w:rPr>
        <w:t>Mary D. Long</w:t>
      </w:r>
    </w:p>
    <w:p w:rsidR="006A759E" w:rsidRPr="00C46148" w:rsidRDefault="006A759E" w:rsidP="006A759E">
      <w:pPr>
        <w:tabs>
          <w:tab w:val="left" w:pos="0"/>
        </w:tabs>
        <w:spacing w:line="233" w:lineRule="auto"/>
        <w:jc w:val="center"/>
        <w:rPr>
          <w:sz w:val="24"/>
        </w:rPr>
      </w:pPr>
      <w:r>
        <w:rPr>
          <w:sz w:val="24"/>
        </w:rPr>
        <w:t>Administrative Law Judge</w:t>
      </w:r>
    </w:p>
    <w:p w:rsidR="006A759E" w:rsidRDefault="006A759E" w:rsidP="006A759E">
      <w:pPr>
        <w:tabs>
          <w:tab w:val="left" w:pos="0"/>
        </w:tabs>
        <w:spacing w:line="233" w:lineRule="auto"/>
        <w:jc w:val="both"/>
        <w:rPr>
          <w:sz w:val="24"/>
        </w:rPr>
      </w:pPr>
    </w:p>
    <w:p w:rsidR="006A759E" w:rsidRDefault="006A759E" w:rsidP="006A759E">
      <w:pPr>
        <w:tabs>
          <w:tab w:val="left" w:pos="0"/>
        </w:tabs>
        <w:spacing w:line="233" w:lineRule="auto"/>
        <w:jc w:val="both"/>
        <w:rPr>
          <w:sz w:val="24"/>
        </w:rPr>
      </w:pPr>
    </w:p>
    <w:p w:rsidR="006A759E" w:rsidRDefault="006A759E" w:rsidP="006A759E">
      <w:pPr>
        <w:spacing w:line="360" w:lineRule="auto"/>
        <w:ind w:firstLine="1440"/>
        <w:rPr>
          <w:sz w:val="24"/>
          <w:szCs w:val="24"/>
        </w:rPr>
      </w:pPr>
      <w:r w:rsidRPr="00C46148">
        <w:rPr>
          <w:sz w:val="24"/>
          <w:szCs w:val="24"/>
        </w:rPr>
        <w:t xml:space="preserve">The request of </w:t>
      </w:r>
      <w:r w:rsidR="006A701D">
        <w:rPr>
          <w:sz w:val="24"/>
          <w:szCs w:val="24"/>
        </w:rPr>
        <w:t xml:space="preserve">a customer </w:t>
      </w:r>
      <w:r w:rsidRPr="00C46148">
        <w:rPr>
          <w:sz w:val="24"/>
          <w:szCs w:val="24"/>
        </w:rPr>
        <w:t xml:space="preserve">to withdraw </w:t>
      </w:r>
      <w:r w:rsidR="00656416">
        <w:rPr>
          <w:sz w:val="24"/>
          <w:szCs w:val="24"/>
        </w:rPr>
        <w:t>her</w:t>
      </w:r>
      <w:r w:rsidRPr="00C46148">
        <w:rPr>
          <w:sz w:val="24"/>
          <w:szCs w:val="24"/>
        </w:rPr>
        <w:t xml:space="preserve"> </w:t>
      </w:r>
      <w:r w:rsidR="006A701D">
        <w:rPr>
          <w:sz w:val="24"/>
          <w:szCs w:val="24"/>
        </w:rPr>
        <w:t xml:space="preserve">formal </w:t>
      </w:r>
      <w:r w:rsidRPr="00C46148">
        <w:rPr>
          <w:sz w:val="24"/>
          <w:szCs w:val="24"/>
        </w:rPr>
        <w:t xml:space="preserve">complaint </w:t>
      </w:r>
      <w:r w:rsidR="008A056A">
        <w:rPr>
          <w:sz w:val="24"/>
          <w:szCs w:val="24"/>
        </w:rPr>
        <w:t xml:space="preserve">against an electric </w:t>
      </w:r>
      <w:r w:rsidR="00656416">
        <w:rPr>
          <w:sz w:val="24"/>
          <w:szCs w:val="24"/>
        </w:rPr>
        <w:t>distribution</w:t>
      </w:r>
      <w:r w:rsidR="00696B25">
        <w:rPr>
          <w:sz w:val="24"/>
          <w:szCs w:val="24"/>
        </w:rPr>
        <w:t xml:space="preserve"> company</w:t>
      </w:r>
      <w:r w:rsidR="006A701D">
        <w:rPr>
          <w:sz w:val="24"/>
          <w:szCs w:val="24"/>
        </w:rPr>
        <w:t xml:space="preserve"> </w:t>
      </w:r>
      <w:r w:rsidRPr="00C46148">
        <w:rPr>
          <w:sz w:val="24"/>
          <w:szCs w:val="24"/>
        </w:rPr>
        <w:t>is granted.</w:t>
      </w: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HISTORY OF THE PROCEEDING</w:t>
      </w:r>
    </w:p>
    <w:p w:rsidR="006A759E" w:rsidRDefault="006A759E" w:rsidP="006A759E">
      <w:pPr>
        <w:spacing w:line="360" w:lineRule="auto"/>
        <w:rPr>
          <w:sz w:val="24"/>
          <w:szCs w:val="24"/>
        </w:rPr>
      </w:pPr>
    </w:p>
    <w:p w:rsidR="00F574F9" w:rsidRDefault="00656416" w:rsidP="006B457F">
      <w:pPr>
        <w:spacing w:line="360" w:lineRule="auto"/>
        <w:ind w:firstLine="1440"/>
        <w:rPr>
          <w:sz w:val="24"/>
          <w:szCs w:val="24"/>
        </w:rPr>
      </w:pPr>
      <w:r>
        <w:rPr>
          <w:sz w:val="24"/>
          <w:szCs w:val="24"/>
        </w:rPr>
        <w:t xml:space="preserve">Tina Reppert (Complainant) filed a formal complaint against PPL Electric </w:t>
      </w:r>
      <w:r w:rsidR="00A525FE">
        <w:rPr>
          <w:sz w:val="24"/>
          <w:szCs w:val="24"/>
        </w:rPr>
        <w:t>Utilities</w:t>
      </w:r>
      <w:r>
        <w:rPr>
          <w:sz w:val="24"/>
          <w:szCs w:val="24"/>
        </w:rPr>
        <w:t xml:space="preserve"> Corporation (Company or PPL) on June 6, 2016</w:t>
      </w:r>
      <w:r w:rsidR="00A86480">
        <w:rPr>
          <w:sz w:val="24"/>
          <w:szCs w:val="24"/>
        </w:rPr>
        <w:t xml:space="preserve">.  </w:t>
      </w:r>
      <w:r>
        <w:rPr>
          <w:sz w:val="24"/>
          <w:szCs w:val="24"/>
        </w:rPr>
        <w:t>She challenged a payment arrangement ordered by the Commission’s Bureau of Consumer Services</w:t>
      </w:r>
      <w:r>
        <w:rPr>
          <w:rStyle w:val="FootnoteReference"/>
          <w:sz w:val="24"/>
          <w:szCs w:val="24"/>
        </w:rPr>
        <w:footnoteReference w:id="1"/>
      </w:r>
      <w:r>
        <w:rPr>
          <w:sz w:val="24"/>
          <w:szCs w:val="24"/>
        </w:rPr>
        <w:t xml:space="preserve"> because it included income from her son and his fiancée who had subsequently moved out of her household.  She requested a payment arrangement with a lower monthly payment.</w:t>
      </w:r>
    </w:p>
    <w:p w:rsidR="00F3683D" w:rsidRDefault="00F3683D" w:rsidP="006B457F">
      <w:pPr>
        <w:spacing w:line="360" w:lineRule="auto"/>
        <w:ind w:firstLine="1440"/>
        <w:rPr>
          <w:sz w:val="24"/>
          <w:szCs w:val="24"/>
        </w:rPr>
      </w:pPr>
    </w:p>
    <w:p w:rsidR="009A3CA5" w:rsidRDefault="00656416" w:rsidP="006B457F">
      <w:pPr>
        <w:spacing w:line="360" w:lineRule="auto"/>
        <w:ind w:firstLine="1440"/>
        <w:rPr>
          <w:sz w:val="24"/>
          <w:szCs w:val="24"/>
        </w:rPr>
      </w:pPr>
      <w:r>
        <w:rPr>
          <w:sz w:val="24"/>
          <w:szCs w:val="24"/>
        </w:rPr>
        <w:t>The Company filed an answer on July 5, 2016, which took the position that the Complainant had been provided with the most advantageous pa</w:t>
      </w:r>
      <w:r w:rsidR="00696B25">
        <w:rPr>
          <w:sz w:val="24"/>
          <w:szCs w:val="24"/>
        </w:rPr>
        <w:t>yment arrangement to which she was</w:t>
      </w:r>
      <w:r>
        <w:rPr>
          <w:sz w:val="24"/>
          <w:szCs w:val="24"/>
        </w:rPr>
        <w:t xml:space="preserve"> entitled.</w:t>
      </w:r>
    </w:p>
    <w:p w:rsidR="00F3683D" w:rsidRDefault="00F3683D" w:rsidP="006B457F">
      <w:pPr>
        <w:spacing w:line="360" w:lineRule="auto"/>
        <w:ind w:firstLine="1440"/>
        <w:rPr>
          <w:sz w:val="24"/>
          <w:szCs w:val="24"/>
        </w:rPr>
      </w:pPr>
    </w:p>
    <w:p w:rsidR="009A3CA5" w:rsidRDefault="009A3CA5" w:rsidP="006B457F">
      <w:pPr>
        <w:spacing w:line="360" w:lineRule="auto"/>
        <w:ind w:firstLine="1440"/>
        <w:rPr>
          <w:sz w:val="24"/>
          <w:szCs w:val="24"/>
        </w:rPr>
      </w:pPr>
      <w:r>
        <w:rPr>
          <w:sz w:val="24"/>
          <w:szCs w:val="24"/>
        </w:rPr>
        <w:t xml:space="preserve">By hearing notice dated </w:t>
      </w:r>
      <w:r w:rsidR="00656416">
        <w:rPr>
          <w:sz w:val="24"/>
          <w:szCs w:val="24"/>
        </w:rPr>
        <w:t>July 29, 2016</w:t>
      </w:r>
      <w:r>
        <w:rPr>
          <w:sz w:val="24"/>
          <w:szCs w:val="24"/>
        </w:rPr>
        <w:t xml:space="preserve">, this matter was assigned to me and scheduled for a telephonic hearing on </w:t>
      </w:r>
      <w:r w:rsidR="00656416">
        <w:rPr>
          <w:sz w:val="24"/>
          <w:szCs w:val="24"/>
        </w:rPr>
        <w:t>September 23, 2016</w:t>
      </w:r>
      <w:r>
        <w:rPr>
          <w:sz w:val="24"/>
          <w:szCs w:val="24"/>
        </w:rPr>
        <w:t>.</w:t>
      </w:r>
      <w:r w:rsidR="00656416">
        <w:rPr>
          <w:sz w:val="24"/>
          <w:szCs w:val="24"/>
        </w:rPr>
        <w:t xml:space="preserve">  By interim order </w:t>
      </w:r>
      <w:r w:rsidR="00A525FE">
        <w:rPr>
          <w:sz w:val="24"/>
          <w:szCs w:val="24"/>
        </w:rPr>
        <w:t>dated</w:t>
      </w:r>
      <w:r w:rsidR="00656416">
        <w:rPr>
          <w:sz w:val="24"/>
          <w:szCs w:val="24"/>
        </w:rPr>
        <w:t xml:space="preserve"> </w:t>
      </w:r>
      <w:r w:rsidR="00656416">
        <w:rPr>
          <w:sz w:val="24"/>
          <w:szCs w:val="24"/>
        </w:rPr>
        <w:lastRenderedPageBreak/>
        <w:t>September</w:t>
      </w:r>
      <w:r w:rsidR="00A86480">
        <w:rPr>
          <w:sz w:val="24"/>
          <w:szCs w:val="24"/>
        </w:rPr>
        <w:t> </w:t>
      </w:r>
      <w:r w:rsidR="00656416">
        <w:rPr>
          <w:sz w:val="24"/>
          <w:szCs w:val="24"/>
        </w:rPr>
        <w:t>23, 2016, a continuance was granted and the heari</w:t>
      </w:r>
      <w:r w:rsidR="00A86480">
        <w:rPr>
          <w:sz w:val="24"/>
          <w:szCs w:val="24"/>
        </w:rPr>
        <w:t>ng was rescheduled for November </w:t>
      </w:r>
      <w:r w:rsidR="00656416">
        <w:rPr>
          <w:sz w:val="24"/>
          <w:szCs w:val="24"/>
        </w:rPr>
        <w:t>22, 2016.</w:t>
      </w:r>
      <w:r>
        <w:rPr>
          <w:sz w:val="24"/>
          <w:szCs w:val="24"/>
        </w:rPr>
        <w:t xml:space="preserve">  The hearing convened as scheduled</w:t>
      </w:r>
      <w:r w:rsidR="00A86480">
        <w:rPr>
          <w:sz w:val="24"/>
          <w:szCs w:val="24"/>
        </w:rPr>
        <w:t xml:space="preserve">.  </w:t>
      </w:r>
      <w:r>
        <w:rPr>
          <w:sz w:val="24"/>
          <w:szCs w:val="24"/>
        </w:rPr>
        <w:t xml:space="preserve">The Complainant appeared and represented </w:t>
      </w:r>
      <w:r w:rsidR="00656416">
        <w:rPr>
          <w:sz w:val="24"/>
          <w:szCs w:val="24"/>
        </w:rPr>
        <w:t>herself</w:t>
      </w:r>
      <w:r>
        <w:rPr>
          <w:sz w:val="24"/>
          <w:szCs w:val="24"/>
        </w:rPr>
        <w:t xml:space="preserve">.  </w:t>
      </w:r>
      <w:r w:rsidR="009F08CB">
        <w:rPr>
          <w:sz w:val="24"/>
          <w:szCs w:val="24"/>
        </w:rPr>
        <w:t xml:space="preserve">She withdrew her complaint.  </w:t>
      </w:r>
      <w:r>
        <w:rPr>
          <w:sz w:val="24"/>
          <w:szCs w:val="24"/>
        </w:rPr>
        <w:t xml:space="preserve">The Company was represented by </w:t>
      </w:r>
      <w:r w:rsidR="00656416">
        <w:rPr>
          <w:sz w:val="24"/>
          <w:szCs w:val="24"/>
        </w:rPr>
        <w:t>Graig M. Schultz, Esquire</w:t>
      </w:r>
      <w:r>
        <w:rPr>
          <w:sz w:val="24"/>
          <w:szCs w:val="24"/>
        </w:rPr>
        <w:t xml:space="preserve">.  No testimony was taken and no exhibits were offered into evidence.  </w:t>
      </w:r>
      <w:r w:rsidR="00656416">
        <w:rPr>
          <w:sz w:val="24"/>
          <w:szCs w:val="24"/>
        </w:rPr>
        <w:t>Following the receipt of the transcript the record was closed by interim order dated December 23, 2016</w:t>
      </w:r>
      <w:r>
        <w:rPr>
          <w:sz w:val="24"/>
          <w:szCs w:val="24"/>
        </w:rPr>
        <w:t>.</w:t>
      </w:r>
    </w:p>
    <w:p w:rsidR="00F3683D" w:rsidRDefault="00F3683D" w:rsidP="006B457F">
      <w:pPr>
        <w:spacing w:line="360" w:lineRule="auto"/>
        <w:ind w:firstLine="1440"/>
        <w:rPr>
          <w:sz w:val="24"/>
          <w:szCs w:val="24"/>
        </w:rPr>
      </w:pPr>
    </w:p>
    <w:p w:rsidR="009A3CA5" w:rsidRDefault="009A3CA5" w:rsidP="003453ED">
      <w:pPr>
        <w:spacing w:line="360" w:lineRule="auto"/>
        <w:jc w:val="center"/>
        <w:rPr>
          <w:sz w:val="24"/>
          <w:szCs w:val="24"/>
          <w:u w:val="single"/>
        </w:rPr>
      </w:pPr>
      <w:r w:rsidRPr="003453ED">
        <w:rPr>
          <w:sz w:val="24"/>
          <w:szCs w:val="24"/>
          <w:u w:val="single"/>
        </w:rPr>
        <w:t>FINDINGS OF FACT</w:t>
      </w:r>
    </w:p>
    <w:p w:rsidR="00F3683D" w:rsidRPr="003453ED" w:rsidRDefault="00F3683D" w:rsidP="003453ED">
      <w:pPr>
        <w:spacing w:line="360" w:lineRule="auto"/>
        <w:jc w:val="center"/>
        <w:rPr>
          <w:sz w:val="24"/>
          <w:szCs w:val="24"/>
          <w:u w:val="single"/>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1.</w:t>
      </w:r>
      <w:r>
        <w:rPr>
          <w:sz w:val="24"/>
          <w:szCs w:val="24"/>
        </w:rPr>
        <w:tab/>
        <w:t xml:space="preserve">The Complainant is </w:t>
      </w:r>
      <w:r w:rsidR="00A640F6">
        <w:rPr>
          <w:sz w:val="24"/>
          <w:szCs w:val="24"/>
        </w:rPr>
        <w:t>Tina Reppert.</w:t>
      </w:r>
    </w:p>
    <w:p w:rsidR="00F3683D" w:rsidRDefault="00F3683D" w:rsidP="009A3CA5">
      <w:pPr>
        <w:spacing w:line="360" w:lineRule="auto"/>
        <w:rPr>
          <w:sz w:val="24"/>
          <w:szCs w:val="24"/>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2.</w:t>
      </w:r>
      <w:r>
        <w:rPr>
          <w:sz w:val="24"/>
          <w:szCs w:val="24"/>
        </w:rPr>
        <w:tab/>
      </w:r>
      <w:r w:rsidR="00A640F6">
        <w:rPr>
          <w:sz w:val="24"/>
          <w:szCs w:val="24"/>
        </w:rPr>
        <w:t>The Respondent is PPL Electric Utilities Corporation, a jurisdictional public utility.</w:t>
      </w:r>
    </w:p>
    <w:p w:rsidR="00F3683D" w:rsidRDefault="00F3683D" w:rsidP="009A3CA5">
      <w:pPr>
        <w:spacing w:line="360" w:lineRule="auto"/>
        <w:rPr>
          <w:sz w:val="24"/>
          <w:szCs w:val="24"/>
        </w:rPr>
      </w:pPr>
    </w:p>
    <w:p w:rsidR="003453ED" w:rsidRDefault="003453ED" w:rsidP="009A3CA5">
      <w:pPr>
        <w:spacing w:line="360" w:lineRule="auto"/>
        <w:rPr>
          <w:sz w:val="24"/>
          <w:szCs w:val="24"/>
        </w:rPr>
      </w:pPr>
      <w:r>
        <w:rPr>
          <w:sz w:val="24"/>
          <w:szCs w:val="24"/>
        </w:rPr>
        <w:tab/>
      </w:r>
      <w:r w:rsidR="004409FA">
        <w:rPr>
          <w:sz w:val="24"/>
          <w:szCs w:val="24"/>
        </w:rPr>
        <w:tab/>
      </w:r>
      <w:r>
        <w:rPr>
          <w:sz w:val="24"/>
          <w:szCs w:val="24"/>
        </w:rPr>
        <w:t>3.</w:t>
      </w:r>
      <w:r>
        <w:rPr>
          <w:sz w:val="24"/>
          <w:szCs w:val="24"/>
        </w:rPr>
        <w:tab/>
        <w:t xml:space="preserve">The Complainant </w:t>
      </w:r>
      <w:r w:rsidR="00A640F6">
        <w:rPr>
          <w:sz w:val="24"/>
          <w:szCs w:val="24"/>
        </w:rPr>
        <w:t xml:space="preserve">has filed a petition for </w:t>
      </w:r>
      <w:proofErr w:type="gramStart"/>
      <w:r w:rsidR="00A640F6">
        <w:rPr>
          <w:sz w:val="24"/>
          <w:szCs w:val="24"/>
        </w:rPr>
        <w:t>bankruptcy which includes her Company balance</w:t>
      </w:r>
      <w:r w:rsidR="009F08CB">
        <w:rPr>
          <w:sz w:val="24"/>
          <w:szCs w:val="24"/>
        </w:rPr>
        <w:t>,</w:t>
      </w:r>
      <w:r>
        <w:rPr>
          <w:sz w:val="24"/>
          <w:szCs w:val="24"/>
        </w:rPr>
        <w:t xml:space="preserve"> an</w:t>
      </w:r>
      <w:r w:rsidR="00F3683D">
        <w:rPr>
          <w:sz w:val="24"/>
          <w:szCs w:val="24"/>
        </w:rPr>
        <w:t>d</w:t>
      </w:r>
      <w:r w:rsidR="00A640F6">
        <w:rPr>
          <w:sz w:val="24"/>
          <w:szCs w:val="24"/>
        </w:rPr>
        <w:t xml:space="preserve"> she</w:t>
      </w:r>
      <w:proofErr w:type="gramEnd"/>
      <w:r w:rsidR="00A640F6">
        <w:rPr>
          <w:sz w:val="24"/>
          <w:szCs w:val="24"/>
        </w:rPr>
        <w:t xml:space="preserve"> </w:t>
      </w:r>
      <w:r>
        <w:rPr>
          <w:sz w:val="24"/>
          <w:szCs w:val="24"/>
        </w:rPr>
        <w:t>no longer wishes to pursue a formal complaint against the Company.  (</w:t>
      </w:r>
      <w:r w:rsidR="00A640F6">
        <w:rPr>
          <w:sz w:val="24"/>
          <w:szCs w:val="24"/>
        </w:rPr>
        <w:t>N.T. 6</w:t>
      </w:r>
      <w:r>
        <w:rPr>
          <w:sz w:val="24"/>
          <w:szCs w:val="24"/>
        </w:rPr>
        <w:t>)</w:t>
      </w:r>
    </w:p>
    <w:p w:rsidR="00C44FA3" w:rsidRDefault="00C44FA3" w:rsidP="009A3CA5">
      <w:pPr>
        <w:spacing w:line="360" w:lineRule="auto"/>
        <w:rPr>
          <w:sz w:val="24"/>
          <w:szCs w:val="24"/>
        </w:rPr>
      </w:pPr>
    </w:p>
    <w:p w:rsidR="001E78BD" w:rsidRDefault="001E78BD" w:rsidP="009A3CA5">
      <w:pPr>
        <w:spacing w:line="360" w:lineRule="auto"/>
        <w:rPr>
          <w:sz w:val="24"/>
          <w:szCs w:val="24"/>
        </w:rPr>
      </w:pPr>
      <w:r>
        <w:rPr>
          <w:sz w:val="24"/>
          <w:szCs w:val="24"/>
        </w:rPr>
        <w:tab/>
      </w:r>
      <w:r>
        <w:rPr>
          <w:sz w:val="24"/>
          <w:szCs w:val="24"/>
        </w:rPr>
        <w:tab/>
        <w:t>4.</w:t>
      </w:r>
      <w:r>
        <w:rPr>
          <w:sz w:val="24"/>
          <w:szCs w:val="24"/>
        </w:rPr>
        <w:tab/>
      </w:r>
      <w:r w:rsidRPr="00C46148">
        <w:rPr>
          <w:sz w:val="24"/>
          <w:szCs w:val="24"/>
        </w:rPr>
        <w:t xml:space="preserve">The Company </w:t>
      </w:r>
      <w:r>
        <w:rPr>
          <w:sz w:val="24"/>
          <w:szCs w:val="24"/>
        </w:rPr>
        <w:t>does</w:t>
      </w:r>
      <w:r w:rsidRPr="00C46148">
        <w:rPr>
          <w:sz w:val="24"/>
          <w:szCs w:val="24"/>
        </w:rPr>
        <w:t xml:space="preserve"> not object to the withdrawal.</w:t>
      </w:r>
      <w:r>
        <w:rPr>
          <w:sz w:val="24"/>
          <w:szCs w:val="24"/>
        </w:rPr>
        <w:t xml:space="preserve">  </w:t>
      </w:r>
    </w:p>
    <w:p w:rsidR="009A3CA5" w:rsidRPr="00C46148" w:rsidRDefault="009A3CA5" w:rsidP="006B457F">
      <w:pPr>
        <w:spacing w:line="360" w:lineRule="auto"/>
        <w:ind w:firstLine="1440"/>
        <w:rPr>
          <w:sz w:val="24"/>
          <w:szCs w:val="24"/>
        </w:rPr>
      </w:pPr>
    </w:p>
    <w:p w:rsidR="006A759E" w:rsidRPr="00C46148" w:rsidRDefault="006A759E" w:rsidP="006B457F">
      <w:pPr>
        <w:spacing w:line="360" w:lineRule="auto"/>
        <w:jc w:val="center"/>
        <w:rPr>
          <w:sz w:val="24"/>
          <w:szCs w:val="24"/>
          <w:u w:val="single"/>
        </w:rPr>
      </w:pPr>
      <w:r w:rsidRPr="00C46148">
        <w:rPr>
          <w:sz w:val="24"/>
          <w:szCs w:val="24"/>
          <w:u w:val="single"/>
        </w:rPr>
        <w:t>DISCUSSION</w:t>
      </w:r>
    </w:p>
    <w:p w:rsidR="006A759E" w:rsidRDefault="006A759E" w:rsidP="006B457F">
      <w:pPr>
        <w:spacing w:line="360" w:lineRule="auto"/>
        <w:rPr>
          <w:sz w:val="24"/>
          <w:szCs w:val="24"/>
        </w:rPr>
      </w:pPr>
    </w:p>
    <w:p w:rsidR="006A759E" w:rsidRPr="00C46148" w:rsidRDefault="006A759E" w:rsidP="006B457F">
      <w:pPr>
        <w:spacing w:line="360" w:lineRule="auto"/>
        <w:ind w:firstLine="1440"/>
        <w:rPr>
          <w:sz w:val="24"/>
          <w:szCs w:val="24"/>
        </w:rPr>
      </w:pPr>
      <w:r w:rsidRPr="00C46148">
        <w:rPr>
          <w:sz w:val="24"/>
          <w:szCs w:val="24"/>
        </w:rPr>
        <w:t>The withdrawal of formal complaints filed before the Commission in contested proceedings is governed by Section 5.94 of the Commission’s regulations:</w:t>
      </w:r>
    </w:p>
    <w:p w:rsidR="006A759E" w:rsidRDefault="006A759E" w:rsidP="004E6E3D">
      <w:pPr>
        <w:pStyle w:val="NormalWeb"/>
        <w:spacing w:before="0" w:beforeAutospacing="0" w:after="0" w:afterAutospacing="0"/>
        <w:ind w:left="1440" w:right="1440"/>
      </w:pPr>
    </w:p>
    <w:p w:rsidR="006A759E" w:rsidRDefault="006A759E" w:rsidP="00C74ED2">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2"/>
      </w:r>
      <w:r>
        <w:t xml:space="preserve">  </w:t>
      </w:r>
    </w:p>
    <w:p w:rsidR="00EB40DF" w:rsidRDefault="007360AE" w:rsidP="00634569">
      <w:pPr>
        <w:spacing w:after="240" w:line="360" w:lineRule="auto"/>
        <w:rPr>
          <w:sz w:val="24"/>
          <w:szCs w:val="24"/>
        </w:rPr>
      </w:pPr>
      <w:r>
        <w:rPr>
          <w:sz w:val="24"/>
          <w:szCs w:val="24"/>
        </w:rPr>
        <w:lastRenderedPageBreak/>
        <w:t xml:space="preserve">Although the Complainant did not file a formal written petition to withdraw </w:t>
      </w:r>
      <w:r w:rsidR="001E78BD">
        <w:rPr>
          <w:sz w:val="24"/>
          <w:szCs w:val="24"/>
        </w:rPr>
        <w:t>her</w:t>
      </w:r>
      <w:r>
        <w:rPr>
          <w:sz w:val="24"/>
          <w:szCs w:val="24"/>
        </w:rPr>
        <w:t xml:space="preserve"> complaint, </w:t>
      </w:r>
      <w:r w:rsidR="006A759E" w:rsidRPr="00C46148">
        <w:rPr>
          <w:sz w:val="24"/>
          <w:szCs w:val="24"/>
        </w:rPr>
        <w:t xml:space="preserve">the Complainant’s </w:t>
      </w:r>
      <w:r w:rsidR="00835FEC">
        <w:rPr>
          <w:sz w:val="24"/>
          <w:szCs w:val="24"/>
        </w:rPr>
        <w:t xml:space="preserve">verbal </w:t>
      </w:r>
      <w:r w:rsidR="006A759E" w:rsidRPr="00C46148">
        <w:rPr>
          <w:sz w:val="24"/>
          <w:szCs w:val="24"/>
        </w:rPr>
        <w:t>request</w:t>
      </w:r>
      <w:r w:rsidR="006A759E">
        <w:rPr>
          <w:sz w:val="24"/>
          <w:szCs w:val="24"/>
        </w:rPr>
        <w:t xml:space="preserve"> to withdraw </w:t>
      </w:r>
      <w:r w:rsidR="001E78BD">
        <w:rPr>
          <w:sz w:val="24"/>
          <w:szCs w:val="24"/>
        </w:rPr>
        <w:t>her</w:t>
      </w:r>
      <w:r w:rsidR="006A759E">
        <w:rPr>
          <w:sz w:val="24"/>
          <w:szCs w:val="24"/>
        </w:rPr>
        <w:t xml:space="preserve"> complaint</w:t>
      </w:r>
      <w:r w:rsidR="006A759E" w:rsidRPr="00C46148">
        <w:rPr>
          <w:sz w:val="24"/>
          <w:szCs w:val="24"/>
        </w:rPr>
        <w:t xml:space="preserve"> </w:t>
      </w:r>
      <w:r w:rsidR="00115F5B">
        <w:rPr>
          <w:sz w:val="24"/>
          <w:szCs w:val="24"/>
        </w:rPr>
        <w:t xml:space="preserve">sufficiently </w:t>
      </w:r>
      <w:r w:rsidR="006A759E" w:rsidRPr="00C46148">
        <w:rPr>
          <w:sz w:val="24"/>
          <w:szCs w:val="24"/>
        </w:rPr>
        <w:t>complies with the regulation</w:t>
      </w:r>
      <w:r>
        <w:rPr>
          <w:sz w:val="24"/>
          <w:szCs w:val="24"/>
        </w:rPr>
        <w:t>.  Any defects in procedure may be waived where the substantive rights of the parties are not affected.</w:t>
      </w:r>
      <w:r w:rsidR="00115F5B">
        <w:rPr>
          <w:rStyle w:val="FootnoteReference"/>
          <w:sz w:val="24"/>
          <w:szCs w:val="24"/>
        </w:rPr>
        <w:footnoteReference w:id="3"/>
      </w:r>
      <w:r w:rsidR="006A759E" w:rsidRPr="00C46148">
        <w:rPr>
          <w:sz w:val="24"/>
          <w:szCs w:val="24"/>
        </w:rPr>
        <w:t xml:space="preserve">  </w:t>
      </w:r>
      <w:r w:rsidR="003646EC">
        <w:rPr>
          <w:sz w:val="24"/>
          <w:szCs w:val="24"/>
        </w:rPr>
        <w:t>The Company wa</w:t>
      </w:r>
      <w:r w:rsidR="00B81836">
        <w:rPr>
          <w:sz w:val="24"/>
          <w:szCs w:val="24"/>
        </w:rPr>
        <w:t>s not prejudiced by the verbal withdrawal of the complaint.</w:t>
      </w:r>
    </w:p>
    <w:p w:rsidR="006A759E" w:rsidRDefault="00EB40DF" w:rsidP="00634569">
      <w:pPr>
        <w:spacing w:line="360" w:lineRule="auto"/>
        <w:ind w:firstLine="1350"/>
        <w:rPr>
          <w:sz w:val="24"/>
          <w:szCs w:val="24"/>
        </w:rPr>
      </w:pPr>
      <w:r w:rsidRPr="00EB40DF">
        <w:rPr>
          <w:sz w:val="24"/>
          <w:szCs w:val="24"/>
        </w:rPr>
        <w:t xml:space="preserve">The Commission has no interest in mandating that </w:t>
      </w:r>
      <w:r>
        <w:rPr>
          <w:sz w:val="24"/>
          <w:szCs w:val="24"/>
        </w:rPr>
        <w:t>the Complainant</w:t>
      </w:r>
      <w:r w:rsidRPr="00EB40DF">
        <w:rPr>
          <w:sz w:val="24"/>
          <w:szCs w:val="24"/>
        </w:rPr>
        <w:t xml:space="preserve"> continue litigation when </w:t>
      </w:r>
      <w:r>
        <w:rPr>
          <w:sz w:val="24"/>
          <w:szCs w:val="24"/>
        </w:rPr>
        <w:t>s</w:t>
      </w:r>
      <w:r w:rsidRPr="00EB40DF">
        <w:rPr>
          <w:sz w:val="24"/>
          <w:szCs w:val="24"/>
        </w:rPr>
        <w:t xml:space="preserve">he has stated </w:t>
      </w:r>
      <w:r>
        <w:rPr>
          <w:sz w:val="24"/>
          <w:szCs w:val="24"/>
        </w:rPr>
        <w:t>s</w:t>
      </w:r>
      <w:r w:rsidRPr="00EB40DF">
        <w:rPr>
          <w:sz w:val="24"/>
          <w:szCs w:val="24"/>
        </w:rPr>
        <w:t xml:space="preserve">he has no interest in prosecuting </w:t>
      </w:r>
      <w:r>
        <w:rPr>
          <w:sz w:val="24"/>
          <w:szCs w:val="24"/>
        </w:rPr>
        <w:t>her complaint</w:t>
      </w:r>
      <w:r w:rsidRPr="00EB40DF">
        <w:rPr>
          <w:sz w:val="24"/>
          <w:szCs w:val="24"/>
        </w:rPr>
        <w:t xml:space="preserve">.  </w:t>
      </w:r>
      <w:r w:rsidR="006A759E" w:rsidRPr="00C46148">
        <w:rPr>
          <w:sz w:val="24"/>
          <w:szCs w:val="24"/>
        </w:rPr>
        <w:t>The Company did not object to the withdrawal</w:t>
      </w:r>
      <w:r w:rsidR="00A86480" w:rsidRPr="00C46148">
        <w:rPr>
          <w:sz w:val="24"/>
          <w:szCs w:val="24"/>
        </w:rPr>
        <w:t>.</w:t>
      </w:r>
      <w:r w:rsidR="00A86480">
        <w:rPr>
          <w:sz w:val="24"/>
          <w:szCs w:val="24"/>
        </w:rPr>
        <w:t xml:space="preserve">  </w:t>
      </w:r>
      <w:r w:rsidR="00A86480" w:rsidRPr="00C46148">
        <w:rPr>
          <w:sz w:val="24"/>
          <w:szCs w:val="24"/>
        </w:rPr>
        <w:t>Therefore,</w:t>
      </w:r>
      <w:r w:rsidR="006A759E" w:rsidRPr="00C46148">
        <w:rPr>
          <w:sz w:val="24"/>
          <w:szCs w:val="24"/>
        </w:rPr>
        <w:t xml:space="preserve"> there is no negative impact on the public interest by permitting the withdrawal.  The request to withdraw is granted.</w:t>
      </w:r>
    </w:p>
    <w:p w:rsidR="006A759E" w:rsidRPr="00C46148" w:rsidRDefault="006A759E" w:rsidP="006A759E">
      <w:pPr>
        <w:spacing w:line="360" w:lineRule="auto"/>
        <w:ind w:firstLine="1440"/>
        <w:rPr>
          <w:sz w:val="24"/>
          <w:szCs w:val="24"/>
        </w:rPr>
      </w:pPr>
    </w:p>
    <w:p w:rsidR="006A759E" w:rsidRDefault="006A759E" w:rsidP="006A759E">
      <w:pPr>
        <w:spacing w:line="360" w:lineRule="auto"/>
        <w:jc w:val="center"/>
        <w:rPr>
          <w:sz w:val="24"/>
          <w:szCs w:val="24"/>
          <w:u w:val="single"/>
        </w:rPr>
      </w:pPr>
      <w:r w:rsidRPr="00C46148">
        <w:rPr>
          <w:sz w:val="24"/>
          <w:szCs w:val="24"/>
          <w:u w:val="single"/>
        </w:rPr>
        <w:t>CONCLUSIONS OF LAW</w:t>
      </w:r>
    </w:p>
    <w:p w:rsidR="006A759E" w:rsidRPr="00C46148" w:rsidRDefault="006A759E" w:rsidP="006A759E">
      <w:pPr>
        <w:spacing w:line="360" w:lineRule="auto"/>
        <w:jc w:val="center"/>
        <w:rPr>
          <w:sz w:val="24"/>
          <w:szCs w:val="24"/>
          <w:u w:val="single"/>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The Commission’s regulations permit the withdrawal of a formal complaint filed in a contested proceeding after consideration of the petition, any objections by the </w:t>
      </w:r>
      <w:r w:rsidR="008B3627">
        <w:rPr>
          <w:sz w:val="24"/>
          <w:szCs w:val="24"/>
        </w:rPr>
        <w:t>parties</w:t>
      </w:r>
      <w:r>
        <w:rPr>
          <w:sz w:val="24"/>
          <w:szCs w:val="24"/>
        </w:rPr>
        <w:t xml:space="preserve"> and the public interest.  </w:t>
      </w:r>
      <w:r w:rsidRPr="00C46148">
        <w:rPr>
          <w:sz w:val="24"/>
          <w:szCs w:val="24"/>
        </w:rPr>
        <w:t>5</w:t>
      </w:r>
      <w:r>
        <w:rPr>
          <w:sz w:val="24"/>
          <w:szCs w:val="24"/>
        </w:rPr>
        <w:t>2</w:t>
      </w:r>
      <w:r w:rsidRPr="00C46148">
        <w:rPr>
          <w:sz w:val="24"/>
          <w:szCs w:val="24"/>
        </w:rPr>
        <w:t xml:space="preserve"> Pa.Code § 5.94(a).</w:t>
      </w:r>
    </w:p>
    <w:p w:rsidR="006A759E" w:rsidRDefault="006A759E" w:rsidP="006A759E">
      <w:pPr>
        <w:spacing w:line="360" w:lineRule="auto"/>
        <w:rPr>
          <w:sz w:val="24"/>
          <w:szCs w:val="24"/>
        </w:rPr>
      </w:pPr>
      <w:r w:rsidRPr="00C46148">
        <w:rPr>
          <w:sz w:val="24"/>
          <w:szCs w:val="24"/>
        </w:rPr>
        <w:tab/>
      </w:r>
    </w:p>
    <w:p w:rsidR="00F60C7F" w:rsidRDefault="006A759E" w:rsidP="00B41F2A">
      <w:pPr>
        <w:spacing w:line="360" w:lineRule="auto"/>
        <w:ind w:firstLine="1440"/>
        <w:rPr>
          <w:sz w:val="24"/>
          <w:szCs w:val="24"/>
          <w:u w:val="single"/>
        </w:rPr>
      </w:pPr>
      <w:r w:rsidRPr="00C46148">
        <w:rPr>
          <w:sz w:val="24"/>
          <w:szCs w:val="24"/>
        </w:rPr>
        <w:t>2.</w:t>
      </w:r>
      <w:r w:rsidRPr="00C46148">
        <w:rPr>
          <w:sz w:val="24"/>
          <w:szCs w:val="24"/>
        </w:rPr>
        <w:tab/>
        <w:t xml:space="preserve">It is in the public interest to permit the Complainant to withdraw </w:t>
      </w:r>
      <w:r>
        <w:rPr>
          <w:sz w:val="24"/>
          <w:szCs w:val="24"/>
        </w:rPr>
        <w:t>the</w:t>
      </w:r>
      <w:r w:rsidRPr="00C46148">
        <w:rPr>
          <w:sz w:val="24"/>
          <w:szCs w:val="24"/>
        </w:rPr>
        <w:t xml:space="preserve"> formal complaint.</w:t>
      </w:r>
    </w:p>
    <w:p w:rsidR="004E6E3D" w:rsidRDefault="004E6E3D" w:rsidP="00DB1317">
      <w:pPr>
        <w:jc w:val="center"/>
        <w:rPr>
          <w:sz w:val="24"/>
          <w:szCs w:val="24"/>
          <w:u w:val="single"/>
        </w:rPr>
      </w:pPr>
    </w:p>
    <w:p w:rsidR="00DB1317" w:rsidRDefault="00DB1317" w:rsidP="006A759E">
      <w:pPr>
        <w:spacing w:line="360" w:lineRule="auto"/>
        <w:jc w:val="center"/>
        <w:rPr>
          <w:sz w:val="24"/>
          <w:szCs w:val="24"/>
          <w:u w:val="single"/>
        </w:rPr>
      </w:pPr>
    </w:p>
    <w:p w:rsidR="006A759E" w:rsidRPr="00C46148" w:rsidRDefault="006A759E" w:rsidP="006A759E">
      <w:pPr>
        <w:spacing w:line="360" w:lineRule="auto"/>
        <w:jc w:val="center"/>
        <w:rPr>
          <w:sz w:val="24"/>
          <w:szCs w:val="24"/>
          <w:u w:val="single"/>
        </w:rPr>
      </w:pPr>
      <w:r w:rsidRPr="00C46148">
        <w:rPr>
          <w:sz w:val="24"/>
          <w:szCs w:val="24"/>
          <w:u w:val="single"/>
        </w:rPr>
        <w:t>ORDER</w:t>
      </w:r>
    </w:p>
    <w:p w:rsidR="006A759E" w:rsidRDefault="006A759E" w:rsidP="00DB1317">
      <w:pPr>
        <w:rPr>
          <w:sz w:val="24"/>
          <w:szCs w:val="24"/>
        </w:rPr>
      </w:pPr>
    </w:p>
    <w:p w:rsidR="00DB1317" w:rsidRDefault="00DB1317"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THEREFORE,</w:t>
      </w:r>
    </w:p>
    <w:p w:rsidR="006A759E" w:rsidRDefault="006A759E" w:rsidP="006A759E">
      <w:pPr>
        <w:spacing w:line="360" w:lineRule="auto"/>
        <w:ind w:firstLine="1440"/>
        <w:rPr>
          <w:sz w:val="24"/>
          <w:szCs w:val="24"/>
        </w:rPr>
      </w:pPr>
    </w:p>
    <w:p w:rsidR="006A759E" w:rsidRPr="00C46148" w:rsidRDefault="006A759E" w:rsidP="006A759E">
      <w:pPr>
        <w:spacing w:line="360" w:lineRule="auto"/>
        <w:ind w:firstLine="1440"/>
        <w:rPr>
          <w:sz w:val="24"/>
          <w:szCs w:val="24"/>
        </w:rPr>
      </w:pPr>
      <w:r w:rsidRPr="00C46148">
        <w:rPr>
          <w:sz w:val="24"/>
          <w:szCs w:val="24"/>
        </w:rPr>
        <w:t>IT IS ORDERED:</w:t>
      </w:r>
    </w:p>
    <w:p w:rsidR="006A759E" w:rsidRDefault="006A759E" w:rsidP="006A759E">
      <w:pPr>
        <w:spacing w:line="360" w:lineRule="auto"/>
        <w:rPr>
          <w:sz w:val="24"/>
          <w:szCs w:val="24"/>
        </w:rPr>
      </w:pPr>
    </w:p>
    <w:p w:rsidR="006A759E"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That the request of </w:t>
      </w:r>
      <w:r w:rsidR="00B46E74">
        <w:rPr>
          <w:sz w:val="24"/>
          <w:szCs w:val="24"/>
        </w:rPr>
        <w:t>Tina Reppert</w:t>
      </w:r>
      <w:r w:rsidRPr="00C46148">
        <w:rPr>
          <w:sz w:val="24"/>
          <w:szCs w:val="24"/>
        </w:rPr>
        <w:t xml:space="preserve"> to withdraw </w:t>
      </w:r>
      <w:r w:rsidR="00B46E74">
        <w:rPr>
          <w:sz w:val="24"/>
          <w:szCs w:val="24"/>
        </w:rPr>
        <w:t>her</w:t>
      </w:r>
      <w:r w:rsidRPr="00C46148">
        <w:rPr>
          <w:sz w:val="24"/>
          <w:szCs w:val="24"/>
        </w:rPr>
        <w:t xml:space="preserve"> complaint at PUC Docket</w:t>
      </w:r>
      <w:r w:rsidR="00C6234F">
        <w:rPr>
          <w:sz w:val="24"/>
          <w:szCs w:val="24"/>
        </w:rPr>
        <w:t xml:space="preserve"> </w:t>
      </w:r>
      <w:r w:rsidR="00B46E74">
        <w:rPr>
          <w:sz w:val="24"/>
          <w:szCs w:val="24"/>
        </w:rPr>
        <w:t>F-2016-2550316</w:t>
      </w:r>
      <w:r w:rsidRPr="00C46148">
        <w:rPr>
          <w:sz w:val="24"/>
          <w:szCs w:val="24"/>
        </w:rPr>
        <w:t xml:space="preserve"> is granted.</w:t>
      </w:r>
    </w:p>
    <w:p w:rsidR="00A86480" w:rsidRDefault="00A86480" w:rsidP="006A759E">
      <w:pPr>
        <w:spacing w:line="360" w:lineRule="auto"/>
        <w:rPr>
          <w:sz w:val="24"/>
          <w:szCs w:val="24"/>
        </w:rPr>
      </w:pPr>
    </w:p>
    <w:p w:rsidR="00A86480" w:rsidRPr="00C46148" w:rsidRDefault="00A86480" w:rsidP="006A759E">
      <w:pPr>
        <w:spacing w:line="360" w:lineRule="auto"/>
        <w:rPr>
          <w:sz w:val="24"/>
          <w:szCs w:val="24"/>
        </w:rPr>
      </w:pPr>
    </w:p>
    <w:p w:rsidR="006A759E" w:rsidRPr="00C6234F" w:rsidRDefault="006A759E" w:rsidP="00C6234F">
      <w:pPr>
        <w:spacing w:line="360" w:lineRule="auto"/>
        <w:ind w:firstLine="1440"/>
        <w:rPr>
          <w:sz w:val="24"/>
          <w:szCs w:val="24"/>
        </w:rPr>
      </w:pPr>
      <w:r w:rsidRPr="00C6234F">
        <w:rPr>
          <w:sz w:val="24"/>
          <w:szCs w:val="24"/>
        </w:rPr>
        <w:lastRenderedPageBreak/>
        <w:t>2.</w:t>
      </w:r>
      <w:r w:rsidRPr="00C6234F">
        <w:rPr>
          <w:sz w:val="24"/>
          <w:szCs w:val="24"/>
        </w:rPr>
        <w:tab/>
        <w:t xml:space="preserve">That the Secretary mark </w:t>
      </w:r>
      <w:r w:rsidR="00C6234F" w:rsidRPr="00C6234F">
        <w:rPr>
          <w:sz w:val="24"/>
          <w:szCs w:val="24"/>
        </w:rPr>
        <w:t>PUC Docket</w:t>
      </w:r>
      <w:r w:rsidR="00B46E74">
        <w:rPr>
          <w:sz w:val="24"/>
          <w:szCs w:val="24"/>
        </w:rPr>
        <w:t xml:space="preserve"> F-2016-</w:t>
      </w:r>
      <w:r w:rsidR="00A86480">
        <w:rPr>
          <w:sz w:val="24"/>
          <w:szCs w:val="24"/>
        </w:rPr>
        <w:t>2550316</w:t>
      </w:r>
      <w:r w:rsidR="00A86480" w:rsidRPr="00C46148">
        <w:rPr>
          <w:sz w:val="24"/>
          <w:szCs w:val="24"/>
        </w:rPr>
        <w:t xml:space="preserve"> </w:t>
      </w:r>
      <w:r w:rsidR="00A86480" w:rsidRPr="00C6234F">
        <w:rPr>
          <w:sz w:val="24"/>
          <w:szCs w:val="24"/>
        </w:rPr>
        <w:t>closed</w:t>
      </w:r>
      <w:r w:rsidRPr="00C6234F">
        <w:rPr>
          <w:sz w:val="24"/>
          <w:szCs w:val="24"/>
        </w:rPr>
        <w:t>.</w:t>
      </w:r>
    </w:p>
    <w:p w:rsidR="006A759E" w:rsidRDefault="006A759E" w:rsidP="006A759E">
      <w:pPr>
        <w:tabs>
          <w:tab w:val="left" w:pos="0"/>
        </w:tabs>
        <w:spacing w:line="360" w:lineRule="auto"/>
        <w:jc w:val="both"/>
        <w:rPr>
          <w:sz w:val="24"/>
        </w:rPr>
      </w:pPr>
    </w:p>
    <w:p w:rsidR="00C74ED2" w:rsidRDefault="00C74ED2" w:rsidP="00560DC5">
      <w:pPr>
        <w:tabs>
          <w:tab w:val="left" w:pos="0"/>
        </w:tabs>
        <w:spacing w:line="480" w:lineRule="auto"/>
        <w:jc w:val="both"/>
        <w:rPr>
          <w:sz w:val="24"/>
        </w:rPr>
      </w:pPr>
      <w:bookmarkStart w:id="0" w:name="_GoBack"/>
      <w:bookmarkEnd w:id="0"/>
    </w:p>
    <w:p w:rsidR="00F60C7F" w:rsidRDefault="00F60C7F" w:rsidP="00C44FA3">
      <w:pPr>
        <w:rPr>
          <w:sz w:val="24"/>
          <w:szCs w:val="24"/>
        </w:rPr>
      </w:pPr>
      <w:r w:rsidRPr="00F60C7F">
        <w:rPr>
          <w:spacing w:val="-3"/>
          <w:sz w:val="24"/>
          <w:szCs w:val="24"/>
        </w:rPr>
        <w:t xml:space="preserve">Date:  </w:t>
      </w:r>
      <w:r w:rsidR="00C74ED2">
        <w:rPr>
          <w:spacing w:val="-3"/>
          <w:sz w:val="24"/>
          <w:szCs w:val="24"/>
          <w:u w:val="single"/>
        </w:rPr>
        <w:t>January 5, 2017</w:t>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z w:val="24"/>
          <w:szCs w:val="24"/>
          <w:u w:val="single"/>
        </w:rPr>
        <w:tab/>
      </w:r>
      <w:r w:rsidRPr="00F60C7F">
        <w:rPr>
          <w:sz w:val="24"/>
          <w:szCs w:val="24"/>
          <w:u w:val="single"/>
        </w:rPr>
        <w:tab/>
        <w:t>/s/</w:t>
      </w:r>
      <w:r w:rsidRPr="00F60C7F">
        <w:rPr>
          <w:sz w:val="24"/>
          <w:szCs w:val="24"/>
          <w:u w:val="single"/>
        </w:rPr>
        <w:tab/>
      </w:r>
      <w:r w:rsidRPr="00F60C7F">
        <w:rPr>
          <w:sz w:val="24"/>
          <w:szCs w:val="24"/>
          <w:u w:val="single"/>
        </w:rPr>
        <w:tab/>
      </w:r>
      <w:r w:rsidR="00C44FA3" w:rsidRPr="00F60C7F">
        <w:rPr>
          <w:sz w:val="24"/>
          <w:szCs w:val="24"/>
          <w:u w:val="single"/>
        </w:rPr>
        <w:tab/>
      </w:r>
      <w:r w:rsidRPr="00F60C7F">
        <w:rPr>
          <w:sz w:val="24"/>
          <w:szCs w:val="24"/>
          <w:u w:val="single"/>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Mary D. Long</w:t>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Administrative Law Judge</w:t>
      </w:r>
    </w:p>
    <w:p w:rsidR="00F60C7F" w:rsidRDefault="00F60C7F" w:rsidP="00F60C7F">
      <w:pPr>
        <w:rPr>
          <w:sz w:val="24"/>
          <w:szCs w:val="24"/>
        </w:rPr>
      </w:pPr>
    </w:p>
    <w:sectPr w:rsidR="00F60C7F" w:rsidSect="0007321F">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24" w:rsidRDefault="002C2224">
      <w:r>
        <w:separator/>
      </w:r>
    </w:p>
  </w:endnote>
  <w:endnote w:type="continuationSeparator" w:id="0">
    <w:p w:rsidR="002C2224" w:rsidRDefault="002C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5663"/>
      <w:docPartObj>
        <w:docPartGallery w:val="Page Numbers (Bottom of Page)"/>
        <w:docPartUnique/>
      </w:docPartObj>
    </w:sdtPr>
    <w:sdtEndPr>
      <w:rPr>
        <w:noProof/>
      </w:rPr>
    </w:sdtEndPr>
    <w:sdtContent>
      <w:p w:rsidR="0007321F" w:rsidRDefault="0007321F">
        <w:pPr>
          <w:pStyle w:val="Footer"/>
          <w:jc w:val="center"/>
        </w:pPr>
        <w:r>
          <w:fldChar w:fldCharType="begin"/>
        </w:r>
        <w:r>
          <w:instrText xml:space="preserve"> PAGE   \* MERGEFORMAT </w:instrText>
        </w:r>
        <w:r>
          <w:fldChar w:fldCharType="separate"/>
        </w:r>
        <w:r w:rsidR="00C74ED2">
          <w:rPr>
            <w:noProof/>
          </w:rPr>
          <w:t>2</w:t>
        </w:r>
        <w:r>
          <w:rPr>
            <w:noProof/>
          </w:rPr>
          <w:fldChar w:fldCharType="end"/>
        </w:r>
      </w:p>
    </w:sdtContent>
  </w:sdt>
  <w:p w:rsidR="0007321F" w:rsidRDefault="0007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1F" w:rsidRDefault="0007321F">
    <w:pPr>
      <w:pStyle w:val="Footer"/>
      <w:jc w:val="center"/>
    </w:pPr>
  </w:p>
  <w:p w:rsidR="0007321F" w:rsidRDefault="0007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24" w:rsidRDefault="002C2224">
      <w:r>
        <w:separator/>
      </w:r>
    </w:p>
  </w:footnote>
  <w:footnote w:type="continuationSeparator" w:id="0">
    <w:p w:rsidR="002C2224" w:rsidRDefault="002C2224">
      <w:r>
        <w:continuationSeparator/>
      </w:r>
    </w:p>
  </w:footnote>
  <w:footnote w:id="1">
    <w:p w:rsidR="00656416" w:rsidRDefault="00656416">
      <w:pPr>
        <w:pStyle w:val="FootnoteText"/>
      </w:pPr>
      <w:r>
        <w:rPr>
          <w:rStyle w:val="FootnoteReference"/>
        </w:rPr>
        <w:footnoteRef/>
      </w:r>
      <w:r>
        <w:t xml:space="preserve">  </w:t>
      </w:r>
      <w:r>
        <w:tab/>
        <w:t>BCS # 3422555.</w:t>
      </w:r>
    </w:p>
  </w:footnote>
  <w:footnote w:id="2">
    <w:p w:rsidR="006A759E" w:rsidRDefault="006A759E" w:rsidP="00C44FA3">
      <w:pPr>
        <w:pStyle w:val="FootnoteText"/>
        <w:spacing w:after="0"/>
      </w:pPr>
      <w:r>
        <w:rPr>
          <w:rStyle w:val="FootnoteReference"/>
        </w:rPr>
        <w:footnoteRef/>
      </w:r>
      <w:r>
        <w:t xml:space="preserve">  </w:t>
      </w:r>
      <w:r>
        <w:tab/>
        <w:t xml:space="preserve">52 </w:t>
      </w:r>
      <w:proofErr w:type="spellStart"/>
      <w:r>
        <w:t>Pa.Code</w:t>
      </w:r>
      <w:proofErr w:type="spellEnd"/>
      <w:r>
        <w:t xml:space="preserve"> § 5.94(a).</w:t>
      </w:r>
    </w:p>
    <w:p w:rsidR="00F60C7F" w:rsidRDefault="00F60C7F" w:rsidP="00F60C7F">
      <w:pPr>
        <w:pStyle w:val="FootnoteText"/>
        <w:spacing w:after="0"/>
        <w:ind w:firstLine="720"/>
      </w:pPr>
    </w:p>
  </w:footnote>
  <w:footnote w:id="3">
    <w:p w:rsidR="00115F5B" w:rsidRDefault="00115F5B" w:rsidP="00C44FA3">
      <w:pPr>
        <w:pStyle w:val="FootnoteText"/>
        <w:spacing w:after="0"/>
      </w:pPr>
      <w:r>
        <w:rPr>
          <w:rStyle w:val="FootnoteReference"/>
        </w:rPr>
        <w:footnoteRef/>
      </w:r>
      <w:r>
        <w:t xml:space="preserve"> </w:t>
      </w:r>
      <w:r w:rsidR="00C6234F">
        <w:tab/>
        <w:t xml:space="preserve">52 </w:t>
      </w:r>
      <w:proofErr w:type="spellStart"/>
      <w:r w:rsidR="00F60C7F">
        <w:t>Pa.Code</w:t>
      </w:r>
      <w:proofErr w:type="spellEnd"/>
      <w:r w:rsidR="00F60C7F">
        <w:t xml:space="preserve"> § </w:t>
      </w:r>
      <w:r w:rsidR="00C6234F">
        <w:t>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799049F4"/>
    <w:multiLevelType w:val="hybridMultilevel"/>
    <w:tmpl w:val="BE845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0E8"/>
    <w:rsid w:val="0000674E"/>
    <w:rsid w:val="0001497D"/>
    <w:rsid w:val="00032393"/>
    <w:rsid w:val="00046640"/>
    <w:rsid w:val="0007321F"/>
    <w:rsid w:val="00076AB6"/>
    <w:rsid w:val="000D0657"/>
    <w:rsid w:val="000E6C11"/>
    <w:rsid w:val="00115F5B"/>
    <w:rsid w:val="00122F35"/>
    <w:rsid w:val="00150015"/>
    <w:rsid w:val="001601CE"/>
    <w:rsid w:val="0017554E"/>
    <w:rsid w:val="001A00E0"/>
    <w:rsid w:val="001A18C1"/>
    <w:rsid w:val="001A600C"/>
    <w:rsid w:val="001D7D43"/>
    <w:rsid w:val="001E59B9"/>
    <w:rsid w:val="001E78BD"/>
    <w:rsid w:val="00234D44"/>
    <w:rsid w:val="00244AAF"/>
    <w:rsid w:val="00247900"/>
    <w:rsid w:val="00256B89"/>
    <w:rsid w:val="0026268C"/>
    <w:rsid w:val="00273ABB"/>
    <w:rsid w:val="00277E9F"/>
    <w:rsid w:val="002B2AF2"/>
    <w:rsid w:val="002B3546"/>
    <w:rsid w:val="002C2224"/>
    <w:rsid w:val="002E57C8"/>
    <w:rsid w:val="003102DC"/>
    <w:rsid w:val="00332CA0"/>
    <w:rsid w:val="003453ED"/>
    <w:rsid w:val="003646EC"/>
    <w:rsid w:val="00374FC2"/>
    <w:rsid w:val="00386D39"/>
    <w:rsid w:val="003921E9"/>
    <w:rsid w:val="003D397F"/>
    <w:rsid w:val="003F56B3"/>
    <w:rsid w:val="004024E6"/>
    <w:rsid w:val="004029E7"/>
    <w:rsid w:val="00412B85"/>
    <w:rsid w:val="00417A79"/>
    <w:rsid w:val="004409FA"/>
    <w:rsid w:val="0044702F"/>
    <w:rsid w:val="0048064B"/>
    <w:rsid w:val="004D0F60"/>
    <w:rsid w:val="004D22DE"/>
    <w:rsid w:val="004E477C"/>
    <w:rsid w:val="004E6E3D"/>
    <w:rsid w:val="00506D4B"/>
    <w:rsid w:val="0051419B"/>
    <w:rsid w:val="0052418E"/>
    <w:rsid w:val="00557F91"/>
    <w:rsid w:val="00560DC5"/>
    <w:rsid w:val="0057699B"/>
    <w:rsid w:val="00581C0C"/>
    <w:rsid w:val="00600AC0"/>
    <w:rsid w:val="006226F3"/>
    <w:rsid w:val="00625963"/>
    <w:rsid w:val="00634569"/>
    <w:rsid w:val="00634C70"/>
    <w:rsid w:val="00656416"/>
    <w:rsid w:val="00657815"/>
    <w:rsid w:val="006675F1"/>
    <w:rsid w:val="0067466A"/>
    <w:rsid w:val="006754D0"/>
    <w:rsid w:val="00696B25"/>
    <w:rsid w:val="006A701D"/>
    <w:rsid w:val="006A759E"/>
    <w:rsid w:val="006B457F"/>
    <w:rsid w:val="006E2126"/>
    <w:rsid w:val="007360AE"/>
    <w:rsid w:val="00740950"/>
    <w:rsid w:val="007539C9"/>
    <w:rsid w:val="00756B16"/>
    <w:rsid w:val="00766290"/>
    <w:rsid w:val="00780CF8"/>
    <w:rsid w:val="007974BD"/>
    <w:rsid w:val="007B0126"/>
    <w:rsid w:val="007C0A7A"/>
    <w:rsid w:val="007E2C68"/>
    <w:rsid w:val="0080557F"/>
    <w:rsid w:val="008115D9"/>
    <w:rsid w:val="0082264A"/>
    <w:rsid w:val="00831728"/>
    <w:rsid w:val="00835FEC"/>
    <w:rsid w:val="00844F99"/>
    <w:rsid w:val="00845FB1"/>
    <w:rsid w:val="00870DEB"/>
    <w:rsid w:val="00876C44"/>
    <w:rsid w:val="0088370E"/>
    <w:rsid w:val="008A056A"/>
    <w:rsid w:val="008B3627"/>
    <w:rsid w:val="008B77E5"/>
    <w:rsid w:val="008C3295"/>
    <w:rsid w:val="008D143D"/>
    <w:rsid w:val="008D6D8C"/>
    <w:rsid w:val="008E0B2B"/>
    <w:rsid w:val="00907ADA"/>
    <w:rsid w:val="00914DA5"/>
    <w:rsid w:val="00925A37"/>
    <w:rsid w:val="0094162A"/>
    <w:rsid w:val="00951768"/>
    <w:rsid w:val="00975788"/>
    <w:rsid w:val="00977079"/>
    <w:rsid w:val="009A3CA5"/>
    <w:rsid w:val="009A7B6A"/>
    <w:rsid w:val="009B2DA0"/>
    <w:rsid w:val="009C4C6F"/>
    <w:rsid w:val="009F08CB"/>
    <w:rsid w:val="00A07880"/>
    <w:rsid w:val="00A13B55"/>
    <w:rsid w:val="00A348F4"/>
    <w:rsid w:val="00A525FE"/>
    <w:rsid w:val="00A602D7"/>
    <w:rsid w:val="00A640F6"/>
    <w:rsid w:val="00A66381"/>
    <w:rsid w:val="00A70304"/>
    <w:rsid w:val="00A70419"/>
    <w:rsid w:val="00A73D2F"/>
    <w:rsid w:val="00A827AC"/>
    <w:rsid w:val="00A85985"/>
    <w:rsid w:val="00A86480"/>
    <w:rsid w:val="00A87F5A"/>
    <w:rsid w:val="00AC540C"/>
    <w:rsid w:val="00AD0EFA"/>
    <w:rsid w:val="00B146E4"/>
    <w:rsid w:val="00B22415"/>
    <w:rsid w:val="00B41F2A"/>
    <w:rsid w:val="00B424E3"/>
    <w:rsid w:val="00B44EFB"/>
    <w:rsid w:val="00B46E74"/>
    <w:rsid w:val="00B5127B"/>
    <w:rsid w:val="00B64556"/>
    <w:rsid w:val="00B66296"/>
    <w:rsid w:val="00B81836"/>
    <w:rsid w:val="00BA61EA"/>
    <w:rsid w:val="00BD0DF4"/>
    <w:rsid w:val="00BD355E"/>
    <w:rsid w:val="00BD42BA"/>
    <w:rsid w:val="00BF4B6C"/>
    <w:rsid w:val="00BF5EAF"/>
    <w:rsid w:val="00C06B7A"/>
    <w:rsid w:val="00C07EAD"/>
    <w:rsid w:val="00C13264"/>
    <w:rsid w:val="00C1344F"/>
    <w:rsid w:val="00C161EB"/>
    <w:rsid w:val="00C262F7"/>
    <w:rsid w:val="00C27F68"/>
    <w:rsid w:val="00C35505"/>
    <w:rsid w:val="00C430DA"/>
    <w:rsid w:val="00C44FA3"/>
    <w:rsid w:val="00C477DC"/>
    <w:rsid w:val="00C57E07"/>
    <w:rsid w:val="00C606BF"/>
    <w:rsid w:val="00C6234F"/>
    <w:rsid w:val="00C74ED2"/>
    <w:rsid w:val="00C837A6"/>
    <w:rsid w:val="00C86EBF"/>
    <w:rsid w:val="00CA17C0"/>
    <w:rsid w:val="00CB077E"/>
    <w:rsid w:val="00CB765E"/>
    <w:rsid w:val="00CD20F8"/>
    <w:rsid w:val="00CD5DCC"/>
    <w:rsid w:val="00D014BF"/>
    <w:rsid w:val="00D05751"/>
    <w:rsid w:val="00D16219"/>
    <w:rsid w:val="00D35134"/>
    <w:rsid w:val="00D64EDE"/>
    <w:rsid w:val="00D64EFD"/>
    <w:rsid w:val="00D709D1"/>
    <w:rsid w:val="00D776CC"/>
    <w:rsid w:val="00D84048"/>
    <w:rsid w:val="00D93E5C"/>
    <w:rsid w:val="00DA0FE3"/>
    <w:rsid w:val="00DA789F"/>
    <w:rsid w:val="00DB1317"/>
    <w:rsid w:val="00DC3080"/>
    <w:rsid w:val="00DF05B7"/>
    <w:rsid w:val="00DF5F24"/>
    <w:rsid w:val="00DF79F2"/>
    <w:rsid w:val="00E9055C"/>
    <w:rsid w:val="00EA383A"/>
    <w:rsid w:val="00EB40DF"/>
    <w:rsid w:val="00EC2ED7"/>
    <w:rsid w:val="00EE07A5"/>
    <w:rsid w:val="00EF4CC6"/>
    <w:rsid w:val="00F10D22"/>
    <w:rsid w:val="00F1326F"/>
    <w:rsid w:val="00F25586"/>
    <w:rsid w:val="00F3683D"/>
    <w:rsid w:val="00F45549"/>
    <w:rsid w:val="00F457B0"/>
    <w:rsid w:val="00F574F9"/>
    <w:rsid w:val="00F60C7F"/>
    <w:rsid w:val="00F66E07"/>
    <w:rsid w:val="00F748AF"/>
    <w:rsid w:val="00F83D3D"/>
    <w:rsid w:val="00F8766D"/>
    <w:rsid w:val="00F913C5"/>
    <w:rsid w:val="00F95764"/>
    <w:rsid w:val="00F97AEE"/>
    <w:rsid w:val="00FA52E1"/>
    <w:rsid w:val="00FC09C4"/>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87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04E4-3BEC-47D9-9ED7-F0C1D0E7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7</cp:revision>
  <cp:lastPrinted>2015-03-03T13:38:00Z</cp:lastPrinted>
  <dcterms:created xsi:type="dcterms:W3CDTF">2017-01-04T20:53:00Z</dcterms:created>
  <dcterms:modified xsi:type="dcterms:W3CDTF">2017-01-05T13:57:00Z</dcterms:modified>
</cp:coreProperties>
</file>