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EB78FF" w:rsidP="00EB78F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E6032" w:rsidRDefault="000E2115" w:rsidP="000E211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25, 2017</w:t>
      </w:r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641FA5"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:rsidR="0026719C" w:rsidRPr="000C0345" w:rsidRDefault="00641FA5" w:rsidP="00641FA5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:rsidR="00F96E92" w:rsidRDefault="00F96E92">
      <w:pPr>
        <w:rPr>
          <w:rFonts w:ascii="Arial" w:hAnsi="Arial" w:cs="Arial"/>
          <w:sz w:val="24"/>
          <w:szCs w:val="24"/>
        </w:rPr>
      </w:pPr>
    </w:p>
    <w:p w:rsidR="0085147A" w:rsidRPr="004E3A02" w:rsidRDefault="0085147A">
      <w:pPr>
        <w:rPr>
          <w:rFonts w:ascii="Arial" w:hAnsi="Arial" w:cs="Arial"/>
          <w:sz w:val="24"/>
          <w:szCs w:val="24"/>
        </w:rPr>
      </w:pPr>
    </w:p>
    <w:p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:rsidR="001B7198" w:rsidRDefault="001B7198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Section 1307(e) Reconciliation Statement</w:t>
      </w:r>
    </w:p>
    <w:p w:rsidR="00BA0429" w:rsidRDefault="001B7198" w:rsidP="00BA042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11 months ended October 31, 2016</w:t>
      </w:r>
    </w:p>
    <w:p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EB78F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="00EB78FF">
        <w:rPr>
          <w:rFonts w:ascii="Arial" w:hAnsi="Arial" w:cs="Arial"/>
          <w:b/>
          <w:sz w:val="24"/>
          <w:szCs w:val="24"/>
        </w:rPr>
        <w:t>25779</w:t>
      </w:r>
      <w:r w:rsidR="001B7198">
        <w:rPr>
          <w:rFonts w:ascii="Arial" w:hAnsi="Arial" w:cs="Arial"/>
          <w:b/>
          <w:sz w:val="24"/>
          <w:szCs w:val="24"/>
        </w:rPr>
        <w:t>82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EB78FF">
        <w:rPr>
          <w:rFonts w:ascii="Arial" w:hAnsi="Arial" w:cs="Arial"/>
          <w:sz w:val="24"/>
          <w:szCs w:val="24"/>
        </w:rPr>
        <w:t>s</w:t>
      </w:r>
      <w:r w:rsidR="00641FA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8FF">
        <w:rPr>
          <w:rFonts w:ascii="Arial" w:hAnsi="Arial" w:cs="Arial"/>
          <w:sz w:val="24"/>
          <w:szCs w:val="24"/>
        </w:rPr>
        <w:t>Klock</w:t>
      </w:r>
      <w:proofErr w:type="spellEnd"/>
      <w:r w:rsidR="00641FA5">
        <w:rPr>
          <w:rFonts w:ascii="Arial" w:hAnsi="Arial" w:cs="Arial"/>
          <w:sz w:val="24"/>
          <w:szCs w:val="24"/>
        </w:rPr>
        <w:t>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1B7198" w:rsidRPr="00063B48" w:rsidRDefault="0025518D" w:rsidP="001B7198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The Commission’s Bureau of Audits has reviewed </w:t>
      </w:r>
      <w:r w:rsidR="001B7198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1B7198">
        <w:rPr>
          <w:rFonts w:ascii="Arial" w:hAnsi="Arial" w:cs="Arial"/>
          <w:spacing w:val="-2"/>
          <w:sz w:val="24"/>
          <w:szCs w:val="24"/>
        </w:rPr>
        <w:t xml:space="preserve">Storm Damage Expense Rider </w:t>
      </w:r>
      <w:r w:rsidR="001B7198" w:rsidRPr="00063B48">
        <w:rPr>
          <w:rFonts w:ascii="Arial" w:hAnsi="Arial" w:cs="Arial"/>
          <w:sz w:val="24"/>
          <w:szCs w:val="24"/>
        </w:rPr>
        <w:t>(</w:t>
      </w:r>
      <w:r w:rsidR="001B7198">
        <w:rPr>
          <w:rFonts w:ascii="Arial" w:hAnsi="Arial" w:cs="Arial"/>
          <w:sz w:val="24"/>
          <w:szCs w:val="24"/>
        </w:rPr>
        <w:t>SDER</w:t>
      </w:r>
      <w:r w:rsidR="001B7198" w:rsidRPr="00063B48">
        <w:rPr>
          <w:rFonts w:ascii="Arial" w:hAnsi="Arial" w:cs="Arial"/>
          <w:sz w:val="24"/>
          <w:szCs w:val="24"/>
        </w:rPr>
        <w:t>)</w:t>
      </w:r>
      <w:r w:rsidR="001B7198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B7198" w:rsidRPr="00063B48">
        <w:rPr>
          <w:rFonts w:ascii="Arial" w:hAnsi="Arial" w:cs="Arial"/>
          <w:sz w:val="24"/>
          <w:szCs w:val="24"/>
        </w:rPr>
        <w:t>1</w:t>
      </w:r>
      <w:r w:rsidR="001B7198">
        <w:rPr>
          <w:rFonts w:ascii="Arial" w:hAnsi="Arial" w:cs="Arial"/>
          <w:sz w:val="24"/>
          <w:szCs w:val="24"/>
        </w:rPr>
        <w:t>1</w:t>
      </w:r>
      <w:r w:rsidR="001B7198" w:rsidRPr="00063B48">
        <w:rPr>
          <w:rFonts w:ascii="Arial" w:hAnsi="Arial" w:cs="Arial"/>
          <w:sz w:val="24"/>
          <w:szCs w:val="24"/>
        </w:rPr>
        <w:t xml:space="preserve"> months ended </w:t>
      </w:r>
      <w:r w:rsidR="001B7198">
        <w:rPr>
          <w:rFonts w:ascii="Arial" w:hAnsi="Arial" w:cs="Arial"/>
          <w:sz w:val="24"/>
          <w:szCs w:val="24"/>
        </w:rPr>
        <w:t xml:space="preserve">October </w:t>
      </w:r>
      <w:r w:rsidR="001B7198" w:rsidRPr="00063B48">
        <w:rPr>
          <w:rFonts w:ascii="Arial" w:hAnsi="Arial" w:cs="Arial"/>
          <w:sz w:val="24"/>
          <w:szCs w:val="24"/>
        </w:rPr>
        <w:t>3</w:t>
      </w:r>
      <w:r w:rsidR="001B7198">
        <w:rPr>
          <w:rFonts w:ascii="Arial" w:hAnsi="Arial" w:cs="Arial"/>
          <w:sz w:val="24"/>
          <w:szCs w:val="24"/>
        </w:rPr>
        <w:t>1</w:t>
      </w:r>
      <w:r w:rsidR="001B7198" w:rsidRPr="00063B48">
        <w:rPr>
          <w:rFonts w:ascii="Arial" w:hAnsi="Arial" w:cs="Arial"/>
          <w:sz w:val="24"/>
          <w:szCs w:val="24"/>
        </w:rPr>
        <w:t>, 201</w:t>
      </w:r>
      <w:r w:rsidR="001B7198">
        <w:rPr>
          <w:rFonts w:ascii="Arial" w:hAnsi="Arial" w:cs="Arial"/>
          <w:sz w:val="24"/>
          <w:szCs w:val="24"/>
        </w:rPr>
        <w:t>6</w:t>
      </w:r>
      <w:r w:rsidR="001B7198" w:rsidRPr="00063B48">
        <w:rPr>
          <w:rFonts w:ascii="Arial" w:hAnsi="Arial" w:cs="Arial"/>
          <w:sz w:val="24"/>
          <w:szCs w:val="24"/>
        </w:rPr>
        <w:t>.</w:t>
      </w:r>
    </w:p>
    <w:p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</w:p>
    <w:p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>
        <w:rPr>
          <w:rFonts w:ascii="Arial" w:hAnsi="Arial" w:cs="Arial"/>
          <w:spacing w:val="-2"/>
          <w:sz w:val="24"/>
          <w:szCs w:val="24"/>
        </w:rPr>
        <w:t>SDER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Statement, filed on </w:t>
      </w:r>
      <w:r>
        <w:rPr>
          <w:rFonts w:ascii="Arial" w:hAnsi="Arial" w:cs="Arial"/>
          <w:spacing w:val="-2"/>
          <w:sz w:val="24"/>
          <w:szCs w:val="24"/>
        </w:rPr>
        <w:t>December 2</w:t>
      </w:r>
      <w:r w:rsidRPr="00063B48">
        <w:rPr>
          <w:rFonts w:ascii="Arial" w:hAnsi="Arial" w:cs="Arial"/>
          <w:spacing w:val="-2"/>
          <w:sz w:val="24"/>
          <w:szCs w:val="24"/>
        </w:rPr>
        <w:t>, 201</w:t>
      </w:r>
      <w:r>
        <w:rPr>
          <w:rFonts w:ascii="Arial" w:hAnsi="Arial" w:cs="Arial"/>
          <w:spacing w:val="-2"/>
          <w:sz w:val="24"/>
          <w:szCs w:val="24"/>
        </w:rPr>
        <w:t>6</w:t>
      </w:r>
      <w:r w:rsidRPr="00063B48">
        <w:rPr>
          <w:rFonts w:ascii="Arial" w:hAnsi="Arial" w:cs="Arial"/>
          <w:spacing w:val="-2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 xml:space="preserve"> and December 16, 2016,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is mathematically accurate and, accordingly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shall be deemed an adequate filing within the meaning of Section 1307(e) of the Public Utility Code, 66 Pa. C.S. §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>1307(e).</w:t>
      </w:r>
    </w:p>
    <w:p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</w:p>
    <w:p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>Acceptance of the</w:t>
      </w:r>
      <w:r>
        <w:rPr>
          <w:rFonts w:ascii="Arial" w:hAnsi="Arial" w:cs="Arial"/>
          <w:spacing w:val="-2"/>
          <w:sz w:val="24"/>
          <w:szCs w:val="24"/>
        </w:rPr>
        <w:t xml:space="preserve"> SDER</w:t>
      </w:r>
      <w:r w:rsidRPr="00063B48">
        <w:rPr>
          <w:rFonts w:ascii="Arial" w:hAnsi="Arial" w:cs="Arial"/>
          <w:sz w:val="24"/>
          <w:szCs w:val="24"/>
        </w:rPr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:rsidR="001B7198" w:rsidRPr="00063B48" w:rsidRDefault="001B7198" w:rsidP="001B7198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</w:r>
    </w:p>
    <w:p w:rsidR="001B7198" w:rsidRPr="00063B48" w:rsidRDefault="001B7198" w:rsidP="001B7198">
      <w:pPr>
        <w:pStyle w:val="NoSpacing"/>
        <w:ind w:firstLine="720"/>
        <w:rPr>
          <w:rFonts w:ascii="Arial" w:hAnsi="Arial" w:cs="Arial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>T</w:t>
      </w:r>
      <w:r w:rsidRPr="00063B4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Pr="00063B48">
        <w:rPr>
          <w:rFonts w:ascii="Arial" w:hAnsi="Arial" w:cs="Arial"/>
          <w:sz w:val="24"/>
          <w:szCs w:val="24"/>
        </w:rPr>
        <w:t>M-</w:t>
      </w:r>
      <w:r>
        <w:rPr>
          <w:rFonts w:ascii="Arial" w:hAnsi="Arial" w:cs="Arial"/>
          <w:sz w:val="24"/>
          <w:szCs w:val="24"/>
        </w:rPr>
        <w:t>2016-2577982</w:t>
      </w:r>
      <w:r w:rsidRPr="00063B48">
        <w:rPr>
          <w:rFonts w:ascii="Arial" w:hAnsi="Arial" w:cs="Arial"/>
          <w:szCs w:val="24"/>
        </w:rPr>
        <w:t>.</w:t>
      </w:r>
      <w:proofErr w:type="gramEnd"/>
    </w:p>
    <w:p w:rsidR="00BF4AC6" w:rsidRDefault="00BF4AC6" w:rsidP="001B7198">
      <w:pPr>
        <w:rPr>
          <w:rFonts w:ascii="Arial" w:hAnsi="Arial" w:cs="Arial"/>
          <w:sz w:val="24"/>
          <w:szCs w:val="24"/>
        </w:rPr>
      </w:pPr>
    </w:p>
    <w:p w:rsidR="0048607B" w:rsidRDefault="0048607B" w:rsidP="00BF4AC6">
      <w:pPr>
        <w:rPr>
          <w:rFonts w:ascii="Arial" w:hAnsi="Arial" w:cs="Arial"/>
          <w:sz w:val="24"/>
          <w:szCs w:val="24"/>
        </w:rPr>
      </w:pPr>
    </w:p>
    <w:p w:rsidR="00F53824" w:rsidRPr="004E3A02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E92" w:rsidRPr="004E3A02" w:rsidRDefault="000E2115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F4D2CE" wp14:editId="5D47F663">
            <wp:simplePos x="0" y="0"/>
            <wp:positionH relativeFrom="column">
              <wp:posOffset>3086100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873DA5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Default="000E2115" w:rsidP="000E2115">
      <w:pPr>
        <w:tabs>
          <w:tab w:val="left" w:pos="534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873DA5">
        <w:rPr>
          <w:rFonts w:ascii="Arial" w:hAnsi="Arial" w:cs="Arial"/>
          <w:sz w:val="24"/>
          <w:szCs w:val="24"/>
        </w:rPr>
        <w:t>Jacob Fultz</w:t>
      </w:r>
    </w:p>
    <w:p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</w:t>
      </w:r>
      <w:r w:rsidR="00873DA5">
        <w:rPr>
          <w:rFonts w:ascii="Arial" w:hAnsi="Arial" w:cs="Arial"/>
          <w:sz w:val="24"/>
          <w:szCs w:val="24"/>
        </w:rPr>
        <w:t>0314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043D"/>
    <w:rsid w:val="00014F82"/>
    <w:rsid w:val="00022C97"/>
    <w:rsid w:val="00027911"/>
    <w:rsid w:val="00047613"/>
    <w:rsid w:val="00061C15"/>
    <w:rsid w:val="00066AB4"/>
    <w:rsid w:val="0007399F"/>
    <w:rsid w:val="000773E4"/>
    <w:rsid w:val="000810E3"/>
    <w:rsid w:val="000838EF"/>
    <w:rsid w:val="0009173A"/>
    <w:rsid w:val="000C0345"/>
    <w:rsid w:val="000C10A3"/>
    <w:rsid w:val="000C32F9"/>
    <w:rsid w:val="000E2115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B7198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6719C"/>
    <w:rsid w:val="002700B4"/>
    <w:rsid w:val="00270E10"/>
    <w:rsid w:val="002879C9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615E"/>
    <w:rsid w:val="00574315"/>
    <w:rsid w:val="0059275A"/>
    <w:rsid w:val="005A70E0"/>
    <w:rsid w:val="005A79AB"/>
    <w:rsid w:val="005D3CF7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95D1E"/>
    <w:rsid w:val="006B45F1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0718C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73DA5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73A62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46115"/>
    <w:rsid w:val="00C5327C"/>
    <w:rsid w:val="00C542C4"/>
    <w:rsid w:val="00C545B1"/>
    <w:rsid w:val="00C574FA"/>
    <w:rsid w:val="00C6510B"/>
    <w:rsid w:val="00C743AB"/>
    <w:rsid w:val="00C83597"/>
    <w:rsid w:val="00CB227F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B78FF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1B719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1B719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01EB-5A35-4C97-8CE3-3FF34DBB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2016-12-22T15:15:00Z</cp:lastPrinted>
  <dcterms:created xsi:type="dcterms:W3CDTF">2016-12-22T15:33:00Z</dcterms:created>
  <dcterms:modified xsi:type="dcterms:W3CDTF">2017-01-25T19:15:00Z</dcterms:modified>
</cp:coreProperties>
</file>