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EFF" w:rsidRPr="00CD53A4" w:rsidRDefault="00927EFF" w:rsidP="00927EFF">
      <w:pPr>
        <w:tabs>
          <w:tab w:val="center" w:pos="4680"/>
        </w:tabs>
        <w:suppressAutoHyphens/>
        <w:jc w:val="center"/>
        <w:rPr>
          <w:b/>
        </w:rPr>
      </w:pPr>
      <w:r>
        <w:rPr>
          <w:b/>
        </w:rPr>
        <w:t>P</w:t>
      </w:r>
      <w:r w:rsidRPr="00695752">
        <w:rPr>
          <w:b/>
        </w:rPr>
        <w:t>ENNSYLVANIA</w:t>
      </w:r>
    </w:p>
    <w:p w:rsidR="00927EFF" w:rsidRPr="00CD53A4" w:rsidRDefault="00927EFF" w:rsidP="00927EFF">
      <w:pPr>
        <w:tabs>
          <w:tab w:val="center" w:pos="4680"/>
        </w:tabs>
        <w:suppressAutoHyphens/>
        <w:jc w:val="center"/>
      </w:pPr>
      <w:r w:rsidRPr="00CD53A4">
        <w:rPr>
          <w:b/>
        </w:rPr>
        <w:t>PUBLIC UTILITY COMMISSION</w:t>
      </w:r>
    </w:p>
    <w:p w:rsidR="00927EFF" w:rsidRPr="00CD53A4" w:rsidRDefault="00927EFF" w:rsidP="00927EFF">
      <w:pPr>
        <w:tabs>
          <w:tab w:val="center" w:pos="4680"/>
        </w:tabs>
        <w:suppressAutoHyphens/>
        <w:jc w:val="center"/>
      </w:pPr>
      <w:r w:rsidRPr="00CD53A4">
        <w:rPr>
          <w:b/>
        </w:rPr>
        <w:t>Harrisburg, PA 17105-3265</w:t>
      </w:r>
    </w:p>
    <w:p w:rsidR="00927EFF" w:rsidRDefault="00927EFF" w:rsidP="00927EFF"/>
    <w:p w:rsidR="00E73959" w:rsidRPr="00CD53A4" w:rsidRDefault="00E73959" w:rsidP="00927EFF"/>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90"/>
      </w:tblGrid>
      <w:tr w:rsidR="00927EFF" w:rsidRPr="00CD53A4" w:rsidTr="009B07D8">
        <w:tc>
          <w:tcPr>
            <w:tcW w:w="5058" w:type="dxa"/>
          </w:tcPr>
          <w:p w:rsidR="00927EFF" w:rsidRPr="00CD53A4" w:rsidRDefault="00927EFF" w:rsidP="006B6459">
            <w:pPr>
              <w:ind w:left="-720"/>
              <w:rPr>
                <w:rFonts w:ascii="Times New Roman" w:hAnsi="Times New Roman" w:cs="Times New Roman"/>
              </w:rPr>
            </w:pPr>
          </w:p>
        </w:tc>
        <w:tc>
          <w:tcPr>
            <w:tcW w:w="4590" w:type="dxa"/>
          </w:tcPr>
          <w:p w:rsidR="00927EFF" w:rsidRPr="00CD53A4" w:rsidRDefault="00010E00" w:rsidP="009B07D8">
            <w:pPr>
              <w:ind w:firstLine="0"/>
              <w:jc w:val="right"/>
              <w:rPr>
                <w:rFonts w:ascii="Times New Roman" w:hAnsi="Times New Roman" w:cs="Times New Roman"/>
              </w:rPr>
            </w:pPr>
            <w:r>
              <w:rPr>
                <w:rFonts w:ascii="Times New Roman" w:hAnsi="Times New Roman" w:cs="Times New Roman"/>
              </w:rPr>
              <w:t xml:space="preserve">Public Meeting held </w:t>
            </w:r>
            <w:r w:rsidR="001521C7">
              <w:rPr>
                <w:rFonts w:ascii="Times New Roman" w:hAnsi="Times New Roman" w:cs="Times New Roman"/>
              </w:rPr>
              <w:t xml:space="preserve">January </w:t>
            </w:r>
            <w:r w:rsidR="00262731">
              <w:rPr>
                <w:rFonts w:ascii="Times New Roman" w:hAnsi="Times New Roman" w:cs="Times New Roman"/>
              </w:rPr>
              <w:t>26</w:t>
            </w:r>
            <w:r w:rsidR="001521C7">
              <w:rPr>
                <w:rFonts w:ascii="Times New Roman" w:hAnsi="Times New Roman" w:cs="Times New Roman"/>
              </w:rPr>
              <w:t>, 2017</w:t>
            </w:r>
          </w:p>
          <w:p w:rsidR="00927EFF" w:rsidRPr="00CD53A4" w:rsidRDefault="00927EFF" w:rsidP="009B07D8">
            <w:pPr>
              <w:ind w:firstLine="0"/>
              <w:rPr>
                <w:rFonts w:ascii="Times New Roman" w:hAnsi="Times New Roman" w:cs="Times New Roman"/>
              </w:rPr>
            </w:pPr>
          </w:p>
        </w:tc>
      </w:tr>
      <w:tr w:rsidR="00927EFF" w:rsidRPr="00CD53A4" w:rsidTr="009B07D8">
        <w:tc>
          <w:tcPr>
            <w:tcW w:w="5058" w:type="dxa"/>
          </w:tcPr>
          <w:p w:rsidR="00927EFF" w:rsidRPr="00CD53A4" w:rsidRDefault="00927EFF" w:rsidP="006B6459">
            <w:pPr>
              <w:ind w:left="-720"/>
              <w:rPr>
                <w:rFonts w:ascii="Times New Roman" w:hAnsi="Times New Roman" w:cs="Times New Roman"/>
              </w:rPr>
            </w:pPr>
          </w:p>
        </w:tc>
        <w:tc>
          <w:tcPr>
            <w:tcW w:w="4590" w:type="dxa"/>
          </w:tcPr>
          <w:p w:rsidR="00927EFF" w:rsidRPr="00CD53A4" w:rsidRDefault="00927EFF" w:rsidP="006B6459">
            <w:pPr>
              <w:ind w:right="-720"/>
              <w:jc w:val="center"/>
              <w:rPr>
                <w:rFonts w:ascii="Times New Roman" w:hAnsi="Times New Roman" w:cs="Times New Roman"/>
              </w:rPr>
            </w:pPr>
          </w:p>
        </w:tc>
      </w:tr>
      <w:tr w:rsidR="00927EFF" w:rsidRPr="00CD53A4" w:rsidTr="009B07D8">
        <w:tc>
          <w:tcPr>
            <w:tcW w:w="5058" w:type="dxa"/>
          </w:tcPr>
          <w:p w:rsidR="00E73959" w:rsidRDefault="00E73959" w:rsidP="001521C7">
            <w:pPr>
              <w:ind w:firstLine="0"/>
              <w:rPr>
                <w:rFonts w:ascii="Times New Roman" w:hAnsi="Times New Roman" w:cs="Times New Roman"/>
              </w:rPr>
            </w:pPr>
          </w:p>
          <w:p w:rsidR="00927EFF" w:rsidRPr="00CD53A4" w:rsidRDefault="00927EFF" w:rsidP="001521C7">
            <w:pPr>
              <w:ind w:firstLine="0"/>
              <w:rPr>
                <w:rFonts w:ascii="Times New Roman" w:hAnsi="Times New Roman" w:cs="Times New Roman"/>
              </w:rPr>
            </w:pPr>
            <w:r w:rsidRPr="00CD53A4">
              <w:rPr>
                <w:rFonts w:ascii="Times New Roman" w:hAnsi="Times New Roman" w:cs="Times New Roman"/>
              </w:rPr>
              <w:t>Commissioners Present:</w:t>
            </w:r>
          </w:p>
          <w:p w:rsidR="00927EFF" w:rsidRPr="00CD53A4" w:rsidRDefault="00927EFF" w:rsidP="006B6459">
            <w:pPr>
              <w:rPr>
                <w:rFonts w:ascii="Times New Roman" w:hAnsi="Times New Roman" w:cs="Times New Roman"/>
              </w:rPr>
            </w:pPr>
          </w:p>
          <w:p w:rsidR="00927EFF" w:rsidRPr="00CD53A4" w:rsidRDefault="00927EFF" w:rsidP="006B6459">
            <w:pPr>
              <w:tabs>
                <w:tab w:val="left" w:pos="705"/>
              </w:tabs>
              <w:rPr>
                <w:rFonts w:ascii="Times New Roman" w:hAnsi="Times New Roman" w:cs="Times New Roman"/>
                <w:spacing w:val="-3"/>
              </w:rPr>
            </w:pPr>
            <w:r w:rsidRPr="00CD53A4">
              <w:rPr>
                <w:rFonts w:ascii="Times New Roman" w:hAnsi="Times New Roman" w:cs="Times New Roman"/>
                <w:spacing w:val="-3"/>
              </w:rPr>
              <w:t>Gladys M. Brown, Chairman</w:t>
            </w:r>
          </w:p>
          <w:p w:rsidR="00927EFF" w:rsidRPr="00CD53A4" w:rsidRDefault="00927EFF" w:rsidP="006B6459">
            <w:pPr>
              <w:tabs>
                <w:tab w:val="left" w:pos="705"/>
              </w:tabs>
              <w:rPr>
                <w:rFonts w:ascii="Times New Roman" w:hAnsi="Times New Roman" w:cs="Times New Roman"/>
                <w:spacing w:val="-3"/>
              </w:rPr>
            </w:pPr>
            <w:r w:rsidRPr="00CD53A4">
              <w:rPr>
                <w:rFonts w:ascii="Times New Roman" w:hAnsi="Times New Roman" w:cs="Times New Roman"/>
                <w:spacing w:val="-3"/>
              </w:rPr>
              <w:t>Andrew G. Place, Vice Chairman</w:t>
            </w:r>
          </w:p>
          <w:p w:rsidR="00927EFF" w:rsidRPr="00CD53A4" w:rsidRDefault="00927EFF" w:rsidP="006B6459">
            <w:pPr>
              <w:tabs>
                <w:tab w:val="left" w:pos="705"/>
              </w:tabs>
              <w:rPr>
                <w:rFonts w:ascii="Times New Roman" w:hAnsi="Times New Roman" w:cs="Times New Roman"/>
                <w:spacing w:val="-3"/>
              </w:rPr>
            </w:pPr>
            <w:r w:rsidRPr="00CD53A4">
              <w:rPr>
                <w:rFonts w:ascii="Times New Roman" w:hAnsi="Times New Roman" w:cs="Times New Roman"/>
                <w:spacing w:val="-3"/>
              </w:rPr>
              <w:t>John F. Coleman, Jr.</w:t>
            </w:r>
          </w:p>
          <w:p w:rsidR="00927EFF" w:rsidRPr="00CD53A4" w:rsidRDefault="00927EFF" w:rsidP="006B6459">
            <w:pPr>
              <w:tabs>
                <w:tab w:val="left" w:pos="705"/>
              </w:tabs>
              <w:rPr>
                <w:rFonts w:ascii="Times New Roman" w:hAnsi="Times New Roman" w:cs="Times New Roman"/>
                <w:spacing w:val="-3"/>
              </w:rPr>
            </w:pPr>
            <w:r w:rsidRPr="00CD53A4">
              <w:rPr>
                <w:rFonts w:ascii="Times New Roman" w:hAnsi="Times New Roman" w:cs="Times New Roman"/>
                <w:spacing w:val="-3"/>
              </w:rPr>
              <w:t>Robert F. Powelson</w:t>
            </w:r>
          </w:p>
          <w:p w:rsidR="00927EFF" w:rsidRPr="00CD53A4" w:rsidRDefault="00927EFF" w:rsidP="006B6459">
            <w:pPr>
              <w:tabs>
                <w:tab w:val="left" w:pos="705"/>
              </w:tabs>
              <w:rPr>
                <w:rFonts w:ascii="Times New Roman" w:hAnsi="Times New Roman" w:cs="Times New Roman"/>
                <w:spacing w:val="-3"/>
              </w:rPr>
            </w:pPr>
            <w:r w:rsidRPr="00CD53A4">
              <w:rPr>
                <w:rFonts w:ascii="Times New Roman" w:hAnsi="Times New Roman" w:cs="Times New Roman"/>
                <w:spacing w:val="-3"/>
              </w:rPr>
              <w:t>David W. Sweet</w:t>
            </w:r>
            <w:r w:rsidR="00C077F4">
              <w:rPr>
                <w:rFonts w:ascii="Times New Roman" w:hAnsi="Times New Roman" w:cs="Times New Roman"/>
                <w:spacing w:val="-3"/>
              </w:rPr>
              <w:t>, Statement</w:t>
            </w:r>
          </w:p>
          <w:p w:rsidR="00927EFF" w:rsidRPr="00CD53A4" w:rsidRDefault="00927EFF" w:rsidP="006B6459">
            <w:pPr>
              <w:rPr>
                <w:rFonts w:ascii="Times New Roman" w:hAnsi="Times New Roman" w:cs="Times New Roman"/>
              </w:rPr>
            </w:pPr>
          </w:p>
        </w:tc>
        <w:tc>
          <w:tcPr>
            <w:tcW w:w="4590" w:type="dxa"/>
          </w:tcPr>
          <w:p w:rsidR="00927EFF" w:rsidRPr="00CD53A4" w:rsidRDefault="00927EFF" w:rsidP="006B6459">
            <w:pPr>
              <w:rPr>
                <w:rFonts w:ascii="Times New Roman" w:hAnsi="Times New Roman" w:cs="Times New Roman"/>
              </w:rPr>
            </w:pPr>
          </w:p>
          <w:p w:rsidR="00927EFF" w:rsidRPr="00CD53A4" w:rsidRDefault="00927EFF" w:rsidP="006B6459">
            <w:pPr>
              <w:rPr>
                <w:rFonts w:ascii="Times New Roman" w:hAnsi="Times New Roman" w:cs="Times New Roman"/>
              </w:rPr>
            </w:pPr>
          </w:p>
        </w:tc>
      </w:tr>
    </w:tbl>
    <w:p w:rsidR="00903664" w:rsidRPr="00927EFF" w:rsidRDefault="00903664" w:rsidP="000F1894">
      <w:pPr>
        <w:jc w:val="center"/>
      </w:pPr>
    </w:p>
    <w:p w:rsidR="00E73959" w:rsidRDefault="00E73959" w:rsidP="00927EFF"/>
    <w:p w:rsidR="00E73959" w:rsidRDefault="00E73959" w:rsidP="00927EFF"/>
    <w:p w:rsidR="00E73959" w:rsidRDefault="00E73959" w:rsidP="00927EFF"/>
    <w:p w:rsidR="00927EFF" w:rsidRDefault="000E0EFD" w:rsidP="00927EFF">
      <w:r w:rsidRPr="00927EFF">
        <w:t>Silver Valley Apartments</w:t>
      </w:r>
      <w:r w:rsidR="00AE22DE" w:rsidRPr="00927EFF">
        <w:t>/Mike Vianello</w:t>
      </w:r>
      <w:r w:rsidR="00E73959">
        <w:tab/>
      </w:r>
      <w:r w:rsidR="00E73959">
        <w:tab/>
      </w:r>
      <w:r w:rsidR="00E73959">
        <w:tab/>
      </w:r>
      <w:r w:rsidR="00E73959">
        <w:tab/>
      </w:r>
      <w:r w:rsidR="00E73959">
        <w:tab/>
        <w:t xml:space="preserve">     </w:t>
      </w:r>
      <w:r w:rsidR="00E73959" w:rsidRPr="00927EFF">
        <w:t>C-2015-2510119</w:t>
      </w:r>
    </w:p>
    <w:p w:rsidR="00927EFF" w:rsidRDefault="00927EFF" w:rsidP="00927EFF"/>
    <w:p w:rsidR="000E0EFD" w:rsidRPr="00927EFF" w:rsidRDefault="00927EFF" w:rsidP="00927EFF">
      <w:r>
        <w:t xml:space="preserve">                        </w:t>
      </w:r>
      <w:r w:rsidR="000E0EFD" w:rsidRPr="00927EFF">
        <w:t>v.</w:t>
      </w:r>
    </w:p>
    <w:p w:rsidR="00903664" w:rsidRPr="00927EFF" w:rsidRDefault="00903664" w:rsidP="00903664">
      <w:pPr>
        <w:ind w:firstLine="720"/>
      </w:pPr>
    </w:p>
    <w:p w:rsidR="000E0EFD" w:rsidRPr="00927EFF" w:rsidRDefault="000E0EFD" w:rsidP="00903664">
      <w:r w:rsidRPr="00927EFF">
        <w:t>PPL E</w:t>
      </w:r>
      <w:r w:rsidR="009B07D8">
        <w:t>lectric Utilities Corporation</w:t>
      </w:r>
    </w:p>
    <w:p w:rsidR="005E3007" w:rsidRDefault="005E3007" w:rsidP="00E52738">
      <w:pPr>
        <w:tabs>
          <w:tab w:val="left" w:pos="-720"/>
        </w:tabs>
        <w:suppressAutoHyphens/>
        <w:rPr>
          <w:bCs/>
          <w:spacing w:val="-3"/>
        </w:rPr>
      </w:pPr>
    </w:p>
    <w:p w:rsidR="00927EFF" w:rsidRDefault="00927EFF" w:rsidP="00E52738">
      <w:pPr>
        <w:tabs>
          <w:tab w:val="left" w:pos="-720"/>
        </w:tabs>
        <w:suppressAutoHyphens/>
        <w:rPr>
          <w:bCs/>
          <w:spacing w:val="-3"/>
        </w:rPr>
      </w:pPr>
    </w:p>
    <w:p w:rsidR="00927EFF" w:rsidRDefault="00927EFF" w:rsidP="00E52738">
      <w:pPr>
        <w:tabs>
          <w:tab w:val="left" w:pos="-720"/>
        </w:tabs>
        <w:suppressAutoHyphens/>
        <w:rPr>
          <w:bCs/>
          <w:spacing w:val="-3"/>
        </w:rPr>
      </w:pPr>
    </w:p>
    <w:p w:rsidR="00927EFF" w:rsidRPr="00927EFF" w:rsidRDefault="00927EFF" w:rsidP="002E7F3C">
      <w:pPr>
        <w:tabs>
          <w:tab w:val="left" w:pos="-720"/>
        </w:tabs>
        <w:suppressAutoHyphens/>
        <w:jc w:val="center"/>
        <w:rPr>
          <w:b/>
          <w:bCs/>
          <w:spacing w:val="-3"/>
        </w:rPr>
      </w:pPr>
      <w:r w:rsidRPr="00927EFF">
        <w:rPr>
          <w:b/>
          <w:bCs/>
          <w:spacing w:val="-3"/>
        </w:rPr>
        <w:t>OPINION AND ORDER</w:t>
      </w:r>
    </w:p>
    <w:p w:rsidR="00903664" w:rsidRDefault="00903664" w:rsidP="002E7F3C">
      <w:pPr>
        <w:tabs>
          <w:tab w:val="left" w:pos="-720"/>
        </w:tabs>
        <w:suppressAutoHyphens/>
        <w:rPr>
          <w:bCs/>
          <w:spacing w:val="-3"/>
          <w:sz w:val="24"/>
          <w:szCs w:val="24"/>
        </w:rPr>
      </w:pPr>
    </w:p>
    <w:p w:rsidR="002E7F3C" w:rsidRDefault="002E7F3C" w:rsidP="002E7F3C">
      <w:pPr>
        <w:tabs>
          <w:tab w:val="left" w:pos="-720"/>
        </w:tabs>
        <w:suppressAutoHyphens/>
        <w:rPr>
          <w:bCs/>
          <w:spacing w:val="-3"/>
          <w:sz w:val="24"/>
          <w:szCs w:val="24"/>
        </w:rPr>
      </w:pPr>
    </w:p>
    <w:p w:rsidR="009A3D79" w:rsidRPr="001521C7" w:rsidRDefault="009A3D79" w:rsidP="002E7F3C">
      <w:pPr>
        <w:tabs>
          <w:tab w:val="left" w:pos="-720"/>
        </w:tabs>
        <w:suppressAutoHyphens/>
        <w:rPr>
          <w:b/>
          <w:bCs/>
          <w:spacing w:val="-3"/>
          <w:sz w:val="24"/>
          <w:szCs w:val="24"/>
        </w:rPr>
      </w:pPr>
      <w:r>
        <w:rPr>
          <w:b/>
          <w:bCs/>
          <w:spacing w:val="-3"/>
          <w:sz w:val="24"/>
          <w:szCs w:val="24"/>
        </w:rPr>
        <w:t>BY THE COMMISSION:</w:t>
      </w:r>
    </w:p>
    <w:p w:rsidR="00E52738" w:rsidRDefault="00E52738" w:rsidP="002E7F3C">
      <w:pPr>
        <w:tabs>
          <w:tab w:val="left" w:pos="-720"/>
        </w:tabs>
        <w:suppressAutoHyphens/>
        <w:rPr>
          <w:bCs/>
          <w:spacing w:val="-3"/>
          <w:sz w:val="24"/>
          <w:szCs w:val="24"/>
        </w:rPr>
      </w:pPr>
    </w:p>
    <w:p w:rsidR="002E7F3C" w:rsidRDefault="002E7F3C" w:rsidP="002E7F3C">
      <w:pPr>
        <w:tabs>
          <w:tab w:val="left" w:pos="-720"/>
        </w:tabs>
        <w:suppressAutoHyphens/>
        <w:rPr>
          <w:bCs/>
          <w:spacing w:val="-3"/>
          <w:sz w:val="24"/>
          <w:szCs w:val="24"/>
        </w:rPr>
      </w:pPr>
    </w:p>
    <w:p w:rsidR="0064696E" w:rsidRDefault="0064696E" w:rsidP="0064696E">
      <w:pPr>
        <w:spacing w:line="360" w:lineRule="auto"/>
        <w:ind w:firstLine="1440"/>
      </w:pPr>
      <w:r>
        <w:t xml:space="preserve">Before the </w:t>
      </w:r>
      <w:r w:rsidR="00892B45">
        <w:t>Pennsylvania Public Utility Commission (</w:t>
      </w:r>
      <w:r>
        <w:t>Commission</w:t>
      </w:r>
      <w:r w:rsidR="00892B45">
        <w:t>)</w:t>
      </w:r>
      <w:r>
        <w:t xml:space="preserve"> for consideration and disposition are the Exceptions of Silver Valley Apartments/Mike Vianello (Mr. Vianello or Complainant), filed </w:t>
      </w:r>
      <w:r w:rsidR="00D66D89">
        <w:t xml:space="preserve">on April 20, 2016, </w:t>
      </w:r>
      <w:r>
        <w:t xml:space="preserve">to the Initial Decision (I.D.) of Administrative Law Judge (ALJ) </w:t>
      </w:r>
      <w:r w:rsidRPr="0064696E">
        <w:t>Ember S. Jandebeur</w:t>
      </w:r>
      <w:r>
        <w:t xml:space="preserve">, issued </w:t>
      </w:r>
      <w:r w:rsidR="00B049BC">
        <w:t>April 1, 2016</w:t>
      </w:r>
      <w:r>
        <w:t>.  Replies to the Exceptions of Mr. Vianello were filed by PPL Electric U</w:t>
      </w:r>
      <w:r w:rsidR="00795D3B">
        <w:t>tilities</w:t>
      </w:r>
      <w:r>
        <w:t xml:space="preserve"> Corporation (PPL or Respondent) on </w:t>
      </w:r>
      <w:r w:rsidR="00D66D89">
        <w:t>May 2, 2016.</w:t>
      </w:r>
      <w:r>
        <w:t xml:space="preserve">  On consideration of the </w:t>
      </w:r>
      <w:r w:rsidR="00B21132">
        <w:t xml:space="preserve">record, </w:t>
      </w:r>
      <w:r w:rsidR="006B6459">
        <w:t xml:space="preserve">the </w:t>
      </w:r>
      <w:r>
        <w:lastRenderedPageBreak/>
        <w:t xml:space="preserve">Exceptions and Replies, we shall grant the Exceptions </w:t>
      </w:r>
      <w:r w:rsidR="00B21132">
        <w:t>of Mr. Vianello</w:t>
      </w:r>
      <w:r w:rsidR="00D60D82">
        <w:t>, in part,</w:t>
      </w:r>
      <w:r w:rsidR="00B21132">
        <w:t xml:space="preserve"> </w:t>
      </w:r>
      <w:r>
        <w:t>consistent with our discussion in this Opinion and Order</w:t>
      </w:r>
      <w:r w:rsidR="007B2EA0">
        <w:t xml:space="preserve"> and reverse the Initial Decision</w:t>
      </w:r>
      <w:r w:rsidR="009B07D8">
        <w:t>.</w:t>
      </w:r>
    </w:p>
    <w:p w:rsidR="0064696E" w:rsidRDefault="0064696E" w:rsidP="00A56CCE">
      <w:pPr>
        <w:spacing w:line="360" w:lineRule="auto"/>
      </w:pPr>
    </w:p>
    <w:p w:rsidR="00A56CCE" w:rsidRPr="00A56CCE" w:rsidRDefault="008D4CB0" w:rsidP="00E73959">
      <w:pPr>
        <w:keepNext/>
        <w:keepLines/>
        <w:spacing w:line="360" w:lineRule="auto"/>
        <w:jc w:val="center"/>
        <w:rPr>
          <w:b/>
        </w:rPr>
      </w:pPr>
      <w:r>
        <w:rPr>
          <w:b/>
        </w:rPr>
        <w:t>Background</w:t>
      </w:r>
    </w:p>
    <w:p w:rsidR="00A56CCE" w:rsidRDefault="00A56CCE" w:rsidP="00E73959">
      <w:pPr>
        <w:keepNext/>
        <w:keepLines/>
        <w:spacing w:line="360" w:lineRule="auto"/>
        <w:ind w:firstLine="1440"/>
      </w:pPr>
    </w:p>
    <w:p w:rsidR="000B0034" w:rsidRDefault="00B049BC" w:rsidP="0064696E">
      <w:pPr>
        <w:spacing w:line="360" w:lineRule="auto"/>
        <w:ind w:firstLine="1440"/>
      </w:pPr>
      <w:r>
        <w:t xml:space="preserve">Mr. Vianello </w:t>
      </w:r>
      <w:r w:rsidR="00C6456D">
        <w:t>i</w:t>
      </w:r>
      <w:r>
        <w:t xml:space="preserve">s the owner of Silver Valley Apartments.  Mr. Vianello does business under the name, Silver Valley Apartments, and the business is not incorporated.  </w:t>
      </w:r>
      <w:r>
        <w:rPr>
          <w:i/>
        </w:rPr>
        <w:t>See</w:t>
      </w:r>
      <w:r>
        <w:t xml:space="preserve"> </w:t>
      </w:r>
      <w:r w:rsidR="000B0034">
        <w:t xml:space="preserve">February 11, 2016 </w:t>
      </w:r>
      <w:r>
        <w:t>Transcript (Tr.) at 7</w:t>
      </w:r>
      <w:r w:rsidR="00B21132">
        <w:t xml:space="preserve">; I.D. at </w:t>
      </w:r>
      <w:r w:rsidR="00B9036B">
        <w:t>4</w:t>
      </w:r>
      <w:r>
        <w:t>.  T</w:t>
      </w:r>
      <w:r w:rsidR="00A56CCE">
        <w:t>h</w:t>
      </w:r>
      <w:r>
        <w:t>e</w:t>
      </w:r>
      <w:r w:rsidR="00A56CCE">
        <w:t xml:space="preserve"> </w:t>
      </w:r>
      <w:r>
        <w:t>proceeding before the Commission is</w:t>
      </w:r>
      <w:r w:rsidR="0032775D">
        <w:t xml:space="preserve"> a F</w:t>
      </w:r>
      <w:r w:rsidR="00A56CCE">
        <w:t xml:space="preserve">ormal </w:t>
      </w:r>
      <w:r w:rsidR="0032775D">
        <w:t>C</w:t>
      </w:r>
      <w:r w:rsidR="00A56CCE">
        <w:t xml:space="preserve">omplaint (Complaint) filed by Mr. Vianello </w:t>
      </w:r>
      <w:r>
        <w:t xml:space="preserve">against PPL arising from </w:t>
      </w:r>
      <w:r w:rsidR="00A56CCE">
        <w:t xml:space="preserve">circumstances under which PPL, pursuant to an error that it admits, changed </w:t>
      </w:r>
      <w:r w:rsidR="007B2EA0">
        <w:t>Mr. Vianello’s</w:t>
      </w:r>
      <w:r w:rsidR="00A56CCE">
        <w:t xml:space="preserve"> account number for electric </w:t>
      </w:r>
      <w:r w:rsidR="00D60D82">
        <w:t xml:space="preserve">utility </w:t>
      </w:r>
      <w:r w:rsidR="00A56CCE">
        <w:t>service</w:t>
      </w:r>
      <w:r w:rsidR="0067012A">
        <w:t>.</w:t>
      </w:r>
      <w:r w:rsidR="005D3DE0">
        <w:rPr>
          <w:rStyle w:val="FootnoteReference"/>
        </w:rPr>
        <w:footnoteReference w:id="1"/>
      </w:r>
      <w:r w:rsidR="0067012A">
        <w:t xml:space="preserve">  The change in service was</w:t>
      </w:r>
      <w:r w:rsidR="00A56CCE">
        <w:t xml:space="preserve"> </w:t>
      </w:r>
      <w:r w:rsidR="00F42860">
        <w:t xml:space="preserve">based on contact from a person </w:t>
      </w:r>
      <w:r w:rsidR="0032775D">
        <w:t xml:space="preserve">who erroneously </w:t>
      </w:r>
      <w:r w:rsidR="00F42860">
        <w:t>request</w:t>
      </w:r>
      <w:r w:rsidR="0032775D">
        <w:t>ed</w:t>
      </w:r>
      <w:r w:rsidR="00F42860">
        <w:t xml:space="preserve"> service</w:t>
      </w:r>
      <w:r w:rsidR="00055199">
        <w:t xml:space="preserve"> </w:t>
      </w:r>
      <w:r w:rsidR="0032775D">
        <w:t>at</w:t>
      </w:r>
      <w:r w:rsidR="00A56CCE">
        <w:t xml:space="preserve"> </w:t>
      </w:r>
      <w:r w:rsidR="002064BC">
        <w:t>Mr. Vianello’s</w:t>
      </w:r>
      <w:r w:rsidR="00A56CCE">
        <w:t xml:space="preserve"> service address</w:t>
      </w:r>
      <w:r w:rsidR="00D60D82">
        <w:t xml:space="preserve"> using</w:t>
      </w:r>
      <w:r w:rsidR="0067012A">
        <w:t xml:space="preserve"> the Respondent’s self-service website</w:t>
      </w:r>
      <w:r w:rsidR="00A56CCE">
        <w:t>.</w:t>
      </w:r>
    </w:p>
    <w:p w:rsidR="000B0034" w:rsidRDefault="000B0034" w:rsidP="0064696E">
      <w:pPr>
        <w:spacing w:line="360" w:lineRule="auto"/>
        <w:ind w:firstLine="1440"/>
      </w:pPr>
    </w:p>
    <w:p w:rsidR="00B049BC" w:rsidRDefault="00A56CCE" w:rsidP="0064696E">
      <w:pPr>
        <w:spacing w:line="360" w:lineRule="auto"/>
        <w:ind w:firstLine="1440"/>
      </w:pPr>
      <w:r>
        <w:t xml:space="preserve">Upon ascertaining the error, PPL corrected the change and resumed billing Mr. Vianello at </w:t>
      </w:r>
      <w:r w:rsidR="002064BC">
        <w:t>the</w:t>
      </w:r>
      <w:r>
        <w:t xml:space="preserve"> proper service address.</w:t>
      </w:r>
      <w:r w:rsidR="00B049BC">
        <w:t xml:space="preserve">  The period involved in the error was </w:t>
      </w:r>
      <w:r w:rsidR="00DC38DA">
        <w:t>fifty-six</w:t>
      </w:r>
      <w:r w:rsidR="00B049BC">
        <w:t xml:space="preserve"> days.</w:t>
      </w:r>
      <w:r w:rsidR="00153EA5">
        <w:t xml:space="preserve">  </w:t>
      </w:r>
      <w:r w:rsidR="00153EA5">
        <w:rPr>
          <w:i/>
        </w:rPr>
        <w:t xml:space="preserve">See </w:t>
      </w:r>
      <w:r w:rsidR="00153EA5">
        <w:t>PPL Answer at</w:t>
      </w:r>
      <w:r w:rsidR="006B6459">
        <w:t xml:space="preserve"> </w:t>
      </w:r>
      <w:r w:rsidR="00B9036B">
        <w:t>¶ 4</w:t>
      </w:r>
      <w:r w:rsidR="00153EA5">
        <w:t>.</w:t>
      </w:r>
      <w:r w:rsidR="00D75C53">
        <w:rPr>
          <w:rStyle w:val="FootnoteReference"/>
        </w:rPr>
        <w:footnoteReference w:id="2"/>
      </w:r>
      <w:r w:rsidR="00B049BC">
        <w:t xml:space="preserve">  PPL duly sent Mr. Vianello a correct</w:t>
      </w:r>
      <w:r w:rsidR="00F42860">
        <w:t>(ed)</w:t>
      </w:r>
      <w:r w:rsidR="00B049BC">
        <w:t xml:space="preserve"> bill at his proper address</w:t>
      </w:r>
      <w:r w:rsidR="00B21132">
        <w:t>, a statement of charges for the period involved</w:t>
      </w:r>
      <w:r w:rsidR="00B049BC">
        <w:t xml:space="preserve"> and offered him </w:t>
      </w:r>
      <w:r w:rsidR="000B0034">
        <w:t>an agreement</w:t>
      </w:r>
      <w:r w:rsidR="00B049BC">
        <w:t xml:space="preserve"> to become current in </w:t>
      </w:r>
      <w:r w:rsidR="00B21132">
        <w:t>his bill</w:t>
      </w:r>
      <w:r w:rsidR="00B049BC">
        <w:t xml:space="preserve"> over</w:t>
      </w:r>
      <w:r w:rsidR="000B0034">
        <w:t xml:space="preserve"> approximately</w:t>
      </w:r>
      <w:r w:rsidR="00B049BC">
        <w:t xml:space="preserve"> </w:t>
      </w:r>
      <w:r w:rsidR="00153EA5">
        <w:t>the same</w:t>
      </w:r>
      <w:r w:rsidR="00B049BC">
        <w:t xml:space="preserve"> period of time </w:t>
      </w:r>
      <w:r w:rsidR="00153EA5">
        <w:t>that the error existed</w:t>
      </w:r>
      <w:r w:rsidR="00B049BC">
        <w:t xml:space="preserve">.  </w:t>
      </w:r>
      <w:r>
        <w:t xml:space="preserve">However, </w:t>
      </w:r>
      <w:r w:rsidR="0067012A">
        <w:t>because of</w:t>
      </w:r>
      <w:r>
        <w:t xml:space="preserve"> the configuration of PPL’s </w:t>
      </w:r>
      <w:r w:rsidR="00B21132">
        <w:t xml:space="preserve">computer </w:t>
      </w:r>
      <w:r>
        <w:t xml:space="preserve">billing systems, Respondent was unable to </w:t>
      </w:r>
      <w:r w:rsidR="0070632D">
        <w:t xml:space="preserve">resume billing </w:t>
      </w:r>
      <w:r w:rsidR="003226A2">
        <w:t xml:space="preserve">Mr. Vianello </w:t>
      </w:r>
      <w:r w:rsidR="0070632D">
        <w:t>according to</w:t>
      </w:r>
      <w:r w:rsidR="003226A2">
        <w:t xml:space="preserve"> his</w:t>
      </w:r>
      <w:r w:rsidR="001131A0">
        <w:t xml:space="preserve"> prior account number.</w:t>
      </w:r>
    </w:p>
    <w:p w:rsidR="00B049BC" w:rsidRDefault="00B049BC" w:rsidP="0064696E">
      <w:pPr>
        <w:spacing w:line="360" w:lineRule="auto"/>
        <w:ind w:firstLine="1440"/>
      </w:pPr>
    </w:p>
    <w:p w:rsidR="00153EA5" w:rsidRPr="0064696E" w:rsidRDefault="0070632D" w:rsidP="005F5064">
      <w:pPr>
        <w:spacing w:line="360" w:lineRule="auto"/>
        <w:ind w:firstLine="1440"/>
      </w:pPr>
      <w:r>
        <w:t xml:space="preserve">The change in account number </w:t>
      </w:r>
      <w:r w:rsidR="003630FC">
        <w:t>and</w:t>
      </w:r>
      <w:r w:rsidR="002064BC">
        <w:t xml:space="preserve"> </w:t>
      </w:r>
      <w:r w:rsidR="003630FC">
        <w:t xml:space="preserve">PPL’s </w:t>
      </w:r>
      <w:r w:rsidR="002064BC">
        <w:t xml:space="preserve">assignment of a new account </w:t>
      </w:r>
      <w:r>
        <w:t>was object</w:t>
      </w:r>
      <w:r w:rsidR="000B0034">
        <w:t>ionable to Mr. Vianello</w:t>
      </w:r>
      <w:r w:rsidR="002064BC">
        <w:t xml:space="preserve">.  Mr. Vianello </w:t>
      </w:r>
      <w:r w:rsidR="003630FC">
        <w:t>took the position</w:t>
      </w:r>
      <w:r w:rsidR="002064BC">
        <w:t xml:space="preserve"> that the change</w:t>
      </w:r>
      <w:r w:rsidR="003630FC">
        <w:t xml:space="preserve">, </w:t>
      </w:r>
      <w:r w:rsidR="003630FC">
        <w:rPr>
          <w:i/>
        </w:rPr>
        <w:t>inter alia</w:t>
      </w:r>
      <w:r w:rsidR="003630FC">
        <w:t xml:space="preserve">, </w:t>
      </w:r>
      <w:r w:rsidR="003C44EE">
        <w:lastRenderedPageBreak/>
        <w:t>caused</w:t>
      </w:r>
      <w:r>
        <w:t xml:space="preserve"> him inconvenience in his utility payment accounting</w:t>
      </w:r>
      <w:r w:rsidR="00B049BC">
        <w:t xml:space="preserve"> and </w:t>
      </w:r>
      <w:r w:rsidR="00B21132">
        <w:t xml:space="preserve">in </w:t>
      </w:r>
      <w:r w:rsidR="00B049BC">
        <w:t>his ability</w:t>
      </w:r>
      <w:r w:rsidR="006B6459">
        <w:t xml:space="preserve"> to</w:t>
      </w:r>
      <w:r w:rsidR="00B049BC">
        <w:t xml:space="preserve"> make informed “management” decisions concerning </w:t>
      </w:r>
      <w:r w:rsidR="00B21132">
        <w:t xml:space="preserve">the </w:t>
      </w:r>
      <w:r w:rsidR="00B049BC">
        <w:t>possible excessive use of electricity by his tenants.</w:t>
      </w:r>
      <w:r w:rsidR="005F5064">
        <w:t xml:space="preserve">  Tr. at 10-11.</w:t>
      </w:r>
      <w:r>
        <w:t xml:space="preserve">  Mr. Vianello also expressed </w:t>
      </w:r>
      <w:r w:rsidR="003630FC">
        <w:t xml:space="preserve">a </w:t>
      </w:r>
      <w:r>
        <w:t>complaint against the responses of PPL customer service representatives concerning the matter.</w:t>
      </w:r>
      <w:r w:rsidR="005F5064">
        <w:t xml:space="preserve">  Tr. at 11.</w:t>
      </w:r>
      <w:r w:rsidR="00B049BC">
        <w:t xml:space="preserve">  It also appears from a review of the Complaint </w:t>
      </w:r>
      <w:r w:rsidR="008D4CB0">
        <w:t>and</w:t>
      </w:r>
      <w:r w:rsidR="00B049BC">
        <w:t xml:space="preserve"> attachments, although not fully articulated at hearing, th</w:t>
      </w:r>
      <w:r w:rsidR="00153EA5">
        <w:t>at</w:t>
      </w:r>
      <w:r w:rsidR="00B049BC">
        <w:t xml:space="preserve"> Mr. Vianello t</w:t>
      </w:r>
      <w:r w:rsidR="00B21132">
        <w:t xml:space="preserve">ook the position that </w:t>
      </w:r>
      <w:r w:rsidR="00153EA5">
        <w:t>due to</w:t>
      </w:r>
      <w:r w:rsidR="00B049BC">
        <w:t xml:space="preserve"> the mistake, </w:t>
      </w:r>
      <w:r w:rsidR="00153EA5">
        <w:t>his rates were inaccurate.</w:t>
      </w:r>
      <w:r w:rsidR="005F5064">
        <w:t xml:space="preserve">  Tr.</w:t>
      </w:r>
      <w:r w:rsidR="001131A0">
        <w:t> </w:t>
      </w:r>
      <w:r w:rsidR="005F5064">
        <w:t>at 8</w:t>
      </w:r>
      <w:r w:rsidR="002E7F3C">
        <w:t>,</w:t>
      </w:r>
      <w:r w:rsidR="005F5064">
        <w:t xml:space="preserve"> 31-39.</w:t>
      </w:r>
      <w:r w:rsidR="00153EA5">
        <w:t xml:space="preserve">  </w:t>
      </w:r>
      <w:r w:rsidR="00D765D1">
        <w:t xml:space="preserve">In his Complaint, </w:t>
      </w:r>
      <w:r w:rsidR="006B6459">
        <w:t>Complainant</w:t>
      </w:r>
      <w:r w:rsidR="00153EA5">
        <w:t xml:space="preserve"> </w:t>
      </w:r>
      <w:r w:rsidR="002D5384">
        <w:t>alleged</w:t>
      </w:r>
      <w:r w:rsidR="00153EA5">
        <w:t xml:space="preserve"> that </w:t>
      </w:r>
      <w:r w:rsidR="002D5384">
        <w:t>his</w:t>
      </w:r>
      <w:r w:rsidR="00B049BC">
        <w:t xml:space="preserve"> rate</w:t>
      </w:r>
      <w:r w:rsidR="002D5384">
        <w:t>s</w:t>
      </w:r>
      <w:r w:rsidR="00B049BC">
        <w:t xml:space="preserve"> </w:t>
      </w:r>
      <w:r w:rsidR="002D5384">
        <w:t xml:space="preserve">for distribution, transmission and generation were changed </w:t>
      </w:r>
      <w:r w:rsidR="002D5384" w:rsidRPr="0078466F">
        <w:rPr>
          <w:u w:val="single"/>
        </w:rPr>
        <w:t>to</w:t>
      </w:r>
      <w:r w:rsidR="002D5384">
        <w:t xml:space="preserve"> </w:t>
      </w:r>
      <w:r w:rsidR="00153EA5">
        <w:t xml:space="preserve">3.487 cents/kwh </w:t>
      </w:r>
      <w:r w:rsidR="00E0730D">
        <w:t>-</w:t>
      </w:r>
      <w:r w:rsidR="008D4CB0">
        <w:t xml:space="preserve"> distribution charge, </w:t>
      </w:r>
      <w:r w:rsidR="00153EA5">
        <w:t xml:space="preserve">1.279 cents/kwh </w:t>
      </w:r>
      <w:r w:rsidR="00DA30DC">
        <w:t xml:space="preserve">- </w:t>
      </w:r>
      <w:r w:rsidR="008D4CB0">
        <w:t xml:space="preserve">transmission charge </w:t>
      </w:r>
      <w:r w:rsidR="00153EA5">
        <w:t>and 8.213 cents/kwh</w:t>
      </w:r>
      <w:r w:rsidR="008D4CB0">
        <w:t xml:space="preserve"> </w:t>
      </w:r>
      <w:r w:rsidR="00E0730D">
        <w:t>-</w:t>
      </w:r>
      <w:r w:rsidR="008D4CB0">
        <w:t xml:space="preserve"> generation charge,</w:t>
      </w:r>
      <w:r w:rsidR="00153EA5">
        <w:t xml:space="preserve"> </w:t>
      </w:r>
      <w:r w:rsidR="00153EA5" w:rsidRPr="0078466F">
        <w:rPr>
          <w:u w:val="single"/>
        </w:rPr>
        <w:t>from</w:t>
      </w:r>
      <w:r w:rsidR="00153EA5">
        <w:t xml:space="preserve"> 3.24 cents/kwh </w:t>
      </w:r>
      <w:r w:rsidR="00DA30DC">
        <w:t xml:space="preserve">- </w:t>
      </w:r>
      <w:r w:rsidR="00153EA5">
        <w:t xml:space="preserve">distribution charge, 1.213 cents/kwh </w:t>
      </w:r>
      <w:r w:rsidR="00DA30DC">
        <w:t xml:space="preserve">- </w:t>
      </w:r>
      <w:r w:rsidR="00153EA5">
        <w:t xml:space="preserve">transmission charge, and 7.743 cents/kwh </w:t>
      </w:r>
      <w:r w:rsidR="00892B45">
        <w:t>-</w:t>
      </w:r>
      <w:r w:rsidR="00E0730D">
        <w:t xml:space="preserve"> </w:t>
      </w:r>
      <w:r w:rsidR="00153EA5">
        <w:t xml:space="preserve">generation charge.  </w:t>
      </w:r>
      <w:r w:rsidR="00153EA5">
        <w:rPr>
          <w:i/>
        </w:rPr>
        <w:t>See</w:t>
      </w:r>
      <w:r w:rsidR="00153EA5">
        <w:t xml:space="preserve"> August 22, 2015 letter att</w:t>
      </w:r>
      <w:r w:rsidR="001131A0">
        <w:t>achment to Complaint.</w:t>
      </w:r>
    </w:p>
    <w:p w:rsidR="008D4CB0" w:rsidRDefault="008D4CB0" w:rsidP="00136BB6">
      <w:pPr>
        <w:spacing w:line="360" w:lineRule="auto"/>
        <w:ind w:firstLine="1440"/>
      </w:pPr>
    </w:p>
    <w:p w:rsidR="00CB495C" w:rsidRPr="008D4CB0" w:rsidRDefault="008D4CB0" w:rsidP="00E73959">
      <w:pPr>
        <w:keepNext/>
        <w:keepLines/>
        <w:spacing w:line="360" w:lineRule="auto"/>
        <w:jc w:val="center"/>
        <w:rPr>
          <w:b/>
        </w:rPr>
      </w:pPr>
      <w:r w:rsidRPr="008D4CB0">
        <w:rPr>
          <w:b/>
        </w:rPr>
        <w:t>Procedural History</w:t>
      </w:r>
    </w:p>
    <w:p w:rsidR="008D4CB0" w:rsidRPr="00136BB6" w:rsidRDefault="008D4CB0" w:rsidP="00E73959">
      <w:pPr>
        <w:keepNext/>
        <w:keepLines/>
        <w:spacing w:line="360" w:lineRule="auto"/>
        <w:ind w:firstLine="1440"/>
      </w:pPr>
    </w:p>
    <w:p w:rsidR="00153EA5" w:rsidRDefault="0070632D" w:rsidP="00DE7714">
      <w:pPr>
        <w:spacing w:line="360" w:lineRule="auto"/>
        <w:ind w:firstLine="1440"/>
      </w:pPr>
      <w:r w:rsidRPr="0070632D">
        <w:t>The Complaint was filed</w:t>
      </w:r>
      <w:r w:rsidR="0085393D" w:rsidRPr="0070632D">
        <w:t xml:space="preserve"> October 22, 2015.</w:t>
      </w:r>
      <w:r w:rsidR="00DE7714">
        <w:t xml:space="preserve">  In </w:t>
      </w:r>
      <w:r w:rsidR="002D5384">
        <w:t>the</w:t>
      </w:r>
      <w:r w:rsidR="00DE7714">
        <w:t xml:space="preserve"> Complaint</w:t>
      </w:r>
      <w:r w:rsidR="00795D3B">
        <w:t xml:space="preserve"> </w:t>
      </w:r>
      <w:r w:rsidR="00DE7714">
        <w:t xml:space="preserve">Mr. Vianello </w:t>
      </w:r>
      <w:r w:rsidR="00C369AF">
        <w:t xml:space="preserve">specifically </w:t>
      </w:r>
      <w:r w:rsidR="00DE7714">
        <w:t xml:space="preserve">alleged: 1) that the utility is threatening to shut off service; </w:t>
      </w:r>
      <w:r w:rsidR="002D22A2">
        <w:t xml:space="preserve">and </w:t>
      </w:r>
      <w:r w:rsidR="00DE7714">
        <w:t xml:space="preserve">2) that there were incorrect charges on his bill.  Mr. Vianello referenced </w:t>
      </w:r>
      <w:r w:rsidR="00141D7E">
        <w:t>an</w:t>
      </w:r>
      <w:r w:rsidR="00DE7714">
        <w:t xml:space="preserve"> August 22, 2015 letter </w:t>
      </w:r>
      <w:r w:rsidR="00F42860">
        <w:t>h</w:t>
      </w:r>
      <w:r w:rsidR="00897367">
        <w:t>e</w:t>
      </w:r>
      <w:r w:rsidR="00F42860">
        <w:t xml:space="preserve"> </w:t>
      </w:r>
      <w:r w:rsidR="00DE7714">
        <w:t>directed to PPL; and</w:t>
      </w:r>
      <w:r w:rsidR="002D22A2">
        <w:t>,</w:t>
      </w:r>
      <w:r w:rsidR="00DE7714">
        <w:t xml:space="preserve"> in an attached</w:t>
      </w:r>
      <w:r w:rsidR="002D5384">
        <w:t xml:space="preserve"> statement </w:t>
      </w:r>
      <w:r w:rsidR="007B2EA0">
        <w:t>styled</w:t>
      </w:r>
      <w:r w:rsidR="00DE7714">
        <w:t xml:space="preserve">, “Overview,” Mr. Vianello </w:t>
      </w:r>
      <w:r w:rsidR="00F42860">
        <w:t xml:space="preserve">further </w:t>
      </w:r>
      <w:r w:rsidR="00153EA5">
        <w:t>detailed his position concerning alleged inadequate service provided by PPL.</w:t>
      </w:r>
    </w:p>
    <w:p w:rsidR="00153EA5" w:rsidRDefault="00153EA5" w:rsidP="00DE7714">
      <w:pPr>
        <w:spacing w:line="360" w:lineRule="auto"/>
        <w:ind w:firstLine="1440"/>
      </w:pPr>
    </w:p>
    <w:p w:rsidR="00DE7714" w:rsidRDefault="00153EA5" w:rsidP="00DE7714">
      <w:pPr>
        <w:spacing w:line="360" w:lineRule="auto"/>
        <w:ind w:firstLine="1440"/>
      </w:pPr>
      <w:r>
        <w:t xml:space="preserve">In the Overview, Mr. Vianello </w:t>
      </w:r>
      <w:r w:rsidR="00F42860">
        <w:t>wrote</w:t>
      </w:r>
      <w:r w:rsidR="00DE7714">
        <w:t xml:space="preserve"> </w:t>
      </w:r>
      <w:r w:rsidR="00795D3B">
        <w:t xml:space="preserve">that </w:t>
      </w:r>
      <w:r w:rsidR="00DE7714">
        <w:t xml:space="preserve">he received a certified letter </w:t>
      </w:r>
      <w:r w:rsidR="00795D3B">
        <w:t xml:space="preserve">from PPL </w:t>
      </w:r>
      <w:r w:rsidR="00DE7714">
        <w:t xml:space="preserve">dated June 17, 2015, in which he was advised of the </w:t>
      </w:r>
      <w:r w:rsidR="00141D7E">
        <w:t xml:space="preserve">threatened </w:t>
      </w:r>
      <w:r w:rsidR="00DE7714">
        <w:t>termination of electric service</w:t>
      </w:r>
      <w:r w:rsidR="00141D7E">
        <w:t xml:space="preserve"> based on a past due bill</w:t>
      </w:r>
      <w:r w:rsidR="00D41BB7">
        <w:t>.  The notice pertained to</w:t>
      </w:r>
      <w:r w:rsidR="00DE7714">
        <w:t xml:space="preserve"> account number 38451-31065 and meter number 84604041.  </w:t>
      </w:r>
      <w:r w:rsidR="00D41BB7">
        <w:t>Mr. Vianello</w:t>
      </w:r>
      <w:r w:rsidR="00DE7714">
        <w:t xml:space="preserve"> explain</w:t>
      </w:r>
      <w:r w:rsidR="00886889">
        <w:t>ed</w:t>
      </w:r>
      <w:r w:rsidR="00DE7714">
        <w:t xml:space="preserve"> that the account number</w:t>
      </w:r>
      <w:r w:rsidR="00886889">
        <w:t>, which is part of the “controversy” between him and PPL,</w:t>
      </w:r>
      <w:r w:rsidR="00886889" w:rsidRPr="00886889">
        <w:t xml:space="preserve"> </w:t>
      </w:r>
      <w:r w:rsidR="00DE7714">
        <w:t xml:space="preserve">should be 38451-31047, </w:t>
      </w:r>
      <w:r w:rsidR="00886889">
        <w:t xml:space="preserve">and </w:t>
      </w:r>
      <w:r w:rsidR="00DE7714">
        <w:t>that he has had th</w:t>
      </w:r>
      <w:r w:rsidR="001E57DC">
        <w:t>at</w:t>
      </w:r>
      <w:r w:rsidR="00DE7714">
        <w:t xml:space="preserve"> account (31047) for a number of years.</w:t>
      </w:r>
    </w:p>
    <w:p w:rsidR="00DE7714" w:rsidRDefault="00DE7714" w:rsidP="00DE7714">
      <w:pPr>
        <w:spacing w:line="360" w:lineRule="auto"/>
        <w:ind w:firstLine="1440"/>
      </w:pPr>
    </w:p>
    <w:p w:rsidR="00141D7E" w:rsidRDefault="00DE7714" w:rsidP="00DE7714">
      <w:pPr>
        <w:spacing w:line="360" w:lineRule="auto"/>
        <w:ind w:firstLine="1440"/>
      </w:pPr>
      <w:r>
        <w:t xml:space="preserve">The Overview further </w:t>
      </w:r>
      <w:r w:rsidR="00D41BB7">
        <w:t xml:space="preserve">alleges </w:t>
      </w:r>
      <w:r>
        <w:t>that PPL unilaterally changed the account number</w:t>
      </w:r>
      <w:r w:rsidR="0078629E">
        <w:t xml:space="preserve"> – an act which </w:t>
      </w:r>
      <w:r w:rsidR="00D41BB7">
        <w:t>Complainant</w:t>
      </w:r>
      <w:r w:rsidR="0078629E">
        <w:t xml:space="preserve"> opposes.  The Overview </w:t>
      </w:r>
      <w:r w:rsidR="00971C93">
        <w:t>goes on to state</w:t>
      </w:r>
      <w:r w:rsidR="0078629E">
        <w:t xml:space="preserve"> that PPL </w:t>
      </w:r>
      <w:r w:rsidR="0078629E">
        <w:lastRenderedPageBreak/>
        <w:t xml:space="preserve">did not send any bills for “several” months, and more recently, PPL has been sending bills for the </w:t>
      </w:r>
      <w:r w:rsidR="00141D7E">
        <w:t xml:space="preserve">previously identified </w:t>
      </w:r>
      <w:r w:rsidR="0078629E">
        <w:t xml:space="preserve">meter, 84604041, but directed to </w:t>
      </w:r>
      <w:r w:rsidR="00DC0ADA">
        <w:t xml:space="preserve">a </w:t>
      </w:r>
      <w:r w:rsidR="000B74D0">
        <w:t xml:space="preserve">customer </w:t>
      </w:r>
      <w:r w:rsidR="0078629E">
        <w:t xml:space="preserve">account </w:t>
      </w:r>
      <w:r w:rsidR="00B73F61">
        <w:t xml:space="preserve">number </w:t>
      </w:r>
      <w:r w:rsidR="0078629E">
        <w:t xml:space="preserve">ending, </w:t>
      </w:r>
      <w:r w:rsidR="00141D7E">
        <w:t>31065</w:t>
      </w:r>
      <w:r w:rsidR="00B73F61">
        <w:t>,</w:t>
      </w:r>
      <w:r w:rsidR="00141D7E">
        <w:t xml:space="preserve"> instead of </w:t>
      </w:r>
      <w:r w:rsidR="00141D7E" w:rsidRPr="00AE71EB">
        <w:t>31047</w:t>
      </w:r>
      <w:r w:rsidR="00141D7E" w:rsidRPr="00AE71EB">
        <w:rPr>
          <w:b/>
        </w:rPr>
        <w:t xml:space="preserve"> (</w:t>
      </w:r>
      <w:r w:rsidR="00141D7E">
        <w:t xml:space="preserve">the account number with which </w:t>
      </w:r>
      <w:r w:rsidR="000B74D0">
        <w:t>Mr. Vianello</w:t>
      </w:r>
      <w:r w:rsidR="00141D7E">
        <w:t xml:space="preserve"> was familiar </w:t>
      </w:r>
      <w:r w:rsidR="00DC0ADA">
        <w:t xml:space="preserve">that </w:t>
      </w:r>
      <w:r w:rsidR="00141D7E">
        <w:t>pertain</w:t>
      </w:r>
      <w:r w:rsidR="005D706A">
        <w:t>ed</w:t>
      </w:r>
      <w:r w:rsidR="00141D7E">
        <w:t xml:space="preserve"> to his </w:t>
      </w:r>
      <w:r w:rsidR="008D768A">
        <w:t>service</w:t>
      </w:r>
      <w:r w:rsidR="00141D7E">
        <w:t>).</w:t>
      </w:r>
      <w:r>
        <w:t xml:space="preserve"> </w:t>
      </w:r>
    </w:p>
    <w:p w:rsidR="000B74D0" w:rsidRDefault="000B74D0" w:rsidP="00DE7714">
      <w:pPr>
        <w:spacing w:line="360" w:lineRule="auto"/>
        <w:ind w:firstLine="1440"/>
      </w:pPr>
    </w:p>
    <w:p w:rsidR="006E5AE5" w:rsidRDefault="002C3394" w:rsidP="001521C7">
      <w:pPr>
        <w:spacing w:line="360" w:lineRule="auto"/>
        <w:ind w:firstLine="1440"/>
      </w:pPr>
      <w:r>
        <w:t>Mr</w:t>
      </w:r>
      <w:r w:rsidR="00AE71EB">
        <w:t xml:space="preserve">. Vianello </w:t>
      </w:r>
      <w:r>
        <w:t xml:space="preserve">further </w:t>
      </w:r>
      <w:r w:rsidR="00AE71EB">
        <w:t>advise</w:t>
      </w:r>
      <w:r w:rsidR="00B73F61">
        <w:t>d</w:t>
      </w:r>
      <w:r w:rsidR="00AE71EB">
        <w:t xml:space="preserve"> in </w:t>
      </w:r>
      <w:r w:rsidR="000B74D0">
        <w:t xml:space="preserve">the Overview </w:t>
      </w:r>
      <w:r w:rsidR="003F303F">
        <w:t xml:space="preserve">that </w:t>
      </w:r>
      <w:r w:rsidR="00AE71EB">
        <w:t>he</w:t>
      </w:r>
      <w:r w:rsidR="000B74D0">
        <w:t xml:space="preserve"> has the money to pay for the electricity used, but in order to pay the bill he ha</w:t>
      </w:r>
      <w:r w:rsidR="00AE71EB">
        <w:t>s</w:t>
      </w:r>
      <w:r w:rsidR="000B74D0">
        <w:t xml:space="preserve"> to receive it and the bill must be for the proper account number.  I</w:t>
      </w:r>
      <w:r w:rsidR="00AE71EB">
        <w:t>n</w:t>
      </w:r>
      <w:r w:rsidR="000B74D0">
        <w:t xml:space="preserve"> this regard, </w:t>
      </w:r>
      <w:r w:rsidR="00B73F61">
        <w:t>Complainant</w:t>
      </w:r>
      <w:r w:rsidR="00AE71EB">
        <w:t xml:space="preserve"> argue</w:t>
      </w:r>
      <w:r w:rsidR="00B73F61">
        <w:t>d</w:t>
      </w:r>
      <w:r w:rsidR="00AE71EB">
        <w:t xml:space="preserve"> that </w:t>
      </w:r>
      <w:r w:rsidR="000B74D0">
        <w:t>PPL failed and refused to provide bills and/or has failed and refused to provide bill</w:t>
      </w:r>
      <w:r w:rsidR="00AE71EB">
        <w:t xml:space="preserve">s with the proper account number.  For relief, </w:t>
      </w:r>
      <w:r w:rsidR="003F303F">
        <w:t>Mr. Vianello</w:t>
      </w:r>
      <w:r w:rsidR="00AE71EB">
        <w:t xml:space="preserve"> request</w:t>
      </w:r>
      <w:r w:rsidR="003F303F">
        <w:t>ed</w:t>
      </w:r>
      <w:r w:rsidR="00AE71EB">
        <w:t xml:space="preserve">: 1) that the Commission “bar” </w:t>
      </w:r>
      <w:r w:rsidR="003F303F">
        <w:t>PPL</w:t>
      </w:r>
      <w:r w:rsidR="00AE71EB">
        <w:t xml:space="preserve"> from s</w:t>
      </w:r>
      <w:r w:rsidR="003F303F">
        <w:t>h</w:t>
      </w:r>
      <w:r w:rsidR="00AE71EB">
        <w:t>utting off his electric service; 2) that PPL be required to restore the “*47” account number; and 3) that PP</w:t>
      </w:r>
      <w:r w:rsidR="008D768A">
        <w:t>L</w:t>
      </w:r>
      <w:r w:rsidR="00AE71EB">
        <w:t xml:space="preserve"> be required to send actual bills.</w:t>
      </w:r>
      <w:r w:rsidR="006E5AE5">
        <w:t xml:space="preserve">  </w:t>
      </w:r>
      <w:r w:rsidR="006E5AE5" w:rsidRPr="002F2A7A">
        <w:t>Mr. Vianello also requested that the Commission impose a civil penalty</w:t>
      </w:r>
      <w:r w:rsidR="006E5AE5">
        <w:t xml:space="preserve"> upon PPL.</w:t>
      </w:r>
    </w:p>
    <w:p w:rsidR="003F303F" w:rsidRDefault="00AE71EB" w:rsidP="006E5AE5">
      <w:pPr>
        <w:spacing w:line="360" w:lineRule="auto"/>
        <w:ind w:firstLine="1440"/>
      </w:pPr>
      <w:r>
        <w:t xml:space="preserve"> </w:t>
      </w:r>
    </w:p>
    <w:p w:rsidR="00AE71EB" w:rsidRDefault="003F303F" w:rsidP="00AE71EB">
      <w:pPr>
        <w:spacing w:line="360" w:lineRule="auto"/>
        <w:ind w:firstLine="1440"/>
      </w:pPr>
      <w:r>
        <w:t>Mr. Vianello acknowledge</w:t>
      </w:r>
      <w:r w:rsidR="00B73F61">
        <w:t>d</w:t>
      </w:r>
      <w:r>
        <w:t xml:space="preserve"> </w:t>
      </w:r>
      <w:r w:rsidR="005D706A">
        <w:t xml:space="preserve">receipt of </w:t>
      </w:r>
      <w:r>
        <w:t xml:space="preserve">a February 19, 2015 letter from PPL which </w:t>
      </w:r>
      <w:r w:rsidR="00A13B0F">
        <w:t xml:space="preserve">notified him of </w:t>
      </w:r>
      <w:r>
        <w:t xml:space="preserve">the change in his account number.  Notwithstanding, Mr. Vianello remained </w:t>
      </w:r>
      <w:r w:rsidR="00B73F61">
        <w:t>dis</w:t>
      </w:r>
      <w:r>
        <w:t xml:space="preserve">satisfied as to PPL’s inability to restore his prior account number.  </w:t>
      </w:r>
      <w:r>
        <w:rPr>
          <w:i/>
        </w:rPr>
        <w:t xml:space="preserve">See </w:t>
      </w:r>
      <w:r>
        <w:t>Overview.</w:t>
      </w:r>
      <w:r w:rsidR="005D3DE0">
        <w:rPr>
          <w:rStyle w:val="FootnoteReference"/>
        </w:rPr>
        <w:footnoteReference w:id="3"/>
      </w:r>
      <w:r w:rsidR="000B74D0">
        <w:t xml:space="preserve"> </w:t>
      </w:r>
    </w:p>
    <w:p w:rsidR="002C3394" w:rsidRPr="00AE71EB" w:rsidRDefault="002C3394" w:rsidP="003F303F">
      <w:pPr>
        <w:spacing w:line="360" w:lineRule="auto"/>
      </w:pPr>
    </w:p>
    <w:p w:rsidR="00E84257" w:rsidRDefault="0085393D" w:rsidP="004777D0">
      <w:pPr>
        <w:spacing w:line="360" w:lineRule="auto"/>
        <w:ind w:firstLine="1440"/>
      </w:pPr>
      <w:r w:rsidRPr="0093219E">
        <w:t xml:space="preserve">On November 16, 2015, PPL filed </w:t>
      </w:r>
      <w:r w:rsidR="00B73F61">
        <w:t>its</w:t>
      </w:r>
      <w:r w:rsidRPr="0093219E">
        <w:t xml:space="preserve"> Answer.  In its Answer, PPL </w:t>
      </w:r>
      <w:r w:rsidR="0093219E">
        <w:t>admitted</w:t>
      </w:r>
      <w:r w:rsidRPr="0093219E">
        <w:t xml:space="preserve"> </w:t>
      </w:r>
      <w:r w:rsidR="00E84257">
        <w:t>in part and denied, in part, the material allegations</w:t>
      </w:r>
      <w:r w:rsidR="00B73F61">
        <w:t xml:space="preserve"> of the Complaint</w:t>
      </w:r>
      <w:r w:rsidR="00E84257">
        <w:t>.  PPL explained the factual circumstances under which Mr. Vianello’s account was changed</w:t>
      </w:r>
      <w:r w:rsidR="00B73F61">
        <w:t xml:space="preserve">.  The pertinent </w:t>
      </w:r>
      <w:r w:rsidR="003226A2">
        <w:t xml:space="preserve">excerpt from the </w:t>
      </w:r>
      <w:r w:rsidR="008D768A">
        <w:t xml:space="preserve">PPL </w:t>
      </w:r>
      <w:r w:rsidR="00B73F61">
        <w:t xml:space="preserve">response </w:t>
      </w:r>
      <w:r w:rsidR="00BA40C6">
        <w:t>wa</w:t>
      </w:r>
      <w:r w:rsidR="00B73F61">
        <w:t>s</w:t>
      </w:r>
      <w:r w:rsidR="00FA3895">
        <w:t xml:space="preserve"> </w:t>
      </w:r>
      <w:r w:rsidR="00BA40C6">
        <w:t>as follows</w:t>
      </w:r>
      <w:r w:rsidR="00E84257">
        <w:t>:</w:t>
      </w:r>
    </w:p>
    <w:p w:rsidR="00FA3895" w:rsidRDefault="00FA3895" w:rsidP="004777D0">
      <w:pPr>
        <w:spacing w:line="360" w:lineRule="auto"/>
        <w:ind w:firstLine="1440"/>
      </w:pPr>
    </w:p>
    <w:p w:rsidR="00396FB7" w:rsidRDefault="00E84257" w:rsidP="00FA3895">
      <w:pPr>
        <w:ind w:left="1440" w:right="1440"/>
      </w:pPr>
      <w:r>
        <w:t>. . .  Admitted that due to unpaid balances, PPL Electric provided notice of intent to terminate service.  By way of further response, on November 16, 2011, Silver Valley Apartments established an electric service account at 6363 Silver Valley Road, Unit 1, Saylorsburg, PA.  On October 8, 2014, another individual used PPL Electric’s self-service website to establish an electric account at the same address.  This new request for electric service generated a final bill for Silver Valley Apartments.  Thereafter, a final bill in the amount of $185 was sent to Silver Valley Apartments on October 24, 2014.  On October 27, 2014, the customer made a payment of $167.53 to the account</w:t>
      </w:r>
      <w:r w:rsidR="00FF75AA">
        <w:t xml:space="preserve">.  </w:t>
      </w:r>
      <w:r w:rsidR="00396FB7">
        <w:t>On November 18, 2014, the customer made the final payment of $17.47 to the account.  On November 19, 2014, the individual who had originally contacted PPL Electric on October 8, 2014 to place service in her name, contacted PPL Electric and advised that she had requested service at the wrong location.  A</w:t>
      </w:r>
      <w:r w:rsidR="006B6459">
        <w:t>t</w:t>
      </w:r>
      <w:r w:rsidR="00396FB7">
        <w:t xml:space="preserve"> that time, PPL Electric issued an order to connect the individual to her desired location and issued an order to reconnect Silver Valley Apartments to 6363 Silver Valley Road, Saylorsburg, PA 18353.  When this account was reactivated, a new account number was supplied.  On December 23, 2014, PPL Electric sent the first bill on the new account in the amount of $514.28 which reflected the 56 days from October 10, 2014 through December 5, 2014.  On Febr</w:t>
      </w:r>
      <w:r w:rsidR="00B4099A">
        <w:t>u</w:t>
      </w:r>
      <w:r w:rsidR="00396FB7">
        <w:t>ary 19, 2015, PPL Electric offered a special agreement for the balance on the account.  It is specifically denied that PPL Electric has improperly billed Complainant.</w:t>
      </w:r>
    </w:p>
    <w:p w:rsidR="00396FB7" w:rsidRDefault="00396FB7" w:rsidP="00E84257"/>
    <w:p w:rsidR="00E84257" w:rsidRDefault="006B6459" w:rsidP="006E2E05">
      <w:pPr>
        <w:spacing w:line="360" w:lineRule="auto"/>
      </w:pPr>
      <w:r>
        <w:rPr>
          <w:i/>
        </w:rPr>
        <w:t xml:space="preserve">See </w:t>
      </w:r>
      <w:r w:rsidR="00FA3895">
        <w:t>PPL Answer to Complaint ¶ 4.</w:t>
      </w:r>
    </w:p>
    <w:p w:rsidR="00B4099A" w:rsidRDefault="00B4099A" w:rsidP="006E2E05">
      <w:pPr>
        <w:spacing w:line="360" w:lineRule="auto"/>
      </w:pPr>
    </w:p>
    <w:p w:rsidR="0085393D" w:rsidRPr="00F7706E" w:rsidRDefault="00B73F61" w:rsidP="00B4099A">
      <w:pPr>
        <w:spacing w:line="360" w:lineRule="auto"/>
        <w:ind w:firstLine="1440"/>
      </w:pPr>
      <w:r>
        <w:t>The matter was assigned to the presiding officer</w:t>
      </w:r>
      <w:r w:rsidR="00BA40C6">
        <w:t>, ALJ Jandebeur,</w:t>
      </w:r>
      <w:r>
        <w:t xml:space="preserve"> and o</w:t>
      </w:r>
      <w:r w:rsidR="0085393D" w:rsidRPr="0093219E">
        <w:t>n November 24, 2015, a Telephone Heari</w:t>
      </w:r>
      <w:r w:rsidR="00253FC4" w:rsidRPr="0093219E">
        <w:t>ng N</w:t>
      </w:r>
      <w:r w:rsidR="0085393D" w:rsidRPr="0093219E">
        <w:t>otice was issued setting a hearing date of January 13, 2016.</w:t>
      </w:r>
      <w:r w:rsidR="00B4099A">
        <w:t xml:space="preserve">  </w:t>
      </w:r>
      <w:r w:rsidR="0085393D" w:rsidRPr="00F7706E">
        <w:t xml:space="preserve">On November 25, 2015, </w:t>
      </w:r>
      <w:r w:rsidR="00C369AF">
        <w:t>the presiding ALJ</w:t>
      </w:r>
      <w:r w:rsidR="0085393D" w:rsidRPr="00F7706E">
        <w:t xml:space="preserve"> issued a prehearing order setting forth various procedural rules for the hearing.</w:t>
      </w:r>
    </w:p>
    <w:p w:rsidR="00E2376D" w:rsidRPr="00F7706E" w:rsidRDefault="00E2376D" w:rsidP="00C369AF">
      <w:pPr>
        <w:spacing w:line="360" w:lineRule="auto"/>
      </w:pPr>
    </w:p>
    <w:p w:rsidR="0085393D" w:rsidRPr="00F7706E" w:rsidRDefault="0085393D" w:rsidP="004777D0">
      <w:pPr>
        <w:spacing w:line="360" w:lineRule="auto"/>
        <w:ind w:firstLine="1440"/>
      </w:pPr>
      <w:r w:rsidRPr="00F7706E">
        <w:lastRenderedPageBreak/>
        <w:t xml:space="preserve">On February 11, 2016, </w:t>
      </w:r>
      <w:r w:rsidR="00B4099A">
        <w:t>a</w:t>
      </w:r>
      <w:r w:rsidRPr="00F7706E">
        <w:t xml:space="preserve"> hearing </w:t>
      </w:r>
      <w:r w:rsidR="00B73F61">
        <w:t xml:space="preserve">was </w:t>
      </w:r>
      <w:r w:rsidRPr="00F7706E">
        <w:t>convened as scheduled</w:t>
      </w:r>
      <w:r w:rsidR="005B083F" w:rsidRPr="00F7706E">
        <w:t>.</w:t>
      </w:r>
      <w:r w:rsidR="00C369AF">
        <w:rPr>
          <w:rStyle w:val="FootnoteReference"/>
        </w:rPr>
        <w:footnoteReference w:id="4"/>
      </w:r>
      <w:r w:rsidR="005B083F" w:rsidRPr="00F7706E">
        <w:t xml:space="preserve"> </w:t>
      </w:r>
      <w:r w:rsidR="00B73F61">
        <w:t xml:space="preserve"> </w:t>
      </w:r>
      <w:r w:rsidR="00C369AF">
        <w:t>Mr. Vianello a</w:t>
      </w:r>
      <w:r w:rsidR="005B083F" w:rsidRPr="00F7706E">
        <w:t xml:space="preserve">ppeared on </w:t>
      </w:r>
      <w:r w:rsidR="00DC0ADA">
        <w:t>his</w:t>
      </w:r>
      <w:r w:rsidR="005B083F" w:rsidRPr="00F7706E">
        <w:t xml:space="preserve"> own behalf and presented no documents.  PPL appeared represented by counsel and presented five documents</w:t>
      </w:r>
      <w:r w:rsidR="00B73F61">
        <w:t>,</w:t>
      </w:r>
      <w:r w:rsidR="005B083F" w:rsidRPr="00F7706E">
        <w:t xml:space="preserve"> all </w:t>
      </w:r>
      <w:r w:rsidR="00800F8C">
        <w:t xml:space="preserve">of which </w:t>
      </w:r>
      <w:r w:rsidR="005B083F" w:rsidRPr="00F7706E">
        <w:t>were admitted</w:t>
      </w:r>
      <w:r w:rsidR="00AE22DE" w:rsidRPr="00F7706E">
        <w:t xml:space="preserve"> into the record</w:t>
      </w:r>
      <w:r w:rsidR="005B083F" w:rsidRPr="00F7706E">
        <w:t>.</w:t>
      </w:r>
      <w:r w:rsidR="00DC0ADA">
        <w:t xml:space="preserve">  I.D. at </w:t>
      </w:r>
      <w:r w:rsidR="00CC419E">
        <w:t>2</w:t>
      </w:r>
      <w:r w:rsidR="00DC0ADA">
        <w:t>.</w:t>
      </w:r>
      <w:r w:rsidR="005B083F" w:rsidRPr="00F7706E">
        <w:t xml:space="preserve">  The record closed at the conclusion of the hearing on February 11, 2016.</w:t>
      </w:r>
      <w:r w:rsidR="00D765D1">
        <w:t xml:space="preserve">  </w:t>
      </w:r>
      <w:r w:rsidR="00CC419E" w:rsidRPr="00CC419E">
        <w:rPr>
          <w:i/>
        </w:rPr>
        <w:t>Id</w:t>
      </w:r>
      <w:r w:rsidR="00CC419E">
        <w:t xml:space="preserve">.  </w:t>
      </w:r>
      <w:r w:rsidR="00D765D1" w:rsidRPr="00CC419E">
        <w:t>The</w:t>
      </w:r>
      <w:r w:rsidR="00D765D1">
        <w:t xml:space="preserve"> hearing resulted in a transcript of 55 pages.</w:t>
      </w:r>
    </w:p>
    <w:p w:rsidR="00B4099A" w:rsidRDefault="00B4099A" w:rsidP="004E7249">
      <w:pPr>
        <w:spacing w:line="360" w:lineRule="auto"/>
      </w:pPr>
    </w:p>
    <w:p w:rsidR="00B4099A" w:rsidRDefault="00375282" w:rsidP="00B73F61">
      <w:pPr>
        <w:spacing w:line="360" w:lineRule="auto"/>
        <w:ind w:firstLine="1440"/>
      </w:pPr>
      <w:r>
        <w:t xml:space="preserve">The Initial Decision recommended the dismissal of the Complaint.  </w:t>
      </w:r>
      <w:r w:rsidR="00B4099A">
        <w:t>Exceptions and Replies were filed as noted.</w:t>
      </w:r>
    </w:p>
    <w:p w:rsidR="00375282" w:rsidRDefault="00375282" w:rsidP="006E2E05">
      <w:pPr>
        <w:spacing w:line="360" w:lineRule="auto"/>
        <w:jc w:val="center"/>
        <w:rPr>
          <w:b/>
        </w:rPr>
      </w:pPr>
    </w:p>
    <w:p w:rsidR="00C369AF" w:rsidRPr="00C369AF" w:rsidRDefault="00C369AF" w:rsidP="000E34A9">
      <w:pPr>
        <w:keepNext/>
        <w:keepLines/>
        <w:spacing w:line="360" w:lineRule="auto"/>
        <w:jc w:val="center"/>
      </w:pPr>
      <w:r>
        <w:rPr>
          <w:b/>
        </w:rPr>
        <w:t>Discussion</w:t>
      </w:r>
    </w:p>
    <w:p w:rsidR="00B1189B" w:rsidRDefault="00B1189B" w:rsidP="000E34A9">
      <w:pPr>
        <w:keepNext/>
        <w:keepLines/>
        <w:spacing w:line="360" w:lineRule="auto"/>
      </w:pPr>
    </w:p>
    <w:p w:rsidR="008A64D3" w:rsidRPr="00B73F61" w:rsidRDefault="00B73F61" w:rsidP="000E34A9">
      <w:pPr>
        <w:keepNext/>
        <w:keepLines/>
        <w:spacing w:line="360" w:lineRule="auto"/>
        <w:rPr>
          <w:b/>
        </w:rPr>
      </w:pPr>
      <w:r>
        <w:rPr>
          <w:b/>
        </w:rPr>
        <w:t>ALJ’s Recommendation</w:t>
      </w:r>
    </w:p>
    <w:p w:rsidR="00375282" w:rsidRDefault="00375282" w:rsidP="000E34A9">
      <w:pPr>
        <w:keepNext/>
        <w:keepLines/>
        <w:spacing w:line="360" w:lineRule="auto"/>
        <w:ind w:firstLine="1440"/>
      </w:pPr>
    </w:p>
    <w:p w:rsidR="00375282" w:rsidRDefault="00375282" w:rsidP="00375282">
      <w:pPr>
        <w:spacing w:line="360" w:lineRule="auto"/>
        <w:ind w:firstLine="1440"/>
      </w:pPr>
      <w:r>
        <w:t xml:space="preserve">On consideration of the testimony, exhibits, and positions of the Parties, the presiding ALJ </w:t>
      </w:r>
      <w:r w:rsidR="002D32DE">
        <w:t xml:space="preserve">recommended that the Complaint be dismissed based on her </w:t>
      </w:r>
      <w:r>
        <w:t>conclu</w:t>
      </w:r>
      <w:r w:rsidR="002D32DE">
        <w:t xml:space="preserve">sion </w:t>
      </w:r>
      <w:r>
        <w:t xml:space="preserve">that Mr. Vianello failed to meet his burden of proof concerning allegations of unreasonable service.  I.D. at </w:t>
      </w:r>
      <w:r w:rsidR="008B170D">
        <w:t>1</w:t>
      </w:r>
      <w:r w:rsidR="002E7F3C">
        <w:t>,</w:t>
      </w:r>
      <w:r w:rsidR="008B170D">
        <w:t xml:space="preserve"> 5</w:t>
      </w:r>
      <w:r>
        <w:t xml:space="preserve">.  The pertinent reasoning </w:t>
      </w:r>
      <w:r w:rsidR="00800F8C">
        <w:t xml:space="preserve">from the Initial Decision </w:t>
      </w:r>
      <w:r>
        <w:t>is reprinted below:</w:t>
      </w:r>
    </w:p>
    <w:p w:rsidR="00375282" w:rsidRDefault="00375282" w:rsidP="00375282">
      <w:pPr>
        <w:spacing w:line="360" w:lineRule="auto"/>
        <w:ind w:firstLine="1440"/>
      </w:pPr>
    </w:p>
    <w:p w:rsidR="00375282" w:rsidRPr="006C312A" w:rsidRDefault="00375282" w:rsidP="00375282">
      <w:pPr>
        <w:ind w:left="1440" w:right="1440" w:firstLine="720"/>
      </w:pPr>
      <w:r w:rsidRPr="006C312A">
        <w:t>This case is a matter of a simple, but honestly made, mistake.  PPL received information of a new customer at the Silver Valley Apartments’ address and accordingly opened a new account and closed the Silver Valley Apartments’ account.  Tr. at 19.  A few days later the same customer called to explain she had given the wrong address for service.  Tr. at 21.  PPL made the changes, but could not reinstate the old account number to Silver Valley Apartments.  PPL asserts that its system does not allow it to reopen a de-activated account number.  Tr. at 23.</w:t>
      </w:r>
    </w:p>
    <w:p w:rsidR="00375282" w:rsidRPr="006C312A" w:rsidRDefault="00375282" w:rsidP="00375282">
      <w:pPr>
        <w:ind w:left="1440" w:right="1440"/>
      </w:pPr>
    </w:p>
    <w:p w:rsidR="00375282" w:rsidRPr="006C312A" w:rsidRDefault="00375282" w:rsidP="00375282">
      <w:pPr>
        <w:ind w:left="1440" w:right="1440" w:firstLine="720"/>
      </w:pPr>
      <w:r w:rsidRPr="006C312A">
        <w:lastRenderedPageBreak/>
        <w:t>There is no doubt that the problem (changing account number) cited in this Formal Complaint was caused by PPL.  That issue is not in dispute.</w:t>
      </w:r>
    </w:p>
    <w:p w:rsidR="00375282" w:rsidRPr="006C312A" w:rsidRDefault="00375282" w:rsidP="00375282">
      <w:pPr>
        <w:ind w:left="1440" w:right="1440"/>
      </w:pPr>
    </w:p>
    <w:p w:rsidR="00375282" w:rsidRPr="006C312A" w:rsidRDefault="00375282" w:rsidP="00375282">
      <w:pPr>
        <w:ind w:left="1440" w:right="1440" w:firstLine="720"/>
      </w:pPr>
      <w:r w:rsidRPr="006C312A">
        <w:t>However, changing the account number was an honest error and that error did not amount to a violation of a statute, regulation or policy.  Changing the account number did not amount to inadequate, inefficient, unsafe, or unreasonable service.  66 Pa.C.S. § 1501.</w:t>
      </w:r>
    </w:p>
    <w:p w:rsidR="00375282" w:rsidRPr="006C312A" w:rsidRDefault="00375282" w:rsidP="00375282">
      <w:pPr>
        <w:ind w:left="1440" w:right="1440"/>
      </w:pPr>
    </w:p>
    <w:p w:rsidR="00375282" w:rsidRPr="006C312A" w:rsidRDefault="00375282" w:rsidP="00375282">
      <w:pPr>
        <w:ind w:left="1440" w:right="1440" w:firstLine="720"/>
      </w:pPr>
      <w:r w:rsidRPr="006C312A">
        <w:t>The Complainant also asserts that he was treated poorly by PPL.  However, he could not provide any dates or times of the alleged poor treatment and failed to meet his burden of proof regarding that allegation.  Tr. at 14.  Indeed, PPL rebutted his allegation asserting that the Complainant failed to return calls PPL made to him, and refused to provide his last name during customer service calls preventing PPL from sharing account information with him.  Tr. at 15.</w:t>
      </w:r>
    </w:p>
    <w:p w:rsidR="00375282" w:rsidRDefault="00375282" w:rsidP="00375282">
      <w:pPr>
        <w:spacing w:line="360" w:lineRule="auto"/>
        <w:ind w:firstLine="1440"/>
      </w:pPr>
    </w:p>
    <w:p w:rsidR="00375282" w:rsidRDefault="00375282" w:rsidP="00375282">
      <w:pPr>
        <w:spacing w:line="360" w:lineRule="auto"/>
      </w:pPr>
      <w:r>
        <w:t>I.D. at</w:t>
      </w:r>
      <w:r w:rsidR="008B170D">
        <w:t xml:space="preserve"> 4-5</w:t>
      </w:r>
      <w:r>
        <w:t>.</w:t>
      </w:r>
      <w:r w:rsidR="007A04B5">
        <w:t xml:space="preserve"> </w:t>
      </w:r>
    </w:p>
    <w:p w:rsidR="00375282" w:rsidRDefault="00375282" w:rsidP="008A64D3">
      <w:pPr>
        <w:spacing w:line="360" w:lineRule="auto"/>
        <w:ind w:firstLine="1440"/>
      </w:pPr>
    </w:p>
    <w:p w:rsidR="00590A1D" w:rsidRDefault="006B6459" w:rsidP="008A64D3">
      <w:pPr>
        <w:spacing w:line="360" w:lineRule="auto"/>
        <w:ind w:firstLine="1440"/>
      </w:pPr>
      <w:r>
        <w:t xml:space="preserve">ALJ Jandebeur made ten (10) Findings of Fact and drew </w:t>
      </w:r>
      <w:r w:rsidR="00590A1D">
        <w:t xml:space="preserve">four (4) Conclusions of Law. </w:t>
      </w:r>
      <w:r w:rsidR="00800F8C">
        <w:t xml:space="preserve"> </w:t>
      </w:r>
      <w:r w:rsidR="00590A1D">
        <w:t>The Findings of Fact are reprinted below:</w:t>
      </w:r>
    </w:p>
    <w:p w:rsidR="00590A1D" w:rsidRDefault="00590A1D" w:rsidP="008A64D3">
      <w:pPr>
        <w:spacing w:line="360" w:lineRule="auto"/>
        <w:ind w:firstLine="1440"/>
      </w:pPr>
    </w:p>
    <w:p w:rsidR="00590A1D" w:rsidRPr="00662566" w:rsidRDefault="00590A1D" w:rsidP="00590A1D">
      <w:pPr>
        <w:pStyle w:val="ListParagraph"/>
        <w:numPr>
          <w:ilvl w:val="0"/>
          <w:numId w:val="33"/>
        </w:numPr>
        <w:ind w:left="1440" w:right="1440" w:firstLine="0"/>
      </w:pPr>
      <w:r w:rsidRPr="00662566">
        <w:t>The Complainant and ratepayer is Mike Vianello, owner of Silver Valley Apartments.  He resides at 258-1 Silver Valley Road, Saylorsburg, Pennsylvania 18353.</w:t>
      </w:r>
    </w:p>
    <w:p w:rsidR="00590A1D" w:rsidRPr="00662566" w:rsidRDefault="00590A1D" w:rsidP="00590A1D">
      <w:pPr>
        <w:pStyle w:val="ListParagraph"/>
        <w:ind w:left="1440" w:right="1440"/>
      </w:pPr>
    </w:p>
    <w:p w:rsidR="00590A1D" w:rsidRPr="00662566" w:rsidRDefault="00590A1D" w:rsidP="00590A1D">
      <w:pPr>
        <w:pStyle w:val="ListParagraph"/>
        <w:numPr>
          <w:ilvl w:val="0"/>
          <w:numId w:val="33"/>
        </w:numPr>
        <w:ind w:left="1440" w:right="1440" w:firstLine="0"/>
      </w:pPr>
      <w:r w:rsidRPr="00662566">
        <w:t>The Respondent is PPL Electric Utilities Corporation, a jurisdictional public utility.</w:t>
      </w:r>
    </w:p>
    <w:p w:rsidR="00590A1D" w:rsidRPr="00662566" w:rsidRDefault="00590A1D" w:rsidP="00590A1D">
      <w:pPr>
        <w:pStyle w:val="ListParagraph"/>
        <w:ind w:left="1440" w:right="1440"/>
      </w:pPr>
    </w:p>
    <w:p w:rsidR="00590A1D" w:rsidRPr="00662566" w:rsidRDefault="00590A1D" w:rsidP="00590A1D">
      <w:pPr>
        <w:pStyle w:val="ListParagraph"/>
        <w:numPr>
          <w:ilvl w:val="0"/>
          <w:numId w:val="33"/>
        </w:numPr>
        <w:ind w:left="1440" w:right="1440" w:firstLine="0"/>
      </w:pPr>
      <w:r w:rsidRPr="00662566">
        <w:t>On October 8, 2014, a customer requested electric service at the same address as Silver Valley Apartments (256 Silver Valley Road, Saylorsburg, Pennsylvania).  Tr. at 20.</w:t>
      </w:r>
    </w:p>
    <w:p w:rsidR="00590A1D" w:rsidRPr="00662566" w:rsidRDefault="00590A1D" w:rsidP="00590A1D">
      <w:pPr>
        <w:pStyle w:val="ListParagraph"/>
        <w:ind w:left="1440" w:right="1440"/>
      </w:pPr>
    </w:p>
    <w:p w:rsidR="00590A1D" w:rsidRPr="00662566" w:rsidRDefault="00590A1D" w:rsidP="00590A1D">
      <w:pPr>
        <w:pStyle w:val="ListParagraph"/>
        <w:numPr>
          <w:ilvl w:val="0"/>
          <w:numId w:val="33"/>
        </w:numPr>
        <w:ind w:left="1440" w:right="1440" w:firstLine="0"/>
      </w:pPr>
      <w:r w:rsidRPr="00662566">
        <w:t>On October 24, 2014, PPL changed the Silver Valley Apartments’ account address to the new customer.  Tr. at 21.</w:t>
      </w:r>
    </w:p>
    <w:p w:rsidR="00590A1D" w:rsidRPr="00662566" w:rsidRDefault="00590A1D" w:rsidP="00590A1D">
      <w:pPr>
        <w:pStyle w:val="ListParagraph"/>
        <w:ind w:left="1440" w:right="1440"/>
      </w:pPr>
    </w:p>
    <w:p w:rsidR="00590A1D" w:rsidRPr="00662566" w:rsidRDefault="00590A1D" w:rsidP="00590A1D">
      <w:pPr>
        <w:pStyle w:val="ListParagraph"/>
        <w:numPr>
          <w:ilvl w:val="0"/>
          <w:numId w:val="33"/>
        </w:numPr>
        <w:ind w:left="1440" w:right="1440" w:firstLine="0"/>
      </w:pPr>
      <w:r w:rsidRPr="00662566">
        <w:lastRenderedPageBreak/>
        <w:t>Several days after October 24, 2014, PPL determined it had made the changes to the Silver Valley Apartments in error.  Tr. at 21.</w:t>
      </w:r>
    </w:p>
    <w:p w:rsidR="00590A1D" w:rsidRPr="00662566" w:rsidRDefault="00590A1D" w:rsidP="00A72E7C">
      <w:pPr>
        <w:ind w:right="1440"/>
      </w:pPr>
    </w:p>
    <w:p w:rsidR="00590A1D" w:rsidRPr="00662566" w:rsidRDefault="00590A1D" w:rsidP="00590A1D">
      <w:pPr>
        <w:pStyle w:val="ListParagraph"/>
        <w:numPr>
          <w:ilvl w:val="0"/>
          <w:numId w:val="33"/>
        </w:numPr>
        <w:ind w:left="1440" w:right="1440" w:firstLine="0"/>
      </w:pPr>
      <w:r w:rsidRPr="00662566">
        <w:t>PPL’s system did not allow it to re-activate a closed account number.  Tr. at 23.</w:t>
      </w:r>
    </w:p>
    <w:p w:rsidR="00590A1D" w:rsidRPr="00662566" w:rsidRDefault="00590A1D" w:rsidP="00590A1D">
      <w:pPr>
        <w:pStyle w:val="ListParagraph"/>
        <w:ind w:left="1440" w:right="1440"/>
      </w:pPr>
    </w:p>
    <w:p w:rsidR="00590A1D" w:rsidRPr="00662566" w:rsidRDefault="00590A1D" w:rsidP="00590A1D">
      <w:pPr>
        <w:pStyle w:val="ListParagraph"/>
        <w:numPr>
          <w:ilvl w:val="0"/>
          <w:numId w:val="33"/>
        </w:numPr>
        <w:ind w:left="1440" w:right="1440" w:firstLine="0"/>
      </w:pPr>
      <w:r w:rsidRPr="00662566">
        <w:t>On February 19, 2015, PPL sent the Complainant a letter explaining that another customer had called to request service at the Silver Valley Apartments’ address, that the change was corrected and that PPL had resumed billing Silver Valley Apartments.  PPL Exh. 7.</w:t>
      </w:r>
    </w:p>
    <w:p w:rsidR="00590A1D" w:rsidRPr="00662566" w:rsidRDefault="00590A1D" w:rsidP="00590A1D">
      <w:pPr>
        <w:pStyle w:val="ListParagraph"/>
        <w:ind w:left="1440" w:right="1440"/>
      </w:pPr>
    </w:p>
    <w:p w:rsidR="00590A1D" w:rsidRPr="00662566" w:rsidRDefault="00590A1D" w:rsidP="00590A1D">
      <w:pPr>
        <w:pStyle w:val="ListParagraph"/>
        <w:numPr>
          <w:ilvl w:val="0"/>
          <w:numId w:val="33"/>
        </w:numPr>
        <w:ind w:left="1440" w:right="1440" w:firstLine="0"/>
      </w:pPr>
      <w:r w:rsidRPr="00662566">
        <w:t>The February 19, 2015 letter had an enclosure detailing Silver Valley Apartments’ electric service bills from December 23, 2014 through February 4, 2015.  PPL Exh. 7.</w:t>
      </w:r>
    </w:p>
    <w:p w:rsidR="00590A1D" w:rsidRPr="00662566" w:rsidRDefault="00590A1D" w:rsidP="00590A1D">
      <w:pPr>
        <w:pStyle w:val="ListParagraph"/>
        <w:ind w:left="1440" w:right="1440"/>
      </w:pPr>
    </w:p>
    <w:p w:rsidR="00590A1D" w:rsidRPr="00662566" w:rsidRDefault="00590A1D" w:rsidP="00590A1D">
      <w:pPr>
        <w:pStyle w:val="ListParagraph"/>
        <w:numPr>
          <w:ilvl w:val="0"/>
          <w:numId w:val="33"/>
        </w:numPr>
        <w:ind w:left="1440" w:right="1440" w:firstLine="0"/>
      </w:pPr>
      <w:r w:rsidRPr="00662566">
        <w:t>The Complainant did not provide specific dates of alleged poor treatment by PPL.  Tr. at 14.</w:t>
      </w:r>
    </w:p>
    <w:p w:rsidR="00590A1D" w:rsidRPr="00662566" w:rsidRDefault="00590A1D" w:rsidP="00590A1D">
      <w:pPr>
        <w:pStyle w:val="ListParagraph"/>
        <w:ind w:left="1440" w:right="1440"/>
      </w:pPr>
    </w:p>
    <w:p w:rsidR="00590A1D" w:rsidRPr="00662566" w:rsidRDefault="00590A1D" w:rsidP="00590A1D">
      <w:pPr>
        <w:pStyle w:val="ListParagraph"/>
        <w:numPr>
          <w:ilvl w:val="0"/>
          <w:numId w:val="33"/>
        </w:numPr>
        <w:ind w:left="1440" w:right="1440" w:firstLine="0"/>
      </w:pPr>
      <w:r w:rsidRPr="00662566">
        <w:t>The Complainant refused to provide his last name to PPL on customer service calls.  Tr. at 15.</w:t>
      </w:r>
    </w:p>
    <w:p w:rsidR="00590A1D" w:rsidRDefault="00590A1D" w:rsidP="00590A1D">
      <w:pPr>
        <w:spacing w:line="360" w:lineRule="auto"/>
      </w:pPr>
    </w:p>
    <w:p w:rsidR="008A64D3" w:rsidRDefault="00590A1D" w:rsidP="00590A1D">
      <w:pPr>
        <w:spacing w:line="360" w:lineRule="auto"/>
      </w:pPr>
      <w:r>
        <w:t>I.D. at</w:t>
      </w:r>
      <w:r w:rsidR="00621853">
        <w:t xml:space="preserve"> 2-3</w:t>
      </w:r>
      <w:r>
        <w:t>.</w:t>
      </w:r>
      <w:r w:rsidR="006B6459">
        <w:t xml:space="preserve"> </w:t>
      </w:r>
    </w:p>
    <w:p w:rsidR="007A04B5" w:rsidRDefault="007A04B5" w:rsidP="00590A1D">
      <w:pPr>
        <w:spacing w:line="360" w:lineRule="auto"/>
      </w:pPr>
    </w:p>
    <w:p w:rsidR="008A64D3" w:rsidRDefault="007A04B5" w:rsidP="00B41924">
      <w:pPr>
        <w:spacing w:line="360" w:lineRule="auto"/>
      </w:pPr>
      <w:r>
        <w:tab/>
      </w:r>
      <w:r>
        <w:tab/>
        <w:t xml:space="preserve">Consistent with our discussion in this Opinion and Order, </w:t>
      </w:r>
      <w:r>
        <w:rPr>
          <w:i/>
        </w:rPr>
        <w:t>infra</w:t>
      </w:r>
      <w:r>
        <w:t>, we shall ado</w:t>
      </w:r>
      <w:r w:rsidR="00236267">
        <w:t xml:space="preserve">pt the ALJ’s Findings of Fact and </w:t>
      </w:r>
      <w:r>
        <w:t>reverse and modify Conclusions of Law #3 and #4</w:t>
      </w:r>
      <w:r w:rsidR="00236267">
        <w:t>.</w:t>
      </w:r>
    </w:p>
    <w:p w:rsidR="007A04B5" w:rsidRDefault="007A04B5" w:rsidP="00B41924">
      <w:pPr>
        <w:spacing w:line="360" w:lineRule="auto"/>
        <w:rPr>
          <w:b/>
        </w:rPr>
      </w:pPr>
    </w:p>
    <w:p w:rsidR="00C643E9" w:rsidRDefault="00C643E9" w:rsidP="00B41924">
      <w:pPr>
        <w:spacing w:line="360" w:lineRule="auto"/>
      </w:pPr>
      <w:r w:rsidRPr="00E32446">
        <w:rPr>
          <w:b/>
        </w:rPr>
        <w:t>Legal Standards</w:t>
      </w:r>
      <w:r w:rsidR="00E179C9">
        <w:rPr>
          <w:b/>
        </w:rPr>
        <w:t xml:space="preserve"> – Burden of Proof</w:t>
      </w:r>
    </w:p>
    <w:p w:rsidR="00E179C9" w:rsidRPr="00236267" w:rsidRDefault="00E179C9" w:rsidP="00236267">
      <w:pPr>
        <w:spacing w:line="360" w:lineRule="auto"/>
        <w:rPr>
          <w:b/>
        </w:rPr>
      </w:pPr>
    </w:p>
    <w:p w:rsidR="00E179C9" w:rsidRDefault="00E179C9" w:rsidP="00236267">
      <w:pPr>
        <w:spacing w:line="360" w:lineRule="auto"/>
        <w:ind w:firstLine="1440"/>
      </w:pPr>
      <w:r>
        <w:t xml:space="preserve">The </w:t>
      </w:r>
      <w:r w:rsidR="008C402B">
        <w:t>pertinent</w:t>
      </w:r>
      <w:r>
        <w:t xml:space="preserve"> considerations </w:t>
      </w:r>
      <w:r w:rsidR="006052F7">
        <w:t xml:space="preserve">regarding </w:t>
      </w:r>
      <w:r>
        <w:t>the burden of proof have been set forth at pages</w:t>
      </w:r>
      <w:r w:rsidR="003A0682">
        <w:t xml:space="preserve"> 3-4 </w:t>
      </w:r>
      <w:r>
        <w:t xml:space="preserve">of the Initial Decision.  We find that </w:t>
      </w:r>
      <w:r w:rsidR="00236267">
        <w:t>Mr. Vianello in his</w:t>
      </w:r>
      <w:r>
        <w:t xml:space="preserve"> Exceptions </w:t>
      </w:r>
      <w:r w:rsidR="00D6599A">
        <w:lastRenderedPageBreak/>
        <w:t xml:space="preserve">fundamentally </w:t>
      </w:r>
      <w:r>
        <w:t>object</w:t>
      </w:r>
      <w:r w:rsidR="00236267">
        <w:t>s</w:t>
      </w:r>
      <w:r>
        <w:t xml:space="preserve"> to the ALJ’s conclusions regarding the satisfaction of this burden and </w:t>
      </w:r>
      <w:r w:rsidR="004C1A8D">
        <w:t xml:space="preserve">we </w:t>
      </w:r>
      <w:r>
        <w:t>shall review those considerations</w:t>
      </w:r>
      <w:r w:rsidR="008C402B">
        <w:t>,</w:t>
      </w:r>
      <w:r>
        <w:t xml:space="preserve"> </w:t>
      </w:r>
      <w:r>
        <w:rPr>
          <w:i/>
        </w:rPr>
        <w:t>de novo</w:t>
      </w:r>
      <w:r>
        <w:t>.</w:t>
      </w:r>
      <w:r w:rsidR="008C402B">
        <w:rPr>
          <w:rStyle w:val="FootnoteReference"/>
        </w:rPr>
        <w:footnoteReference w:id="5"/>
      </w:r>
    </w:p>
    <w:p w:rsidR="00E179C9" w:rsidRDefault="00E179C9" w:rsidP="00E179C9">
      <w:pPr>
        <w:spacing w:line="360" w:lineRule="auto"/>
        <w:ind w:firstLine="1440"/>
      </w:pPr>
    </w:p>
    <w:p w:rsidR="00E179C9" w:rsidRPr="00B62986" w:rsidRDefault="00E179C9" w:rsidP="00605680">
      <w:pPr>
        <w:spacing w:line="360" w:lineRule="auto"/>
        <w:ind w:firstLine="1440"/>
      </w:pPr>
      <w:r w:rsidRPr="003227AB">
        <w:t xml:space="preserve">The party seeking affirmative relief from the Commission bears the burden of proof. </w:t>
      </w:r>
      <w:r w:rsidR="00605680">
        <w:t xml:space="preserve"> </w:t>
      </w:r>
      <w:hyperlink r:id="rId9" w:history="1">
        <w:r w:rsidRPr="003227AB">
          <w:rPr>
            <w:rStyle w:val="Hyperlink"/>
            <w:color w:val="auto"/>
          </w:rPr>
          <w:t>66 Pa.</w:t>
        </w:r>
        <w:r w:rsidR="002E7F3C">
          <w:rPr>
            <w:rStyle w:val="Hyperlink"/>
            <w:color w:val="auto"/>
          </w:rPr>
          <w:t xml:space="preserve"> </w:t>
        </w:r>
        <w:r w:rsidRPr="003227AB">
          <w:rPr>
            <w:rStyle w:val="Hyperlink"/>
            <w:color w:val="auto"/>
          </w:rPr>
          <w:t>C.S. § 332(a)</w:t>
        </w:r>
      </w:hyperlink>
      <w:r w:rsidRPr="003227AB">
        <w:t xml:space="preserve">. </w:t>
      </w:r>
      <w:r w:rsidR="00605680">
        <w:t xml:space="preserve"> In this proceeding, Mr. Vianello, as </w:t>
      </w:r>
      <w:r w:rsidR="00426B3B">
        <w:t>C</w:t>
      </w:r>
      <w:r w:rsidR="00605680">
        <w:t xml:space="preserve">omplainant, bears this burden.  </w:t>
      </w:r>
      <w:r w:rsidRPr="003227AB">
        <w:t xml:space="preserve">As a matter of law, </w:t>
      </w:r>
      <w:r w:rsidR="00605680">
        <w:t>Mr. Vianello</w:t>
      </w:r>
      <w:r w:rsidRPr="003227AB">
        <w:t xml:space="preserve"> must show that the named utility</w:t>
      </w:r>
      <w:r w:rsidR="004C1A8D">
        <w:t>, PPL,</w:t>
      </w:r>
      <w:r w:rsidRPr="003227AB">
        <w:t xml:space="preserve"> is responsible or accountable for the problem described in the Complaint in order to prevail. </w:t>
      </w:r>
      <w:hyperlink r:id="rId10" w:history="1">
        <w:r w:rsidRPr="003227AB">
          <w:rPr>
            <w:rStyle w:val="Hyperlink"/>
            <w:i/>
            <w:iCs/>
            <w:color w:val="auto"/>
          </w:rPr>
          <w:t>Patterson v. Bell Tel. Co. of PA</w:t>
        </w:r>
        <w:r w:rsidRPr="003227AB">
          <w:rPr>
            <w:rStyle w:val="Hyperlink"/>
            <w:color w:val="auto"/>
          </w:rPr>
          <w:t>, 72 Pa. P</w:t>
        </w:r>
        <w:r w:rsidR="002E7F3C">
          <w:rPr>
            <w:rStyle w:val="Hyperlink"/>
            <w:color w:val="auto"/>
          </w:rPr>
          <w:t>.</w:t>
        </w:r>
        <w:r w:rsidRPr="003227AB">
          <w:rPr>
            <w:rStyle w:val="Hyperlink"/>
            <w:color w:val="auto"/>
          </w:rPr>
          <w:t>U</w:t>
        </w:r>
        <w:r w:rsidR="002E7F3C">
          <w:rPr>
            <w:rStyle w:val="Hyperlink"/>
            <w:color w:val="auto"/>
          </w:rPr>
          <w:t>.</w:t>
        </w:r>
        <w:r w:rsidRPr="003227AB">
          <w:rPr>
            <w:rStyle w:val="Hyperlink"/>
            <w:color w:val="auto"/>
          </w:rPr>
          <w:t>C</w:t>
        </w:r>
        <w:r w:rsidR="002E7F3C">
          <w:rPr>
            <w:rStyle w:val="Hyperlink"/>
            <w:color w:val="auto"/>
          </w:rPr>
          <w:t>.</w:t>
        </w:r>
        <w:r w:rsidRPr="003227AB">
          <w:rPr>
            <w:rStyle w:val="Hyperlink"/>
            <w:color w:val="auto"/>
          </w:rPr>
          <w:t xml:space="preserve"> 196 (1990);</w:t>
        </w:r>
      </w:hyperlink>
      <w:r w:rsidRPr="003227AB">
        <w:t xml:space="preserve"> </w:t>
      </w:r>
      <w:hyperlink r:id="rId11" w:history="1">
        <w:r w:rsidRPr="003227AB">
          <w:rPr>
            <w:rStyle w:val="Hyperlink"/>
            <w:i/>
            <w:iCs/>
            <w:color w:val="auto"/>
          </w:rPr>
          <w:t>Feinstein v. Phila</w:t>
        </w:r>
        <w:r w:rsidR="002E7F3C">
          <w:rPr>
            <w:rStyle w:val="Hyperlink"/>
            <w:i/>
            <w:iCs/>
            <w:color w:val="auto"/>
          </w:rPr>
          <w:t>delphia</w:t>
        </w:r>
        <w:r w:rsidRPr="003227AB">
          <w:rPr>
            <w:rStyle w:val="Hyperlink"/>
            <w:i/>
            <w:iCs/>
            <w:color w:val="auto"/>
          </w:rPr>
          <w:t xml:space="preserve"> Suburban Water Co.</w:t>
        </w:r>
        <w:r w:rsidRPr="003227AB">
          <w:rPr>
            <w:rStyle w:val="Hyperlink"/>
            <w:color w:val="auto"/>
          </w:rPr>
          <w:t>, 50 Pa. P</w:t>
        </w:r>
        <w:r w:rsidR="002E7F3C">
          <w:rPr>
            <w:rStyle w:val="Hyperlink"/>
            <w:color w:val="auto"/>
          </w:rPr>
          <w:t>.</w:t>
        </w:r>
        <w:r w:rsidRPr="003227AB">
          <w:rPr>
            <w:rStyle w:val="Hyperlink"/>
            <w:color w:val="auto"/>
          </w:rPr>
          <w:t>U</w:t>
        </w:r>
        <w:r w:rsidR="002E7F3C">
          <w:rPr>
            <w:rStyle w:val="Hyperlink"/>
            <w:color w:val="auto"/>
          </w:rPr>
          <w:t>.</w:t>
        </w:r>
        <w:r w:rsidRPr="003227AB">
          <w:rPr>
            <w:rStyle w:val="Hyperlink"/>
            <w:color w:val="auto"/>
          </w:rPr>
          <w:t>C</w:t>
        </w:r>
        <w:r w:rsidR="002E7F3C">
          <w:rPr>
            <w:rStyle w:val="Hyperlink"/>
            <w:color w:val="auto"/>
          </w:rPr>
          <w:t>.</w:t>
        </w:r>
        <w:r w:rsidRPr="003227AB">
          <w:rPr>
            <w:rStyle w:val="Hyperlink"/>
            <w:color w:val="auto"/>
          </w:rPr>
          <w:t xml:space="preserve"> 300 (1976).</w:t>
        </w:r>
      </w:hyperlink>
      <w:r w:rsidRPr="003227AB">
        <w:t xml:space="preserve"> </w:t>
      </w:r>
      <w:r>
        <w:t xml:space="preserve"> </w:t>
      </w:r>
      <w:r w:rsidRPr="003227AB">
        <w:t>This must be shown by a</w:t>
      </w:r>
      <w:r>
        <w:t>n evidentiary standard that has been termed, “</w:t>
      </w:r>
      <w:r w:rsidRPr="003227AB">
        <w:t>preponderance of the evidence.</w:t>
      </w:r>
      <w:r>
        <w:t xml:space="preserve">” </w:t>
      </w:r>
      <w:r w:rsidRPr="003227AB">
        <w:t xml:space="preserve"> </w:t>
      </w:r>
      <w:hyperlink r:id="rId12" w:history="1">
        <w:r w:rsidRPr="003227AB">
          <w:rPr>
            <w:rStyle w:val="Hyperlink"/>
            <w:i/>
            <w:iCs/>
            <w:color w:val="auto"/>
          </w:rPr>
          <w:t>Samuel J. Lansberry, Inc. v. Pa. PUC</w:t>
        </w:r>
        <w:r w:rsidRPr="003227AB">
          <w:rPr>
            <w:rStyle w:val="Hyperlink"/>
            <w:color w:val="auto"/>
          </w:rPr>
          <w:t>, 578 A.2d 600 (</w:t>
        </w:r>
        <w:r w:rsidR="003A0682">
          <w:rPr>
            <w:rStyle w:val="Hyperlink"/>
            <w:color w:val="auto"/>
          </w:rPr>
          <w:t xml:space="preserve">Pa. Cmwlth. </w:t>
        </w:r>
        <w:r w:rsidRPr="003227AB">
          <w:rPr>
            <w:rStyle w:val="Hyperlink"/>
            <w:color w:val="auto"/>
          </w:rPr>
          <w:t>1990),</w:t>
        </w:r>
      </w:hyperlink>
      <w:r w:rsidRPr="003227AB">
        <w:t xml:space="preserve"> </w:t>
      </w:r>
      <w:r w:rsidRPr="003227AB">
        <w:rPr>
          <w:i/>
          <w:iCs/>
        </w:rPr>
        <w:t>alloc, denied</w:t>
      </w:r>
      <w:r w:rsidRPr="003227AB">
        <w:t xml:space="preserve">, </w:t>
      </w:r>
      <w:hyperlink r:id="rId13" w:history="1">
        <w:r w:rsidRPr="003227AB">
          <w:rPr>
            <w:rStyle w:val="Hyperlink"/>
            <w:color w:val="auto"/>
          </w:rPr>
          <w:t>602 A.2d 863 (1992).</w:t>
        </w:r>
      </w:hyperlink>
      <w:r w:rsidRPr="003227AB">
        <w:t xml:space="preserve"> </w:t>
      </w:r>
      <w:r>
        <w:t xml:space="preserve"> </w:t>
      </w:r>
      <w:r w:rsidRPr="003227AB">
        <w:t xml:space="preserve">A preponderance of evidence </w:t>
      </w:r>
      <w:r>
        <w:t>means that the party having the burden of proof must present evidence</w:t>
      </w:r>
      <w:r w:rsidRPr="003227AB">
        <w:t xml:space="preserve"> that is more convincing, by even the smallest amount, than that presented by the other party</w:t>
      </w:r>
      <w:r w:rsidR="00605680">
        <w:t>, in this case PPL</w:t>
      </w:r>
      <w:r w:rsidRPr="003227AB">
        <w:t xml:space="preserve">. </w:t>
      </w:r>
      <w:r>
        <w:t xml:space="preserve"> </w:t>
      </w:r>
      <w:hyperlink r:id="rId14" w:history="1">
        <w:r w:rsidRPr="00B62986">
          <w:t>Se-Ling Hosiery v. Margulies, 364 Pa. 45, 70 A.2d 854 (1950)</w:t>
        </w:r>
      </w:hyperlink>
      <w:r w:rsidRPr="00B62986">
        <w:t>.</w:t>
      </w:r>
    </w:p>
    <w:p w:rsidR="00605680" w:rsidRDefault="00605680" w:rsidP="00605680">
      <w:pPr>
        <w:spacing w:line="360" w:lineRule="auto"/>
        <w:ind w:firstLine="1440"/>
      </w:pPr>
    </w:p>
    <w:p w:rsidR="00E179C9" w:rsidRPr="003227AB" w:rsidRDefault="00E179C9" w:rsidP="00E463E1">
      <w:pPr>
        <w:spacing w:line="360" w:lineRule="auto"/>
        <w:ind w:firstLine="1440"/>
      </w:pPr>
      <w:r w:rsidRPr="003227AB">
        <w:t xml:space="preserve">Additionally, any finding of fact necessary to support </w:t>
      </w:r>
      <w:r>
        <w:t>our decision in this matter</w:t>
      </w:r>
      <w:r w:rsidRPr="003227AB">
        <w:t xml:space="preserve"> must be based upon substantial evidence.</w:t>
      </w:r>
      <w:r>
        <w:t xml:space="preserve"> </w:t>
      </w:r>
      <w:r w:rsidRPr="003227AB">
        <w:t xml:space="preserve"> </w:t>
      </w:r>
      <w:hyperlink r:id="rId15" w:history="1">
        <w:r w:rsidRPr="003227AB">
          <w:rPr>
            <w:rStyle w:val="Hyperlink"/>
            <w:i/>
            <w:iCs/>
            <w:color w:val="auto"/>
          </w:rPr>
          <w:t>Mill v. Pa. PUC</w:t>
        </w:r>
        <w:r w:rsidRPr="003227AB">
          <w:rPr>
            <w:rStyle w:val="Hyperlink"/>
            <w:color w:val="auto"/>
          </w:rPr>
          <w:t>, 447 A.2d 1100 (Pa.</w:t>
        </w:r>
        <w:r w:rsidR="00892B45">
          <w:rPr>
            <w:rStyle w:val="Hyperlink"/>
            <w:color w:val="auto"/>
          </w:rPr>
          <w:t xml:space="preserve"> </w:t>
        </w:r>
        <w:r w:rsidRPr="003227AB">
          <w:rPr>
            <w:rStyle w:val="Hyperlink"/>
            <w:color w:val="auto"/>
          </w:rPr>
          <w:t>Cmwlth. 1982);</w:t>
        </w:r>
      </w:hyperlink>
      <w:r w:rsidRPr="003227AB">
        <w:t xml:space="preserve"> </w:t>
      </w:r>
      <w:hyperlink r:id="rId16" w:history="1">
        <w:r w:rsidRPr="003227AB">
          <w:rPr>
            <w:rStyle w:val="Hyperlink"/>
            <w:i/>
            <w:iCs/>
            <w:color w:val="auto"/>
          </w:rPr>
          <w:t>Edan Transportation Corp. v. Pa. PUC</w:t>
        </w:r>
        <w:r w:rsidRPr="003227AB">
          <w:rPr>
            <w:rStyle w:val="Hyperlink"/>
            <w:color w:val="auto"/>
          </w:rPr>
          <w:t>, 623 A.2d 6 (Pa. Cmwlth. 1993);</w:t>
        </w:r>
      </w:hyperlink>
      <w:r w:rsidRPr="003227AB">
        <w:t xml:space="preserve"> </w:t>
      </w:r>
      <w:hyperlink r:id="rId17" w:history="1">
        <w:r w:rsidRPr="003227AB">
          <w:rPr>
            <w:rStyle w:val="Hyperlink"/>
            <w:color w:val="auto"/>
          </w:rPr>
          <w:t>2 Pa.</w:t>
        </w:r>
        <w:r w:rsidR="002E7F3C">
          <w:rPr>
            <w:rStyle w:val="Hyperlink"/>
            <w:color w:val="auto"/>
          </w:rPr>
          <w:t xml:space="preserve"> </w:t>
        </w:r>
        <w:r w:rsidRPr="003227AB">
          <w:rPr>
            <w:rStyle w:val="Hyperlink"/>
            <w:color w:val="auto"/>
          </w:rPr>
          <w:t>C.S. § 704</w:t>
        </w:r>
      </w:hyperlink>
      <w:r w:rsidRPr="003227AB">
        <w:t>.</w:t>
      </w:r>
      <w:r w:rsidR="00E463E1">
        <w:t xml:space="preserve">  E</w:t>
      </w:r>
      <w:r w:rsidR="00E463E1" w:rsidRPr="008E5BEC">
        <w:t xml:space="preserve">vidence is substantial when </w:t>
      </w:r>
      <w:r w:rsidR="00E4163F">
        <w:t xml:space="preserve">it is </w:t>
      </w:r>
      <w:r w:rsidR="00E463E1" w:rsidRPr="008E5BEC">
        <w:t>relevant and of a nature that a reasonable mind might accept as adequate to support a conclusion.</w:t>
      </w:r>
      <w:r w:rsidR="00E463E1">
        <w:t xml:space="preserve">  </w:t>
      </w:r>
      <w:r w:rsidR="00E463E1">
        <w:rPr>
          <w:i/>
        </w:rPr>
        <w:t>Capital City Cab v. Pa. PUC</w:t>
      </w:r>
      <w:r w:rsidR="00E463E1">
        <w:t xml:space="preserve">, citing </w:t>
      </w:r>
      <w:hyperlink r:id="rId18" w:history="1">
        <w:r w:rsidR="00E463E1" w:rsidRPr="008E5BEC">
          <w:rPr>
            <w:rStyle w:val="Hyperlink"/>
            <w:i/>
            <w:color w:val="auto"/>
          </w:rPr>
          <w:t>Lancaster County v. P</w:t>
        </w:r>
        <w:r w:rsidR="00E4163F">
          <w:rPr>
            <w:rStyle w:val="Hyperlink"/>
            <w:i/>
            <w:color w:val="auto"/>
          </w:rPr>
          <w:t>a.</w:t>
        </w:r>
        <w:r w:rsidR="00E463E1" w:rsidRPr="008E5BEC">
          <w:rPr>
            <w:rStyle w:val="Hyperlink"/>
            <w:i/>
            <w:color w:val="auto"/>
          </w:rPr>
          <w:t xml:space="preserve"> Labor Relations Board</w:t>
        </w:r>
        <w:r w:rsidR="00E463E1" w:rsidRPr="008E5BEC">
          <w:rPr>
            <w:rStyle w:val="Hyperlink"/>
            <w:color w:val="auto"/>
          </w:rPr>
          <w:t>, 82 A.3d 1098, 1109-10 (Pa. Cmwlth. 2013)</w:t>
        </w:r>
      </w:hyperlink>
      <w:r w:rsidR="00E463E1" w:rsidRPr="008E5BEC">
        <w:t xml:space="preserve">. </w:t>
      </w:r>
      <w:r w:rsidR="00E463E1">
        <w:t xml:space="preserve"> </w:t>
      </w:r>
      <w:r>
        <w:t xml:space="preserve">Substantial evidence requires more </w:t>
      </w:r>
      <w:r w:rsidRPr="003227AB">
        <w:t xml:space="preserve">than a mere trace of evidence or a suspicion of the existence of a fact sought to be established. </w:t>
      </w:r>
      <w:r>
        <w:t xml:space="preserve"> </w:t>
      </w:r>
      <w:hyperlink r:id="rId19" w:history="1">
        <w:r w:rsidRPr="003227AB">
          <w:rPr>
            <w:rStyle w:val="Hyperlink"/>
            <w:i/>
            <w:iCs/>
            <w:color w:val="auto"/>
          </w:rPr>
          <w:t>Norfolk and Western Ry. v. PUC</w:t>
        </w:r>
        <w:r w:rsidRPr="003227AB">
          <w:rPr>
            <w:rStyle w:val="Hyperlink"/>
            <w:color w:val="auto"/>
          </w:rPr>
          <w:t>, 489 Pa. 109, 413 A.2d 1037 (1980);</w:t>
        </w:r>
      </w:hyperlink>
      <w:r w:rsidRPr="003227AB">
        <w:t xml:space="preserve"> </w:t>
      </w:r>
      <w:hyperlink r:id="rId20" w:history="1">
        <w:r w:rsidRPr="003227AB">
          <w:rPr>
            <w:rStyle w:val="Hyperlink"/>
            <w:i/>
            <w:iCs/>
            <w:color w:val="auto"/>
          </w:rPr>
          <w:t xml:space="preserve">Erie Resistor Corp. v. Unemployment </w:t>
        </w:r>
        <w:r w:rsidRPr="003227AB">
          <w:rPr>
            <w:rStyle w:val="Hyperlink"/>
            <w:i/>
            <w:iCs/>
            <w:color w:val="auto"/>
          </w:rPr>
          <w:lastRenderedPageBreak/>
          <w:t>Compensation Bd. Of Review</w:t>
        </w:r>
        <w:r w:rsidRPr="003227AB">
          <w:rPr>
            <w:rStyle w:val="Hyperlink"/>
            <w:color w:val="auto"/>
          </w:rPr>
          <w:t>, 166 A.2d 96 (Pa.</w:t>
        </w:r>
        <w:r w:rsidR="003A0682">
          <w:rPr>
            <w:rStyle w:val="Hyperlink"/>
            <w:color w:val="auto"/>
          </w:rPr>
          <w:t xml:space="preserve"> </w:t>
        </w:r>
        <w:r w:rsidRPr="003227AB">
          <w:rPr>
            <w:rStyle w:val="Hyperlink"/>
            <w:color w:val="auto"/>
          </w:rPr>
          <w:t>Super. 1960);</w:t>
        </w:r>
      </w:hyperlink>
      <w:r w:rsidRPr="003227AB">
        <w:t xml:space="preserve"> </w:t>
      </w:r>
      <w:hyperlink r:id="rId21" w:history="1">
        <w:r w:rsidRPr="003227AB">
          <w:rPr>
            <w:rStyle w:val="Hyperlink"/>
            <w:i/>
            <w:iCs/>
            <w:color w:val="auto"/>
          </w:rPr>
          <w:t>Murphy v. Dep't. of Public Welfare, White Haven Center</w:t>
        </w:r>
        <w:r w:rsidRPr="003227AB">
          <w:rPr>
            <w:rStyle w:val="Hyperlink"/>
            <w:color w:val="auto"/>
          </w:rPr>
          <w:t>, 480 A.2d 382 (Pa.</w:t>
        </w:r>
        <w:r w:rsidR="003A0682">
          <w:rPr>
            <w:rStyle w:val="Hyperlink"/>
            <w:color w:val="auto"/>
          </w:rPr>
          <w:t xml:space="preserve"> </w:t>
        </w:r>
        <w:r w:rsidRPr="003227AB">
          <w:rPr>
            <w:rStyle w:val="Hyperlink"/>
            <w:color w:val="auto"/>
          </w:rPr>
          <w:t>Cmwlth. 1984).</w:t>
        </w:r>
      </w:hyperlink>
    </w:p>
    <w:p w:rsidR="00C643E9" w:rsidRDefault="00C643E9" w:rsidP="00605680">
      <w:pPr>
        <w:spacing w:line="360" w:lineRule="auto"/>
        <w:ind w:firstLine="1440"/>
      </w:pPr>
    </w:p>
    <w:p w:rsidR="0010644A" w:rsidRDefault="0010644A" w:rsidP="0010644A">
      <w:pPr>
        <w:spacing w:line="360" w:lineRule="auto"/>
        <w:ind w:firstLine="1440"/>
      </w:pPr>
      <w:r w:rsidRPr="003227AB">
        <w:t xml:space="preserve">The </w:t>
      </w:r>
      <w:r>
        <w:t>“</w:t>
      </w:r>
      <w:r w:rsidRPr="003227AB">
        <w:t>burden of proof</w:t>
      </w:r>
      <w:r>
        <w:t>”</w:t>
      </w:r>
      <w:r w:rsidRPr="003227AB">
        <w:t xml:space="preserve"> is composed of two distinct burdens</w:t>
      </w:r>
      <w:r>
        <w:t xml:space="preserve"> -</w:t>
      </w:r>
      <w:r w:rsidRPr="003227AB">
        <w:t xml:space="preserve"> the burden of production and the burden of persuasion.</w:t>
      </w:r>
      <w:r>
        <w:t xml:space="preserve">  </w:t>
      </w:r>
      <w:r>
        <w:rPr>
          <w:i/>
        </w:rPr>
        <w:t>See</w:t>
      </w:r>
      <w:r w:rsidR="003A0682">
        <w:rPr>
          <w:i/>
        </w:rPr>
        <w:t>, e.g., Roger McCall v. Pennsylvania Electric Company</w:t>
      </w:r>
      <w:r w:rsidR="003A0682">
        <w:t xml:space="preserve">, Docket No. </w:t>
      </w:r>
      <w:r w:rsidR="003A0682" w:rsidRPr="003A0682">
        <w:t>C-2014-2457946</w:t>
      </w:r>
      <w:r w:rsidR="003A0682">
        <w:t xml:space="preserve"> (Initial Decision </w:t>
      </w:r>
      <w:r w:rsidR="000952AF">
        <w:t xml:space="preserve">issued </w:t>
      </w:r>
      <w:r w:rsidR="003A0682">
        <w:t>J</w:t>
      </w:r>
      <w:r w:rsidR="00ED4FE1">
        <w:t>une 24</w:t>
      </w:r>
      <w:r w:rsidR="003A0682">
        <w:t>, 2015</w:t>
      </w:r>
      <w:r w:rsidR="00ED4FE1">
        <w:t>;</w:t>
      </w:r>
      <w:r w:rsidR="003A0682">
        <w:t xml:space="preserve"> Final Order </w:t>
      </w:r>
      <w:r w:rsidR="000952AF">
        <w:t xml:space="preserve">entered </w:t>
      </w:r>
      <w:r w:rsidR="00ED4FE1">
        <w:t xml:space="preserve">August 26, 2015) </w:t>
      </w:r>
      <w:r w:rsidR="00F174BC">
        <w:t>(</w:t>
      </w:r>
      <w:r w:rsidR="00F174BC">
        <w:rPr>
          <w:i/>
        </w:rPr>
        <w:t>McCall</w:t>
      </w:r>
      <w:r w:rsidR="00F174BC">
        <w:t>)</w:t>
      </w:r>
      <w:r w:rsidR="00F174BC">
        <w:rPr>
          <w:i/>
        </w:rPr>
        <w:t xml:space="preserve"> </w:t>
      </w:r>
      <w:r w:rsidR="00ED4FE1">
        <w:t>discussing</w:t>
      </w:r>
      <w:r w:rsidRPr="003A0682">
        <w:rPr>
          <w:i/>
        </w:rPr>
        <w:t xml:space="preserve"> </w:t>
      </w:r>
      <w:hyperlink r:id="rId22" w:history="1">
        <w:r w:rsidRPr="0010644A">
          <w:rPr>
            <w:rStyle w:val="Hyperlink"/>
            <w:i/>
            <w:iCs/>
            <w:color w:val="auto"/>
          </w:rPr>
          <w:t>Hurley v. Hurley</w:t>
        </w:r>
        <w:r w:rsidRPr="0010644A">
          <w:rPr>
            <w:rStyle w:val="Hyperlink"/>
            <w:color w:val="auto"/>
          </w:rPr>
          <w:t>, 754 A.2d 1283 (Pa. Super. 2000).</w:t>
        </w:r>
      </w:hyperlink>
      <w:r w:rsidRPr="0010644A">
        <w:br/>
      </w:r>
    </w:p>
    <w:p w:rsidR="00605680" w:rsidRPr="00F174BC" w:rsidRDefault="0010644A" w:rsidP="007E27FC">
      <w:pPr>
        <w:spacing w:line="360" w:lineRule="auto"/>
        <w:ind w:firstLine="1440"/>
      </w:pPr>
      <w:r w:rsidRPr="003227AB">
        <w:t xml:space="preserve">The burden of production, also called the burden of producing evidence or the burden of coming forward with evidence, determines which party must come forward with evidence to support a particular proposition. </w:t>
      </w:r>
      <w:r w:rsidR="00E4163F">
        <w:t xml:space="preserve"> </w:t>
      </w:r>
      <w:r w:rsidRPr="003227AB">
        <w:t>This burden may shift between the parties during the course of a trial.</w:t>
      </w:r>
      <w:r w:rsidR="007E27FC">
        <w:t xml:space="preserve">  </w:t>
      </w:r>
      <w:hyperlink r:id="rId23" w:history="1">
        <w:r w:rsidR="007E27FC" w:rsidRPr="007E27FC">
          <w:rPr>
            <w:rStyle w:val="Hyperlink"/>
            <w:i/>
            <w:color w:val="auto"/>
          </w:rPr>
          <w:t>Morrissey v. P</w:t>
        </w:r>
        <w:r w:rsidR="00D6599A">
          <w:rPr>
            <w:rStyle w:val="Hyperlink"/>
            <w:i/>
            <w:color w:val="auto"/>
          </w:rPr>
          <w:t>a.</w:t>
        </w:r>
        <w:r w:rsidR="007E27FC" w:rsidRPr="007E27FC">
          <w:rPr>
            <w:rStyle w:val="Hyperlink"/>
            <w:i/>
            <w:color w:val="auto"/>
          </w:rPr>
          <w:t xml:space="preserve"> Dept. of Highways</w:t>
        </w:r>
        <w:r w:rsidR="007E27FC" w:rsidRPr="005E344A">
          <w:rPr>
            <w:rStyle w:val="Hyperlink"/>
            <w:color w:val="auto"/>
          </w:rPr>
          <w:t>, 424 Pa. 87, 225 A.2d 895 (1967)</w:t>
        </w:r>
      </w:hyperlink>
      <w:r w:rsidR="007E27FC">
        <w:t>;</w:t>
      </w:r>
      <w:r w:rsidR="007E27FC" w:rsidRPr="005E344A">
        <w:t xml:space="preserve"> </w:t>
      </w:r>
      <w:r w:rsidR="007E27FC" w:rsidRPr="007E27FC">
        <w:rPr>
          <w:i/>
        </w:rPr>
        <w:t>Burleson v. Pa. PUC</w:t>
      </w:r>
      <w:r w:rsidR="007E27FC" w:rsidRPr="005E344A">
        <w:t xml:space="preserve">, </w:t>
      </w:r>
      <w:hyperlink r:id="rId24" w:history="1">
        <w:r w:rsidR="007E27FC" w:rsidRPr="005E344A">
          <w:rPr>
            <w:rStyle w:val="Hyperlink"/>
            <w:color w:val="auto"/>
          </w:rPr>
          <w:t>443 A.2d 1373 (</w:t>
        </w:r>
        <w:r w:rsidR="007E27FC">
          <w:rPr>
            <w:rStyle w:val="Hyperlink"/>
            <w:color w:val="auto"/>
          </w:rPr>
          <w:t>Pa. Cmwlth. 1</w:t>
        </w:r>
        <w:r w:rsidR="007E27FC" w:rsidRPr="005E344A">
          <w:rPr>
            <w:rStyle w:val="Hyperlink"/>
            <w:color w:val="auto"/>
          </w:rPr>
          <w:t>982),</w:t>
        </w:r>
      </w:hyperlink>
      <w:r w:rsidR="007E27FC" w:rsidRPr="005E344A">
        <w:t xml:space="preserve"> </w:t>
      </w:r>
      <w:r w:rsidR="007E27FC" w:rsidRPr="007E27FC">
        <w:rPr>
          <w:i/>
        </w:rPr>
        <w:t>aff'd</w:t>
      </w:r>
      <w:r w:rsidR="007E27FC" w:rsidRPr="005E344A">
        <w:t>.</w:t>
      </w:r>
      <w:r w:rsidR="007E27FC">
        <w:t xml:space="preserve"> </w:t>
      </w:r>
      <w:hyperlink r:id="rId25" w:history="1">
        <w:r w:rsidR="007E27FC" w:rsidRPr="005E344A">
          <w:rPr>
            <w:rStyle w:val="Hyperlink"/>
            <w:color w:val="auto"/>
          </w:rPr>
          <w:t>501 Pa. 443, 461 A.2d 1234</w:t>
        </w:r>
        <w:r w:rsidR="007E27FC">
          <w:rPr>
            <w:rStyle w:val="Hyperlink"/>
            <w:color w:val="auto"/>
          </w:rPr>
          <w:t xml:space="preserve"> (</w:t>
        </w:r>
        <w:r w:rsidR="00ED4FE1">
          <w:rPr>
            <w:rStyle w:val="Hyperlink"/>
            <w:color w:val="auto"/>
          </w:rPr>
          <w:t>1983</w:t>
        </w:r>
        <w:r w:rsidR="007E27FC">
          <w:rPr>
            <w:rStyle w:val="Hyperlink"/>
            <w:color w:val="auto"/>
          </w:rPr>
          <w:t>)</w:t>
        </w:r>
        <w:r w:rsidR="007E27FC" w:rsidRPr="005E344A">
          <w:rPr>
            <w:rStyle w:val="Hyperlink"/>
            <w:color w:val="auto"/>
          </w:rPr>
          <w:t>.</w:t>
        </w:r>
      </w:hyperlink>
      <w:r w:rsidR="007E27FC">
        <w:t xml:space="preserve">  </w:t>
      </w:r>
      <w:r w:rsidRPr="003227AB">
        <w:t xml:space="preserve">If the party </w:t>
      </w:r>
      <w:r>
        <w:t>w</w:t>
      </w:r>
      <w:r w:rsidRPr="003227AB">
        <w:t xml:space="preserve">ith the burden of production fails to introduce sufficient evidence the opposing party is entitled to receive a favorable ruling. </w:t>
      </w:r>
      <w:r>
        <w:t xml:space="preserve"> </w:t>
      </w:r>
      <w:r w:rsidRPr="003227AB">
        <w:t xml:space="preserve">That is, the opposing party would be entitled to a </w:t>
      </w:r>
      <w:r>
        <w:t xml:space="preserve">decision in </w:t>
      </w:r>
      <w:r w:rsidRPr="003227AB">
        <w:t>t</w:t>
      </w:r>
      <w:r>
        <w:t>hat party’s favor</w:t>
      </w:r>
      <w:r w:rsidRPr="003227AB">
        <w:t xml:space="preserve">. </w:t>
      </w:r>
      <w:r>
        <w:t xml:space="preserve"> </w:t>
      </w:r>
      <w:r w:rsidR="00E4163F">
        <w:t>However, o</w:t>
      </w:r>
      <w:r w:rsidRPr="003227AB">
        <w:t xml:space="preserve">nce the party with the initial burden of production introduces sufficient evidence to make out a </w:t>
      </w:r>
      <w:r w:rsidRPr="003227AB">
        <w:rPr>
          <w:i/>
        </w:rPr>
        <w:t>prima facie</w:t>
      </w:r>
      <w:r w:rsidRPr="003227AB">
        <w:t xml:space="preserve"> case, the burden of production shifts to the opposing party. </w:t>
      </w:r>
      <w:r>
        <w:t xml:space="preserve"> </w:t>
      </w:r>
      <w:r w:rsidRPr="003227AB">
        <w:t>If the opposing party introduces evidence sufficient to balance the evidence introduced by the party having the initial burden of production, the burden then shifts back to the party who had the initial burden to introduce more evidence favorable to his</w:t>
      </w:r>
      <w:r w:rsidR="00E4163F">
        <w:t>/her</w:t>
      </w:r>
      <w:r w:rsidRPr="003227AB">
        <w:t xml:space="preserve"> position. </w:t>
      </w:r>
      <w:r w:rsidR="00E4163F">
        <w:t xml:space="preserve"> </w:t>
      </w:r>
      <w:r w:rsidRPr="003227AB">
        <w:t>The burden of production goes to the legal sufficiency of a party</w:t>
      </w:r>
      <w:r>
        <w:t>’</w:t>
      </w:r>
      <w:r w:rsidRPr="003227AB">
        <w:t>s case.</w:t>
      </w:r>
      <w:r w:rsidR="00F174BC">
        <w:t xml:space="preserve">  </w:t>
      </w:r>
      <w:r w:rsidR="00F174BC">
        <w:rPr>
          <w:i/>
        </w:rPr>
        <w:t>See</w:t>
      </w:r>
      <w:r w:rsidR="00F174BC">
        <w:t xml:space="preserve"> </w:t>
      </w:r>
      <w:r w:rsidR="00F174BC">
        <w:rPr>
          <w:i/>
        </w:rPr>
        <w:t>McCall</w:t>
      </w:r>
      <w:r w:rsidR="00F174BC">
        <w:t>.</w:t>
      </w:r>
    </w:p>
    <w:p w:rsidR="00163FB4" w:rsidRDefault="00163FB4" w:rsidP="00605680">
      <w:pPr>
        <w:spacing w:line="360" w:lineRule="auto"/>
        <w:ind w:firstLine="1440"/>
      </w:pPr>
    </w:p>
    <w:p w:rsidR="00ED4FE1" w:rsidRDefault="0010644A" w:rsidP="00F174BC">
      <w:pPr>
        <w:spacing w:line="360" w:lineRule="auto"/>
        <w:ind w:firstLine="1440"/>
      </w:pPr>
      <w:r w:rsidRPr="0059287F">
        <w:t xml:space="preserve">Having passed the test of legal sufficiency, the party with the burden of proof must then bear the burden of persuasion to be entitled to a </w:t>
      </w:r>
      <w:r>
        <w:t>decision</w:t>
      </w:r>
      <w:r w:rsidRPr="0059287F">
        <w:t xml:space="preserve"> in </w:t>
      </w:r>
      <w:r>
        <w:t>that party’s</w:t>
      </w:r>
      <w:r w:rsidRPr="0059287F">
        <w:t xml:space="preserve"> favor.</w:t>
      </w:r>
      <w:r>
        <w:t xml:space="preserve">  </w:t>
      </w:r>
      <w:r>
        <w:rPr>
          <w:i/>
        </w:rPr>
        <w:t>See</w:t>
      </w:r>
      <w:r>
        <w:t xml:space="preserve"> </w:t>
      </w:r>
      <w:r>
        <w:rPr>
          <w:i/>
        </w:rPr>
        <w:t>Milkie v. Pa. PUC</w:t>
      </w:r>
      <w:r>
        <w:t>, 768 A.2d 1217 (Pa. Cmwlth. 2001);</w:t>
      </w:r>
      <w:r>
        <w:rPr>
          <w:i/>
        </w:rPr>
        <w:t xml:space="preserve"> </w:t>
      </w:r>
      <w:hyperlink r:id="rId26" w:history="1">
        <w:r w:rsidRPr="0059287F">
          <w:rPr>
            <w:rStyle w:val="Hyperlink"/>
            <w:i/>
            <w:iCs/>
            <w:color w:val="auto"/>
          </w:rPr>
          <w:t>Riedel v. County of Allegheny</w:t>
        </w:r>
        <w:r w:rsidRPr="0059287F">
          <w:rPr>
            <w:rStyle w:val="Hyperlink"/>
            <w:color w:val="auto"/>
          </w:rPr>
          <w:t xml:space="preserve">, </w:t>
        </w:r>
      </w:hyperlink>
      <w:hyperlink r:id="rId27" w:history="1">
        <w:r w:rsidRPr="0059287F">
          <w:rPr>
            <w:rStyle w:val="Hyperlink"/>
            <w:color w:val="auto"/>
          </w:rPr>
          <w:t>633 A.2d 1325</w:t>
        </w:r>
        <w:r w:rsidR="000952AF">
          <w:rPr>
            <w:rStyle w:val="Hyperlink"/>
            <w:color w:val="auto"/>
          </w:rPr>
          <w:t xml:space="preserve">, </w:t>
        </w:r>
      </w:hyperlink>
      <w:r w:rsidRPr="0059287F">
        <w:t xml:space="preserve"> 1328 n.11 (</w:t>
      </w:r>
      <w:r>
        <w:t>Pa. Cmwlth.</w:t>
      </w:r>
      <w:r w:rsidR="000952AF">
        <w:t xml:space="preserve"> </w:t>
      </w:r>
      <w:r w:rsidRPr="0059287F">
        <w:t>1993)</w:t>
      </w:r>
      <w:r>
        <w:t xml:space="preserve"> </w:t>
      </w:r>
      <w:r w:rsidR="000952AF">
        <w:t xml:space="preserve"> (</w:t>
      </w:r>
      <w:r>
        <w:t>“</w:t>
      </w:r>
      <w:r w:rsidRPr="0059287F">
        <w:t xml:space="preserve">[T]he burden of persuasion </w:t>
      </w:r>
      <w:r w:rsidRPr="0059287F">
        <w:lastRenderedPageBreak/>
        <w:t>never leaves the party on whom it is originally cast, but the burden of production may shift during the course of the proceedings</w:t>
      </w:r>
      <w:r w:rsidR="00F174BC">
        <w:t>.”</w:t>
      </w:r>
      <w:r w:rsidR="000952AF">
        <w:t>).</w:t>
      </w:r>
    </w:p>
    <w:p w:rsidR="000952AF" w:rsidRDefault="000952AF" w:rsidP="00F174BC">
      <w:pPr>
        <w:spacing w:line="360" w:lineRule="auto"/>
        <w:ind w:firstLine="1440"/>
        <w:rPr>
          <w:sz w:val="24"/>
          <w:szCs w:val="24"/>
          <w:u w:val="single"/>
        </w:rPr>
      </w:pPr>
    </w:p>
    <w:p w:rsidR="00C741D9" w:rsidRPr="001C344F" w:rsidRDefault="00C741D9" w:rsidP="000E34A9">
      <w:pPr>
        <w:pStyle w:val="ListParagraph"/>
        <w:keepNext/>
        <w:keepLines/>
        <w:numPr>
          <w:ilvl w:val="0"/>
          <w:numId w:val="37"/>
        </w:numPr>
        <w:spacing w:line="360" w:lineRule="auto"/>
        <w:rPr>
          <w:b/>
        </w:rPr>
      </w:pPr>
      <w:r w:rsidRPr="001C344F">
        <w:rPr>
          <w:b/>
        </w:rPr>
        <w:t>Account Change</w:t>
      </w:r>
    </w:p>
    <w:p w:rsidR="001C344F" w:rsidRDefault="001C344F" w:rsidP="000E34A9">
      <w:pPr>
        <w:keepNext/>
        <w:keepLines/>
        <w:spacing w:line="360" w:lineRule="auto"/>
        <w:ind w:firstLine="1440"/>
      </w:pPr>
    </w:p>
    <w:p w:rsidR="00ED4FE1" w:rsidRDefault="00C741D9" w:rsidP="0067012A">
      <w:pPr>
        <w:spacing w:line="360" w:lineRule="auto"/>
        <w:ind w:firstLine="1440"/>
      </w:pPr>
      <w:r w:rsidRPr="00C741D9">
        <w:t>On cons</w:t>
      </w:r>
      <w:r>
        <w:t xml:space="preserve">ideration of the positions of the </w:t>
      </w:r>
      <w:r w:rsidR="00F174BC">
        <w:t>P</w:t>
      </w:r>
      <w:r>
        <w:t xml:space="preserve">arties, the presiding ALJ found that </w:t>
      </w:r>
      <w:r w:rsidR="00E4163F">
        <w:t xml:space="preserve">it was uncontested that </w:t>
      </w:r>
      <w:r>
        <w:t xml:space="preserve">the </w:t>
      </w:r>
      <w:r w:rsidRPr="00C741D9">
        <w:t xml:space="preserve">changing </w:t>
      </w:r>
      <w:r>
        <w:t xml:space="preserve">of </w:t>
      </w:r>
      <w:r w:rsidRPr="00C741D9">
        <w:t xml:space="preserve">the account number </w:t>
      </w:r>
      <w:r>
        <w:t xml:space="preserve">in question by PPL </w:t>
      </w:r>
      <w:r w:rsidRPr="00C741D9">
        <w:t>was</w:t>
      </w:r>
      <w:r>
        <w:t xml:space="preserve"> the result of a simple and honestly made mistake</w:t>
      </w:r>
      <w:r w:rsidR="00E4163F">
        <w:t>.</w:t>
      </w:r>
      <w:r w:rsidR="007E27FC">
        <w:t xml:space="preserve">  I.D.</w:t>
      </w:r>
      <w:r w:rsidR="00ED4FE1">
        <w:t xml:space="preserve"> at 4</w:t>
      </w:r>
      <w:r w:rsidR="007E27FC">
        <w:t>.</w:t>
      </w:r>
      <w:r w:rsidR="00E4163F">
        <w:t xml:space="preserve">  The ALJ further concluded that</w:t>
      </w:r>
      <w:r>
        <w:t xml:space="preserve"> the</w:t>
      </w:r>
      <w:r w:rsidRPr="00C741D9">
        <w:t xml:space="preserve"> error did not amount to a violation of a statute, </w:t>
      </w:r>
      <w:r>
        <w:t>Commission R</w:t>
      </w:r>
      <w:r w:rsidRPr="00C741D9">
        <w:t xml:space="preserve">egulation or </w:t>
      </w:r>
      <w:r>
        <w:t>Commission p</w:t>
      </w:r>
      <w:r w:rsidRPr="00C741D9">
        <w:t>olicy.</w:t>
      </w:r>
      <w:r>
        <w:t xml:space="preserve">  I.D. at</w:t>
      </w:r>
      <w:r w:rsidR="00ED4FE1">
        <w:t xml:space="preserve"> 5</w:t>
      </w:r>
      <w:r>
        <w:t>.</w:t>
      </w:r>
    </w:p>
    <w:p w:rsidR="00BA40C6" w:rsidRPr="0067012A" w:rsidRDefault="00BA40C6" w:rsidP="0067012A">
      <w:pPr>
        <w:spacing w:line="360" w:lineRule="auto"/>
        <w:ind w:firstLine="1440"/>
      </w:pPr>
    </w:p>
    <w:p w:rsidR="00F9649E" w:rsidRPr="001C344F" w:rsidRDefault="00C741D9" w:rsidP="000E34A9">
      <w:pPr>
        <w:pStyle w:val="ListParagraph"/>
        <w:keepNext/>
        <w:keepLines/>
        <w:numPr>
          <w:ilvl w:val="0"/>
          <w:numId w:val="37"/>
        </w:numPr>
        <w:spacing w:line="360" w:lineRule="auto"/>
        <w:rPr>
          <w:b/>
        </w:rPr>
      </w:pPr>
      <w:r w:rsidRPr="001C344F">
        <w:rPr>
          <w:b/>
        </w:rPr>
        <w:t>Customer Service</w:t>
      </w:r>
    </w:p>
    <w:p w:rsidR="00D6599A" w:rsidRPr="00BA40C6" w:rsidRDefault="00D6599A" w:rsidP="000E34A9">
      <w:pPr>
        <w:keepNext/>
        <w:keepLines/>
        <w:spacing w:line="360" w:lineRule="auto"/>
        <w:ind w:firstLine="1440"/>
        <w:rPr>
          <w:b/>
        </w:rPr>
      </w:pPr>
    </w:p>
    <w:p w:rsidR="004A5E87" w:rsidRPr="006C312A" w:rsidRDefault="00F9649E" w:rsidP="004A5E87">
      <w:pPr>
        <w:spacing w:line="360" w:lineRule="auto"/>
        <w:ind w:firstLine="1440"/>
      </w:pPr>
      <w:r>
        <w:t xml:space="preserve">Regarding customer service, the ALJ concluded that Mr. Vianello’s complaints concerning his treatment by PPL </w:t>
      </w:r>
      <w:r w:rsidR="007E27FC">
        <w:t xml:space="preserve">customer service personnel </w:t>
      </w:r>
      <w:r>
        <w:t>w</w:t>
      </w:r>
      <w:r w:rsidR="007E27FC">
        <w:t>ere</w:t>
      </w:r>
      <w:r>
        <w:t xml:space="preserve"> imprecise and</w:t>
      </w:r>
      <w:r w:rsidR="000647C4">
        <w:t>, to the extent cognizable,</w:t>
      </w:r>
      <w:r>
        <w:t xml:space="preserve"> rebutted by Respondent.  </w:t>
      </w:r>
      <w:r w:rsidR="004A5E87">
        <w:t>The ALJ was persuaded that</w:t>
      </w:r>
      <w:r w:rsidR="004A5E87" w:rsidRPr="006C312A">
        <w:t xml:space="preserve"> PPL </w:t>
      </w:r>
      <w:r w:rsidR="004A5E87">
        <w:t xml:space="preserve">properly </w:t>
      </w:r>
      <w:r w:rsidR="004A5E87" w:rsidRPr="006C312A">
        <w:t xml:space="preserve">rebutted </w:t>
      </w:r>
      <w:r w:rsidR="004A5E87">
        <w:t>Mr. Vianello’s</w:t>
      </w:r>
      <w:r w:rsidR="004A5E87" w:rsidRPr="006C312A">
        <w:t xml:space="preserve"> allegation</w:t>
      </w:r>
      <w:r w:rsidR="00F174BC">
        <w:t>s</w:t>
      </w:r>
      <w:r w:rsidR="004A5E87" w:rsidRPr="006C312A">
        <w:t xml:space="preserve"> </w:t>
      </w:r>
      <w:r w:rsidR="004A5E87">
        <w:t xml:space="preserve">by reference to testimony </w:t>
      </w:r>
      <w:r w:rsidR="004A5E87" w:rsidRPr="006C312A">
        <w:t>that Complainant failed to return calls PPL made to him and refused to provide his last name during customer service calls</w:t>
      </w:r>
      <w:r w:rsidR="004A5E87">
        <w:t>, thereby</w:t>
      </w:r>
      <w:r w:rsidR="004A5E87" w:rsidRPr="006C312A">
        <w:t xml:space="preserve"> preventing PPL from sharing account information with </w:t>
      </w:r>
      <w:r w:rsidR="004A5E87">
        <w:t>Complainant</w:t>
      </w:r>
      <w:r w:rsidR="004A5E87" w:rsidRPr="006C312A">
        <w:t xml:space="preserve">.  </w:t>
      </w:r>
      <w:r w:rsidR="004A5E87">
        <w:t>I.D.</w:t>
      </w:r>
      <w:r w:rsidR="00D6599A">
        <w:t xml:space="preserve"> at</w:t>
      </w:r>
      <w:r w:rsidR="004B3099">
        <w:t xml:space="preserve"> 5</w:t>
      </w:r>
      <w:r w:rsidR="00D6599A">
        <w:t>;</w:t>
      </w:r>
      <w:r w:rsidR="004A5E87">
        <w:t xml:space="preserve"> </w:t>
      </w:r>
      <w:r w:rsidR="004A5E87" w:rsidRPr="006C312A">
        <w:t>Tr. at 15.</w:t>
      </w:r>
    </w:p>
    <w:p w:rsidR="004A5E87" w:rsidRDefault="004A5E87" w:rsidP="00605680">
      <w:pPr>
        <w:spacing w:line="360" w:lineRule="auto"/>
        <w:ind w:firstLine="1440"/>
      </w:pPr>
    </w:p>
    <w:p w:rsidR="00C741D9" w:rsidRPr="001C344F" w:rsidRDefault="00C741D9" w:rsidP="001C344F">
      <w:pPr>
        <w:pStyle w:val="ListParagraph"/>
        <w:numPr>
          <w:ilvl w:val="0"/>
          <w:numId w:val="37"/>
        </w:numPr>
        <w:spacing w:line="360" w:lineRule="auto"/>
        <w:rPr>
          <w:b/>
        </w:rPr>
      </w:pPr>
      <w:r w:rsidRPr="001C344F">
        <w:rPr>
          <w:b/>
        </w:rPr>
        <w:t>Change in Rates</w:t>
      </w:r>
    </w:p>
    <w:p w:rsidR="00C741D9" w:rsidRDefault="00C741D9" w:rsidP="00C741D9">
      <w:pPr>
        <w:spacing w:line="360" w:lineRule="auto"/>
        <w:ind w:firstLine="1440"/>
      </w:pPr>
    </w:p>
    <w:p w:rsidR="005766FB" w:rsidRDefault="00F9649E" w:rsidP="00C741D9">
      <w:pPr>
        <w:spacing w:line="360" w:lineRule="auto"/>
        <w:ind w:firstLine="1440"/>
      </w:pPr>
      <w:r>
        <w:t xml:space="preserve">The Initial Decision does not discuss Mr. Vianello’s </w:t>
      </w:r>
      <w:r w:rsidR="00D6599A">
        <w:t>allegations</w:t>
      </w:r>
      <w:r>
        <w:t xml:space="preserve"> regarding his change in rates due to the closing of his prior account and reopening the account with a new number.</w:t>
      </w:r>
      <w:r w:rsidR="004A5E87">
        <w:t xml:space="preserve">  </w:t>
      </w:r>
      <w:r w:rsidR="00D6599A">
        <w:t xml:space="preserve">These allegations were </w:t>
      </w:r>
      <w:r w:rsidR="008B2564">
        <w:t>discussed</w:t>
      </w:r>
      <w:r w:rsidR="00D6599A">
        <w:t xml:space="preserve"> at transcript</w:t>
      </w:r>
      <w:r w:rsidR="004A5E87">
        <w:t xml:space="preserve"> pages 29-39</w:t>
      </w:r>
      <w:r w:rsidR="005766FB">
        <w:t>.  We cite to the pertinent portions of the testimony</w:t>
      </w:r>
      <w:r w:rsidR="00FD64D4">
        <w:t xml:space="preserve"> of</w:t>
      </w:r>
      <w:r w:rsidR="003226A2">
        <w:t xml:space="preserve"> PPL witness, Ms. Weaver</w:t>
      </w:r>
      <w:r w:rsidR="005766FB">
        <w:t>:</w:t>
      </w:r>
    </w:p>
    <w:p w:rsidR="005766FB" w:rsidRDefault="005766FB" w:rsidP="00C741D9">
      <w:pPr>
        <w:spacing w:line="360" w:lineRule="auto"/>
        <w:ind w:firstLine="1440"/>
      </w:pPr>
    </w:p>
    <w:p w:rsidR="005766FB" w:rsidRPr="002B0482" w:rsidRDefault="005766FB" w:rsidP="002B0482">
      <w:pPr>
        <w:ind w:left="1440" w:right="1440"/>
      </w:pPr>
      <w:r w:rsidRPr="002B0482">
        <w:lastRenderedPageBreak/>
        <w:t>Q.</w:t>
      </w:r>
      <w:r w:rsidRPr="002B0482">
        <w:tab/>
        <w:t>[Attorney Krupka] Now with respect to the supplier issue, were you able to determine the rate at which Talen was charging ---?</w:t>
      </w:r>
    </w:p>
    <w:p w:rsidR="002B0482" w:rsidRPr="002B0482" w:rsidRDefault="002B0482" w:rsidP="002B0482">
      <w:pPr>
        <w:ind w:left="1440" w:right="1440"/>
      </w:pPr>
    </w:p>
    <w:p w:rsidR="005766FB" w:rsidRPr="002B0482" w:rsidRDefault="005766FB" w:rsidP="002B0482">
      <w:pPr>
        <w:ind w:left="1440" w:right="1440"/>
      </w:pPr>
      <w:r w:rsidRPr="002B0482">
        <w:tab/>
      </w:r>
      <w:r w:rsidRPr="002B0482">
        <w:rPr>
          <w:u w:val="single"/>
        </w:rPr>
        <w:t>MR. VIANELLO:</w:t>
      </w:r>
    </w:p>
    <w:p w:rsidR="005766FB" w:rsidRDefault="005766FB" w:rsidP="002B0482">
      <w:pPr>
        <w:ind w:left="1440" w:right="1440"/>
      </w:pPr>
      <w:r w:rsidRPr="002B0482">
        <w:tab/>
        <w:t>Excuse me. Excuse me.  Can you please repeat the previous question and answer?</w:t>
      </w:r>
    </w:p>
    <w:p w:rsidR="00ED2956" w:rsidRPr="002B0482" w:rsidRDefault="00ED2956" w:rsidP="002B0482">
      <w:pPr>
        <w:ind w:left="1440" w:right="1440"/>
      </w:pPr>
    </w:p>
    <w:p w:rsidR="005766FB" w:rsidRPr="002B0482" w:rsidRDefault="005766FB" w:rsidP="002B0482">
      <w:pPr>
        <w:ind w:left="1440" w:right="1440"/>
      </w:pPr>
      <w:r w:rsidRPr="002B0482">
        <w:tab/>
      </w:r>
      <w:r w:rsidRPr="002B0482">
        <w:rPr>
          <w:u w:val="single"/>
        </w:rPr>
        <w:t xml:space="preserve">JUDGE: </w:t>
      </w:r>
    </w:p>
    <w:p w:rsidR="005766FB" w:rsidRPr="002B0482" w:rsidRDefault="005766FB" w:rsidP="002B0482">
      <w:pPr>
        <w:ind w:left="1440" w:right="1440"/>
      </w:pPr>
      <w:r w:rsidRPr="002B0482">
        <w:tab/>
        <w:t>I don’t think so, Vianello.  We’ve passed that.  Go</w:t>
      </w:r>
      <w:r w:rsidR="003226A2">
        <w:t xml:space="preserve"> ahead,</w:t>
      </w:r>
      <w:r w:rsidRPr="002B0482">
        <w:t xml:space="preserve"> Ms. Krupka.</w:t>
      </w:r>
    </w:p>
    <w:p w:rsidR="005766FB" w:rsidRPr="002B0482" w:rsidRDefault="005766FB" w:rsidP="002B0482">
      <w:pPr>
        <w:ind w:left="1440" w:right="1440"/>
      </w:pPr>
    </w:p>
    <w:p w:rsidR="005766FB" w:rsidRPr="002B0482" w:rsidRDefault="005766FB" w:rsidP="002B0482">
      <w:pPr>
        <w:ind w:left="1440" w:right="1440"/>
      </w:pPr>
      <w:r w:rsidRPr="002B0482">
        <w:rPr>
          <w:u w:val="single"/>
        </w:rPr>
        <w:t>BY ATTORNEY KRUPKA:</w:t>
      </w:r>
    </w:p>
    <w:p w:rsidR="005766FB" w:rsidRPr="002B0482" w:rsidRDefault="005766FB" w:rsidP="002B0482">
      <w:pPr>
        <w:ind w:left="1440" w:right="1440"/>
      </w:pPr>
      <w:r w:rsidRPr="002B0482">
        <w:t>Q.</w:t>
      </w:r>
      <w:r w:rsidRPr="002B0482">
        <w:tab/>
        <w:t>Ms. Weaver, were you able to determine the kwh generation charge of Talen Energy?</w:t>
      </w:r>
    </w:p>
    <w:p w:rsidR="005766FB" w:rsidRPr="002B0482" w:rsidRDefault="005766FB" w:rsidP="002B0482">
      <w:pPr>
        <w:ind w:left="1440" w:right="1440"/>
      </w:pPr>
    </w:p>
    <w:p w:rsidR="005766FB" w:rsidRPr="002B0482" w:rsidRDefault="005766FB" w:rsidP="002B0482">
      <w:pPr>
        <w:ind w:left="1440" w:right="1440"/>
      </w:pPr>
      <w:r w:rsidRPr="002B0482">
        <w:t>A.</w:t>
      </w:r>
      <w:r w:rsidRPr="002B0482">
        <w:tab/>
        <w:t>Yes.</w:t>
      </w:r>
    </w:p>
    <w:p w:rsidR="005766FB" w:rsidRPr="002B0482" w:rsidRDefault="005766FB" w:rsidP="002B0482">
      <w:pPr>
        <w:ind w:left="1440" w:right="1440"/>
      </w:pPr>
    </w:p>
    <w:p w:rsidR="005766FB" w:rsidRPr="002B0482" w:rsidRDefault="005766FB" w:rsidP="002B0482">
      <w:pPr>
        <w:ind w:left="1440" w:right="1440"/>
      </w:pPr>
      <w:r w:rsidRPr="002B0482">
        <w:t>Q.</w:t>
      </w:r>
      <w:r w:rsidRPr="002B0482">
        <w:tab/>
        <w:t>During the time that Silver Valley Apartments was connected, what was that amount?</w:t>
      </w:r>
    </w:p>
    <w:p w:rsidR="005766FB" w:rsidRPr="002B0482" w:rsidRDefault="005766FB" w:rsidP="002B0482">
      <w:pPr>
        <w:ind w:left="1440" w:right="1440"/>
      </w:pPr>
    </w:p>
    <w:p w:rsidR="005766FB" w:rsidRPr="002B0482" w:rsidRDefault="005766FB" w:rsidP="002B0482">
      <w:pPr>
        <w:ind w:left="1440" w:right="1440"/>
      </w:pPr>
      <w:r w:rsidRPr="002B0482">
        <w:t>A.</w:t>
      </w:r>
      <w:r w:rsidRPr="002B0482">
        <w:tab/>
        <w:t>Their rate was .0751.</w:t>
      </w:r>
    </w:p>
    <w:p w:rsidR="005766FB" w:rsidRPr="002B0482" w:rsidRDefault="005766FB" w:rsidP="002B0482">
      <w:pPr>
        <w:ind w:left="1440" w:right="1440"/>
      </w:pPr>
    </w:p>
    <w:p w:rsidR="005766FB" w:rsidRPr="002B0482" w:rsidRDefault="005766FB" w:rsidP="002B0482">
      <w:pPr>
        <w:ind w:left="1440" w:right="1440"/>
      </w:pPr>
      <w:r w:rsidRPr="002B0482">
        <w:t>Q.</w:t>
      </w:r>
      <w:r w:rsidRPr="002B0482">
        <w:tab/>
        <w:t>So is that 7.51 cents?</w:t>
      </w:r>
    </w:p>
    <w:p w:rsidR="005766FB" w:rsidRPr="002B0482" w:rsidRDefault="005766FB" w:rsidP="002B0482">
      <w:pPr>
        <w:ind w:left="1440" w:right="1440"/>
      </w:pPr>
    </w:p>
    <w:p w:rsidR="005766FB" w:rsidRPr="002B0482" w:rsidRDefault="005766FB" w:rsidP="002B0482">
      <w:pPr>
        <w:ind w:left="1440" w:right="1440"/>
      </w:pPr>
      <w:r w:rsidRPr="002B0482">
        <w:t>A.</w:t>
      </w:r>
      <w:r w:rsidRPr="002B0482">
        <w:tab/>
        <w:t>Yes.</w:t>
      </w:r>
    </w:p>
    <w:p w:rsidR="005766FB" w:rsidRPr="002B0482" w:rsidRDefault="005766FB" w:rsidP="002B0482">
      <w:pPr>
        <w:ind w:left="1440" w:right="1440"/>
      </w:pPr>
    </w:p>
    <w:p w:rsidR="005766FB" w:rsidRPr="002B0482" w:rsidRDefault="005766FB" w:rsidP="002B0482">
      <w:pPr>
        <w:ind w:left="1440" w:right="1440"/>
      </w:pPr>
      <w:r w:rsidRPr="002B0482">
        <w:t>Q.</w:t>
      </w:r>
      <w:r w:rsidRPr="002B0482">
        <w:tab/>
        <w:t>And what was PPL’s rate in November of 2014?</w:t>
      </w:r>
    </w:p>
    <w:p w:rsidR="005766FB" w:rsidRPr="002B0482" w:rsidRDefault="005766FB" w:rsidP="002B0482">
      <w:pPr>
        <w:ind w:left="1440" w:right="1440"/>
      </w:pPr>
    </w:p>
    <w:p w:rsidR="005766FB" w:rsidRPr="002B0482" w:rsidRDefault="005766FB" w:rsidP="002B0482">
      <w:pPr>
        <w:ind w:left="1440" w:right="1440"/>
      </w:pPr>
      <w:r w:rsidRPr="002B0482">
        <w:t>A.</w:t>
      </w:r>
      <w:r w:rsidRPr="002B0482">
        <w:tab/>
        <w:t>It was 8.75.</w:t>
      </w:r>
    </w:p>
    <w:p w:rsidR="005766FB" w:rsidRDefault="005766FB" w:rsidP="002B0482">
      <w:pPr>
        <w:ind w:left="1440" w:right="1440"/>
      </w:pPr>
    </w:p>
    <w:p w:rsidR="002B0482" w:rsidRPr="002B0482" w:rsidRDefault="002B0482" w:rsidP="002B0482">
      <w:pPr>
        <w:ind w:left="1440" w:right="1440"/>
        <w:jc w:val="center"/>
      </w:pPr>
      <w:r>
        <w:rPr>
          <w:rFonts w:ascii="Verdana" w:hAnsi="Verdana"/>
          <w:color w:val="333333"/>
          <w:sz w:val="20"/>
          <w:szCs w:val="20"/>
        </w:rPr>
        <w:t>*          *          *</w:t>
      </w:r>
      <w:r w:rsidRPr="00EC54B2">
        <w:rPr>
          <w:rFonts w:ascii="Verdana" w:hAnsi="Verdana"/>
          <w:color w:val="333333"/>
          <w:sz w:val="20"/>
          <w:szCs w:val="20"/>
        </w:rPr>
        <w:t xml:space="preserve">    </w:t>
      </w:r>
    </w:p>
    <w:p w:rsidR="005766FB" w:rsidRPr="002B0482" w:rsidRDefault="002B0482" w:rsidP="002B0482">
      <w:pPr>
        <w:ind w:left="1440" w:right="1440"/>
        <w:jc w:val="center"/>
      </w:pPr>
      <w:r>
        <w:t xml:space="preserve">          </w:t>
      </w:r>
    </w:p>
    <w:p w:rsidR="005766FB" w:rsidRPr="002B0482" w:rsidRDefault="009D2EB5" w:rsidP="002B0482">
      <w:pPr>
        <w:ind w:left="1440" w:right="1440"/>
      </w:pPr>
      <w:r w:rsidRPr="002B0482">
        <w:rPr>
          <w:u w:val="single"/>
        </w:rPr>
        <w:t>BY ATTORNEY KRUPKA:</w:t>
      </w:r>
    </w:p>
    <w:p w:rsidR="009D2EB5" w:rsidRPr="002B0482" w:rsidRDefault="009D2EB5" w:rsidP="002B0482">
      <w:pPr>
        <w:ind w:left="1440" w:right="1440"/>
      </w:pPr>
      <w:r w:rsidRPr="002B0482">
        <w:t>Q.</w:t>
      </w:r>
      <w:r w:rsidRPr="002B0482">
        <w:tab/>
        <w:t>And what was PPL’s rate during that --- I’m sorry, PPL’s rate in October?  Can you --- November, I’m sorry.  Can you tell us what PPL’s rate was in December of 2005?</w:t>
      </w:r>
    </w:p>
    <w:p w:rsidR="009D2EB5" w:rsidRPr="002B0482" w:rsidRDefault="009D2EB5" w:rsidP="002B0482">
      <w:pPr>
        <w:ind w:left="1440" w:right="1440"/>
      </w:pPr>
    </w:p>
    <w:p w:rsidR="009D2EB5" w:rsidRPr="002B0482" w:rsidRDefault="009D2EB5" w:rsidP="002B0482">
      <w:pPr>
        <w:ind w:left="1440" w:right="1440"/>
      </w:pPr>
      <w:r w:rsidRPr="002B0482">
        <w:t>A.</w:t>
      </w:r>
      <w:r w:rsidRPr="002B0482">
        <w:tab/>
        <w:t>2014?</w:t>
      </w:r>
    </w:p>
    <w:p w:rsidR="009D2EB5" w:rsidRPr="002B0482" w:rsidRDefault="009D2EB5" w:rsidP="002B0482">
      <w:pPr>
        <w:ind w:left="1440" w:right="1440"/>
      </w:pPr>
    </w:p>
    <w:p w:rsidR="009D2EB5" w:rsidRPr="002B0482" w:rsidRDefault="009D2EB5" w:rsidP="002B0482">
      <w:pPr>
        <w:ind w:left="1440" w:right="1440"/>
      </w:pPr>
      <w:r w:rsidRPr="002B0482">
        <w:t>Q.</w:t>
      </w:r>
      <w:r w:rsidRPr="002B0482">
        <w:tab/>
        <w:t>2014, I’m sorry.</w:t>
      </w:r>
    </w:p>
    <w:p w:rsidR="009D2EB5" w:rsidRPr="002B0482" w:rsidRDefault="009D2EB5" w:rsidP="002B0482">
      <w:pPr>
        <w:ind w:left="1440" w:right="1440"/>
      </w:pPr>
    </w:p>
    <w:p w:rsidR="009D2EB5" w:rsidRPr="002B0482" w:rsidRDefault="009D2EB5" w:rsidP="002B0482">
      <w:pPr>
        <w:ind w:left="1440" w:right="1440"/>
      </w:pPr>
      <w:r w:rsidRPr="002B0482">
        <w:t>A.</w:t>
      </w:r>
      <w:r w:rsidRPr="002B0482">
        <w:tab/>
        <w:t>It was 9.25</w:t>
      </w:r>
    </w:p>
    <w:p w:rsidR="009D2EB5" w:rsidRPr="002B0482" w:rsidRDefault="009D2EB5" w:rsidP="002B0482">
      <w:pPr>
        <w:ind w:left="1440" w:right="1440"/>
      </w:pPr>
    </w:p>
    <w:p w:rsidR="009D2EB5" w:rsidRPr="002B0482" w:rsidRDefault="009D2EB5" w:rsidP="002B0482">
      <w:pPr>
        <w:ind w:left="1440" w:right="1440"/>
      </w:pPr>
      <w:r w:rsidRPr="002B0482">
        <w:t>Q.</w:t>
      </w:r>
      <w:r w:rsidRPr="002B0482">
        <w:tab/>
      </w:r>
      <w:r w:rsidR="00921886" w:rsidRPr="002B0482">
        <w:t>And was</w:t>
      </w:r>
      <w:r w:rsidRPr="002B0482">
        <w:t xml:space="preserve"> that the same rate for PPL in both January and February of 2015?</w:t>
      </w:r>
    </w:p>
    <w:p w:rsidR="009D2EB5" w:rsidRPr="002B0482" w:rsidRDefault="009D2EB5" w:rsidP="002B0482">
      <w:pPr>
        <w:ind w:left="1440" w:right="1440"/>
      </w:pPr>
    </w:p>
    <w:p w:rsidR="009D2EB5" w:rsidRPr="002B0482" w:rsidRDefault="009D2EB5" w:rsidP="002B0482">
      <w:pPr>
        <w:ind w:left="1440" w:right="1440"/>
      </w:pPr>
      <w:r w:rsidRPr="002B0482">
        <w:t>A.</w:t>
      </w:r>
      <w:r w:rsidRPr="002B0482">
        <w:tab/>
        <w:t>Yes, it was.</w:t>
      </w:r>
    </w:p>
    <w:p w:rsidR="009D2EB5" w:rsidRPr="002B0482" w:rsidRDefault="009D2EB5" w:rsidP="002B0482">
      <w:pPr>
        <w:ind w:left="1440" w:right="1440"/>
      </w:pPr>
    </w:p>
    <w:p w:rsidR="009D2EB5" w:rsidRPr="002B0482" w:rsidRDefault="009D2EB5" w:rsidP="002B0482">
      <w:pPr>
        <w:ind w:left="1440" w:right="1440"/>
      </w:pPr>
      <w:r w:rsidRPr="002B0482">
        <w:t>Q.</w:t>
      </w:r>
      <w:r w:rsidRPr="002B0482">
        <w:tab/>
        <w:t>And have you been able to determine the difference in the monthly bills between the Talen rate and the PPL rate that the customer was charged?  I’m going to ask you with regard to each bill.</w:t>
      </w:r>
    </w:p>
    <w:p w:rsidR="009D2EB5" w:rsidRPr="002B0482" w:rsidRDefault="009D2EB5" w:rsidP="002B0482">
      <w:pPr>
        <w:ind w:left="1440" w:right="1440"/>
      </w:pPr>
    </w:p>
    <w:p w:rsidR="009D2EB5" w:rsidRDefault="009D2EB5" w:rsidP="002B0482">
      <w:pPr>
        <w:ind w:left="1440" w:right="1440"/>
      </w:pPr>
      <w:r w:rsidRPr="002B0482">
        <w:t>A.</w:t>
      </w:r>
      <w:r w:rsidRPr="002B0482">
        <w:tab/>
        <w:t>Yes.</w:t>
      </w:r>
    </w:p>
    <w:p w:rsidR="002B0482" w:rsidRPr="002B0482" w:rsidRDefault="002B0482" w:rsidP="002B0482">
      <w:pPr>
        <w:ind w:left="1440" w:right="1440"/>
      </w:pPr>
    </w:p>
    <w:p w:rsidR="00095262" w:rsidRPr="002B0482" w:rsidRDefault="00095262" w:rsidP="002B0482">
      <w:pPr>
        <w:ind w:left="1440" w:right="1440"/>
      </w:pPr>
      <w:r w:rsidRPr="002B0482">
        <w:t>Q.</w:t>
      </w:r>
      <w:r w:rsidRPr="002B0482">
        <w:tab/>
        <w:t>With regard to the bill issued December 23, 2014, what would the savings have been if those 3,698 kilowatts were charged at the lower Talen rate?</w:t>
      </w:r>
    </w:p>
    <w:p w:rsidR="00095262" w:rsidRPr="002B0482" w:rsidRDefault="00095262" w:rsidP="002B0482">
      <w:pPr>
        <w:ind w:left="1440" w:right="1440"/>
      </w:pPr>
    </w:p>
    <w:p w:rsidR="00095262" w:rsidRPr="002B0482" w:rsidRDefault="00095262" w:rsidP="002B0482">
      <w:pPr>
        <w:ind w:left="1440" w:right="1440"/>
      </w:pPr>
      <w:r w:rsidRPr="002B0482">
        <w:t>A.</w:t>
      </w:r>
      <w:r w:rsidRPr="002B0482">
        <w:tab/>
        <w:t>It would have been $53.02.</w:t>
      </w:r>
    </w:p>
    <w:p w:rsidR="00095262" w:rsidRPr="002B0482" w:rsidRDefault="00095262" w:rsidP="002B0482">
      <w:pPr>
        <w:ind w:left="1440" w:right="1440"/>
      </w:pPr>
    </w:p>
    <w:p w:rsidR="00095262" w:rsidRPr="002B0482" w:rsidRDefault="00095262" w:rsidP="002B0482">
      <w:pPr>
        <w:ind w:left="1440" w:right="1440"/>
      </w:pPr>
      <w:r w:rsidRPr="002B0482">
        <w:t>Q.</w:t>
      </w:r>
      <w:r w:rsidRPr="002B0482">
        <w:tab/>
        <w:t>And ---,</w:t>
      </w:r>
    </w:p>
    <w:p w:rsidR="00095262" w:rsidRPr="002B0482" w:rsidRDefault="00095262" w:rsidP="002B0482">
      <w:pPr>
        <w:ind w:left="1440" w:right="1440"/>
      </w:pPr>
    </w:p>
    <w:p w:rsidR="00095262" w:rsidRPr="002B0482" w:rsidRDefault="00095262" w:rsidP="002B0482">
      <w:pPr>
        <w:ind w:left="1440" w:right="1440"/>
      </w:pPr>
      <w:r w:rsidRPr="002B0482">
        <w:t>A.</w:t>
      </w:r>
      <w:r w:rsidRPr="002B0482">
        <w:tab/>
        <w:t>I’m sorry.  I’m sorry.  $64.34.</w:t>
      </w:r>
    </w:p>
    <w:p w:rsidR="00095262" w:rsidRPr="002B0482" w:rsidRDefault="00095262" w:rsidP="002B0482">
      <w:pPr>
        <w:ind w:left="1440" w:right="1440"/>
      </w:pPr>
    </w:p>
    <w:p w:rsidR="00095262" w:rsidRPr="002B0482" w:rsidRDefault="00095262" w:rsidP="002B0482">
      <w:pPr>
        <w:ind w:left="1440" w:right="1440"/>
      </w:pPr>
      <w:r w:rsidRPr="002B0482">
        <w:t>Q.</w:t>
      </w:r>
      <w:r w:rsidRPr="002B0482">
        <w:tab/>
        <w:t>And if the January 7</w:t>
      </w:r>
      <w:r w:rsidRPr="002B0482">
        <w:rPr>
          <w:vertAlign w:val="superscript"/>
        </w:rPr>
        <w:t>th</w:t>
      </w:r>
      <w:r w:rsidRPr="002B0482">
        <w:t>, 2015 bill, which was for 3,047 kilowatts ---?</w:t>
      </w:r>
    </w:p>
    <w:p w:rsidR="00095262" w:rsidRPr="002B0482" w:rsidRDefault="00095262" w:rsidP="002B0482">
      <w:pPr>
        <w:ind w:left="1440" w:right="1440"/>
      </w:pPr>
    </w:p>
    <w:p w:rsidR="00095262" w:rsidRPr="002B0482" w:rsidRDefault="00095262" w:rsidP="002B0482">
      <w:pPr>
        <w:ind w:left="1440" w:right="1440"/>
      </w:pPr>
      <w:r w:rsidRPr="002B0482">
        <w:t>A.</w:t>
      </w:r>
      <w:r w:rsidRPr="002B0482">
        <w:tab/>
        <w:t>That would have been for $53.02.</w:t>
      </w:r>
    </w:p>
    <w:p w:rsidR="00095262" w:rsidRPr="002B0482" w:rsidRDefault="00095262" w:rsidP="002B0482">
      <w:pPr>
        <w:ind w:left="1440" w:right="1440"/>
      </w:pPr>
    </w:p>
    <w:p w:rsidR="00095262" w:rsidRPr="002B0482" w:rsidRDefault="00095262" w:rsidP="002B0482">
      <w:pPr>
        <w:ind w:left="1440" w:right="1440"/>
      </w:pPr>
      <w:r w:rsidRPr="002B0482">
        <w:t>Q.</w:t>
      </w:r>
      <w:r w:rsidRPr="002B0482">
        <w:tab/>
        <w:t>And I’m going to go to the next bill which was issued February 4 of 2015.  What was the difference?</w:t>
      </w:r>
    </w:p>
    <w:p w:rsidR="00095262" w:rsidRPr="002B0482" w:rsidRDefault="00095262" w:rsidP="002B0482">
      <w:pPr>
        <w:ind w:left="1440" w:right="1440"/>
      </w:pPr>
    </w:p>
    <w:p w:rsidR="00095262" w:rsidRPr="002B0482" w:rsidRDefault="00095262" w:rsidP="002B0482">
      <w:pPr>
        <w:ind w:left="1440" w:right="1440"/>
      </w:pPr>
      <w:r w:rsidRPr="002B0482">
        <w:t>A.</w:t>
      </w:r>
      <w:r w:rsidRPr="002B0482">
        <w:tab/>
        <w:t>The savings would have been $33.58.</w:t>
      </w:r>
    </w:p>
    <w:p w:rsidR="00095262" w:rsidRPr="002B0482" w:rsidRDefault="00095262" w:rsidP="002B0482">
      <w:pPr>
        <w:ind w:left="1440" w:right="1440"/>
      </w:pPr>
    </w:p>
    <w:p w:rsidR="00095262" w:rsidRPr="002B0482" w:rsidRDefault="00095262" w:rsidP="002B0482">
      <w:pPr>
        <w:ind w:left="1440" w:right="1440"/>
      </w:pPr>
      <w:r w:rsidRPr="002B0482">
        <w:t>Q.</w:t>
      </w:r>
      <w:r w:rsidRPr="002B0482">
        <w:tab/>
        <w:t>And then I’m going to ask you for one more month.  Were you able to calculate what the difference would have been for that bill?</w:t>
      </w:r>
    </w:p>
    <w:p w:rsidR="00095262" w:rsidRPr="002B0482" w:rsidRDefault="00095262" w:rsidP="002B0482">
      <w:pPr>
        <w:ind w:left="1440" w:right="1440"/>
      </w:pPr>
    </w:p>
    <w:p w:rsidR="00095262" w:rsidRPr="002B0482" w:rsidRDefault="00095262" w:rsidP="002B0482">
      <w:pPr>
        <w:ind w:left="1440" w:right="1440"/>
      </w:pPr>
      <w:r w:rsidRPr="002B0482">
        <w:t>A.</w:t>
      </w:r>
      <w:r w:rsidRPr="002B0482">
        <w:tab/>
        <w:t>Yes, it would have been $41.67.</w:t>
      </w:r>
    </w:p>
    <w:p w:rsidR="00095262" w:rsidRPr="002B0482" w:rsidRDefault="00095262" w:rsidP="002B0482">
      <w:pPr>
        <w:ind w:left="1440" w:right="1440"/>
      </w:pPr>
    </w:p>
    <w:p w:rsidR="00946367" w:rsidRPr="002B0482" w:rsidRDefault="00095262" w:rsidP="002B0482">
      <w:pPr>
        <w:ind w:left="1440" w:right="1440"/>
      </w:pPr>
      <w:r w:rsidRPr="002B0482">
        <w:t>Q.</w:t>
      </w:r>
      <w:r w:rsidRPr="002B0482">
        <w:tab/>
      </w:r>
      <w:r w:rsidR="00946367" w:rsidRPr="002B0482">
        <w:t>And is PPL in agreement that for a three-month period of time, they would be willing to credit the account for the difference between the Talen rate and the higher rate charged by PPL?</w:t>
      </w:r>
    </w:p>
    <w:p w:rsidR="00946367" w:rsidRPr="002B0482" w:rsidRDefault="00946367" w:rsidP="002B0482">
      <w:pPr>
        <w:ind w:left="1440" w:right="1440"/>
      </w:pPr>
    </w:p>
    <w:p w:rsidR="00946367" w:rsidRPr="002B0482" w:rsidRDefault="00946367" w:rsidP="002B0482">
      <w:pPr>
        <w:ind w:left="1440" w:right="1440"/>
      </w:pPr>
      <w:r w:rsidRPr="002B0482">
        <w:t>A.</w:t>
      </w:r>
      <w:r w:rsidRPr="002B0482">
        <w:tab/>
        <w:t>Yes, they would do that for the customer.</w:t>
      </w:r>
    </w:p>
    <w:p w:rsidR="00946367" w:rsidRPr="002B0482" w:rsidRDefault="00946367" w:rsidP="002B0482">
      <w:pPr>
        <w:ind w:left="1440" w:right="1440"/>
      </w:pPr>
    </w:p>
    <w:p w:rsidR="00946367" w:rsidRPr="002B0482" w:rsidRDefault="00946367" w:rsidP="002B0482">
      <w:pPr>
        <w:ind w:left="1440" w:right="1440"/>
      </w:pPr>
      <w:r w:rsidRPr="002B0482">
        <w:t>Q.</w:t>
      </w:r>
      <w:r w:rsidRPr="002B0482">
        <w:tab/>
        <w:t>And for the first three bills which actually cover approximately 120 days, do you know what that difference is for the first three bills?</w:t>
      </w:r>
    </w:p>
    <w:p w:rsidR="00946367" w:rsidRPr="002B0482" w:rsidRDefault="00946367" w:rsidP="002B0482">
      <w:pPr>
        <w:ind w:left="1440" w:right="1440"/>
      </w:pPr>
    </w:p>
    <w:p w:rsidR="00946367" w:rsidRPr="002B0482" w:rsidRDefault="00946367" w:rsidP="002B0482">
      <w:pPr>
        <w:ind w:left="1440" w:right="1440"/>
      </w:pPr>
      <w:r w:rsidRPr="002B0482">
        <w:t>A.</w:t>
      </w:r>
      <w:r w:rsidRPr="002B0482">
        <w:tab/>
        <w:t>Yes, the total would be $160.94.</w:t>
      </w:r>
    </w:p>
    <w:p w:rsidR="00946367" w:rsidRPr="002B0482" w:rsidRDefault="00946367" w:rsidP="002B0482">
      <w:pPr>
        <w:ind w:left="1440" w:right="1440"/>
      </w:pPr>
    </w:p>
    <w:p w:rsidR="00946367" w:rsidRPr="002B0482" w:rsidRDefault="00946367" w:rsidP="002B0482">
      <w:pPr>
        <w:ind w:left="1440" w:right="1440"/>
      </w:pPr>
      <w:r w:rsidRPr="002B0482">
        <w:t>Q.</w:t>
      </w:r>
      <w:r w:rsidRPr="002B0482">
        <w:tab/>
      </w:r>
      <w:r w:rsidR="002B0482" w:rsidRPr="002B0482">
        <w:t>And from that date forward was PPL attempting to work with the customer so that the customer would have been able to speak with PPL and re-</w:t>
      </w:r>
      <w:r w:rsidR="003226A2">
        <w:t>enroll</w:t>
      </w:r>
      <w:r w:rsidR="002B0482" w:rsidRPr="002B0482">
        <w:t>, should he wish, with Talen</w:t>
      </w:r>
      <w:r w:rsidR="00FD64D4">
        <w:t>?</w:t>
      </w:r>
    </w:p>
    <w:p w:rsidR="002B0482" w:rsidRPr="002B0482" w:rsidRDefault="002B0482" w:rsidP="002B0482">
      <w:pPr>
        <w:ind w:left="1440" w:right="1440"/>
      </w:pPr>
    </w:p>
    <w:p w:rsidR="00B62986" w:rsidRDefault="002B0482" w:rsidP="002B0482">
      <w:pPr>
        <w:ind w:left="1440" w:right="1440"/>
      </w:pPr>
      <w:r w:rsidRPr="002B0482">
        <w:t>A.</w:t>
      </w:r>
      <w:r w:rsidRPr="002B0482">
        <w:tab/>
        <w:t>Yes</w:t>
      </w:r>
    </w:p>
    <w:p w:rsidR="002B0482" w:rsidRPr="002B0482" w:rsidRDefault="002B0482" w:rsidP="00B62986">
      <w:pPr>
        <w:ind w:left="1440" w:right="1440"/>
      </w:pPr>
    </w:p>
    <w:p w:rsidR="002B0482" w:rsidRPr="002B0482" w:rsidRDefault="002B0482" w:rsidP="00B62986">
      <w:pPr>
        <w:ind w:left="1440" w:right="1440"/>
      </w:pPr>
    </w:p>
    <w:p w:rsidR="002B0482" w:rsidRPr="002B0482" w:rsidRDefault="002B0482" w:rsidP="006E2E05">
      <w:pPr>
        <w:spacing w:line="360" w:lineRule="auto"/>
      </w:pPr>
      <w:r>
        <w:t>February 11, 2016 Tr. at 30-34.</w:t>
      </w:r>
    </w:p>
    <w:p w:rsidR="009D2EB5" w:rsidRDefault="009D2EB5" w:rsidP="006E2E05">
      <w:pPr>
        <w:spacing w:line="360" w:lineRule="auto"/>
      </w:pPr>
    </w:p>
    <w:p w:rsidR="00242B3A" w:rsidRDefault="002B0482" w:rsidP="002B0482">
      <w:pPr>
        <w:spacing w:line="360" w:lineRule="auto"/>
        <w:ind w:firstLine="1440"/>
      </w:pPr>
      <w:r>
        <w:t xml:space="preserve">A review of the transcript </w:t>
      </w:r>
      <w:r w:rsidR="004A5E87">
        <w:t>disclose</w:t>
      </w:r>
      <w:r>
        <w:t>s</w:t>
      </w:r>
      <w:r w:rsidR="004A5E87">
        <w:t xml:space="preserve"> that the change in account impact</w:t>
      </w:r>
      <w:r w:rsidR="00843F05">
        <w:t>ed</w:t>
      </w:r>
      <w:r w:rsidR="004A5E87">
        <w:t xml:space="preserve"> the rates for which Complainant was responsible</w:t>
      </w:r>
      <w:r w:rsidR="00242B3A">
        <w:t xml:space="preserve"> based on Complainant’s enrollment with an electric genera</w:t>
      </w:r>
      <w:r w:rsidR="004B3099">
        <w:t>tion</w:t>
      </w:r>
      <w:r w:rsidR="00242B3A">
        <w:t xml:space="preserve"> supplier</w:t>
      </w:r>
      <w:r w:rsidR="004A5E87">
        <w:t>.</w:t>
      </w:r>
      <w:r w:rsidR="004B3099">
        <w:t xml:space="preserve">  </w:t>
      </w:r>
      <w:r w:rsidR="004B3099">
        <w:rPr>
          <w:i/>
        </w:rPr>
        <w:t xml:space="preserve">See </w:t>
      </w:r>
      <w:r w:rsidR="004B3099">
        <w:t>66 Pa. C.S. §§</w:t>
      </w:r>
      <w:r w:rsidR="00FD64D4">
        <w:t xml:space="preserve"> </w:t>
      </w:r>
      <w:r w:rsidR="004B3099">
        <w:t>2803</w:t>
      </w:r>
      <w:r w:rsidR="009639BE">
        <w:t>,</w:t>
      </w:r>
      <w:r w:rsidR="004B3099">
        <w:t xml:space="preserve"> 2809.</w:t>
      </w:r>
    </w:p>
    <w:p w:rsidR="00242B3A" w:rsidRDefault="00242B3A" w:rsidP="00C741D9">
      <w:pPr>
        <w:spacing w:line="360" w:lineRule="auto"/>
        <w:ind w:firstLine="1440"/>
      </w:pPr>
    </w:p>
    <w:p w:rsidR="00F9649E" w:rsidRDefault="00242B3A" w:rsidP="005C571C">
      <w:pPr>
        <w:spacing w:line="360" w:lineRule="auto"/>
        <w:ind w:firstLine="1440"/>
      </w:pPr>
      <w:r>
        <w:t xml:space="preserve">The transcript indicates that </w:t>
      </w:r>
      <w:r w:rsidR="004A5E87">
        <w:t>Mr. Vianello/Silver Valley Apartments was enrolled in an agreement with an electric generation supplier identified in the record as “Talen</w:t>
      </w:r>
      <w:r>
        <w:t xml:space="preserve"> Energy</w:t>
      </w:r>
      <w:r w:rsidR="004A5E87">
        <w:t>.”</w:t>
      </w:r>
      <w:r>
        <w:t xml:space="preserve">  </w:t>
      </w:r>
      <w:r>
        <w:rPr>
          <w:i/>
        </w:rPr>
        <w:t xml:space="preserve">See </w:t>
      </w:r>
      <w:r>
        <w:t>Tr. at 30-31.</w:t>
      </w:r>
      <w:r w:rsidR="00BA40C6">
        <w:rPr>
          <w:rStyle w:val="FootnoteReference"/>
        </w:rPr>
        <w:footnoteReference w:id="6"/>
      </w:r>
      <w:r>
        <w:t xml:space="preserve"> </w:t>
      </w:r>
      <w:r w:rsidR="004A5E87">
        <w:t xml:space="preserve"> On direct examination by PPL, PPL witness </w:t>
      </w:r>
      <w:r w:rsidR="00EC0D7D">
        <w:t>Ms.</w:t>
      </w:r>
      <w:r w:rsidR="005C571C">
        <w:t> </w:t>
      </w:r>
      <w:r w:rsidR="004A5E87">
        <w:t>Alecia Weaver, Customer Service Representative, testified concerning PPL’s attempts, in good faith,</w:t>
      </w:r>
      <w:r>
        <w:t xml:space="preserve"> to provide Complainant a credit based on the difference between monthly bills at the recorded usage under the Talen Energy </w:t>
      </w:r>
      <w:r w:rsidR="008B2564">
        <w:t xml:space="preserve">generation </w:t>
      </w:r>
      <w:r>
        <w:t xml:space="preserve">rate and the PPL </w:t>
      </w:r>
      <w:r>
        <w:lastRenderedPageBreak/>
        <w:t>rate that Complainant was charged during the period in dispute.</w:t>
      </w:r>
      <w:r w:rsidR="008B1003">
        <w:t xml:space="preserve">  </w:t>
      </w:r>
      <w:r w:rsidR="008B1003">
        <w:rPr>
          <w:i/>
        </w:rPr>
        <w:t>See</w:t>
      </w:r>
      <w:r>
        <w:t xml:space="preserve"> Tr. at 32-33.  However, </w:t>
      </w:r>
      <w:r w:rsidR="00EC0D7D">
        <w:t>on review of the</w:t>
      </w:r>
      <w:r>
        <w:t xml:space="preserve"> record</w:t>
      </w:r>
      <w:r w:rsidR="00EC0D7D">
        <w:t>,</w:t>
      </w:r>
      <w:r>
        <w:t xml:space="preserve"> </w:t>
      </w:r>
      <w:r w:rsidR="00EC0D7D">
        <w:t>C</w:t>
      </w:r>
      <w:r>
        <w:t>omplainant was not re-enrolled with Talen Energy as his electric generation supplier.  Tr. at 39.</w:t>
      </w:r>
    </w:p>
    <w:p w:rsidR="00F9649E" w:rsidRDefault="00F9649E" w:rsidP="00C741D9">
      <w:pPr>
        <w:spacing w:line="360" w:lineRule="auto"/>
        <w:ind w:firstLine="1440"/>
      </w:pPr>
    </w:p>
    <w:p w:rsidR="00F9649E" w:rsidRPr="00F9649E" w:rsidRDefault="00F9649E" w:rsidP="00C741D9">
      <w:pPr>
        <w:spacing w:line="360" w:lineRule="auto"/>
        <w:ind w:firstLine="1440"/>
      </w:pPr>
      <w:r>
        <w:t>In reply, PPL takes the position that at no time was service to Mr. Vianello interrupted.</w:t>
      </w:r>
      <w:r w:rsidR="005F5064">
        <w:t xml:space="preserve">  </w:t>
      </w:r>
      <w:r w:rsidR="005F5064">
        <w:rPr>
          <w:i/>
        </w:rPr>
        <w:t xml:space="preserve">See </w:t>
      </w:r>
      <w:r w:rsidR="005F5064">
        <w:t>Tr. at 47-48.</w:t>
      </w:r>
      <w:r>
        <w:t xml:space="preserve">  </w:t>
      </w:r>
      <w:r w:rsidR="004C6030">
        <w:t>Additionally, P</w:t>
      </w:r>
      <w:r>
        <w:t xml:space="preserve">PL </w:t>
      </w:r>
      <w:r w:rsidR="004C6030">
        <w:t>asserts that neither</w:t>
      </w:r>
      <w:r>
        <w:t xml:space="preserve"> was service to Complainant “compromised” as a result of the error.  </w:t>
      </w:r>
      <w:r>
        <w:rPr>
          <w:i/>
        </w:rPr>
        <w:t xml:space="preserve">See </w:t>
      </w:r>
      <w:r>
        <w:t>PPL Reply Exceptions (R.Exc. at</w:t>
      </w:r>
      <w:r w:rsidR="005C571C">
        <w:t> </w:t>
      </w:r>
      <w:r>
        <w:t>2).</w:t>
      </w:r>
    </w:p>
    <w:p w:rsidR="00C741D9" w:rsidRDefault="00C741D9" w:rsidP="00605680">
      <w:pPr>
        <w:spacing w:line="360" w:lineRule="auto"/>
        <w:ind w:firstLine="1440"/>
      </w:pPr>
    </w:p>
    <w:p w:rsidR="00F9649E" w:rsidRDefault="00F9649E" w:rsidP="005C571C">
      <w:pPr>
        <w:keepNext/>
        <w:keepLines/>
        <w:spacing w:line="360" w:lineRule="auto"/>
        <w:rPr>
          <w:b/>
        </w:rPr>
      </w:pPr>
      <w:r>
        <w:rPr>
          <w:b/>
        </w:rPr>
        <w:t>Exceptions and Replies</w:t>
      </w:r>
    </w:p>
    <w:p w:rsidR="00F9649E" w:rsidRDefault="00F9649E" w:rsidP="005C571C">
      <w:pPr>
        <w:keepNext/>
        <w:keepLines/>
        <w:spacing w:line="360" w:lineRule="auto"/>
        <w:ind w:firstLine="1440"/>
        <w:rPr>
          <w:b/>
        </w:rPr>
      </w:pPr>
    </w:p>
    <w:p w:rsidR="007E27FC" w:rsidRDefault="007E27FC" w:rsidP="007E27FC">
      <w:pPr>
        <w:tabs>
          <w:tab w:val="left" w:pos="720"/>
          <w:tab w:val="left" w:pos="1440"/>
        </w:tabs>
        <w:spacing w:line="360" w:lineRule="auto"/>
        <w:ind w:firstLine="1440"/>
      </w:pPr>
      <w:r>
        <w:t>As a threshold consideration, the Exceptions (Exc.) of Mr. Vianello are clear and typewritten</w:t>
      </w:r>
      <w:r w:rsidR="00921886">
        <w:t>; however</w:t>
      </w:r>
      <w:r>
        <w:t xml:space="preserve">, </w:t>
      </w:r>
      <w:r w:rsidRPr="00887EE1">
        <w:t xml:space="preserve">the format of the Exceptions does not strictly comply with Section 5.533(b) of </w:t>
      </w:r>
      <w:r>
        <w:t>the Commission’s</w:t>
      </w:r>
      <w:r w:rsidRPr="00887EE1">
        <w:t xml:space="preserve"> Regulations, 52 Pa. Code § 5.533(b)</w:t>
      </w:r>
      <w:r>
        <w:t xml:space="preserve">.  These Regulations </w:t>
      </w:r>
      <w:r w:rsidRPr="00887EE1">
        <w:t xml:space="preserve">require that </w:t>
      </w:r>
      <w:r>
        <w:t>E</w:t>
      </w:r>
      <w:r w:rsidRPr="00887EE1">
        <w:t>xceptions be numbered, identify the finding</w:t>
      </w:r>
      <w:r w:rsidR="009D33F4">
        <w:t>s</w:t>
      </w:r>
      <w:r w:rsidRPr="00887EE1">
        <w:t xml:space="preserve"> of fact and conclusions of law to which exception is taken, and cite to the relevant pages of the Initial Decision.</w:t>
      </w:r>
      <w:r>
        <w:rPr>
          <w:rStyle w:val="FootnoteReference"/>
        </w:rPr>
        <w:footnoteReference w:id="7"/>
      </w:r>
      <w:r w:rsidRPr="00887EE1">
        <w:t xml:space="preserve">  Nevertheless, because Complainant is appearing </w:t>
      </w:r>
      <w:r w:rsidRPr="00887EE1">
        <w:rPr>
          <w:i/>
        </w:rPr>
        <w:t>pro se</w:t>
      </w:r>
      <w:r w:rsidRPr="00887EE1">
        <w:t xml:space="preserve">, we will accept the Exceptions </w:t>
      </w:r>
      <w:r w:rsidR="004C6030">
        <w:t xml:space="preserve">as filed </w:t>
      </w:r>
      <w:r w:rsidR="00222EA7">
        <w:t>and consider them on their merits</w:t>
      </w:r>
      <w:r w:rsidRPr="00887EE1">
        <w:t xml:space="preserve"> pursuant to Section 1.2(a) of our Regulations, 52 Pa. Code §</w:t>
      </w:r>
      <w:r>
        <w:t> </w:t>
      </w:r>
      <w:r w:rsidRPr="00887EE1">
        <w:t>1.2(a), in order to secure a just, speedy, and inexpensive determination</w:t>
      </w:r>
      <w:r w:rsidR="00222EA7">
        <w:t xml:space="preserve"> of this matter</w:t>
      </w:r>
      <w:r w:rsidRPr="00887EE1">
        <w:t>.</w:t>
      </w:r>
      <w:r w:rsidR="008B1003">
        <w:t xml:space="preserve">  We also conclude that no prejudice to PPL results from our consideration of the Exceptions of Complainant on the merits.</w:t>
      </w:r>
    </w:p>
    <w:p w:rsidR="00222EA7" w:rsidRDefault="00222EA7" w:rsidP="007E27FC">
      <w:pPr>
        <w:tabs>
          <w:tab w:val="left" w:pos="720"/>
          <w:tab w:val="left" w:pos="1440"/>
        </w:tabs>
        <w:spacing w:line="360" w:lineRule="auto"/>
        <w:ind w:firstLine="1440"/>
      </w:pPr>
    </w:p>
    <w:p w:rsidR="002F4723" w:rsidRDefault="002F4723" w:rsidP="007E27FC">
      <w:pPr>
        <w:tabs>
          <w:tab w:val="left" w:pos="720"/>
          <w:tab w:val="left" w:pos="1440"/>
        </w:tabs>
        <w:spacing w:line="360" w:lineRule="auto"/>
        <w:ind w:firstLine="1440"/>
      </w:pPr>
      <w:r>
        <w:t xml:space="preserve">The Exceptions state that there are three issues involved.  However, only two issues are cited.  The issues </w:t>
      </w:r>
      <w:r w:rsidR="00530D03">
        <w:t xml:space="preserve">cited </w:t>
      </w:r>
      <w:r>
        <w:t xml:space="preserve">are: </w:t>
      </w:r>
      <w:r w:rsidR="00AF477C">
        <w:t>(1) </w:t>
      </w:r>
      <w:r>
        <w:t xml:space="preserve">PPL changed the account number; and </w:t>
      </w:r>
      <w:r w:rsidR="00AF477C">
        <w:t>(2) </w:t>
      </w:r>
      <w:r>
        <w:t xml:space="preserve">PPL failed to send </w:t>
      </w:r>
      <w:r w:rsidR="009D33F4">
        <w:t>“</w:t>
      </w:r>
      <w:r w:rsidRPr="001521C7">
        <w:rPr>
          <w:i/>
        </w:rPr>
        <w:t>actual</w:t>
      </w:r>
      <w:r>
        <w:t xml:space="preserve"> bills</w:t>
      </w:r>
      <w:r w:rsidR="00AF477C">
        <w:t>.</w:t>
      </w:r>
      <w:r w:rsidR="009D33F4">
        <w:t>”</w:t>
      </w:r>
      <w:r>
        <w:t xml:space="preserve">  Exc. at 1</w:t>
      </w:r>
      <w:r w:rsidR="009D33F4">
        <w:t xml:space="preserve"> (emphasis in original)</w:t>
      </w:r>
      <w:r>
        <w:t>.</w:t>
      </w:r>
    </w:p>
    <w:p w:rsidR="002F4723" w:rsidRDefault="002F4723" w:rsidP="007E27FC">
      <w:pPr>
        <w:tabs>
          <w:tab w:val="left" w:pos="720"/>
          <w:tab w:val="left" w:pos="1440"/>
        </w:tabs>
        <w:spacing w:line="360" w:lineRule="auto"/>
        <w:ind w:firstLine="1440"/>
      </w:pPr>
    </w:p>
    <w:p w:rsidR="002F4723" w:rsidRDefault="002F4723" w:rsidP="007E27FC">
      <w:pPr>
        <w:tabs>
          <w:tab w:val="left" w:pos="720"/>
          <w:tab w:val="left" w:pos="1440"/>
        </w:tabs>
        <w:spacing w:line="360" w:lineRule="auto"/>
        <w:ind w:firstLine="1440"/>
      </w:pPr>
      <w:r>
        <w:lastRenderedPageBreak/>
        <w:t xml:space="preserve">Mr. Vianello argues that PPL admitted that it changed the account number and that the change was made erroneously.  Therefore, </w:t>
      </w:r>
      <w:r w:rsidR="004C6030">
        <w:t>Complainant</w:t>
      </w:r>
      <w:r>
        <w:t xml:space="preserve"> asserts that the burden o</w:t>
      </w:r>
      <w:r w:rsidR="004C6030">
        <w:t>f</w:t>
      </w:r>
      <w:r>
        <w:t xml:space="preserve"> proof was met.  Exc. at 1.  </w:t>
      </w:r>
      <w:r w:rsidR="004C6030">
        <w:t>Complainant</w:t>
      </w:r>
      <w:r>
        <w:t xml:space="preserve"> goes on to state that changing the account number amounted to unreasonable service.  </w:t>
      </w:r>
      <w:r>
        <w:rPr>
          <w:i/>
        </w:rPr>
        <w:t>Id</w:t>
      </w:r>
      <w:r>
        <w:t>.</w:t>
      </w:r>
    </w:p>
    <w:p w:rsidR="002F4723" w:rsidRDefault="002F4723" w:rsidP="007E27FC">
      <w:pPr>
        <w:tabs>
          <w:tab w:val="left" w:pos="720"/>
          <w:tab w:val="left" w:pos="1440"/>
        </w:tabs>
        <w:spacing w:line="360" w:lineRule="auto"/>
        <w:ind w:firstLine="1440"/>
      </w:pPr>
    </w:p>
    <w:p w:rsidR="002F4723" w:rsidRDefault="002F4723" w:rsidP="007E27FC">
      <w:pPr>
        <w:tabs>
          <w:tab w:val="left" w:pos="720"/>
          <w:tab w:val="left" w:pos="1440"/>
        </w:tabs>
        <w:spacing w:line="360" w:lineRule="auto"/>
        <w:ind w:firstLine="1440"/>
      </w:pPr>
      <w:r>
        <w:t>Complainant</w:t>
      </w:r>
      <w:r w:rsidR="00530D03">
        <w:t xml:space="preserve">, thereafter, </w:t>
      </w:r>
      <w:r>
        <w:t xml:space="preserve">criticizes the </w:t>
      </w:r>
      <w:r w:rsidR="00A83C9F">
        <w:t xml:space="preserve">ALJ’s </w:t>
      </w:r>
      <w:r>
        <w:t>conclusion t</w:t>
      </w:r>
      <w:r w:rsidR="00A83C9F">
        <w:t>hat</w:t>
      </w:r>
      <w:r>
        <w:t xml:space="preserve"> the error was an honestly made mistake.  He complains that whether the mistake was honest is not relevant and the evidence clearly shows that the change was attributable to PPL.  Exc. at</w:t>
      </w:r>
      <w:r w:rsidR="00AF477C">
        <w:t> </w:t>
      </w:r>
      <w:r>
        <w:t>1.</w:t>
      </w:r>
    </w:p>
    <w:p w:rsidR="00A83C9F" w:rsidRDefault="00A83C9F" w:rsidP="007E27FC">
      <w:pPr>
        <w:tabs>
          <w:tab w:val="left" w:pos="720"/>
          <w:tab w:val="left" w:pos="1440"/>
        </w:tabs>
        <w:spacing w:line="360" w:lineRule="auto"/>
        <w:ind w:firstLine="1440"/>
      </w:pPr>
    </w:p>
    <w:p w:rsidR="00A83C9F" w:rsidRDefault="00A83C9F" w:rsidP="007E27FC">
      <w:pPr>
        <w:tabs>
          <w:tab w:val="left" w:pos="720"/>
          <w:tab w:val="left" w:pos="1440"/>
        </w:tabs>
        <w:spacing w:line="360" w:lineRule="auto"/>
        <w:ind w:firstLine="1440"/>
      </w:pPr>
      <w:r>
        <w:t xml:space="preserve">The remainder of Complainant’s Exceptions focus on his position that PPL should be directed to restore the </w:t>
      </w:r>
      <w:r w:rsidR="00530D03">
        <w:t>prior</w:t>
      </w:r>
      <w:r>
        <w:t xml:space="preserve"> account number </w:t>
      </w:r>
      <w:r w:rsidR="00AF477C">
        <w:t xml:space="preserve">retroactively </w:t>
      </w:r>
      <w:r>
        <w:t>to the period when it was changed.</w:t>
      </w:r>
      <w:r w:rsidR="004C6030">
        <w:t xml:space="preserve">  Mr. Vianello remains of the view that PPL’s refusal to restore his prior account number is not </w:t>
      </w:r>
      <w:r w:rsidR="00530D03">
        <w:t xml:space="preserve">based in </w:t>
      </w:r>
      <w:r w:rsidR="004C6030">
        <w:t>fact</w:t>
      </w:r>
      <w:r w:rsidR="00E4291E">
        <w:t>,</w:t>
      </w:r>
      <w:r w:rsidR="004C6030">
        <w:t xml:space="preserve"> and that upon direction by the Commission, PPL can take such action.</w:t>
      </w:r>
    </w:p>
    <w:p w:rsidR="002F4723" w:rsidRDefault="002F4723" w:rsidP="007E27FC">
      <w:pPr>
        <w:tabs>
          <w:tab w:val="left" w:pos="720"/>
          <w:tab w:val="left" w:pos="1440"/>
        </w:tabs>
        <w:spacing w:line="360" w:lineRule="auto"/>
        <w:ind w:firstLine="1440"/>
      </w:pPr>
    </w:p>
    <w:p w:rsidR="004C6030" w:rsidRDefault="00A83C9F" w:rsidP="007E27FC">
      <w:pPr>
        <w:tabs>
          <w:tab w:val="left" w:pos="720"/>
          <w:tab w:val="left" w:pos="1440"/>
        </w:tabs>
        <w:spacing w:line="360" w:lineRule="auto"/>
        <w:ind w:firstLine="1440"/>
      </w:pPr>
      <w:r>
        <w:t>In its Replies</w:t>
      </w:r>
      <w:r w:rsidR="005D68F9">
        <w:t xml:space="preserve"> to Exceptions</w:t>
      </w:r>
      <w:r>
        <w:t>,</w:t>
      </w:r>
      <w:r w:rsidR="004C6030">
        <w:t xml:space="preserve"> PPL initially objects to the failure of Complainant to set forth his objections to the Initial Decision in number</w:t>
      </w:r>
      <w:r w:rsidR="00530D03">
        <w:t>ed</w:t>
      </w:r>
      <w:r w:rsidR="004C6030">
        <w:t xml:space="preserve"> paragraphs and to identify, with particularity, any Conclusions of Law to </w:t>
      </w:r>
      <w:r w:rsidR="00530D03">
        <w:t xml:space="preserve">which </w:t>
      </w:r>
      <w:r w:rsidR="004C6030">
        <w:t>he disagrees.  R.Exc. at</w:t>
      </w:r>
      <w:r w:rsidR="00B62986">
        <w:t> </w:t>
      </w:r>
      <w:r w:rsidR="004C6030">
        <w:t>1.</w:t>
      </w:r>
    </w:p>
    <w:p w:rsidR="004C6030" w:rsidRDefault="004C6030" w:rsidP="007E27FC">
      <w:pPr>
        <w:tabs>
          <w:tab w:val="left" w:pos="720"/>
          <w:tab w:val="left" w:pos="1440"/>
        </w:tabs>
        <w:spacing w:line="360" w:lineRule="auto"/>
        <w:ind w:firstLine="1440"/>
      </w:pPr>
    </w:p>
    <w:p w:rsidR="00283C0B" w:rsidRDefault="00283C0B" w:rsidP="007E27FC">
      <w:pPr>
        <w:tabs>
          <w:tab w:val="left" w:pos="720"/>
          <w:tab w:val="left" w:pos="1440"/>
        </w:tabs>
        <w:spacing w:line="360" w:lineRule="auto"/>
        <w:ind w:firstLine="1440"/>
      </w:pPr>
      <w:r>
        <w:t>PPL further replies that in its opinion, the act of changing Complainant’s account number does not constitute unreasonable service.  PPL repeats the facts concerning the change and relies on Findings of Fact</w:t>
      </w:r>
      <w:r w:rsidR="00EC0D7D">
        <w:t xml:space="preserve"> Nos. </w:t>
      </w:r>
      <w:r>
        <w:t>3</w:t>
      </w:r>
      <w:r w:rsidR="00530D03">
        <w:t>-</w:t>
      </w:r>
      <w:r>
        <w:t>6</w:t>
      </w:r>
      <w:r w:rsidR="00A44E44">
        <w:t xml:space="preserve"> in the Initial Decision</w:t>
      </w:r>
      <w:r>
        <w:t xml:space="preserve"> to </w:t>
      </w:r>
      <w:r w:rsidR="00EC0D7D">
        <w:t>argue</w:t>
      </w:r>
      <w:r>
        <w:t xml:space="preserve"> that:</w:t>
      </w:r>
    </w:p>
    <w:p w:rsidR="00283C0B" w:rsidRDefault="00283C0B" w:rsidP="007E27FC">
      <w:pPr>
        <w:tabs>
          <w:tab w:val="left" w:pos="720"/>
          <w:tab w:val="left" w:pos="1440"/>
        </w:tabs>
        <w:spacing w:line="360" w:lineRule="auto"/>
        <w:ind w:firstLine="1440"/>
      </w:pPr>
    </w:p>
    <w:p w:rsidR="002F4723" w:rsidRDefault="00283C0B" w:rsidP="00283C0B">
      <w:pPr>
        <w:tabs>
          <w:tab w:val="left" w:pos="720"/>
          <w:tab w:val="left" w:pos="1440"/>
        </w:tabs>
        <w:ind w:left="1440" w:right="1440"/>
      </w:pPr>
      <w:r>
        <w:t xml:space="preserve"> . . . a customer requested service at Complainant’s location, which took the name of the account out of Complainant’s name and placed it into the name of the caller (new customer).  .  .  .  Several days later, it was discovered that </w:t>
      </w:r>
      <w:r>
        <w:lastRenderedPageBreak/>
        <w:t xml:space="preserve">such change was in error, and the account was placed back into Complainant’s name with a new account number. . . . </w:t>
      </w:r>
      <w:r w:rsidR="00EC0D7D">
        <w:t xml:space="preserve"> </w:t>
      </w:r>
      <w:r>
        <w:t>At no time was service compromised to Complainant.  There was no interruption of service.  Rather, Complainant simpl</w:t>
      </w:r>
      <w:r w:rsidR="00A44E44">
        <w:t>y</w:t>
      </w:r>
      <w:r>
        <w:t xml:space="preserve"> received a new account number and was notified of the same.  There is no law or regulation which requires PPL Electric to retain the same account number indefinitely.</w:t>
      </w:r>
    </w:p>
    <w:p w:rsidR="00204F19" w:rsidRDefault="00204F19" w:rsidP="00204F19">
      <w:pPr>
        <w:tabs>
          <w:tab w:val="left" w:pos="720"/>
          <w:tab w:val="left" w:pos="1440"/>
        </w:tabs>
      </w:pPr>
    </w:p>
    <w:p w:rsidR="00222EA7" w:rsidRDefault="00222EA7" w:rsidP="00204F19">
      <w:pPr>
        <w:tabs>
          <w:tab w:val="left" w:pos="720"/>
          <w:tab w:val="left" w:pos="1440"/>
        </w:tabs>
      </w:pPr>
    </w:p>
    <w:p w:rsidR="007E27FC" w:rsidRPr="00283C0B" w:rsidRDefault="00283C0B" w:rsidP="00283C0B">
      <w:pPr>
        <w:tabs>
          <w:tab w:val="left" w:pos="720"/>
          <w:tab w:val="left" w:pos="1440"/>
        </w:tabs>
        <w:spacing w:line="360" w:lineRule="auto"/>
      </w:pPr>
      <w:r>
        <w:t>R.Exc. at 1-2.</w:t>
      </w:r>
    </w:p>
    <w:p w:rsidR="007E27FC" w:rsidRPr="00F9649E" w:rsidRDefault="007E27FC" w:rsidP="00605680">
      <w:pPr>
        <w:spacing w:line="360" w:lineRule="auto"/>
        <w:ind w:firstLine="1440"/>
        <w:rPr>
          <w:b/>
        </w:rPr>
      </w:pPr>
    </w:p>
    <w:p w:rsidR="00163FB4" w:rsidRPr="00E62108" w:rsidRDefault="00163FB4" w:rsidP="001521C7">
      <w:pPr>
        <w:spacing w:line="360" w:lineRule="auto"/>
        <w:rPr>
          <w:b/>
        </w:rPr>
      </w:pPr>
      <w:r w:rsidRPr="00E62108">
        <w:rPr>
          <w:b/>
        </w:rPr>
        <w:t>Disposition</w:t>
      </w:r>
    </w:p>
    <w:p w:rsidR="00163FB4" w:rsidRDefault="00163FB4" w:rsidP="00605680">
      <w:pPr>
        <w:spacing w:line="360" w:lineRule="auto"/>
        <w:ind w:firstLine="1440"/>
      </w:pPr>
    </w:p>
    <w:p w:rsidR="00EC0D7D" w:rsidRDefault="00961CF8" w:rsidP="005F5064">
      <w:pPr>
        <w:spacing w:line="360" w:lineRule="auto"/>
        <w:ind w:firstLine="1440"/>
      </w:pPr>
      <w:r w:rsidRPr="00022EA2">
        <w:t xml:space="preserve">As a preliminary matter, we </w:t>
      </w:r>
      <w:r>
        <w:t>advise the Parties</w:t>
      </w:r>
      <w:r w:rsidRPr="00022EA2">
        <w:t xml:space="preserve"> that any issue that we do not specifically address has been duly considered and </w:t>
      </w:r>
      <w:r>
        <w:t>should be</w:t>
      </w:r>
      <w:r w:rsidRPr="00022EA2">
        <w:t xml:space="preserve"> </w:t>
      </w:r>
      <w:r>
        <w:t xml:space="preserve">deemed </w:t>
      </w:r>
      <w:r w:rsidRPr="00022EA2">
        <w:t xml:space="preserve">denied without further discussion.  </w:t>
      </w:r>
      <w:r>
        <w:t>The Commission is n</w:t>
      </w:r>
      <w:r w:rsidRPr="00022EA2">
        <w:t xml:space="preserve">ot required to consider, expressly or at length, each contention or argument raised by the parties.  </w:t>
      </w:r>
      <w:r w:rsidRPr="00022EA2">
        <w:rPr>
          <w:i/>
        </w:rPr>
        <w:t>Consolidated Rail Corporation v. P</w:t>
      </w:r>
      <w:r>
        <w:rPr>
          <w:i/>
        </w:rPr>
        <w:t xml:space="preserve">a. </w:t>
      </w:r>
      <w:r w:rsidRPr="00022EA2">
        <w:rPr>
          <w:i/>
        </w:rPr>
        <w:t>PUC</w:t>
      </w:r>
      <w:r w:rsidRPr="00022EA2">
        <w:t xml:space="preserve">, 625 A.2d 741 (Pa. Cmwlth. 1993); </w:t>
      </w:r>
      <w:r w:rsidRPr="00022EA2">
        <w:rPr>
          <w:i/>
        </w:rPr>
        <w:t>also</w:t>
      </w:r>
      <w:r w:rsidRPr="00022EA2">
        <w:t xml:space="preserve">, </w:t>
      </w:r>
      <w:r w:rsidRPr="00022EA2">
        <w:rPr>
          <w:i/>
        </w:rPr>
        <w:t>generally</w:t>
      </w:r>
      <w:r w:rsidRPr="00022EA2">
        <w:t xml:space="preserve">, </w:t>
      </w:r>
      <w:r w:rsidRPr="00022EA2">
        <w:rPr>
          <w:i/>
        </w:rPr>
        <w:t>Univ</w:t>
      </w:r>
      <w:r>
        <w:rPr>
          <w:i/>
        </w:rPr>
        <w:t xml:space="preserve">. </w:t>
      </w:r>
      <w:r w:rsidRPr="00022EA2">
        <w:rPr>
          <w:i/>
        </w:rPr>
        <w:t>of P</w:t>
      </w:r>
      <w:r>
        <w:rPr>
          <w:i/>
        </w:rPr>
        <w:t>a.</w:t>
      </w:r>
      <w:r w:rsidRPr="00022EA2">
        <w:rPr>
          <w:i/>
        </w:rPr>
        <w:t> v. P</w:t>
      </w:r>
      <w:r>
        <w:rPr>
          <w:i/>
        </w:rPr>
        <w:t xml:space="preserve">a. </w:t>
      </w:r>
      <w:r w:rsidRPr="00022EA2">
        <w:rPr>
          <w:i/>
        </w:rPr>
        <w:t>PUC</w:t>
      </w:r>
      <w:r>
        <w:t xml:space="preserve">, 485 A.2d 1217 </w:t>
      </w:r>
      <w:r w:rsidRPr="00022EA2">
        <w:t>(Pa. Cmwlth. 1984)</w:t>
      </w:r>
      <w:r w:rsidR="005F5064">
        <w:t>.</w:t>
      </w:r>
    </w:p>
    <w:p w:rsidR="005D68F9" w:rsidRDefault="005D68F9" w:rsidP="005F5064">
      <w:pPr>
        <w:spacing w:line="360" w:lineRule="auto"/>
        <w:ind w:firstLine="1440"/>
      </w:pPr>
    </w:p>
    <w:p w:rsidR="00C84029" w:rsidRPr="00C84029" w:rsidRDefault="00C84029" w:rsidP="00961CF8">
      <w:pPr>
        <w:spacing w:line="360" w:lineRule="auto"/>
        <w:ind w:firstLine="1440"/>
        <w:rPr>
          <w:b/>
        </w:rPr>
      </w:pPr>
      <w:r w:rsidRPr="00C84029">
        <w:rPr>
          <w:b/>
        </w:rPr>
        <w:t>Burden of Production</w:t>
      </w:r>
    </w:p>
    <w:p w:rsidR="00C84029" w:rsidRDefault="00C84029" w:rsidP="00163FB4">
      <w:pPr>
        <w:spacing w:line="360" w:lineRule="auto"/>
        <w:ind w:firstLine="1440"/>
      </w:pPr>
    </w:p>
    <w:p w:rsidR="00E26247" w:rsidRDefault="00163FB4" w:rsidP="00E4291E">
      <w:pPr>
        <w:spacing w:line="360" w:lineRule="auto"/>
        <w:ind w:firstLine="1440"/>
      </w:pPr>
      <w:r w:rsidRPr="00080F83">
        <w:t xml:space="preserve">We find that there are two </w:t>
      </w:r>
      <w:r w:rsidR="004F177E">
        <w:t xml:space="preserve">core </w:t>
      </w:r>
      <w:r w:rsidRPr="00080F83">
        <w:t xml:space="preserve">issues </w:t>
      </w:r>
      <w:r w:rsidR="004F177E">
        <w:t>presented by</w:t>
      </w:r>
      <w:r w:rsidRPr="00080F83">
        <w:t xml:space="preserve"> the </w:t>
      </w:r>
      <w:r w:rsidR="00E4291E">
        <w:t>Mr. Vianello’s Complaint.</w:t>
      </w:r>
      <w:r w:rsidRPr="00080F83">
        <w:t xml:space="preserve">  First, we must determine whether Complainant has met his burden of proof that PPL has provided unreasonable service.</w:t>
      </w:r>
      <w:r w:rsidR="00314B73">
        <w:t xml:space="preserve">  </w:t>
      </w:r>
      <w:r w:rsidR="00314B73">
        <w:rPr>
          <w:i/>
        </w:rPr>
        <w:t xml:space="preserve">See </w:t>
      </w:r>
      <w:r w:rsidR="00314B73">
        <w:t>66 Pa. C.S. § 1501.</w:t>
      </w:r>
      <w:r>
        <w:t xml:space="preserve"> </w:t>
      </w:r>
      <w:r w:rsidR="007E7E9F">
        <w:t xml:space="preserve"> </w:t>
      </w:r>
      <w:r>
        <w:t xml:space="preserve">This includes </w:t>
      </w:r>
      <w:r w:rsidR="00961CF8">
        <w:t xml:space="preserve">our consideration of whether Complainant has met </w:t>
      </w:r>
      <w:r>
        <w:t>the initial burden of production.</w:t>
      </w:r>
      <w:r w:rsidR="00CD2395">
        <w:t xml:space="preserve">  Second, we must </w:t>
      </w:r>
      <w:r w:rsidR="00E26247">
        <w:t xml:space="preserve">review whether the evidence </w:t>
      </w:r>
      <w:r w:rsidR="00314B73">
        <w:t xml:space="preserve">presented </w:t>
      </w:r>
      <w:r w:rsidR="002C3B4D">
        <w:t>to meet</w:t>
      </w:r>
      <w:r w:rsidR="00314B73">
        <w:t xml:space="preserve"> Complainant’s burden of production is sufficient in quality and, if so, w</w:t>
      </w:r>
      <w:r w:rsidR="002C3B4D">
        <w:t>hether</w:t>
      </w:r>
      <w:r w:rsidR="00314B73">
        <w:t xml:space="preserve"> PPL, i</w:t>
      </w:r>
      <w:r w:rsidR="00E26247">
        <w:t>n response to the initial burden of production</w:t>
      </w:r>
      <w:r w:rsidR="002C3B4D">
        <w:t>,</w:t>
      </w:r>
      <w:r w:rsidR="00E26247">
        <w:t xml:space="preserve"> has </w:t>
      </w:r>
      <w:r w:rsidR="002C3B4D">
        <w:t xml:space="preserve">provided </w:t>
      </w:r>
      <w:r w:rsidR="00EC0D7D">
        <w:t xml:space="preserve">evidence </w:t>
      </w:r>
      <w:r w:rsidR="00E26247">
        <w:t xml:space="preserve">of sufficient </w:t>
      </w:r>
      <w:r w:rsidR="002C3B4D">
        <w:t xml:space="preserve">qualitative </w:t>
      </w:r>
      <w:r w:rsidR="00E26247">
        <w:t xml:space="preserve">value to shift the burden </w:t>
      </w:r>
      <w:r w:rsidR="00F358DC">
        <w:t xml:space="preserve">of </w:t>
      </w:r>
      <w:r w:rsidR="002C3B4D">
        <w:t>going</w:t>
      </w:r>
      <w:r w:rsidR="00F358DC">
        <w:t xml:space="preserve"> forward</w:t>
      </w:r>
      <w:r w:rsidR="00EC0D7D">
        <w:t xml:space="preserve"> back to the party </w:t>
      </w:r>
      <w:r w:rsidR="00314B73">
        <w:t xml:space="preserve">(Complainant) </w:t>
      </w:r>
      <w:r w:rsidR="00EC0D7D">
        <w:t>on whom it was placed</w:t>
      </w:r>
      <w:r w:rsidR="004F177E">
        <w:t>.</w:t>
      </w:r>
      <w:r w:rsidR="00E26247">
        <w:t xml:space="preserve">  </w:t>
      </w:r>
      <w:r w:rsidR="00515521">
        <w:t>I</w:t>
      </w:r>
      <w:r w:rsidR="00E26247">
        <w:t xml:space="preserve">f </w:t>
      </w:r>
      <w:r w:rsidR="004F177E">
        <w:t>PPL has adequately met its shifting burden of production</w:t>
      </w:r>
      <w:r w:rsidR="00E26247">
        <w:t>,</w:t>
      </w:r>
      <w:r w:rsidR="00515521">
        <w:t xml:space="preserve"> the question then becomes</w:t>
      </w:r>
      <w:r w:rsidR="00E26247">
        <w:t xml:space="preserve"> whether</w:t>
      </w:r>
      <w:r w:rsidR="004F177E">
        <w:t xml:space="preserve"> Complainant’s</w:t>
      </w:r>
      <w:r w:rsidR="00E26247">
        <w:t xml:space="preserve"> evidence is </w:t>
      </w:r>
      <w:r w:rsidR="008C42BE">
        <w:t xml:space="preserve">of </w:t>
      </w:r>
      <w:r w:rsidR="00E26247">
        <w:t xml:space="preserve">sufficient </w:t>
      </w:r>
      <w:r w:rsidR="008C42BE">
        <w:t xml:space="preserve">quality </w:t>
      </w:r>
      <w:r w:rsidR="00E26247">
        <w:t xml:space="preserve">to meet </w:t>
      </w:r>
      <w:r w:rsidR="004F177E">
        <w:t>hi</w:t>
      </w:r>
      <w:r w:rsidR="00E26247">
        <w:t>s</w:t>
      </w:r>
      <w:r w:rsidR="004F177E">
        <w:t>,</w:t>
      </w:r>
      <w:r w:rsidR="00530D03">
        <w:t xml:space="preserve"> overall</w:t>
      </w:r>
      <w:r w:rsidR="004F177E">
        <w:t>,</w:t>
      </w:r>
      <w:r w:rsidR="00530D03">
        <w:t xml:space="preserve"> burden of </w:t>
      </w:r>
      <w:r w:rsidR="00515521">
        <w:t xml:space="preserve">production </w:t>
      </w:r>
      <w:r w:rsidR="00515521">
        <w:lastRenderedPageBreak/>
        <w:t xml:space="preserve">and </w:t>
      </w:r>
      <w:r w:rsidR="00530D03">
        <w:t>persuasion</w:t>
      </w:r>
      <w:r w:rsidR="008C42BE">
        <w:t xml:space="preserve"> that a violation of the </w:t>
      </w:r>
      <w:r w:rsidR="00C6113E">
        <w:t xml:space="preserve">Public Utility </w:t>
      </w:r>
      <w:r w:rsidR="008C42BE">
        <w:t>Code</w:t>
      </w:r>
      <w:r w:rsidR="00C6113E">
        <w:t xml:space="preserve"> (Code), 66 Pa. C.S. §§ 101 </w:t>
      </w:r>
      <w:r w:rsidR="00C6113E" w:rsidRPr="001521C7">
        <w:rPr>
          <w:i/>
        </w:rPr>
        <w:t>et seq</w:t>
      </w:r>
      <w:r w:rsidR="00C6113E">
        <w:t xml:space="preserve">., </w:t>
      </w:r>
      <w:r w:rsidR="008C42BE">
        <w:t xml:space="preserve"> or Commission Regulations has occurred</w:t>
      </w:r>
      <w:r w:rsidR="00530D03">
        <w:t>.</w:t>
      </w:r>
      <w:r w:rsidRPr="00080F83">
        <w:t xml:space="preserve">  </w:t>
      </w:r>
    </w:p>
    <w:p w:rsidR="00E26247" w:rsidRDefault="00E26247" w:rsidP="00163FB4">
      <w:pPr>
        <w:spacing w:line="360" w:lineRule="auto"/>
        <w:ind w:firstLine="1440"/>
      </w:pPr>
    </w:p>
    <w:p w:rsidR="00163FB4" w:rsidRPr="00080F83" w:rsidRDefault="00163FB4" w:rsidP="00163FB4">
      <w:pPr>
        <w:spacing w:line="360" w:lineRule="auto"/>
        <w:ind w:firstLine="1440"/>
      </w:pPr>
      <w:r>
        <w:t>It is well settled that a</w:t>
      </w:r>
      <w:r w:rsidRPr="00080F83">
        <w:t xml:space="preserve"> utility is not mandated to furnish </w:t>
      </w:r>
      <w:r w:rsidRPr="00080F83">
        <w:rPr>
          <w:bCs/>
        </w:rPr>
        <w:t>perfect service,</w:t>
      </w:r>
      <w:r w:rsidRPr="00080F83">
        <w:t xml:space="preserve"> nor must a public utility provide the best possible service.  </w:t>
      </w:r>
      <w:hyperlink r:id="rId28" w:history="1">
        <w:r w:rsidRPr="00080F83">
          <w:rPr>
            <w:i/>
            <w:iCs/>
          </w:rPr>
          <w:t>Re Metropolitan Edison Company</w:t>
        </w:r>
        <w:r w:rsidRPr="00080F83">
          <w:t>, 80 Pa. P</w:t>
        </w:r>
        <w:r w:rsidR="00D02AB8">
          <w:t>.</w:t>
        </w:r>
        <w:r w:rsidRPr="00080F83">
          <w:t>U</w:t>
        </w:r>
        <w:r w:rsidR="00D02AB8">
          <w:t>.</w:t>
        </w:r>
        <w:r w:rsidRPr="00080F83">
          <w:t>C</w:t>
        </w:r>
        <w:r w:rsidR="00D02AB8">
          <w:t>.</w:t>
        </w:r>
        <w:r w:rsidRPr="00080F83">
          <w:t xml:space="preserve"> 663, 672 (1993)</w:t>
        </w:r>
        <w:r w:rsidR="00E62108">
          <w:t xml:space="preserve">; </w:t>
        </w:r>
        <w:r w:rsidR="00E62108" w:rsidRPr="00E62108">
          <w:rPr>
            <w:i/>
          </w:rPr>
          <w:t>Manuel A. Biason v. Met</w:t>
        </w:r>
        <w:r w:rsidR="00E62108">
          <w:rPr>
            <w:i/>
          </w:rPr>
          <w:t>.</w:t>
        </w:r>
        <w:r w:rsidR="00E62108" w:rsidRPr="00E62108">
          <w:rPr>
            <w:i/>
          </w:rPr>
          <w:t xml:space="preserve"> Edison Company</w:t>
        </w:r>
        <w:r w:rsidR="00E62108" w:rsidRPr="00612110">
          <w:t>, Docket No. C-00004450 (Opinion and Order entered December 19, 2001).</w:t>
        </w:r>
      </w:hyperlink>
      <w:r w:rsidRPr="00080F83">
        <w:t xml:space="preserve">  </w:t>
      </w:r>
      <w:r>
        <w:t>Also,</w:t>
      </w:r>
      <w:r w:rsidRPr="00080F83">
        <w:t xml:space="preserve"> a public utility is not a guarantor of either </w:t>
      </w:r>
      <w:r w:rsidRPr="00080F83">
        <w:rPr>
          <w:bCs/>
        </w:rPr>
        <w:t>perfect service</w:t>
      </w:r>
      <w:r w:rsidRPr="00080F83">
        <w:t xml:space="preserve"> or the best possible service.  </w:t>
      </w:r>
      <w:r w:rsidRPr="00080F83">
        <w:rPr>
          <w:i/>
          <w:iCs/>
        </w:rPr>
        <w:t>Scherich v. Verizon Pennsylvania Inc.</w:t>
      </w:r>
      <w:r w:rsidRPr="00080F83">
        <w:t xml:space="preserve">, Docket Nos. C-2008-2061244, C-2008-2068818 (Final Order </w:t>
      </w:r>
      <w:r w:rsidR="00D02AB8">
        <w:t xml:space="preserve">entered </w:t>
      </w:r>
      <w:r w:rsidRPr="00080F83">
        <w:t>January 28, 2010)</w:t>
      </w:r>
      <w:r w:rsidR="00091178">
        <w:t xml:space="preserve"> (</w:t>
      </w:r>
      <w:r w:rsidR="00091178" w:rsidRPr="001521C7">
        <w:rPr>
          <w:i/>
        </w:rPr>
        <w:t>Scherich</w:t>
      </w:r>
      <w:r w:rsidR="00091178">
        <w:t>)</w:t>
      </w:r>
      <w:r w:rsidRPr="00080F83">
        <w:t xml:space="preserve">. </w:t>
      </w:r>
    </w:p>
    <w:p w:rsidR="00163FB4" w:rsidRDefault="00163FB4" w:rsidP="00163FB4">
      <w:pPr>
        <w:spacing w:line="360" w:lineRule="auto"/>
        <w:ind w:firstLine="1440"/>
      </w:pPr>
    </w:p>
    <w:p w:rsidR="00E26247" w:rsidRDefault="00163FB4" w:rsidP="00163FB4">
      <w:pPr>
        <w:spacing w:line="360" w:lineRule="auto"/>
        <w:ind w:firstLine="1440"/>
        <w:rPr>
          <w:i/>
          <w:iCs/>
        </w:rPr>
      </w:pPr>
      <w:r>
        <w:t>Notwithstanding</w:t>
      </w:r>
      <w:r w:rsidR="00961CF8">
        <w:t xml:space="preserve"> that perfection in the rendition of service is not the standard on which utilities are evaluated, t</w:t>
      </w:r>
      <w:r w:rsidRPr="00080F83">
        <w:t xml:space="preserve">he </w:t>
      </w:r>
      <w:r w:rsidR="00961CF8">
        <w:t>governing criteri</w:t>
      </w:r>
      <w:r w:rsidR="00530D03">
        <w:t>on</w:t>
      </w:r>
      <w:r w:rsidRPr="00080F83">
        <w:t xml:space="preserve"> </w:t>
      </w:r>
      <w:r w:rsidR="00961CF8">
        <w:t xml:space="preserve">on which we must </w:t>
      </w:r>
      <w:r w:rsidRPr="00080F83">
        <w:t>determine the adequacy of a utility</w:t>
      </w:r>
      <w:r>
        <w:t>’</w:t>
      </w:r>
      <w:r w:rsidRPr="00080F83">
        <w:t>s service and facilities is that of reasonableness.</w:t>
      </w:r>
      <w:r w:rsidR="00515521">
        <w:t xml:space="preserve">  66 Pa. C.S. § 1501;</w:t>
      </w:r>
      <w:r>
        <w:t xml:space="preserve"> </w:t>
      </w:r>
      <w:r w:rsidRPr="004A19D9">
        <w:rPr>
          <w:i/>
          <w:iCs/>
        </w:rPr>
        <w:t>Scherich</w:t>
      </w:r>
      <w:r w:rsidR="001B534F">
        <w:rPr>
          <w:iCs/>
        </w:rPr>
        <w:t>;</w:t>
      </w:r>
      <w:r w:rsidR="00E26247">
        <w:rPr>
          <w:iCs/>
        </w:rPr>
        <w:t xml:space="preserve"> </w:t>
      </w:r>
      <w:r w:rsidR="001B534F">
        <w:rPr>
          <w:i/>
          <w:iCs/>
        </w:rPr>
        <w:t>s</w:t>
      </w:r>
      <w:r w:rsidR="00E26247">
        <w:rPr>
          <w:i/>
          <w:iCs/>
        </w:rPr>
        <w:t>ee</w:t>
      </w:r>
      <w:r w:rsidR="00530D03">
        <w:rPr>
          <w:i/>
          <w:iCs/>
        </w:rPr>
        <w:t>,</w:t>
      </w:r>
      <w:r w:rsidR="00235CB2">
        <w:rPr>
          <w:i/>
          <w:iCs/>
        </w:rPr>
        <w:t xml:space="preserve"> also</w:t>
      </w:r>
      <w:r w:rsidR="00E26247">
        <w:rPr>
          <w:iCs/>
        </w:rPr>
        <w:t xml:space="preserve"> </w:t>
      </w:r>
      <w:hyperlink r:id="rId29" w:history="1">
        <w:r w:rsidR="00E26247" w:rsidRPr="00E26247">
          <w:rPr>
            <w:i/>
          </w:rPr>
          <w:t>Colonial Products Company v. Pa. PUC</w:t>
        </w:r>
        <w:r w:rsidR="00E26247">
          <w:t xml:space="preserve">, </w:t>
        </w:r>
        <w:r w:rsidR="00E26247" w:rsidRPr="00E26247">
          <w:t>146</w:t>
        </w:r>
        <w:r w:rsidR="00E26247" w:rsidRPr="00ED3373">
          <w:t xml:space="preserve"> A.2d 657</w:t>
        </w:r>
        <w:r w:rsidR="00E26247">
          <w:t>, 662</w:t>
        </w:r>
        <w:r w:rsidR="00E26247" w:rsidRPr="00ED3373">
          <w:t xml:space="preserve"> (Pa. Super. 1958)</w:t>
        </w:r>
      </w:hyperlink>
      <w:r w:rsidR="00E26247" w:rsidRPr="00ED3373">
        <w:t xml:space="preserve"> </w:t>
      </w:r>
      <w:r w:rsidR="00091178">
        <w:t>(</w:t>
      </w:r>
      <w:r w:rsidR="00E26247">
        <w:t>“</w:t>
      </w:r>
      <w:r w:rsidR="00E26247" w:rsidRPr="00ED3373">
        <w:t xml:space="preserve">By its very nature, </w:t>
      </w:r>
      <w:r w:rsidR="00E26247" w:rsidRPr="00E26247">
        <w:rPr>
          <w:iCs/>
        </w:rPr>
        <w:t>the statutory standard is not capable of definition with mathematical precision</w:t>
      </w:r>
      <w:r w:rsidR="00E26247" w:rsidRPr="00E26247">
        <w:t>.  Th</w:t>
      </w:r>
      <w:r w:rsidR="00E26247" w:rsidRPr="00ED3373">
        <w:t>e duty is upon the commission . . . . to determine on the basis of the facts and circumstances indicated by the substantial evidence whether the service provided is reasonable and adequate for the public.</w:t>
      </w:r>
      <w:r w:rsidR="00E26247">
        <w:t>”</w:t>
      </w:r>
      <w:r w:rsidR="00091178">
        <w:t>).</w:t>
      </w:r>
    </w:p>
    <w:p w:rsidR="00E26247" w:rsidRPr="00F358DC" w:rsidRDefault="00E26247" w:rsidP="00163FB4">
      <w:pPr>
        <w:spacing w:line="360" w:lineRule="auto"/>
        <w:ind w:firstLine="1440"/>
        <w:rPr>
          <w:iCs/>
        </w:rPr>
      </w:pPr>
    </w:p>
    <w:p w:rsidR="00163FB4" w:rsidRDefault="00961CF8" w:rsidP="00163FB4">
      <w:pPr>
        <w:spacing w:line="360" w:lineRule="auto"/>
        <w:ind w:firstLine="1440"/>
      </w:pPr>
      <w:r>
        <w:rPr>
          <w:iCs/>
        </w:rPr>
        <w:t>Reasonableness</w:t>
      </w:r>
      <w:r w:rsidR="00163FB4" w:rsidRPr="00080F83">
        <w:t xml:space="preserve"> is also the </w:t>
      </w:r>
      <w:r w:rsidR="00A44E44">
        <w:t>standard by which this Commission is</w:t>
      </w:r>
      <w:r w:rsidR="00163FB4" w:rsidRPr="00080F83">
        <w:t xml:space="preserve"> to determine the adequacy of a utility's response to customer service complaints, as well as repairs made to its facilities.</w:t>
      </w:r>
      <w:r w:rsidR="00E26247">
        <w:t xml:space="preserve">  </w:t>
      </w:r>
      <w:r w:rsidR="00E26247" w:rsidRPr="004A19D9">
        <w:rPr>
          <w:i/>
          <w:iCs/>
        </w:rPr>
        <w:t>Scherich</w:t>
      </w:r>
      <w:r w:rsidR="00E26247">
        <w:rPr>
          <w:iCs/>
        </w:rPr>
        <w:t>.</w:t>
      </w:r>
      <w:r>
        <w:t xml:space="preserve"> </w:t>
      </w:r>
      <w:r w:rsidR="00163FB4">
        <w:t xml:space="preserve"> While the Commission is cognizant that “honest” mistakes are made in the </w:t>
      </w:r>
      <w:r w:rsidR="007E7E9F">
        <w:t xml:space="preserve">course of </w:t>
      </w:r>
      <w:r>
        <w:t xml:space="preserve">the multitudinous </w:t>
      </w:r>
      <w:r w:rsidR="007E7E9F">
        <w:t>interaction</w:t>
      </w:r>
      <w:r>
        <w:t>s</w:t>
      </w:r>
      <w:r w:rsidR="007E7E9F">
        <w:t xml:space="preserve"> between </w:t>
      </w:r>
      <w:r w:rsidR="00235CB2">
        <w:t xml:space="preserve">a </w:t>
      </w:r>
      <w:r w:rsidR="007E7E9F">
        <w:t xml:space="preserve">utility and </w:t>
      </w:r>
      <w:r w:rsidR="00530D03">
        <w:t xml:space="preserve">its </w:t>
      </w:r>
      <w:r w:rsidR="007E7E9F">
        <w:t xml:space="preserve">patrons, the record must support any conclusions </w:t>
      </w:r>
      <w:r w:rsidR="00E26247">
        <w:t>concerning the</w:t>
      </w:r>
      <w:r>
        <w:t xml:space="preserve"> adequacy and reasonableness of service </w:t>
      </w:r>
      <w:r w:rsidR="00530D03">
        <w:t xml:space="preserve">and facilities </w:t>
      </w:r>
      <w:r>
        <w:t>as a matter of statute</w:t>
      </w:r>
      <w:r w:rsidR="007E7E9F">
        <w:t>.</w:t>
      </w:r>
      <w:r>
        <w:t xml:space="preserve">  66 Pa. C.S. § 1501.</w:t>
      </w:r>
    </w:p>
    <w:p w:rsidR="00E62108" w:rsidRDefault="00E62108" w:rsidP="00163FB4">
      <w:pPr>
        <w:spacing w:line="360" w:lineRule="auto"/>
        <w:ind w:firstLine="1440"/>
      </w:pPr>
    </w:p>
    <w:p w:rsidR="008C42BE" w:rsidRDefault="00235CB2" w:rsidP="008F050A">
      <w:pPr>
        <w:spacing w:line="360" w:lineRule="auto"/>
        <w:ind w:firstLine="1440"/>
      </w:pPr>
      <w:r>
        <w:t>On consideration of the record in this Complaint, w</w:t>
      </w:r>
      <w:r w:rsidR="00C84029">
        <w:t xml:space="preserve">e find that Mr. Vianello has satisfied his initial burden of coming forward with evidence to establish a </w:t>
      </w:r>
      <w:r w:rsidR="00C84029">
        <w:rPr>
          <w:i/>
        </w:rPr>
        <w:t xml:space="preserve">prima facie </w:t>
      </w:r>
      <w:r w:rsidR="00C84029">
        <w:lastRenderedPageBreak/>
        <w:t>case of inadequate service.</w:t>
      </w:r>
      <w:r w:rsidR="00530D03">
        <w:t xml:space="preserve">  </w:t>
      </w:r>
      <w:r w:rsidR="00C01896" w:rsidRPr="00AE4638">
        <w:t xml:space="preserve">The term </w:t>
      </w:r>
      <w:r w:rsidR="00C01896">
        <w:t>“</w:t>
      </w:r>
      <w:r w:rsidR="00C01896" w:rsidRPr="00AE4638">
        <w:t>service</w:t>
      </w:r>
      <w:r w:rsidR="00C01896">
        <w:t>,” as set forth in the Code,</w:t>
      </w:r>
      <w:r w:rsidR="00C01896" w:rsidRPr="00AE4638">
        <w:t xml:space="preserve"> is used in its broadest and most inclusive sense and includes any and all acts done, rendered or performed and any and all things furnished or supplied, and any and all facilities used, furnished or supplied in the performances of their duties.  66 Pa.</w:t>
      </w:r>
      <w:r w:rsidR="0070690D">
        <w:t xml:space="preserve"> </w:t>
      </w:r>
      <w:r w:rsidR="00C01896" w:rsidRPr="00AE4638">
        <w:t>C.S. § 102</w:t>
      </w:r>
      <w:r w:rsidR="008C42BE">
        <w:t>.</w:t>
      </w:r>
    </w:p>
    <w:p w:rsidR="00C01896" w:rsidRDefault="00E26247" w:rsidP="008F050A">
      <w:pPr>
        <w:spacing w:line="360" w:lineRule="auto"/>
        <w:ind w:firstLine="1440"/>
      </w:pPr>
      <w:r>
        <w:t xml:space="preserve"> </w:t>
      </w:r>
    </w:p>
    <w:p w:rsidR="00235CB2" w:rsidRDefault="00E26247" w:rsidP="008F050A">
      <w:pPr>
        <w:spacing w:line="360" w:lineRule="auto"/>
        <w:ind w:firstLine="1440"/>
      </w:pPr>
      <w:r>
        <w:t>While PPL takes the position that it has not violated a Commission Regulation or the Code concerning the change in account number experienced by Mr.</w:t>
      </w:r>
      <w:r w:rsidR="00464BE0">
        <w:t> </w:t>
      </w:r>
      <w:r>
        <w:t xml:space="preserve">Vianello, </w:t>
      </w:r>
      <w:r w:rsidR="00235CB2">
        <w:t xml:space="preserve">and </w:t>
      </w:r>
      <w:r w:rsidR="00C01896">
        <w:t xml:space="preserve">we acknowledge the viability of the position taken by PPL that </w:t>
      </w:r>
      <w:r w:rsidR="00235CB2">
        <w:t>it is not reasonable for Mr. Vianello to insist on re</w:t>
      </w:r>
      <w:r w:rsidR="00F358DC">
        <w:t>storing a</w:t>
      </w:r>
      <w:r w:rsidR="00235CB2">
        <w:t xml:space="preserve"> prior account number that has been closed </w:t>
      </w:r>
      <w:r w:rsidR="008B2564">
        <w:t>because of</w:t>
      </w:r>
      <w:r w:rsidR="00235CB2">
        <w:t xml:space="preserve"> the billing system </w:t>
      </w:r>
      <w:r w:rsidR="00515521">
        <w:t>PPL</w:t>
      </w:r>
      <w:r w:rsidR="008B2564">
        <w:t xml:space="preserve"> </w:t>
      </w:r>
      <w:r w:rsidR="00235CB2">
        <w:t>use</w:t>
      </w:r>
      <w:r w:rsidR="008B2564">
        <w:t>s</w:t>
      </w:r>
      <w:r w:rsidR="008C42BE">
        <w:t>,</w:t>
      </w:r>
      <w:r w:rsidR="00235CB2">
        <w:t xml:space="preserve"> the</w:t>
      </w:r>
      <w:r>
        <w:t xml:space="preserve"> record does not </w:t>
      </w:r>
      <w:r w:rsidR="00235CB2">
        <w:t xml:space="preserve">establish that the conduct of PPL </w:t>
      </w:r>
      <w:r w:rsidR="00F358DC">
        <w:t xml:space="preserve">in this Complaint </w:t>
      </w:r>
      <w:r w:rsidR="00235CB2">
        <w:t xml:space="preserve">is confined to a mere change in </w:t>
      </w:r>
      <w:r w:rsidR="00F358DC">
        <w:t>Complainant’s</w:t>
      </w:r>
      <w:r w:rsidR="00235CB2">
        <w:t xml:space="preserve"> account number.</w:t>
      </w:r>
      <w:r w:rsidR="00C01896">
        <w:t xml:space="preserve">  Nor does the record offer any rationale, explanation, or factual predicate concerning the </w:t>
      </w:r>
      <w:r w:rsidR="008C42BE">
        <w:t xml:space="preserve">basis for the </w:t>
      </w:r>
      <w:r w:rsidR="00C01896">
        <w:t xml:space="preserve">change </w:t>
      </w:r>
      <w:r w:rsidR="008C42BE">
        <w:t>to</w:t>
      </w:r>
      <w:r w:rsidR="00C01896">
        <w:t xml:space="preserve"> Mr. Vianello’s account other than a cursory conclusion that the occurrence was an honest mistake.</w:t>
      </w:r>
    </w:p>
    <w:p w:rsidR="00235CB2" w:rsidRDefault="00235CB2" w:rsidP="008F050A">
      <w:pPr>
        <w:spacing w:line="360" w:lineRule="auto"/>
        <w:ind w:firstLine="1440"/>
      </w:pPr>
    </w:p>
    <w:p w:rsidR="001B534F" w:rsidRPr="00451597" w:rsidRDefault="001B534F" w:rsidP="001B534F">
      <w:pPr>
        <w:spacing w:line="360" w:lineRule="auto"/>
        <w:ind w:firstLine="1440"/>
      </w:pPr>
      <w:r>
        <w:t>We find that the present Complaint must be viewed in light of two proceedings, one of which is a recent formal complaint involving PPL, and both of which must be considered</w:t>
      </w:r>
      <w:r w:rsidR="00B71271">
        <w:t xml:space="preserve"> for their analogous facts</w:t>
      </w:r>
      <w:r>
        <w:t xml:space="preserve">.  The proceedings are: </w:t>
      </w:r>
      <w:r w:rsidRPr="001B534F">
        <w:rPr>
          <w:i/>
        </w:rPr>
        <w:t>James S. Kash</w:t>
      </w:r>
      <w:r w:rsidR="00C6113E">
        <w:rPr>
          <w:i/>
        </w:rPr>
        <w:t>m</w:t>
      </w:r>
      <w:r w:rsidRPr="001B534F">
        <w:rPr>
          <w:i/>
        </w:rPr>
        <w:t xml:space="preserve">er v. PPL </w:t>
      </w:r>
      <w:r w:rsidR="00C6113E">
        <w:rPr>
          <w:i/>
        </w:rPr>
        <w:t xml:space="preserve">Electric </w:t>
      </w:r>
      <w:r w:rsidRPr="001B534F">
        <w:rPr>
          <w:i/>
        </w:rPr>
        <w:t>Utilities Corporation</w:t>
      </w:r>
      <w:r>
        <w:t xml:space="preserve">, Docket No. </w:t>
      </w:r>
      <w:r w:rsidRPr="00451597">
        <w:t>F-2015-2487224</w:t>
      </w:r>
      <w:r>
        <w:t xml:space="preserve"> (Order entered August 29, 2016) (</w:t>
      </w:r>
      <w:r w:rsidRPr="001B534F">
        <w:rPr>
          <w:i/>
        </w:rPr>
        <w:t>Kash</w:t>
      </w:r>
      <w:r w:rsidR="00C6113E">
        <w:rPr>
          <w:i/>
        </w:rPr>
        <w:t>m</w:t>
      </w:r>
      <w:r w:rsidRPr="001B534F">
        <w:rPr>
          <w:i/>
        </w:rPr>
        <w:t>er</w:t>
      </w:r>
      <w:r>
        <w:t xml:space="preserve">) and </w:t>
      </w:r>
      <w:r w:rsidRPr="004830E0">
        <w:rPr>
          <w:i/>
        </w:rPr>
        <w:t>Charles Gallagher, Jr. v. PECO Energy Company</w:t>
      </w:r>
      <w:r w:rsidR="00C6113E">
        <w:t>,</w:t>
      </w:r>
      <w:r>
        <w:t xml:space="preserve"> Docket No. </w:t>
      </w:r>
      <w:r w:rsidRPr="00F07AF4">
        <w:t>C-2008-2075240</w:t>
      </w:r>
      <w:r>
        <w:t xml:space="preserve"> (Order entered December 4, 2009; Order </w:t>
      </w:r>
      <w:r w:rsidR="00C6113E">
        <w:t xml:space="preserve">on Reconsideration </w:t>
      </w:r>
      <w:r>
        <w:t>entered September 8, 2010) (</w:t>
      </w:r>
      <w:r w:rsidRPr="004830E0">
        <w:rPr>
          <w:i/>
        </w:rPr>
        <w:t>Gallagher</w:t>
      </w:r>
      <w:r>
        <w:t>).</w:t>
      </w:r>
    </w:p>
    <w:p w:rsidR="001B534F" w:rsidRPr="00451597" w:rsidRDefault="001B534F" w:rsidP="001B534F">
      <w:pPr>
        <w:spacing w:line="360" w:lineRule="auto"/>
        <w:ind w:firstLine="1440"/>
      </w:pPr>
    </w:p>
    <w:p w:rsidR="00EA7F13" w:rsidRDefault="008F050A" w:rsidP="008F050A">
      <w:pPr>
        <w:spacing w:line="360" w:lineRule="auto"/>
        <w:ind w:firstLine="1440"/>
      </w:pPr>
      <w:r>
        <w:t xml:space="preserve">The facts and circumstances of this Complaint are </w:t>
      </w:r>
      <w:r w:rsidR="00EA7F13">
        <w:t xml:space="preserve">substantially similar </w:t>
      </w:r>
      <w:r>
        <w:t xml:space="preserve">to those addressed in </w:t>
      </w:r>
      <w:r w:rsidRPr="004830E0">
        <w:rPr>
          <w:i/>
        </w:rPr>
        <w:t>Gallagher</w:t>
      </w:r>
      <w:r>
        <w:t>.</w:t>
      </w:r>
      <w:r w:rsidR="00EA7F13">
        <w:t xml:space="preserve">  In </w:t>
      </w:r>
      <w:r w:rsidR="00EA7F13">
        <w:rPr>
          <w:i/>
        </w:rPr>
        <w:t>Gallagher</w:t>
      </w:r>
      <w:r w:rsidR="00EA7F13">
        <w:t>, the facts were as follows:</w:t>
      </w:r>
    </w:p>
    <w:p w:rsidR="00EA7F13" w:rsidRDefault="00EA7F13" w:rsidP="008F050A">
      <w:pPr>
        <w:spacing w:line="360" w:lineRule="auto"/>
        <w:ind w:firstLine="1440"/>
      </w:pPr>
    </w:p>
    <w:p w:rsidR="008F050A" w:rsidRDefault="00EA7F13" w:rsidP="00634393">
      <w:pPr>
        <w:overflowPunct w:val="0"/>
        <w:autoSpaceDE w:val="0"/>
        <w:autoSpaceDN w:val="0"/>
        <w:adjustRightInd w:val="0"/>
        <w:ind w:left="1440" w:right="1440" w:firstLine="720"/>
        <w:textAlignment w:val="baseline"/>
      </w:pPr>
      <w:r w:rsidRPr="004B0C50">
        <w:t xml:space="preserve">The Complainant alleged that he has had electric and gas service with PECO for thirty-seven years and his service should not have been transferred to another individual based on a call from that individual.  On October 20, 2008, an </w:t>
      </w:r>
      <w:r w:rsidRPr="004B0C50">
        <w:lastRenderedPageBreak/>
        <w:t>individual requested PECO to transfer the electric and gas service to them.</w:t>
      </w:r>
      <w:r w:rsidRPr="00EA7F13">
        <w:rPr>
          <w:vertAlign w:val="superscript"/>
        </w:rPr>
        <w:t>1</w:t>
      </w:r>
      <w:r w:rsidRPr="004B0C50">
        <w:t xml:space="preserve">  On October 20, 2008, PECO found no reason to delay the transfer, and subsequently put the Complainant’s account in this individual’s name on October</w:t>
      </w:r>
      <w:r w:rsidR="00464BE0">
        <w:t> </w:t>
      </w:r>
      <w:r w:rsidRPr="004B0C50">
        <w:t xml:space="preserve">21, 2008.  On October 24, 2008, the Complainant received a letter asking for confirmation that either he was moving or if the service was no longer to be in his name.  The Complainant immediately informed PECO that he was not moving and the account was to be in his name.  The account was placed back in his name on October 24, 2008.  Findings of Fact Nos. 2-4.  However, because the account had already been transferred, the Complainant’s account could not be reinstated.  The Complainant had to provide his bank information in order to start a new budget billing plan.  The Complainant found this to be onerous.  The Complainant’s electric and gas service had never been interrupted.  Findings </w:t>
      </w:r>
      <w:r w:rsidRPr="001521C7">
        <w:rPr>
          <w:u w:val="single"/>
        </w:rPr>
        <w:t>of Fact No. 7.</w:t>
      </w:r>
      <w:r w:rsidR="00F358DC">
        <w:t xml:space="preserve">  </w:t>
      </w:r>
      <w:r w:rsidR="008F050A">
        <w:t xml:space="preserve">  </w:t>
      </w:r>
    </w:p>
    <w:p w:rsidR="002744C6" w:rsidRDefault="00EA7F13" w:rsidP="002744C6">
      <w:pPr>
        <w:pStyle w:val="FootnoteText"/>
        <w:numPr>
          <w:ilvl w:val="0"/>
          <w:numId w:val="38"/>
        </w:numPr>
        <w:rPr>
          <w:rFonts w:ascii="Times New (W1)" w:hAnsi="Times New (W1)"/>
          <w:sz w:val="26"/>
        </w:rPr>
      </w:pPr>
      <w:r w:rsidRPr="00123759">
        <w:rPr>
          <w:rFonts w:ascii="Times New (W1)" w:hAnsi="Times New (W1)"/>
          <w:sz w:val="26"/>
        </w:rPr>
        <w:t xml:space="preserve">PECO later discovered that the new applicant mistakenly </w:t>
      </w:r>
    </w:p>
    <w:p w:rsidR="00EA7F13" w:rsidRPr="00123759" w:rsidRDefault="00EA7F13" w:rsidP="001521C7">
      <w:pPr>
        <w:pStyle w:val="FootnoteText"/>
        <w:ind w:left="1440"/>
        <w:rPr>
          <w:rFonts w:ascii="Times New (W1)" w:hAnsi="Times New (W1)"/>
          <w:sz w:val="26"/>
        </w:rPr>
      </w:pPr>
      <w:r w:rsidRPr="00123759">
        <w:rPr>
          <w:rFonts w:ascii="Times New (W1)" w:hAnsi="Times New (W1)"/>
          <w:sz w:val="26"/>
        </w:rPr>
        <w:t>provided the wrong address.</w:t>
      </w:r>
    </w:p>
    <w:p w:rsidR="00E62108" w:rsidRDefault="00E62108" w:rsidP="00163FB4">
      <w:pPr>
        <w:spacing w:line="360" w:lineRule="auto"/>
        <w:ind w:firstLine="1440"/>
      </w:pPr>
    </w:p>
    <w:p w:rsidR="00C01896" w:rsidRDefault="00EA7F13" w:rsidP="00EA7F13">
      <w:pPr>
        <w:spacing w:line="360" w:lineRule="auto"/>
      </w:pPr>
      <w:r>
        <w:rPr>
          <w:i/>
        </w:rPr>
        <w:t>Gallagher</w:t>
      </w:r>
      <w:r>
        <w:t>, at 4 (Order entered December 4, 2009).</w:t>
      </w:r>
    </w:p>
    <w:p w:rsidR="00DE5928" w:rsidRDefault="00DE5928" w:rsidP="00EA7F13">
      <w:pPr>
        <w:spacing w:line="360" w:lineRule="auto"/>
      </w:pPr>
    </w:p>
    <w:p w:rsidR="00501F10" w:rsidRDefault="0054470D" w:rsidP="00B71271">
      <w:pPr>
        <w:overflowPunct w:val="0"/>
        <w:autoSpaceDE w:val="0"/>
        <w:autoSpaceDN w:val="0"/>
        <w:adjustRightInd w:val="0"/>
        <w:spacing w:line="360" w:lineRule="auto"/>
        <w:ind w:firstLine="1440"/>
        <w:textAlignment w:val="baseline"/>
      </w:pPr>
      <w:r>
        <w:t xml:space="preserve">In </w:t>
      </w:r>
      <w:r>
        <w:rPr>
          <w:i/>
        </w:rPr>
        <w:t>Gallagher</w:t>
      </w:r>
      <w:r>
        <w:t>, we found that</w:t>
      </w:r>
      <w:r w:rsidR="0067012A">
        <w:t>, at minimum,</w:t>
      </w:r>
      <w:r>
        <w:t xml:space="preserve"> two regulatory provisions were implicated by the </w:t>
      </w:r>
      <w:r w:rsidR="008B2564">
        <w:t>erroneous</w:t>
      </w:r>
      <w:r>
        <w:t xml:space="preserve"> transfer of service and</w:t>
      </w:r>
      <w:r w:rsidR="008B2564">
        <w:t xml:space="preserve"> subsequent</w:t>
      </w:r>
      <w:r>
        <w:t xml:space="preserve"> issuance of a new account by the utility</w:t>
      </w:r>
      <w:r w:rsidR="002744C6">
        <w:t xml:space="preserve"> to a patron</w:t>
      </w:r>
      <w:r>
        <w:t>, 52 Pa. Code §</w:t>
      </w:r>
      <w:r w:rsidRPr="0054470D">
        <w:t xml:space="preserve"> </w:t>
      </w:r>
      <w:r>
        <w:t>56.37</w:t>
      </w:r>
      <w:r w:rsidR="006D6741">
        <w:t xml:space="preserve"> and 52 Pa. Code § 56.16</w:t>
      </w:r>
      <w:r>
        <w:t>.  Section 56.37 states</w:t>
      </w:r>
      <w:r w:rsidR="0001342A">
        <w:t>, in part</w:t>
      </w:r>
      <w:r>
        <w:t>:</w:t>
      </w:r>
    </w:p>
    <w:p w:rsidR="006804A6" w:rsidRDefault="006804A6" w:rsidP="00B71271">
      <w:pPr>
        <w:overflowPunct w:val="0"/>
        <w:autoSpaceDE w:val="0"/>
        <w:autoSpaceDN w:val="0"/>
        <w:adjustRightInd w:val="0"/>
        <w:spacing w:line="360" w:lineRule="auto"/>
        <w:ind w:firstLine="1440"/>
        <w:textAlignment w:val="baseline"/>
      </w:pPr>
    </w:p>
    <w:p w:rsidR="0054470D" w:rsidRDefault="0054470D" w:rsidP="0054470D">
      <w:pPr>
        <w:overflowPunct w:val="0"/>
        <w:autoSpaceDE w:val="0"/>
        <w:autoSpaceDN w:val="0"/>
        <w:adjustRightInd w:val="0"/>
        <w:spacing w:line="360" w:lineRule="auto"/>
        <w:textAlignment w:val="baseline"/>
      </w:pPr>
      <w:r>
        <w:tab/>
      </w:r>
      <w:r w:rsidR="00B71271">
        <w:tab/>
      </w:r>
      <w:r>
        <w:t>§ 56.37. General rule.</w:t>
      </w:r>
    </w:p>
    <w:p w:rsidR="0003352C" w:rsidRDefault="0003352C" w:rsidP="001521C7">
      <w:pPr>
        <w:overflowPunct w:val="0"/>
        <w:autoSpaceDE w:val="0"/>
        <w:autoSpaceDN w:val="0"/>
        <w:adjustRightInd w:val="0"/>
        <w:spacing w:line="360" w:lineRule="auto"/>
        <w:jc w:val="center"/>
        <w:textAlignment w:val="baseline"/>
      </w:pPr>
      <w:r>
        <w:t>*          *          *</w:t>
      </w:r>
    </w:p>
    <w:p w:rsidR="0054470D" w:rsidRDefault="0054470D" w:rsidP="0054470D">
      <w:pPr>
        <w:pStyle w:val="FootnoteText"/>
        <w:ind w:left="1440" w:right="1080"/>
        <w:rPr>
          <w:rFonts w:ascii="Times New (W1)" w:hAnsi="Times New (W1)"/>
          <w:sz w:val="26"/>
        </w:rPr>
      </w:pPr>
      <w:r w:rsidRPr="0040248C">
        <w:rPr>
          <w:rFonts w:ascii="Times New (W1)" w:hAnsi="Times New (W1)"/>
          <w:sz w:val="26"/>
        </w:rPr>
        <w:t>If the investigation and determination of credit status is expected to take or in fact takes longer than 3 business days commencing the date after the application is made, the utility shall provide service pending completion of the investigation.</w:t>
      </w:r>
    </w:p>
    <w:p w:rsidR="00D846DE" w:rsidRDefault="00D846DE" w:rsidP="0054470D">
      <w:pPr>
        <w:pStyle w:val="FootnoteText"/>
        <w:ind w:left="1440" w:right="1080"/>
        <w:rPr>
          <w:rFonts w:ascii="Times New (W1)" w:hAnsi="Times New (W1)"/>
          <w:sz w:val="26"/>
        </w:rPr>
      </w:pPr>
    </w:p>
    <w:p w:rsidR="00DE5928" w:rsidRPr="00EA7F13" w:rsidRDefault="00DE5928" w:rsidP="00DE5928">
      <w:pPr>
        <w:spacing w:line="360" w:lineRule="auto"/>
        <w:ind w:firstLine="1440"/>
      </w:pPr>
    </w:p>
    <w:p w:rsidR="0054470D" w:rsidRDefault="0054470D" w:rsidP="0054470D">
      <w:pPr>
        <w:spacing w:line="360" w:lineRule="auto"/>
        <w:ind w:firstLine="1440"/>
      </w:pPr>
      <w:r>
        <w:t xml:space="preserve">The second regulatory provision </w:t>
      </w:r>
      <w:r w:rsidR="002744C6">
        <w:t xml:space="preserve">addressed </w:t>
      </w:r>
      <w:r>
        <w:t xml:space="preserve">in </w:t>
      </w:r>
      <w:r>
        <w:rPr>
          <w:i/>
        </w:rPr>
        <w:t>Gallagher</w:t>
      </w:r>
      <w:r>
        <w:t xml:space="preserve"> was 52 Pa. Code §</w:t>
      </w:r>
      <w:r w:rsidR="00DC0033">
        <w:t> </w:t>
      </w:r>
      <w:r>
        <w:t>56.16</w:t>
      </w:r>
      <w:r w:rsidR="00DC0033">
        <w:t xml:space="preserve">, which </w:t>
      </w:r>
      <w:r>
        <w:t>provides</w:t>
      </w:r>
      <w:r w:rsidR="00CD3D7C">
        <w:t>, in part</w:t>
      </w:r>
      <w:r>
        <w:t>:</w:t>
      </w:r>
    </w:p>
    <w:p w:rsidR="0054470D" w:rsidRDefault="0054470D" w:rsidP="0054470D">
      <w:pPr>
        <w:spacing w:line="360" w:lineRule="auto"/>
      </w:pPr>
    </w:p>
    <w:p w:rsidR="0054470D" w:rsidRDefault="0054470D" w:rsidP="0054470D">
      <w:pPr>
        <w:ind w:left="1440" w:right="1440"/>
        <w:rPr>
          <w:rFonts w:ascii="Times New (W1)" w:hAnsi="Times New (W1)"/>
          <w:szCs w:val="24"/>
        </w:rPr>
      </w:pPr>
      <w:r w:rsidRPr="002C35C0">
        <w:rPr>
          <w:rFonts w:ascii="Times New (W1)" w:hAnsi="Times New (W1)"/>
          <w:szCs w:val="24"/>
        </w:rPr>
        <w:t>(</w:t>
      </w:r>
      <w:r>
        <w:rPr>
          <w:rFonts w:ascii="Times New (W1)" w:hAnsi="Times New (W1)"/>
          <w:szCs w:val="24"/>
        </w:rPr>
        <w:t xml:space="preserve">a)  </w:t>
      </w:r>
      <w:r w:rsidRPr="002C35C0">
        <w:rPr>
          <w:rFonts w:ascii="Times New (W1)" w:hAnsi="Times New (W1)"/>
          <w:szCs w:val="24"/>
        </w:rPr>
        <w:t>A ratepayer who is about to vacate premises supplied with utility service or who wishes to have service discontinued shall give at least 7 days</w:t>
      </w:r>
      <w:r w:rsidR="00204F19">
        <w:rPr>
          <w:rFonts w:ascii="Times New (W1)" w:hAnsi="Times New (W1)"/>
          <w:szCs w:val="24"/>
        </w:rPr>
        <w:t>[’]</w:t>
      </w:r>
      <w:r w:rsidRPr="002C35C0">
        <w:rPr>
          <w:rFonts w:ascii="Times New (W1)" w:hAnsi="Times New (W1)"/>
          <w:szCs w:val="24"/>
        </w:rPr>
        <w:t xml:space="preserve"> notice to the utility and a nonratepayer occupant, specifying the date on which it is desired that service be discontinued.  In the absence of a notice, the ratepayer shall be responsible for services rendered. </w:t>
      </w:r>
    </w:p>
    <w:p w:rsidR="00D846DE" w:rsidRPr="002C35C0" w:rsidRDefault="00D846DE" w:rsidP="0054470D">
      <w:pPr>
        <w:ind w:left="1440" w:right="1440"/>
        <w:rPr>
          <w:rFonts w:ascii="Times New (W1)" w:hAnsi="Times New (W1)"/>
          <w:szCs w:val="24"/>
        </w:rPr>
      </w:pPr>
    </w:p>
    <w:p w:rsidR="0054470D" w:rsidRDefault="0054470D" w:rsidP="0054470D">
      <w:pPr>
        <w:ind w:left="1440"/>
      </w:pPr>
    </w:p>
    <w:p w:rsidR="00B71271" w:rsidRDefault="00B71271" w:rsidP="00B71271">
      <w:pPr>
        <w:spacing w:line="360" w:lineRule="auto"/>
        <w:ind w:firstLine="1440"/>
      </w:pPr>
      <w:r>
        <w:rPr>
          <w:i/>
        </w:rPr>
        <w:t>Kash</w:t>
      </w:r>
      <w:r w:rsidR="00200863">
        <w:rPr>
          <w:i/>
        </w:rPr>
        <w:t>m</w:t>
      </w:r>
      <w:r>
        <w:rPr>
          <w:i/>
        </w:rPr>
        <w:t>er</w:t>
      </w:r>
      <w:r>
        <w:t>, as noted, a case involving PPL, involved a formal complaint alleging that PPL was threatening to shut off electric service or ha</w:t>
      </w:r>
      <w:r w:rsidR="00B75649">
        <w:t>d</w:t>
      </w:r>
      <w:r>
        <w:t xml:space="preserve"> already shut off service to an account which was current.  The ratepayer in </w:t>
      </w:r>
      <w:r>
        <w:rPr>
          <w:i/>
        </w:rPr>
        <w:t>Kash</w:t>
      </w:r>
      <w:r w:rsidR="00200863">
        <w:rPr>
          <w:i/>
        </w:rPr>
        <w:t>m</w:t>
      </w:r>
      <w:r>
        <w:rPr>
          <w:i/>
        </w:rPr>
        <w:t>er</w:t>
      </w:r>
      <w:r>
        <w:t xml:space="preserve"> received notice of the impending service termination because PPL, in compliance (contested) with the Commission Regulations, left a termination notice on the door of the complainant’s service property (a second home) that would have gone into effect had he not visited the home on that particular weekend.  The </w:t>
      </w:r>
      <w:r>
        <w:rPr>
          <w:i/>
        </w:rPr>
        <w:t>Kash</w:t>
      </w:r>
      <w:r w:rsidR="00200863">
        <w:rPr>
          <w:i/>
        </w:rPr>
        <w:t>m</w:t>
      </w:r>
      <w:r>
        <w:rPr>
          <w:i/>
        </w:rPr>
        <w:t xml:space="preserve">er </w:t>
      </w:r>
      <w:r>
        <w:t xml:space="preserve">complainant averred that PPL should have contacted him by phone or email instead of leaving a termination notice on his door.  </w:t>
      </w:r>
      <w:r>
        <w:rPr>
          <w:i/>
        </w:rPr>
        <w:t>Kash</w:t>
      </w:r>
      <w:r w:rsidR="00200863">
        <w:rPr>
          <w:i/>
        </w:rPr>
        <w:t>m</w:t>
      </w:r>
      <w:r>
        <w:rPr>
          <w:i/>
        </w:rPr>
        <w:t>er</w:t>
      </w:r>
      <w:r>
        <w:t xml:space="preserve"> at 2.</w:t>
      </w:r>
    </w:p>
    <w:p w:rsidR="00B71271" w:rsidRDefault="00B71271" w:rsidP="00B71271">
      <w:pPr>
        <w:spacing w:line="360" w:lineRule="auto"/>
        <w:ind w:firstLine="1440"/>
      </w:pPr>
    </w:p>
    <w:p w:rsidR="00B71271" w:rsidRDefault="00B71271" w:rsidP="00B71271">
      <w:pPr>
        <w:spacing w:line="360" w:lineRule="auto"/>
        <w:ind w:firstLine="1440"/>
      </w:pPr>
      <w:r w:rsidRPr="00194F9B">
        <w:t xml:space="preserve">PPL, </w:t>
      </w:r>
      <w:r>
        <w:t xml:space="preserve">in its defense in the formal complaint in </w:t>
      </w:r>
      <w:r>
        <w:rPr>
          <w:i/>
        </w:rPr>
        <w:t>Kash</w:t>
      </w:r>
      <w:r w:rsidR="005A7D92">
        <w:rPr>
          <w:i/>
        </w:rPr>
        <w:t>m</w:t>
      </w:r>
      <w:r>
        <w:rPr>
          <w:i/>
        </w:rPr>
        <w:t>er</w:t>
      </w:r>
      <w:r>
        <w:t>,</w:t>
      </w:r>
      <w:r>
        <w:rPr>
          <w:i/>
        </w:rPr>
        <w:t xml:space="preserve"> </w:t>
      </w:r>
      <w:r w:rsidRPr="00194F9B">
        <w:t xml:space="preserve">contended that </w:t>
      </w:r>
      <w:r>
        <w:t xml:space="preserve">it followed its policies and procedures when it attempted to initiate new service at the service address that ultimately led to the issuance of the termination notice. </w:t>
      </w:r>
      <w:r w:rsidR="00B62986">
        <w:rPr>
          <w:i/>
        </w:rPr>
        <w:t xml:space="preserve"> Id.</w:t>
      </w:r>
      <w:r>
        <w:t xml:space="preserve"> at 4.  PPL asserted that the only difference in the </w:t>
      </w:r>
      <w:r>
        <w:rPr>
          <w:i/>
        </w:rPr>
        <w:t>Kash</w:t>
      </w:r>
      <w:r w:rsidR="005A7D92">
        <w:rPr>
          <w:i/>
        </w:rPr>
        <w:t>m</w:t>
      </w:r>
      <w:r>
        <w:rPr>
          <w:i/>
        </w:rPr>
        <w:t xml:space="preserve">er </w:t>
      </w:r>
      <w:r>
        <w:t xml:space="preserve">formal complaint was that an unusual circumstance led to the issuance of the termination notice.  That is, PPL explained that a third party with an outstanding balance on an account requested electric service at the disputed service address.  PPL responded that it was unaware that the third party did not reside at the service address in dispute.  </w:t>
      </w:r>
      <w:r>
        <w:rPr>
          <w:i/>
        </w:rPr>
        <w:t>Id</w:t>
      </w:r>
      <w:r>
        <w:t>.  PPL indicated that this was the first time it ha</w:t>
      </w:r>
      <w:r w:rsidR="00B75649">
        <w:t>d</w:t>
      </w:r>
      <w:r>
        <w:t xml:space="preserve"> experienced a situation where someone had called to place service in his or her name at an address at which they do not reside.  </w:t>
      </w:r>
      <w:r>
        <w:rPr>
          <w:i/>
        </w:rPr>
        <w:t>Id</w:t>
      </w:r>
      <w:r>
        <w:t>.</w:t>
      </w:r>
    </w:p>
    <w:p w:rsidR="00B71271" w:rsidRDefault="00B71271" w:rsidP="00B71271">
      <w:pPr>
        <w:spacing w:line="360" w:lineRule="auto"/>
      </w:pPr>
    </w:p>
    <w:p w:rsidR="00060AFD" w:rsidRDefault="00B71271" w:rsidP="00060AFD">
      <w:pPr>
        <w:spacing w:line="360" w:lineRule="auto"/>
        <w:ind w:firstLine="1440"/>
      </w:pPr>
      <w:r>
        <w:rPr>
          <w:i/>
        </w:rPr>
        <w:lastRenderedPageBreak/>
        <w:t>Kash</w:t>
      </w:r>
      <w:r w:rsidR="005A7D92">
        <w:rPr>
          <w:i/>
        </w:rPr>
        <w:t>m</w:t>
      </w:r>
      <w:r>
        <w:rPr>
          <w:i/>
        </w:rPr>
        <w:t xml:space="preserve">er </w:t>
      </w:r>
      <w:r>
        <w:t>focused upon Section 1406 of the Code, 66 Pa. C.S. § 1406</w:t>
      </w:r>
      <w:r w:rsidR="00855E36">
        <w:rPr>
          <w:rStyle w:val="FootnoteReference"/>
        </w:rPr>
        <w:footnoteReference w:id="8"/>
      </w:r>
      <w:r>
        <w:t xml:space="preserve"> and Section 56.93 of the Commission’s Regulations, 52 Pa. Code § 56.93.</w:t>
      </w:r>
      <w:r w:rsidR="00060AFD">
        <w:t xml:space="preserve">  </w:t>
      </w:r>
      <w:r w:rsidR="00060AFD">
        <w:rPr>
          <w:i/>
        </w:rPr>
        <w:t xml:space="preserve">See, also </w:t>
      </w:r>
      <w:r w:rsidR="00060AFD">
        <w:t xml:space="preserve">52 Pa. Code § 56.91.  In </w:t>
      </w:r>
      <w:r w:rsidR="00060AFD">
        <w:rPr>
          <w:i/>
        </w:rPr>
        <w:t>Kash</w:t>
      </w:r>
      <w:r w:rsidR="005A7D92">
        <w:rPr>
          <w:i/>
        </w:rPr>
        <w:t>m</w:t>
      </w:r>
      <w:r w:rsidR="00060AFD">
        <w:rPr>
          <w:i/>
        </w:rPr>
        <w:t>er</w:t>
      </w:r>
      <w:r w:rsidR="00060AFD">
        <w:t xml:space="preserve"> we adopted an ALJ recommendation which found a violation of unreasonable service and a violation of Section 1501 of the Code, and 52 Pa. Code §</w:t>
      </w:r>
      <w:r w:rsidR="00B75649">
        <w:t> </w:t>
      </w:r>
      <w:r w:rsidR="00060AFD">
        <w:t>56.93, based on the procedures and timing of the issuance of service termination notices to the complainant in that case.</w:t>
      </w:r>
      <w:r w:rsidR="003579F1">
        <w:t xml:space="preserve">  We upheld the recommendation of the ALJ to impose a civil penalty based on the violation of the provisions of the Code and Commission Regulations.  S</w:t>
      </w:r>
      <w:r w:rsidR="00060AFD">
        <w:t>ignificantly</w:t>
      </w:r>
      <w:r w:rsidR="003579F1">
        <w:t>,</w:t>
      </w:r>
      <w:r w:rsidR="00060AFD">
        <w:t xml:space="preserve"> for </w:t>
      </w:r>
      <w:r w:rsidR="003579F1">
        <w:t>our consideration of the</w:t>
      </w:r>
      <w:r w:rsidR="00060AFD">
        <w:t xml:space="preserve"> present Complaint of Mr.</w:t>
      </w:r>
      <w:r w:rsidR="00204F19">
        <w:t> </w:t>
      </w:r>
      <w:r w:rsidR="00060AFD">
        <w:t>Vianello, we stated the following:</w:t>
      </w:r>
    </w:p>
    <w:p w:rsidR="00060AFD" w:rsidRDefault="00060AFD" w:rsidP="00060AFD">
      <w:pPr>
        <w:spacing w:line="360" w:lineRule="auto"/>
        <w:ind w:firstLine="1440"/>
      </w:pPr>
    </w:p>
    <w:p w:rsidR="00060AFD" w:rsidRDefault="00060AFD" w:rsidP="00060AFD">
      <w:pPr>
        <w:ind w:left="1440" w:right="1440" w:firstLine="720"/>
      </w:pPr>
      <w:r>
        <w:t xml:space="preserve">Before concluding, we note that it is unclear from the record </w:t>
      </w:r>
      <w:r w:rsidRPr="001521C7">
        <w:rPr>
          <w:i/>
        </w:rPr>
        <w:t>whether PPL has internal procedures to verify in certain circumstances whether the request for service at a particular address is correct.  Without first verifying whether the request for service at the Service Address was accurate, PPL proceeded through several steps that may have led to the termination of the Complainant’s electric service at the Service Address while the Complainant was still a customer of record at that address.</w:t>
      </w:r>
      <w:r>
        <w:t xml:space="preserve">  As technologies evolve and more functions are done remotely through utilities’ websites, including requests for and disconnection of service, inaccuracies regarding service requests and disconnects may increase and in turn, may cause customer confusion and utility inefficiencies.  Therefore, we encourage PPL and all regulated utilities to consider ways to better address such requests for service so that all transactions are performed in an accurate and timely manner.</w:t>
      </w:r>
    </w:p>
    <w:p w:rsidR="00D03ED2" w:rsidRDefault="00D03ED2" w:rsidP="00060AFD">
      <w:pPr>
        <w:ind w:left="1440" w:right="1440" w:firstLine="720"/>
      </w:pPr>
    </w:p>
    <w:p w:rsidR="00D03ED2" w:rsidRDefault="00D03ED2" w:rsidP="00060AFD">
      <w:pPr>
        <w:ind w:left="1440" w:right="1440" w:firstLine="720"/>
        <w:rPr>
          <w:rFonts w:eastAsiaTheme="minorEastAsia"/>
        </w:rPr>
      </w:pPr>
    </w:p>
    <w:p w:rsidR="00060AFD" w:rsidRPr="00060AFD" w:rsidRDefault="00060AFD" w:rsidP="00060AFD">
      <w:pPr>
        <w:spacing w:line="360" w:lineRule="auto"/>
      </w:pPr>
      <w:r>
        <w:rPr>
          <w:i/>
        </w:rPr>
        <w:t>Kas</w:t>
      </w:r>
      <w:r w:rsidR="00CA5941">
        <w:rPr>
          <w:i/>
        </w:rPr>
        <w:t>hm</w:t>
      </w:r>
      <w:r>
        <w:rPr>
          <w:i/>
        </w:rPr>
        <w:t>er</w:t>
      </w:r>
      <w:r>
        <w:t xml:space="preserve"> at 17</w:t>
      </w:r>
      <w:r w:rsidR="003579F1">
        <w:t xml:space="preserve"> (</w:t>
      </w:r>
      <w:r w:rsidR="00CA5941">
        <w:t>e</w:t>
      </w:r>
      <w:r w:rsidR="003579F1">
        <w:t>mphasis supplied).</w:t>
      </w:r>
    </w:p>
    <w:p w:rsidR="00B71271" w:rsidRDefault="00B71271" w:rsidP="0054470D">
      <w:pPr>
        <w:ind w:left="1440"/>
      </w:pPr>
    </w:p>
    <w:p w:rsidR="00893108" w:rsidRDefault="0054470D" w:rsidP="0054470D">
      <w:pPr>
        <w:spacing w:line="360" w:lineRule="auto"/>
      </w:pPr>
      <w:r>
        <w:lastRenderedPageBreak/>
        <w:tab/>
      </w:r>
      <w:r>
        <w:tab/>
        <w:t xml:space="preserve">The </w:t>
      </w:r>
      <w:r w:rsidR="00060AFD">
        <w:t>p</w:t>
      </w:r>
      <w:r>
        <w:t>rovisions of the Commission</w:t>
      </w:r>
      <w:r w:rsidR="002744C6">
        <w:t>’s</w:t>
      </w:r>
      <w:r>
        <w:t xml:space="preserve"> Regulations </w:t>
      </w:r>
      <w:r w:rsidR="00060AFD">
        <w:t xml:space="preserve">addressed in </w:t>
      </w:r>
      <w:r w:rsidR="00060AFD">
        <w:rPr>
          <w:i/>
        </w:rPr>
        <w:t xml:space="preserve">Gallagher </w:t>
      </w:r>
      <w:r w:rsidR="00060AFD">
        <w:t xml:space="preserve">and </w:t>
      </w:r>
      <w:r w:rsidR="00060AFD">
        <w:rPr>
          <w:i/>
        </w:rPr>
        <w:t>Kash</w:t>
      </w:r>
      <w:r w:rsidR="0002321C">
        <w:rPr>
          <w:i/>
        </w:rPr>
        <w:t>m</w:t>
      </w:r>
      <w:r w:rsidR="00060AFD">
        <w:rPr>
          <w:i/>
        </w:rPr>
        <w:t xml:space="preserve">er </w:t>
      </w:r>
      <w:r w:rsidR="002744C6">
        <w:t>provide</w:t>
      </w:r>
      <w:r>
        <w:t xml:space="preserve"> circumstances </w:t>
      </w:r>
      <w:r w:rsidR="002744C6">
        <w:t xml:space="preserve">in the nature </w:t>
      </w:r>
      <w:r>
        <w:t xml:space="preserve">of a “grace” period </w:t>
      </w:r>
      <w:r w:rsidR="002744C6">
        <w:t>between the time</w:t>
      </w:r>
      <w:r>
        <w:t xml:space="preserve"> a </w:t>
      </w:r>
      <w:r w:rsidR="008555DA">
        <w:t xml:space="preserve">change of </w:t>
      </w:r>
      <w:r>
        <w:t>service</w:t>
      </w:r>
      <w:r w:rsidR="008555DA">
        <w:t xml:space="preserve"> is initiated</w:t>
      </w:r>
      <w:r>
        <w:t xml:space="preserve"> </w:t>
      </w:r>
      <w:r w:rsidR="002744C6">
        <w:t>and/</w:t>
      </w:r>
      <w:r>
        <w:t xml:space="preserve">or an existing customer discontinues service.  The </w:t>
      </w:r>
      <w:r w:rsidR="002744C6">
        <w:t xml:space="preserve">Regulations </w:t>
      </w:r>
      <w:r>
        <w:t xml:space="preserve">provide that when a customer wishes to have service discontinued, the customer must give a seven-day notice, not only to a utility, but also to a nonratepayer occupant, specifying the date on which the service is to be discontinued.  </w:t>
      </w:r>
      <w:r>
        <w:rPr>
          <w:i/>
        </w:rPr>
        <w:t>Gallagher</w:t>
      </w:r>
      <w:r>
        <w:t xml:space="preserve"> at </w:t>
      </w:r>
      <w:r w:rsidR="00893108">
        <w:t>5 (Order entered December 4, 2009).  In the case of a new application, the grace period is three (3) days</w:t>
      </w:r>
      <w:r w:rsidR="00A81BC3">
        <w:t>,</w:t>
      </w:r>
      <w:r w:rsidR="00893108">
        <w:t xml:space="preserve"> after which service is to be instituted pending any </w:t>
      </w:r>
      <w:r w:rsidR="006D6741">
        <w:t>applicable</w:t>
      </w:r>
      <w:r w:rsidR="00893108">
        <w:t xml:space="preserve"> credit investigation.  </w:t>
      </w:r>
      <w:r w:rsidR="00893108">
        <w:rPr>
          <w:i/>
        </w:rPr>
        <w:t xml:space="preserve">See </w:t>
      </w:r>
      <w:r w:rsidR="00893108">
        <w:t xml:space="preserve">Section 56.37, </w:t>
      </w:r>
      <w:r w:rsidR="00893108">
        <w:rPr>
          <w:i/>
        </w:rPr>
        <w:t>supra</w:t>
      </w:r>
      <w:r w:rsidR="00893108">
        <w:t>.</w:t>
      </w:r>
    </w:p>
    <w:p w:rsidR="00893108" w:rsidRDefault="00893108" w:rsidP="0054470D">
      <w:pPr>
        <w:spacing w:line="360" w:lineRule="auto"/>
      </w:pPr>
    </w:p>
    <w:p w:rsidR="00060AFD" w:rsidRDefault="002744C6" w:rsidP="00893108">
      <w:pPr>
        <w:spacing w:line="360" w:lineRule="auto"/>
        <w:ind w:firstLine="1440"/>
      </w:pPr>
      <w:r>
        <w:t xml:space="preserve">In </w:t>
      </w:r>
      <w:r w:rsidRPr="00893108">
        <w:rPr>
          <w:i/>
        </w:rPr>
        <w:t>Gallagher</w:t>
      </w:r>
      <w:r>
        <w:t xml:space="preserve">, as distinct from the record in this case, there was an acknowledgement that some mechanism was in place by the utility for confirmation of a requested order </w:t>
      </w:r>
      <w:r w:rsidR="006D6741">
        <w:t>f</w:t>
      </w:r>
      <w:r>
        <w:t>or</w:t>
      </w:r>
      <w:r w:rsidR="00AD403A">
        <w:t>,</w:t>
      </w:r>
      <w:r>
        <w:t xml:space="preserve"> </w:t>
      </w:r>
      <w:r w:rsidR="006D6741">
        <w:t xml:space="preserve">or direction to, </w:t>
      </w:r>
      <w:r>
        <w:t xml:space="preserve">change </w:t>
      </w:r>
      <w:r w:rsidR="006D6741">
        <w:t>or discontinu</w:t>
      </w:r>
      <w:r w:rsidR="00892B45">
        <w:t>ance of</w:t>
      </w:r>
      <w:r w:rsidR="006D6741">
        <w:t xml:space="preserve"> </w:t>
      </w:r>
      <w:r>
        <w:t>service</w:t>
      </w:r>
      <w:r w:rsidR="00AD403A">
        <w:t xml:space="preserve"> to an address</w:t>
      </w:r>
      <w:r>
        <w:t>.</w:t>
      </w:r>
      <w:r w:rsidR="00060AFD">
        <w:t xml:space="preserve">  This was a concern expressly noticed in </w:t>
      </w:r>
      <w:r w:rsidR="00060AFD">
        <w:rPr>
          <w:i/>
        </w:rPr>
        <w:t>Kash</w:t>
      </w:r>
      <w:r w:rsidR="0002321C">
        <w:rPr>
          <w:i/>
        </w:rPr>
        <w:t>m</w:t>
      </w:r>
      <w:r w:rsidR="00060AFD">
        <w:rPr>
          <w:i/>
        </w:rPr>
        <w:t>er</w:t>
      </w:r>
      <w:r w:rsidR="00060AFD">
        <w:t>.</w:t>
      </w:r>
    </w:p>
    <w:p w:rsidR="00060AFD" w:rsidRDefault="00060AFD" w:rsidP="00893108">
      <w:pPr>
        <w:spacing w:line="360" w:lineRule="auto"/>
        <w:ind w:firstLine="1440"/>
      </w:pPr>
    </w:p>
    <w:p w:rsidR="00060AFD" w:rsidRDefault="002744C6" w:rsidP="00893108">
      <w:pPr>
        <w:spacing w:line="360" w:lineRule="auto"/>
        <w:ind w:firstLine="1440"/>
      </w:pPr>
      <w:r>
        <w:t xml:space="preserve">In </w:t>
      </w:r>
      <w:r w:rsidRPr="00893108">
        <w:rPr>
          <w:i/>
        </w:rPr>
        <w:t>Gallagher</w:t>
      </w:r>
      <w:r>
        <w:t>, the utility, in fact, issued a confirmation letter to the complai</w:t>
      </w:r>
      <w:r w:rsidR="008555DA">
        <w:t xml:space="preserve">nant </w:t>
      </w:r>
      <w:r>
        <w:t>ratepayer to verify the change in service</w:t>
      </w:r>
      <w:r w:rsidR="00AD403A">
        <w:t xml:space="preserve"> address</w:t>
      </w:r>
      <w:r>
        <w:t>, but acted prematurely to implement the change</w:t>
      </w:r>
      <w:r w:rsidR="008555DA">
        <w:t xml:space="preserve"> prior to </w:t>
      </w:r>
      <w:r w:rsidR="00AD403A">
        <w:t xml:space="preserve">obtaining </w:t>
      </w:r>
      <w:r w:rsidR="008555DA">
        <w:t>a response to this confirmation</w:t>
      </w:r>
      <w:r>
        <w:t>.  The requested change was later found to be erroneous.</w:t>
      </w:r>
    </w:p>
    <w:p w:rsidR="00060AFD" w:rsidRDefault="00060AFD" w:rsidP="00893108">
      <w:pPr>
        <w:spacing w:line="360" w:lineRule="auto"/>
        <w:ind w:firstLine="1440"/>
      </w:pPr>
    </w:p>
    <w:p w:rsidR="007F53E5" w:rsidRDefault="00060AFD" w:rsidP="00060AFD">
      <w:pPr>
        <w:spacing w:line="360" w:lineRule="auto"/>
        <w:ind w:firstLine="1440"/>
      </w:pPr>
      <w:r>
        <w:t xml:space="preserve">In </w:t>
      </w:r>
      <w:r>
        <w:rPr>
          <w:i/>
        </w:rPr>
        <w:t>Kash</w:t>
      </w:r>
      <w:r w:rsidR="007F53E5">
        <w:rPr>
          <w:i/>
        </w:rPr>
        <w:t>m</w:t>
      </w:r>
      <w:r>
        <w:rPr>
          <w:i/>
        </w:rPr>
        <w:t>er</w:t>
      </w:r>
      <w:r>
        <w:t>, we noted</w:t>
      </w:r>
      <w:r w:rsidR="00825962">
        <w:t>,</w:t>
      </w:r>
      <w:r>
        <w:t xml:space="preserve">“[w]ithout first verifying whether the request for service at the Service Address was accurate, PPL proceeded through several steps that may have led to the termination of the Complainant’s electric service at the Service Address while the Complainant was still a customer of record at that address.”  </w:t>
      </w:r>
      <w:r w:rsidR="007F53E5">
        <w:rPr>
          <w:i/>
        </w:rPr>
        <w:t>Kashmer</w:t>
      </w:r>
      <w:r w:rsidR="007F53E5" w:rsidDel="007F53E5">
        <w:t xml:space="preserve"> </w:t>
      </w:r>
      <w:r>
        <w:t>at 17.</w:t>
      </w:r>
    </w:p>
    <w:p w:rsidR="00060AFD" w:rsidRDefault="002744C6" w:rsidP="00060AFD">
      <w:pPr>
        <w:spacing w:line="360" w:lineRule="auto"/>
        <w:ind w:firstLine="1440"/>
      </w:pPr>
      <w:r>
        <w:t xml:space="preserve"> </w:t>
      </w:r>
    </w:p>
    <w:p w:rsidR="006D6741" w:rsidRDefault="002744C6" w:rsidP="00893108">
      <w:pPr>
        <w:spacing w:line="360" w:lineRule="auto"/>
        <w:ind w:firstLine="1440"/>
      </w:pPr>
      <w:r>
        <w:t>Based on the foregoing, in</w:t>
      </w:r>
      <w:r w:rsidR="00893108">
        <w:t xml:space="preserve"> addition to the applicable Commission Regulations that were </w:t>
      </w:r>
      <w:r>
        <w:t>addressed</w:t>
      </w:r>
      <w:r w:rsidR="00893108">
        <w:t xml:space="preserve"> in </w:t>
      </w:r>
      <w:r w:rsidR="00893108" w:rsidRPr="00893108">
        <w:rPr>
          <w:i/>
        </w:rPr>
        <w:t>Gallagher</w:t>
      </w:r>
      <w:r w:rsidR="00893108">
        <w:t xml:space="preserve">, the Commission </w:t>
      </w:r>
      <w:r>
        <w:t xml:space="preserve">therein </w:t>
      </w:r>
      <w:r w:rsidR="00893108">
        <w:t xml:space="preserve">found a </w:t>
      </w:r>
      <w:r>
        <w:t xml:space="preserve">general </w:t>
      </w:r>
      <w:r w:rsidR="00893108">
        <w:t>violation of Section 1501 of the Code</w:t>
      </w:r>
      <w:r w:rsidR="006D6741">
        <w:t xml:space="preserve"> by the utility</w:t>
      </w:r>
      <w:r w:rsidR="003579F1">
        <w:t xml:space="preserve">.  No civil penalty was imposed, </w:t>
      </w:r>
      <w:r w:rsidR="003579F1">
        <w:lastRenderedPageBreak/>
        <w:t>however</w:t>
      </w:r>
      <w:r>
        <w:t xml:space="preserve">.  The conduct of the utility in </w:t>
      </w:r>
      <w:r>
        <w:rPr>
          <w:i/>
        </w:rPr>
        <w:t>Gallagher</w:t>
      </w:r>
      <w:r>
        <w:t xml:space="preserve"> </w:t>
      </w:r>
      <w:r w:rsidR="00893108">
        <w:t xml:space="preserve">is tantamount to the conduct of PPL </w:t>
      </w:r>
      <w:r w:rsidR="006D6741">
        <w:t>i</w:t>
      </w:r>
      <w:r w:rsidR="00893108">
        <w:t>n this case</w:t>
      </w:r>
      <w:r>
        <w:t xml:space="preserve">, with the observation that the record in </w:t>
      </w:r>
      <w:r>
        <w:rPr>
          <w:i/>
        </w:rPr>
        <w:t xml:space="preserve">Gallagher </w:t>
      </w:r>
      <w:r>
        <w:t xml:space="preserve">disclosed </w:t>
      </w:r>
      <w:r w:rsidR="006D6741">
        <w:t xml:space="preserve">that there were </w:t>
      </w:r>
      <w:r>
        <w:t>confirmation processes in</w:t>
      </w:r>
      <w:r w:rsidR="001D2BC2">
        <w:t xml:space="preserve"> place </w:t>
      </w:r>
      <w:r w:rsidR="00155B63">
        <w:t xml:space="preserve">by the utility </w:t>
      </w:r>
      <w:r w:rsidR="001D2BC2">
        <w:t xml:space="preserve">concerning </w:t>
      </w:r>
      <w:r w:rsidR="006D6741">
        <w:t>a</w:t>
      </w:r>
      <w:r w:rsidR="001D2BC2">
        <w:t xml:space="preserve"> </w:t>
      </w:r>
      <w:r>
        <w:t>chang</w:t>
      </w:r>
      <w:r w:rsidR="001D2BC2">
        <w:t>e</w:t>
      </w:r>
      <w:r>
        <w:t xml:space="preserve"> </w:t>
      </w:r>
      <w:r w:rsidR="00155B63">
        <w:t>to</w:t>
      </w:r>
      <w:r w:rsidR="001D2BC2">
        <w:t xml:space="preserve"> </w:t>
      </w:r>
      <w:r w:rsidR="00155B63">
        <w:t xml:space="preserve">a </w:t>
      </w:r>
      <w:r>
        <w:t>service</w:t>
      </w:r>
      <w:r w:rsidR="00155B63">
        <w:t xml:space="preserve"> address.  I</w:t>
      </w:r>
      <w:r w:rsidR="006D6741">
        <w:t>n</w:t>
      </w:r>
      <w:r w:rsidR="001D2BC2">
        <w:t xml:space="preserve"> </w:t>
      </w:r>
      <w:r w:rsidR="006D6741">
        <w:rPr>
          <w:i/>
        </w:rPr>
        <w:t>Gallagher</w:t>
      </w:r>
      <w:r w:rsidR="00AD403A">
        <w:t xml:space="preserve">, </w:t>
      </w:r>
      <w:r w:rsidR="00155B63">
        <w:t xml:space="preserve">a process was in place to </w:t>
      </w:r>
      <w:r w:rsidR="00AD403A">
        <w:t>confirm</w:t>
      </w:r>
      <w:r w:rsidR="006D6741">
        <w:rPr>
          <w:i/>
        </w:rPr>
        <w:t xml:space="preserve"> </w:t>
      </w:r>
      <w:r w:rsidR="001D2BC2">
        <w:t xml:space="preserve">a </w:t>
      </w:r>
      <w:r w:rsidR="00AD403A">
        <w:t xml:space="preserve">requested change </w:t>
      </w:r>
      <w:r w:rsidR="00927397">
        <w:t xml:space="preserve">to service </w:t>
      </w:r>
      <w:r w:rsidR="00155B63">
        <w:t xml:space="preserve">that </w:t>
      </w:r>
      <w:r w:rsidR="00927397">
        <w:t xml:space="preserve">was </w:t>
      </w:r>
      <w:r w:rsidR="00AD403A">
        <w:t xml:space="preserve">made via </w:t>
      </w:r>
      <w:r w:rsidR="001D2BC2">
        <w:t>telephone call</w:t>
      </w:r>
      <w:r w:rsidR="00155B63">
        <w:t>.</w:t>
      </w:r>
      <w:r>
        <w:t xml:space="preserve"> </w:t>
      </w:r>
      <w:r w:rsidR="00155B63">
        <w:t xml:space="preserve"> I</w:t>
      </w:r>
      <w:r>
        <w:t xml:space="preserve">n the </w:t>
      </w:r>
      <w:r w:rsidR="00AD403A">
        <w:t>instant case,</w:t>
      </w:r>
      <w:r>
        <w:t xml:space="preserve"> th</w:t>
      </w:r>
      <w:r w:rsidR="00AD403A">
        <w:t>e</w:t>
      </w:r>
      <w:r>
        <w:t xml:space="preserve"> </w:t>
      </w:r>
      <w:r w:rsidR="00AD403A">
        <w:t>requested change was</w:t>
      </w:r>
      <w:r w:rsidR="001D2BC2">
        <w:t xml:space="preserve"> </w:t>
      </w:r>
      <w:r w:rsidR="00927397">
        <w:t xml:space="preserve">made through </w:t>
      </w:r>
      <w:r w:rsidR="001D2BC2">
        <w:t>the self-service website</w:t>
      </w:r>
      <w:r w:rsidR="00AD403A">
        <w:t xml:space="preserve"> </w:t>
      </w:r>
      <w:r w:rsidR="00155B63">
        <w:t xml:space="preserve">of the utility, but </w:t>
      </w:r>
      <w:r w:rsidR="00AD403A">
        <w:t xml:space="preserve">no post-change confirmation effort </w:t>
      </w:r>
      <w:r w:rsidR="00927397">
        <w:t xml:space="preserve">on the part of the utility </w:t>
      </w:r>
      <w:r w:rsidR="00155B63">
        <w:t xml:space="preserve">is a part of </w:t>
      </w:r>
      <w:r w:rsidR="00AD403A">
        <w:t>the record</w:t>
      </w:r>
      <w:r w:rsidR="00893108">
        <w:t>.</w:t>
      </w:r>
    </w:p>
    <w:p w:rsidR="006D6741" w:rsidRDefault="006D6741" w:rsidP="00893108">
      <w:pPr>
        <w:spacing w:line="360" w:lineRule="auto"/>
        <w:ind w:firstLine="1440"/>
      </w:pPr>
    </w:p>
    <w:p w:rsidR="004D04D1" w:rsidRDefault="001D2BC2" w:rsidP="004D04D1">
      <w:pPr>
        <w:spacing w:line="360" w:lineRule="auto"/>
        <w:ind w:firstLine="1440"/>
      </w:pPr>
      <w:r>
        <w:t>From our review of the record</w:t>
      </w:r>
      <w:r w:rsidR="006D6741">
        <w:t xml:space="preserve"> in this matter</w:t>
      </w:r>
      <w:r>
        <w:t xml:space="preserve">, PPL only discovered the error in </w:t>
      </w:r>
      <w:r w:rsidR="00ED50A4">
        <w:t xml:space="preserve">discontinuing </w:t>
      </w:r>
      <w:r>
        <w:t xml:space="preserve">service </w:t>
      </w:r>
      <w:r w:rsidR="004D04D1">
        <w:t xml:space="preserve">(or erroneously changing service) </w:t>
      </w:r>
      <w:r>
        <w:t xml:space="preserve">to </w:t>
      </w:r>
      <w:r w:rsidR="00ED50A4">
        <w:t xml:space="preserve">the address of </w:t>
      </w:r>
      <w:r>
        <w:t xml:space="preserve">Mr. Vianello after it was contacted by </w:t>
      </w:r>
      <w:r w:rsidR="006D6741">
        <w:t>the website user who advised PPL that the wrong address was used.  Also, in co</w:t>
      </w:r>
      <w:r w:rsidR="00ED50A4">
        <w:t>ntrast</w:t>
      </w:r>
      <w:r w:rsidR="006D6741">
        <w:t xml:space="preserve"> to </w:t>
      </w:r>
      <w:r w:rsidR="00CB7D37">
        <w:t>the instant proceeding</w:t>
      </w:r>
      <w:r w:rsidR="006D6741">
        <w:t>, the utility’s post-</w:t>
      </w:r>
      <w:r w:rsidR="004F177E">
        <w:t>change order</w:t>
      </w:r>
      <w:r w:rsidR="006D6741">
        <w:t xml:space="preserve"> confirmation procedures </w:t>
      </w:r>
      <w:r w:rsidR="00CB7D37">
        <w:t xml:space="preserve">in </w:t>
      </w:r>
      <w:r w:rsidR="00CB7D37">
        <w:rPr>
          <w:i/>
        </w:rPr>
        <w:t xml:space="preserve">Gallagher </w:t>
      </w:r>
      <w:r w:rsidR="004D04D1">
        <w:t>enabl</w:t>
      </w:r>
      <w:r w:rsidR="008555DA">
        <w:t xml:space="preserve">ed it to </w:t>
      </w:r>
      <w:r w:rsidR="006D6741">
        <w:t>identif</w:t>
      </w:r>
      <w:r w:rsidR="008555DA">
        <w:t>y</w:t>
      </w:r>
      <w:r w:rsidR="006D6741">
        <w:t xml:space="preserve"> the </w:t>
      </w:r>
      <w:r w:rsidR="004D04D1">
        <w:t xml:space="preserve">service address change </w:t>
      </w:r>
      <w:r w:rsidR="006D6741">
        <w:t>error within approximately four (4) days, October 20, 2008-October 24, 2008</w:t>
      </w:r>
      <w:r w:rsidR="004D04D1">
        <w:t xml:space="preserve">.  In </w:t>
      </w:r>
      <w:r w:rsidR="004D04D1">
        <w:rPr>
          <w:i/>
        </w:rPr>
        <w:t>Gallagher</w:t>
      </w:r>
      <w:r w:rsidR="004D04D1">
        <w:t>, these post-change confirmation procedures were such that</w:t>
      </w:r>
      <w:r w:rsidR="00ED50A4">
        <w:t xml:space="preserve"> the correction </w:t>
      </w:r>
      <w:r w:rsidR="004D04D1">
        <w:t xml:space="preserve">was made in a relatively short period of time and </w:t>
      </w:r>
      <w:r w:rsidR="00ED50A4">
        <w:t xml:space="preserve">after </w:t>
      </w:r>
      <w:r w:rsidR="00155B63">
        <w:t>the complainant</w:t>
      </w:r>
      <w:r w:rsidR="00ED50A4">
        <w:t xml:space="preserve"> responded to a letter</w:t>
      </w:r>
      <w:r w:rsidR="004D04D1">
        <w:t xml:space="preserve"> issued by the utility as a follow-up</w:t>
      </w:r>
      <w:r w:rsidR="006D6741">
        <w:t>.</w:t>
      </w:r>
    </w:p>
    <w:p w:rsidR="004D04D1" w:rsidRDefault="004D04D1" w:rsidP="00893108">
      <w:pPr>
        <w:spacing w:line="360" w:lineRule="auto"/>
        <w:ind w:firstLine="1440"/>
      </w:pPr>
    </w:p>
    <w:p w:rsidR="006D6741" w:rsidRDefault="006D6741" w:rsidP="00893108">
      <w:pPr>
        <w:spacing w:line="360" w:lineRule="auto"/>
        <w:ind w:firstLine="1440"/>
      </w:pPr>
      <w:r>
        <w:t xml:space="preserve">In the present Complaint, the period of error is </w:t>
      </w:r>
      <w:r w:rsidR="00DC38DA">
        <w:t>fifty-six</w:t>
      </w:r>
      <w:r>
        <w:t xml:space="preserve"> days.</w:t>
      </w:r>
      <w:r w:rsidR="00ED50A4">
        <w:t xml:space="preserve">  And </w:t>
      </w:r>
      <w:r w:rsidR="00155B63">
        <w:t xml:space="preserve">as noted, </w:t>
      </w:r>
      <w:r w:rsidR="00ED50A4">
        <w:t xml:space="preserve">we find no </w:t>
      </w:r>
      <w:r w:rsidR="00155B63">
        <w:t>indication</w:t>
      </w:r>
      <w:r w:rsidR="00ED50A4">
        <w:t xml:space="preserve"> that a post-change confirmation notice </w:t>
      </w:r>
      <w:r w:rsidR="004D04D1">
        <w:t>or opportunity w</w:t>
      </w:r>
      <w:r w:rsidR="00ED50A4">
        <w:t>as afforded to Mr. Vianello</w:t>
      </w:r>
      <w:r w:rsidR="00155B63">
        <w:t xml:space="preserve"> or sought from Silver Valley Apartments</w:t>
      </w:r>
      <w:r w:rsidR="00ED50A4">
        <w:t>.</w:t>
      </w:r>
      <w:r w:rsidR="003579F1">
        <w:rPr>
          <w:rStyle w:val="FootnoteReference"/>
        </w:rPr>
        <w:footnoteReference w:id="9"/>
      </w:r>
      <w:r>
        <w:t xml:space="preserve">  </w:t>
      </w:r>
    </w:p>
    <w:p w:rsidR="006D6741" w:rsidRDefault="006D6741" w:rsidP="00893108">
      <w:pPr>
        <w:spacing w:line="360" w:lineRule="auto"/>
        <w:ind w:firstLine="1440"/>
      </w:pPr>
    </w:p>
    <w:p w:rsidR="00893108" w:rsidRDefault="00893108" w:rsidP="00893108">
      <w:pPr>
        <w:spacing w:line="360" w:lineRule="auto"/>
        <w:ind w:firstLine="1440"/>
      </w:pPr>
      <w:r>
        <w:t>Th</w:t>
      </w:r>
      <w:r w:rsidR="006D6741">
        <w:t>e</w:t>
      </w:r>
      <w:r>
        <w:t xml:space="preserve"> conduct </w:t>
      </w:r>
      <w:r w:rsidR="006D6741">
        <w:t>that result</w:t>
      </w:r>
      <w:r w:rsidR="00155B63">
        <w:t>ed</w:t>
      </w:r>
      <w:r w:rsidR="006D6741">
        <w:t xml:space="preserve"> in a finding of unreasonable service in </w:t>
      </w:r>
      <w:r w:rsidR="006D6741">
        <w:rPr>
          <w:i/>
        </w:rPr>
        <w:t xml:space="preserve">Gallagher </w:t>
      </w:r>
      <w:r w:rsidR="006D6741">
        <w:t>wa</w:t>
      </w:r>
      <w:r>
        <w:t xml:space="preserve">s the absence of any information in the record showing that the utility </w:t>
      </w:r>
      <w:r w:rsidR="004F177E">
        <w:t xml:space="preserve">took reasonable measures </w:t>
      </w:r>
      <w:r w:rsidR="008555DA">
        <w:t>or had such measures in place so as to</w:t>
      </w:r>
      <w:r w:rsidR="004F177E">
        <w:t xml:space="preserve"> </w:t>
      </w:r>
      <w:r>
        <w:t>verif</w:t>
      </w:r>
      <w:r w:rsidR="008555DA">
        <w:t>y</w:t>
      </w:r>
      <w:r>
        <w:t xml:space="preserve"> an address prior to discontinuing service to an existing customer:</w:t>
      </w:r>
    </w:p>
    <w:p w:rsidR="00893108" w:rsidRDefault="00893108" w:rsidP="00893108">
      <w:pPr>
        <w:spacing w:line="360" w:lineRule="auto"/>
        <w:ind w:firstLine="1440"/>
      </w:pPr>
    </w:p>
    <w:p w:rsidR="0054470D" w:rsidRDefault="00893108" w:rsidP="00893108">
      <w:pPr>
        <w:ind w:left="1440" w:right="1440"/>
      </w:pPr>
      <w:r>
        <w:rPr>
          <w:spacing w:val="-3"/>
        </w:rPr>
        <w:tab/>
        <w:t xml:space="preserve">With that said, we also find that neither PECO nor the ALJ addressed the real issue in the case, </w:t>
      </w:r>
      <w:r w:rsidRPr="00216CC1">
        <w:rPr>
          <w:i/>
          <w:spacing w:val="-3"/>
        </w:rPr>
        <w:t>i.e.</w:t>
      </w:r>
      <w:r>
        <w:rPr>
          <w:spacing w:val="-3"/>
        </w:rPr>
        <w:t xml:space="preserve">, </w:t>
      </w:r>
      <w:r w:rsidRPr="001521C7">
        <w:rPr>
          <w:i/>
          <w:spacing w:val="-3"/>
        </w:rPr>
        <w:t xml:space="preserve">PECO failed to confirm that the address, for which the new applicant was requesting service, was a viable one. </w:t>
      </w:r>
      <w:r>
        <w:rPr>
          <w:spacing w:val="-3"/>
        </w:rPr>
        <w:t xml:space="preserve"> PECO acted hastily in closing out the account of the Complainant.  It is imperative that PECO take precaution in a situation where there is an active service account on record.  PECO should have attempted to contact the current ratepayer to verify his intent to discontinue service prior to placing service into the new applicant’s name.  </w:t>
      </w:r>
      <w:r w:rsidRPr="001521C7">
        <w:rPr>
          <w:i/>
          <w:spacing w:val="-3"/>
        </w:rPr>
        <w:t>The record in this case does not show that PECO took any action to verify the service address or contact the current ratepayer before closing his account.</w:t>
      </w:r>
      <w:r>
        <w:rPr>
          <w:spacing w:val="-3"/>
        </w:rPr>
        <w:t xml:space="preserve">  PECO sent a letter to the Complainant, but the Complainant did not receive that letter until three days after the service was placed in the new applicant’s name.  For this, we find that PECO is accountable for the problem described in the Complaint and, therefore, violated Section 1501 of the Code.</w:t>
      </w:r>
    </w:p>
    <w:p w:rsidR="00C01896" w:rsidRPr="0054470D" w:rsidRDefault="00C01896" w:rsidP="00893108">
      <w:pPr>
        <w:spacing w:line="360" w:lineRule="auto"/>
      </w:pPr>
    </w:p>
    <w:p w:rsidR="00893108" w:rsidRDefault="00AD403A" w:rsidP="00893108">
      <w:pPr>
        <w:spacing w:line="360" w:lineRule="auto"/>
      </w:pPr>
      <w:r>
        <w:rPr>
          <w:i/>
        </w:rPr>
        <w:t xml:space="preserve">See </w:t>
      </w:r>
      <w:r w:rsidR="00893108">
        <w:rPr>
          <w:i/>
        </w:rPr>
        <w:t>Gallagher</w:t>
      </w:r>
      <w:r w:rsidR="00893108">
        <w:t>, at 8-9 (Order entered December 4, 2009)</w:t>
      </w:r>
      <w:r w:rsidR="006D6741">
        <w:t xml:space="preserve"> (emphasis supplied)</w:t>
      </w:r>
      <w:r w:rsidR="00893108">
        <w:t>.</w:t>
      </w:r>
    </w:p>
    <w:p w:rsidR="008F050A" w:rsidRDefault="008F050A" w:rsidP="00893108"/>
    <w:p w:rsidR="00AA6585" w:rsidRDefault="00AA6585" w:rsidP="00605680">
      <w:pPr>
        <w:spacing w:line="360" w:lineRule="auto"/>
        <w:ind w:firstLine="1440"/>
      </w:pPr>
      <w:r>
        <w:t xml:space="preserve">On consideration of a Petition for Reconsideration filed by the respondent utility in </w:t>
      </w:r>
      <w:r>
        <w:rPr>
          <w:i/>
        </w:rPr>
        <w:t>Gallagher</w:t>
      </w:r>
      <w:r>
        <w:t>, the petition was denied.  In our Order denying the petition, we were very pointed in our disposition</w:t>
      </w:r>
      <w:r w:rsidR="006D6741">
        <w:t xml:space="preserve"> and expressly set forth </w:t>
      </w:r>
      <w:r w:rsidR="007D4B33">
        <w:t>our</w:t>
      </w:r>
      <w:r>
        <w:t xml:space="preserve"> </w:t>
      </w:r>
      <w:r w:rsidR="00155B63">
        <w:t>conclusion</w:t>
      </w:r>
      <w:r w:rsidR="006D6741">
        <w:t xml:space="preserve"> that</w:t>
      </w:r>
      <w:r>
        <w:t xml:space="preserve"> this Commission</w:t>
      </w:r>
      <w:r w:rsidR="0082268C">
        <w:t xml:space="preserve"> cannot overlook erroneous, albeit, inadvertent service terminations.  In </w:t>
      </w:r>
      <w:r w:rsidR="0082268C">
        <w:rPr>
          <w:i/>
        </w:rPr>
        <w:t xml:space="preserve">Gallagher </w:t>
      </w:r>
      <w:r w:rsidR="0082268C">
        <w:t>we found</w:t>
      </w:r>
      <w:r>
        <w:t xml:space="preserve"> unreasonable service where a patron is discontinued </w:t>
      </w:r>
      <w:r w:rsidR="007D4B33">
        <w:t xml:space="preserve">for service </w:t>
      </w:r>
      <w:r>
        <w:t>for any reason not set forth in the Code or Commission Regulations:</w:t>
      </w:r>
    </w:p>
    <w:p w:rsidR="00AA6585" w:rsidRDefault="00AA6585" w:rsidP="00605680">
      <w:pPr>
        <w:spacing w:line="360" w:lineRule="auto"/>
        <w:ind w:firstLine="1440"/>
      </w:pPr>
    </w:p>
    <w:p w:rsidR="00AA6585" w:rsidRDefault="00AA6585" w:rsidP="0082268C">
      <w:pPr>
        <w:pStyle w:val="PlainText"/>
        <w:ind w:left="1440" w:right="1440" w:firstLine="720"/>
        <w:rPr>
          <w:rFonts w:ascii="Times New Roman" w:hAnsi="Times New Roman"/>
          <w:sz w:val="26"/>
          <w:szCs w:val="26"/>
        </w:rPr>
      </w:pPr>
      <w:r w:rsidRPr="007A31D3">
        <w:rPr>
          <w:rFonts w:ascii="Times New Roman" w:hAnsi="Times New Roman"/>
          <w:sz w:val="26"/>
          <w:szCs w:val="26"/>
        </w:rPr>
        <w:t xml:space="preserve">Unlike PECO, we are not willing to overlook Mr. Gallagher’s erroneous, albeit inadvertent, termination.  It is unreasonable for PECO to involuntarily terminate a customer for any reason other than those provided in the Code or our Regulations.  66 Pa. C.S. § 1406; 52 Pa. Code § 56.81.  PECO recognized its responsibility to notify Mr. Gallagher that service </w:t>
      </w:r>
      <w:r>
        <w:rPr>
          <w:rFonts w:ascii="Times New Roman" w:hAnsi="Times New Roman"/>
          <w:sz w:val="26"/>
          <w:szCs w:val="26"/>
        </w:rPr>
        <w:t xml:space="preserve">would no longer be in his name.  </w:t>
      </w:r>
      <w:r w:rsidRPr="007A31D3">
        <w:rPr>
          <w:rFonts w:ascii="Times New Roman" w:hAnsi="Times New Roman"/>
          <w:sz w:val="26"/>
          <w:szCs w:val="26"/>
        </w:rPr>
        <w:t>Its effort was ineffective since PECO terminated service on the same day it mailed the letter to Mr. Gallagher.  Immediately</w:t>
      </w:r>
      <w:r>
        <w:rPr>
          <w:rFonts w:ascii="Times New Roman" w:hAnsi="Times New Roman"/>
          <w:sz w:val="26"/>
          <w:szCs w:val="26"/>
        </w:rPr>
        <w:t>,</w:t>
      </w:r>
      <w:r w:rsidRPr="007A31D3">
        <w:rPr>
          <w:rFonts w:ascii="Times New Roman" w:hAnsi="Times New Roman"/>
          <w:sz w:val="26"/>
          <w:szCs w:val="26"/>
        </w:rPr>
        <w:t xml:space="preserve"> Mr. Gallagher’s records were unavailable for restoration in </w:t>
      </w:r>
      <w:r w:rsidRPr="007A31D3">
        <w:rPr>
          <w:rFonts w:ascii="Times New Roman" w:hAnsi="Times New Roman"/>
          <w:sz w:val="26"/>
          <w:szCs w:val="26"/>
        </w:rPr>
        <w:lastRenderedPageBreak/>
        <w:t xml:space="preserve">PECO’s system.  This is simply not a good business practice and unfairly inconvenienced a loyal paying customer of </w:t>
      </w:r>
      <w:r>
        <w:rPr>
          <w:rFonts w:ascii="Times New Roman" w:hAnsi="Times New Roman"/>
          <w:sz w:val="26"/>
          <w:szCs w:val="26"/>
        </w:rPr>
        <w:t>thirty-seven</w:t>
      </w:r>
      <w:r w:rsidRPr="007A31D3">
        <w:rPr>
          <w:rFonts w:ascii="Times New Roman" w:hAnsi="Times New Roman"/>
          <w:sz w:val="26"/>
          <w:szCs w:val="26"/>
        </w:rPr>
        <w:t xml:space="preserve"> years. </w:t>
      </w:r>
      <w:r w:rsidR="007D4B33">
        <w:rPr>
          <w:rFonts w:ascii="Times New Roman" w:hAnsi="Times New Roman"/>
          <w:sz w:val="26"/>
          <w:szCs w:val="26"/>
        </w:rPr>
        <w:t xml:space="preserve"> </w:t>
      </w:r>
      <w:r w:rsidRPr="007A31D3">
        <w:rPr>
          <w:rFonts w:ascii="Times New Roman" w:hAnsi="Times New Roman"/>
          <w:sz w:val="26"/>
          <w:szCs w:val="26"/>
        </w:rPr>
        <w:t xml:space="preserve">It is not unreasonable to </w:t>
      </w:r>
      <w:r>
        <w:rPr>
          <w:rFonts w:ascii="Times New Roman" w:hAnsi="Times New Roman"/>
          <w:sz w:val="26"/>
          <w:szCs w:val="26"/>
        </w:rPr>
        <w:t>require</w:t>
      </w:r>
      <w:r w:rsidRPr="007A31D3">
        <w:rPr>
          <w:rFonts w:ascii="Times New Roman" w:hAnsi="Times New Roman"/>
          <w:sz w:val="26"/>
          <w:szCs w:val="26"/>
        </w:rPr>
        <w:t xml:space="preserve"> PECO to develop</w:t>
      </w:r>
      <w:r>
        <w:rPr>
          <w:rFonts w:ascii="Times New Roman" w:hAnsi="Times New Roman"/>
          <w:sz w:val="26"/>
          <w:szCs w:val="26"/>
        </w:rPr>
        <w:t>,</w:t>
      </w:r>
      <w:r w:rsidRPr="007A31D3">
        <w:rPr>
          <w:rFonts w:ascii="Times New Roman" w:hAnsi="Times New Roman"/>
          <w:sz w:val="26"/>
          <w:szCs w:val="26"/>
        </w:rPr>
        <w:t xml:space="preserve"> </w:t>
      </w:r>
      <w:r>
        <w:rPr>
          <w:rFonts w:ascii="Times New Roman" w:hAnsi="Times New Roman"/>
          <w:sz w:val="26"/>
          <w:szCs w:val="26"/>
        </w:rPr>
        <w:t xml:space="preserve">and submit for Commission approval, </w:t>
      </w:r>
      <w:r w:rsidRPr="007A31D3">
        <w:rPr>
          <w:rFonts w:ascii="Times New Roman" w:hAnsi="Times New Roman"/>
          <w:sz w:val="26"/>
          <w:szCs w:val="26"/>
        </w:rPr>
        <w:t>an effective mechanism to notify existing ratepayers when it receives a similar request to transfer service out of one name and place it in the name of someone else.  PECO shall notify the Commission of the changes it makes to its procedure within 30 days of this Order.</w:t>
      </w:r>
    </w:p>
    <w:p w:rsidR="00AA6585" w:rsidRDefault="00AA6585" w:rsidP="00AA6585">
      <w:pPr>
        <w:spacing w:line="360" w:lineRule="auto"/>
        <w:rPr>
          <w:i/>
        </w:rPr>
      </w:pPr>
    </w:p>
    <w:p w:rsidR="00AA6585" w:rsidRDefault="00AA6585" w:rsidP="00AA6585">
      <w:pPr>
        <w:spacing w:line="360" w:lineRule="auto"/>
      </w:pPr>
      <w:r>
        <w:rPr>
          <w:i/>
        </w:rPr>
        <w:t>Gallagher</w:t>
      </w:r>
      <w:r>
        <w:t>, at 7 (Order on Reconsideration entered September 8, 2010).</w:t>
      </w:r>
      <w:r w:rsidR="003D16E4">
        <w:rPr>
          <w:rStyle w:val="FootnoteReference"/>
        </w:rPr>
        <w:footnoteReference w:id="10"/>
      </w:r>
    </w:p>
    <w:p w:rsidR="00AA6585" w:rsidRDefault="00AA6585" w:rsidP="00AA6585">
      <w:pPr>
        <w:spacing w:line="360" w:lineRule="auto"/>
      </w:pPr>
    </w:p>
    <w:p w:rsidR="00AA6585" w:rsidRDefault="003D16E4" w:rsidP="00AA6585">
      <w:pPr>
        <w:spacing w:line="360" w:lineRule="auto"/>
        <w:ind w:firstLine="1440"/>
      </w:pPr>
      <w:r>
        <w:t xml:space="preserve">Based on the foregoing, we conclude that Mr. Vianello has met his burden of production and burden of persuasion.  We further conclude that PPL’s response, </w:t>
      </w:r>
      <w:r>
        <w:rPr>
          <w:i/>
        </w:rPr>
        <w:t>i.e.</w:t>
      </w:r>
      <w:r>
        <w:t xml:space="preserve">, an honest mistake, does not sufficiently meet </w:t>
      </w:r>
      <w:r w:rsidR="0082268C">
        <w:t xml:space="preserve">its burden of production or equal </w:t>
      </w:r>
      <w:r>
        <w:t xml:space="preserve">the evidentiary value of Complainant’s evidence in light of </w:t>
      </w:r>
      <w:r>
        <w:rPr>
          <w:i/>
        </w:rPr>
        <w:t>Gallagher</w:t>
      </w:r>
      <w:r w:rsidR="004D04D1">
        <w:t xml:space="preserve"> and on consideration of </w:t>
      </w:r>
      <w:r w:rsidR="004D04D1">
        <w:rPr>
          <w:i/>
        </w:rPr>
        <w:t>Kash</w:t>
      </w:r>
      <w:r w:rsidR="00693ED0">
        <w:rPr>
          <w:i/>
        </w:rPr>
        <w:t>m</w:t>
      </w:r>
      <w:r w:rsidR="004D04D1">
        <w:rPr>
          <w:i/>
        </w:rPr>
        <w:t>er</w:t>
      </w:r>
      <w:r>
        <w:t>.  We, therefore, reverse the ALJ and find that the Complaint should be sustained.</w:t>
      </w:r>
    </w:p>
    <w:p w:rsidR="00F8054A" w:rsidRPr="003D16E4" w:rsidRDefault="00F8054A" w:rsidP="00AA6585">
      <w:pPr>
        <w:spacing w:line="360" w:lineRule="auto"/>
        <w:ind w:firstLine="1440"/>
      </w:pPr>
    </w:p>
    <w:p w:rsidR="00163FB4" w:rsidRDefault="00F8054A" w:rsidP="0082268C">
      <w:pPr>
        <w:spacing w:line="360" w:lineRule="auto"/>
        <w:ind w:firstLine="1440"/>
      </w:pPr>
      <w:r>
        <w:t>On consideration of the record, we conclude that violation</w:t>
      </w:r>
      <w:r w:rsidR="00E56843">
        <w:t>s</w:t>
      </w:r>
      <w:r>
        <w:t xml:space="preserve"> of Section</w:t>
      </w:r>
      <w:r w:rsidR="00E56843">
        <w:t>s </w:t>
      </w:r>
      <w:r>
        <w:t>1406 and 1501 of the Code, 66 Pa. C.S. §§ 1406</w:t>
      </w:r>
      <w:r w:rsidR="00693ED0">
        <w:t>,</w:t>
      </w:r>
      <w:r>
        <w:t xml:space="preserve"> 1501, ha</w:t>
      </w:r>
      <w:r w:rsidR="00E56843">
        <w:t>ve</w:t>
      </w:r>
      <w:r>
        <w:t xml:space="preserve"> been committed based on the discontinuance of service to Mr. Vianello at his service address for a reason other than permitted by the Commission’s Regulations, and</w:t>
      </w:r>
      <w:r w:rsidR="00605D3A">
        <w:t xml:space="preserve"> the persistence of this error</w:t>
      </w:r>
      <w:r>
        <w:t xml:space="preserve"> for a period of </w:t>
      </w:r>
      <w:r w:rsidR="00DC38DA">
        <w:t>fifty-six</w:t>
      </w:r>
      <w:r>
        <w:t xml:space="preserve"> days without post</w:t>
      </w:r>
      <w:r w:rsidR="0088053B">
        <w:t>-</w:t>
      </w:r>
      <w:r>
        <w:t>change notice or opportunity to the ratepayer.</w:t>
      </w:r>
    </w:p>
    <w:p w:rsidR="00F8054A" w:rsidRDefault="00F8054A" w:rsidP="0082268C">
      <w:pPr>
        <w:spacing w:line="360" w:lineRule="auto"/>
        <w:ind w:firstLine="1440"/>
      </w:pPr>
    </w:p>
    <w:p w:rsidR="0082268C" w:rsidRDefault="0082268C" w:rsidP="0082268C">
      <w:pPr>
        <w:spacing w:line="360" w:lineRule="auto"/>
        <w:ind w:firstLine="1440"/>
      </w:pPr>
      <w:r>
        <w:t xml:space="preserve">We </w:t>
      </w:r>
      <w:r w:rsidR="00F8054A">
        <w:t>acknowledge</w:t>
      </w:r>
      <w:r>
        <w:t xml:space="preserve"> that PPL acted promptly and in good faith upon discovering the error </w:t>
      </w:r>
      <w:r w:rsidR="00C95C9F">
        <w:t xml:space="preserve">but </w:t>
      </w:r>
      <w:r>
        <w:t>was frustrated</w:t>
      </w:r>
      <w:r w:rsidR="00C95C9F">
        <w:t xml:space="preserve">, to </w:t>
      </w:r>
      <w:r w:rsidR="007D4B33">
        <w:t>some e</w:t>
      </w:r>
      <w:r w:rsidR="00C95C9F">
        <w:t>xtent,</w:t>
      </w:r>
      <w:r>
        <w:t xml:space="preserve"> in ameliorating the inconvenience to Mr. Vianello by </w:t>
      </w:r>
      <w:r w:rsidR="002D54D9">
        <w:t>hi</w:t>
      </w:r>
      <w:r w:rsidR="00AD403A">
        <w:t>s</w:t>
      </w:r>
      <w:r>
        <w:t xml:space="preserve"> </w:t>
      </w:r>
      <w:r w:rsidR="008F3104">
        <w:t xml:space="preserve">lack of cooperation in </w:t>
      </w:r>
      <w:r>
        <w:t>reactin</w:t>
      </w:r>
      <w:r w:rsidR="008F3104">
        <w:t>g</w:t>
      </w:r>
      <w:r>
        <w:t xml:space="preserve"> to the error</w:t>
      </w:r>
      <w:r w:rsidR="00C95C9F">
        <w:t>.</w:t>
      </w:r>
      <w:r w:rsidR="004D04D1">
        <w:t xml:space="preserve">  We also note that this proceeding and </w:t>
      </w:r>
      <w:r w:rsidR="009639BE">
        <w:t xml:space="preserve">the complaint proceedings of </w:t>
      </w:r>
      <w:r w:rsidR="004D04D1">
        <w:rPr>
          <w:i/>
        </w:rPr>
        <w:t>Kash</w:t>
      </w:r>
      <w:r w:rsidR="008F3104">
        <w:rPr>
          <w:i/>
        </w:rPr>
        <w:t>m</w:t>
      </w:r>
      <w:r w:rsidR="004D04D1">
        <w:rPr>
          <w:i/>
        </w:rPr>
        <w:t xml:space="preserve">er </w:t>
      </w:r>
      <w:r w:rsidR="004D04D1">
        <w:t xml:space="preserve">have occurred </w:t>
      </w:r>
      <w:r w:rsidR="004D04D1">
        <w:lastRenderedPageBreak/>
        <w:t>in a relatively co</w:t>
      </w:r>
      <w:r w:rsidR="009639BE">
        <w:t>ntemporaneous</w:t>
      </w:r>
      <w:r w:rsidR="004D04D1">
        <w:t xml:space="preserve"> time</w:t>
      </w:r>
      <w:r w:rsidR="00F8054A">
        <w:t xml:space="preserve"> frame</w:t>
      </w:r>
      <w:r w:rsidR="004D04D1">
        <w:t>.</w:t>
      </w:r>
      <w:r w:rsidR="004D04D1">
        <w:rPr>
          <w:rStyle w:val="FootnoteReference"/>
        </w:rPr>
        <w:footnoteReference w:id="11"/>
      </w:r>
      <w:r w:rsidR="00C95C9F">
        <w:t xml:space="preserve"> </w:t>
      </w:r>
      <w:r>
        <w:t xml:space="preserve"> </w:t>
      </w:r>
      <w:r w:rsidR="00C95C9F">
        <w:t>However, t</w:t>
      </w:r>
      <w:r>
        <w:t xml:space="preserve">hese are considerations which we </w:t>
      </w:r>
      <w:r w:rsidR="00F8054A">
        <w:t xml:space="preserve">shall </w:t>
      </w:r>
      <w:r>
        <w:t xml:space="preserve">address in our </w:t>
      </w:r>
      <w:r w:rsidR="00C95C9F">
        <w:t>determination</w:t>
      </w:r>
      <w:r>
        <w:t xml:space="preserve"> of whether a civil penalty is appropriate.</w:t>
      </w:r>
    </w:p>
    <w:p w:rsidR="00EC6CEC" w:rsidRDefault="00EC6CEC" w:rsidP="0082268C">
      <w:pPr>
        <w:spacing w:line="360" w:lineRule="auto"/>
        <w:ind w:firstLine="1440"/>
      </w:pPr>
    </w:p>
    <w:p w:rsidR="00C945B6" w:rsidRDefault="00C945B6" w:rsidP="0082268C">
      <w:pPr>
        <w:spacing w:line="360" w:lineRule="auto"/>
        <w:ind w:firstLine="1440"/>
      </w:pPr>
      <w:r>
        <w:t>In the transcript, PPL has, in good faith, offered to credit Mr. Vianello an amount equal to his bills for approximately 120 days at the generation rate of Talen Energy.</w:t>
      </w:r>
      <w:r w:rsidR="00EB0F21">
        <w:t xml:space="preserve">  </w:t>
      </w:r>
      <w:r w:rsidR="00EB0F21">
        <w:rPr>
          <w:i/>
        </w:rPr>
        <w:t xml:space="preserve">See </w:t>
      </w:r>
      <w:r w:rsidR="00EB0F21">
        <w:t>Tr. at 33.</w:t>
      </w:r>
      <w:r>
        <w:t xml:space="preserve">  We shall direct that Mr. Vianell</w:t>
      </w:r>
      <w:r w:rsidR="00075662">
        <w:t>o</w:t>
      </w:r>
      <w:r>
        <w:t xml:space="preserve"> be credited with </w:t>
      </w:r>
      <w:r w:rsidR="001521C7">
        <w:t>an</w:t>
      </w:r>
      <w:r>
        <w:t xml:space="preserve"> amount</w:t>
      </w:r>
      <w:r w:rsidR="00FD0684">
        <w:t xml:space="preserve"> </w:t>
      </w:r>
      <w:r w:rsidR="001521C7">
        <w:t xml:space="preserve">equal to the </w:t>
      </w:r>
      <w:r w:rsidR="00FD0684">
        <w:t xml:space="preserve">generation rate that would have been applied to his usage for the </w:t>
      </w:r>
      <w:r w:rsidR="001521C7">
        <w:t>period in which he was not billed at the Talen Energy generation rate.</w:t>
      </w:r>
    </w:p>
    <w:p w:rsidR="00EB0F21" w:rsidRDefault="00EB0F21" w:rsidP="0082268C">
      <w:pPr>
        <w:spacing w:line="360" w:lineRule="auto"/>
        <w:ind w:firstLine="1440"/>
      </w:pPr>
    </w:p>
    <w:p w:rsidR="00FE07B5" w:rsidRPr="001820FA" w:rsidRDefault="00EC6CEC" w:rsidP="00FE07B5">
      <w:pPr>
        <w:spacing w:line="360" w:lineRule="auto"/>
        <w:ind w:firstLine="1440"/>
      </w:pPr>
      <w:r>
        <w:t>Finally, we shall deny the Exceptions of Mr. Vianello to the extent the Exceptions request that this Commission issue a mandate to PPL to restore his prior account number.  PPL is correct that in the usual sense, a customer is not entitled to retain a particular account number and neither does a ratepayer have any cognizable interest in a particular account number used by the utility in rendering service.</w:t>
      </w:r>
      <w:r w:rsidR="00FE07B5">
        <w:t xml:space="preserve">  </w:t>
      </w:r>
      <w:r w:rsidR="00FE07B5">
        <w:rPr>
          <w:i/>
        </w:rPr>
        <w:t xml:space="preserve">See, e.g., </w:t>
      </w:r>
      <w:r w:rsidR="00FE07B5" w:rsidRPr="001820FA">
        <w:rPr>
          <w:i/>
        </w:rPr>
        <w:t>Natural Gas Distribution Company Customer Account Number Access Mechanism for Natural Gas Suppliers</w:t>
      </w:r>
      <w:r w:rsidR="00FE07B5">
        <w:t xml:space="preserve">, Docket No. </w:t>
      </w:r>
      <w:r w:rsidR="00FE07B5" w:rsidRPr="001820FA">
        <w:t>M-2015-2468991</w:t>
      </w:r>
      <w:r w:rsidR="00FE07B5">
        <w:t xml:space="preserve"> (Order entered April 9, 2015). </w:t>
      </w:r>
    </w:p>
    <w:p w:rsidR="00F8054A" w:rsidRDefault="00F8054A" w:rsidP="001521C7">
      <w:pPr>
        <w:spacing w:line="360" w:lineRule="auto"/>
        <w:ind w:firstLine="1440"/>
      </w:pPr>
    </w:p>
    <w:p w:rsidR="00C95C9F" w:rsidRDefault="00C95C9F" w:rsidP="0082268C">
      <w:pPr>
        <w:spacing w:line="360" w:lineRule="auto"/>
        <w:ind w:firstLine="1440"/>
        <w:rPr>
          <w:b/>
        </w:rPr>
      </w:pPr>
      <w:r w:rsidRPr="00C95C9F">
        <w:rPr>
          <w:b/>
        </w:rPr>
        <w:t>Civil Penalty</w:t>
      </w:r>
    </w:p>
    <w:p w:rsidR="007D4B33" w:rsidRPr="00C95C9F" w:rsidRDefault="007D4B33" w:rsidP="0082268C">
      <w:pPr>
        <w:spacing w:line="360" w:lineRule="auto"/>
        <w:ind w:firstLine="1440"/>
        <w:rPr>
          <w:b/>
        </w:rPr>
      </w:pPr>
    </w:p>
    <w:p w:rsidR="00BB1FBB" w:rsidRPr="00D6328D" w:rsidRDefault="00BB1FBB" w:rsidP="00BB1FBB">
      <w:pPr>
        <w:spacing w:line="360" w:lineRule="auto"/>
        <w:ind w:firstLine="1440"/>
        <w:rPr>
          <w:spacing w:val="-3"/>
        </w:rPr>
      </w:pPr>
      <w:r w:rsidRPr="00D6328D">
        <w:rPr>
          <w:spacing w:val="-3"/>
        </w:rPr>
        <w:t>The Commission</w:t>
      </w:r>
      <w:r>
        <w:rPr>
          <w:spacing w:val="-3"/>
        </w:rPr>
        <w:t xml:space="preserve">’s </w:t>
      </w:r>
      <w:r w:rsidR="008F3104">
        <w:rPr>
          <w:spacing w:val="-3"/>
        </w:rPr>
        <w:t xml:space="preserve">Policy Statement </w:t>
      </w:r>
      <w:r>
        <w:rPr>
          <w:spacing w:val="-3"/>
        </w:rPr>
        <w:t>at</w:t>
      </w:r>
      <w:r w:rsidRPr="00D6328D">
        <w:rPr>
          <w:spacing w:val="-3"/>
        </w:rPr>
        <w:t xml:space="preserve"> 52 Pa.</w:t>
      </w:r>
      <w:r w:rsidR="008F3104">
        <w:rPr>
          <w:spacing w:val="-3"/>
        </w:rPr>
        <w:t xml:space="preserve"> </w:t>
      </w:r>
      <w:r w:rsidRPr="00D6328D">
        <w:rPr>
          <w:spacing w:val="-3"/>
        </w:rPr>
        <w:t>Code § 69.1201(c)</w:t>
      </w:r>
      <w:r>
        <w:rPr>
          <w:spacing w:val="-3"/>
        </w:rPr>
        <w:t xml:space="preserve"> </w:t>
      </w:r>
      <w:r w:rsidRPr="00D6328D">
        <w:rPr>
          <w:spacing w:val="-3"/>
        </w:rPr>
        <w:t>set</w:t>
      </w:r>
      <w:r w:rsidR="008F3104">
        <w:rPr>
          <w:spacing w:val="-3"/>
        </w:rPr>
        <w:t>s</w:t>
      </w:r>
      <w:r w:rsidRPr="00D6328D">
        <w:rPr>
          <w:spacing w:val="-3"/>
        </w:rPr>
        <w:t xml:space="preserve"> forth </w:t>
      </w:r>
      <w:r>
        <w:rPr>
          <w:spacing w:val="-3"/>
        </w:rPr>
        <w:t>t</w:t>
      </w:r>
      <w:r w:rsidRPr="00D6328D">
        <w:rPr>
          <w:spacing w:val="-3"/>
        </w:rPr>
        <w:t xml:space="preserve">he factors and </w:t>
      </w:r>
      <w:r w:rsidR="002D54D9">
        <w:rPr>
          <w:spacing w:val="-3"/>
        </w:rPr>
        <w:t>considerations that should guide our</w:t>
      </w:r>
      <w:r w:rsidRPr="00D6328D">
        <w:rPr>
          <w:spacing w:val="-3"/>
        </w:rPr>
        <w:t xml:space="preserve"> evaluati</w:t>
      </w:r>
      <w:r w:rsidR="002D54D9">
        <w:rPr>
          <w:spacing w:val="-3"/>
        </w:rPr>
        <w:t>on of</w:t>
      </w:r>
      <w:r w:rsidRPr="00D6328D">
        <w:rPr>
          <w:spacing w:val="-3"/>
        </w:rPr>
        <w:t xml:space="preserve"> </w:t>
      </w:r>
      <w:r>
        <w:rPr>
          <w:spacing w:val="-3"/>
        </w:rPr>
        <w:t>whether a civil penalty is appropriate</w:t>
      </w:r>
      <w:r w:rsidRPr="00D6328D">
        <w:rPr>
          <w:spacing w:val="-3"/>
        </w:rPr>
        <w:t xml:space="preserve"> in</w:t>
      </w:r>
      <w:r>
        <w:rPr>
          <w:spacing w:val="-3"/>
        </w:rPr>
        <w:t xml:space="preserve"> proceedings involving</w:t>
      </w:r>
      <w:r w:rsidRPr="00D6328D">
        <w:rPr>
          <w:spacing w:val="-3"/>
        </w:rPr>
        <w:t xml:space="preserve"> violations of the Code </w:t>
      </w:r>
      <w:r w:rsidR="008F3104">
        <w:rPr>
          <w:spacing w:val="-3"/>
        </w:rPr>
        <w:t xml:space="preserve">or our Regulations </w:t>
      </w:r>
      <w:r w:rsidRPr="00D6328D">
        <w:rPr>
          <w:spacing w:val="-3"/>
        </w:rPr>
        <w:t>for purposes of determining </w:t>
      </w:r>
      <w:r>
        <w:rPr>
          <w:spacing w:val="-3"/>
        </w:rPr>
        <w:t xml:space="preserve">the </w:t>
      </w:r>
      <w:r w:rsidRPr="00D6328D">
        <w:rPr>
          <w:spacing w:val="-3"/>
        </w:rPr>
        <w:t xml:space="preserve">appropriate </w:t>
      </w:r>
      <w:r w:rsidRPr="00D6328D">
        <w:rPr>
          <w:bCs/>
          <w:spacing w:val="-3"/>
        </w:rPr>
        <w:t>civil penalty</w:t>
      </w:r>
      <w:r w:rsidRPr="00D6328D">
        <w:rPr>
          <w:spacing w:val="-3"/>
        </w:rPr>
        <w:t xml:space="preserve"> amounts.  These factor</w:t>
      </w:r>
      <w:r w:rsidR="002544B3">
        <w:rPr>
          <w:spacing w:val="-3"/>
        </w:rPr>
        <w:t>s and standards are as follows:</w:t>
      </w:r>
    </w:p>
    <w:p w:rsidR="00BB1FBB" w:rsidRDefault="00BB1FBB" w:rsidP="00605680">
      <w:pPr>
        <w:spacing w:line="360" w:lineRule="auto"/>
        <w:ind w:firstLine="1440"/>
      </w:pPr>
    </w:p>
    <w:p w:rsidR="002544B3" w:rsidRDefault="002544B3" w:rsidP="00BB1FBB">
      <w:pPr>
        <w:ind w:left="1440" w:right="1440"/>
        <w:contextualSpacing/>
        <w:rPr>
          <w:spacing w:val="-3"/>
        </w:rPr>
      </w:pPr>
      <w:r>
        <w:rPr>
          <w:spacing w:val="-3"/>
        </w:rPr>
        <w:t>(1)</w:t>
      </w:r>
      <w:r w:rsidR="00BB1FBB">
        <w:rPr>
          <w:spacing w:val="-3"/>
        </w:rPr>
        <w:tab/>
      </w:r>
      <w:r w:rsidR="00BB1FBB" w:rsidRPr="00D6328D">
        <w:rPr>
          <w:spacing w:val="-3"/>
        </w:rPr>
        <w:t>Whether the conduct at issu</w:t>
      </w:r>
      <w:r w:rsidR="00BB1FBB">
        <w:rPr>
          <w:spacing w:val="-3"/>
        </w:rPr>
        <w:t xml:space="preserve">e was of a serious nature. When </w:t>
      </w:r>
      <w:r w:rsidR="00BB1FBB" w:rsidRPr="00D6328D">
        <w:rPr>
          <w:spacing w:val="-3"/>
        </w:rPr>
        <w:t xml:space="preserve">conduct of a serious nature is involved, such as willful </w:t>
      </w:r>
      <w:r w:rsidR="00BB1FBB" w:rsidRPr="00D6328D">
        <w:rPr>
          <w:spacing w:val="-3"/>
        </w:rPr>
        <w:lastRenderedPageBreak/>
        <w:t>fraud or misrepresentation, the conduct may warrant a higher penalty. When the conduct is less egregious, such as administrative filing or technical errors, it may warrant a lower penalty.</w:t>
      </w:r>
    </w:p>
    <w:p w:rsidR="002544B3" w:rsidRDefault="002544B3" w:rsidP="00BB1FBB">
      <w:pPr>
        <w:ind w:left="1440" w:right="1440"/>
        <w:contextualSpacing/>
        <w:rPr>
          <w:spacing w:val="-3"/>
        </w:rPr>
      </w:pPr>
    </w:p>
    <w:p w:rsidR="002544B3" w:rsidRDefault="00BB1FBB" w:rsidP="00BB1FBB">
      <w:pPr>
        <w:ind w:left="1440" w:right="1440"/>
        <w:contextualSpacing/>
        <w:rPr>
          <w:spacing w:val="-3"/>
        </w:rPr>
      </w:pPr>
      <w:r w:rsidRPr="00D6328D">
        <w:rPr>
          <w:spacing w:val="-3"/>
        </w:rPr>
        <w:t xml:space="preserve">(2) </w:t>
      </w:r>
      <w:r>
        <w:rPr>
          <w:spacing w:val="-3"/>
        </w:rPr>
        <w:tab/>
      </w:r>
      <w:r w:rsidRPr="00D6328D">
        <w:rPr>
          <w:spacing w:val="-3"/>
        </w:rPr>
        <w:t>Whether the resulting consequences of the conduct at issue were of a serious nature. When consequences of a serious nature are involved, such as personal injury or property damage, the consequences may warrant a higher penalty.</w:t>
      </w:r>
    </w:p>
    <w:p w:rsidR="002544B3" w:rsidRDefault="002544B3" w:rsidP="00BB1FBB">
      <w:pPr>
        <w:ind w:left="1440" w:right="1440"/>
        <w:contextualSpacing/>
        <w:rPr>
          <w:spacing w:val="-3"/>
        </w:rPr>
      </w:pPr>
    </w:p>
    <w:p w:rsidR="002544B3" w:rsidRDefault="00BB1FBB" w:rsidP="00BB1FBB">
      <w:pPr>
        <w:ind w:left="1440" w:right="1440"/>
        <w:contextualSpacing/>
        <w:rPr>
          <w:spacing w:val="-3"/>
        </w:rPr>
      </w:pPr>
      <w:r w:rsidRPr="00D6328D">
        <w:rPr>
          <w:spacing w:val="-3"/>
        </w:rPr>
        <w:t xml:space="preserve">(3) </w:t>
      </w:r>
      <w:r>
        <w:rPr>
          <w:spacing w:val="-3"/>
        </w:rPr>
        <w:tab/>
      </w:r>
      <w:r w:rsidRPr="00D6328D">
        <w:rPr>
          <w:spacing w:val="-3"/>
        </w:rPr>
        <w:t>Whether the conduct at issue was deemed intentional or negligent. This factor may only be considered in evaluating litigated cases. When conduct has been deemed intentional, the conduct may result in a higher penalty.</w:t>
      </w:r>
    </w:p>
    <w:p w:rsidR="002544B3" w:rsidRDefault="002544B3" w:rsidP="00BB1FBB">
      <w:pPr>
        <w:ind w:left="1440" w:right="1440"/>
        <w:contextualSpacing/>
        <w:rPr>
          <w:spacing w:val="-3"/>
        </w:rPr>
      </w:pPr>
    </w:p>
    <w:p w:rsidR="002544B3" w:rsidRDefault="00BB1FBB" w:rsidP="00BB1FBB">
      <w:pPr>
        <w:ind w:left="1440" w:right="1440"/>
        <w:contextualSpacing/>
        <w:rPr>
          <w:spacing w:val="-3"/>
        </w:rPr>
      </w:pPr>
      <w:r w:rsidRPr="00D6328D">
        <w:rPr>
          <w:spacing w:val="-3"/>
        </w:rPr>
        <w:t xml:space="preserve">(4) </w:t>
      </w:r>
      <w:r>
        <w:rPr>
          <w:spacing w:val="-3"/>
        </w:rPr>
        <w:tab/>
      </w:r>
      <w:r w:rsidRPr="00D6328D">
        <w:rPr>
          <w:spacing w:val="-3"/>
        </w:rPr>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2544B3" w:rsidRDefault="002544B3" w:rsidP="00BB1FBB">
      <w:pPr>
        <w:ind w:left="1440" w:right="1440"/>
        <w:contextualSpacing/>
        <w:rPr>
          <w:spacing w:val="-3"/>
        </w:rPr>
      </w:pPr>
    </w:p>
    <w:p w:rsidR="002544B3" w:rsidRDefault="00BB1FBB" w:rsidP="00BB1FBB">
      <w:pPr>
        <w:ind w:left="1440" w:right="1440"/>
        <w:contextualSpacing/>
        <w:rPr>
          <w:spacing w:val="-3"/>
        </w:rPr>
      </w:pPr>
      <w:r w:rsidRPr="00D6328D">
        <w:rPr>
          <w:spacing w:val="-3"/>
        </w:rPr>
        <w:t xml:space="preserve">(5) </w:t>
      </w:r>
      <w:r>
        <w:rPr>
          <w:spacing w:val="-3"/>
        </w:rPr>
        <w:tab/>
      </w:r>
      <w:r w:rsidRPr="00D6328D">
        <w:rPr>
          <w:spacing w:val="-3"/>
        </w:rPr>
        <w:t>The number of customers affected and the duration of the violation.</w:t>
      </w:r>
    </w:p>
    <w:p w:rsidR="002544B3" w:rsidRDefault="002544B3" w:rsidP="00BB1FBB">
      <w:pPr>
        <w:ind w:left="1440" w:right="1440"/>
        <w:contextualSpacing/>
        <w:rPr>
          <w:spacing w:val="-3"/>
        </w:rPr>
      </w:pPr>
    </w:p>
    <w:p w:rsidR="00BB1FBB" w:rsidRPr="00D6328D" w:rsidRDefault="00BB1FBB" w:rsidP="00BB1FBB">
      <w:pPr>
        <w:ind w:left="1440" w:right="1440"/>
        <w:contextualSpacing/>
        <w:rPr>
          <w:spacing w:val="-3"/>
        </w:rPr>
      </w:pPr>
      <w:r w:rsidRPr="00D6328D">
        <w:rPr>
          <w:spacing w:val="-3"/>
        </w:rPr>
        <w:t xml:space="preserve">(6) </w:t>
      </w:r>
      <w:r>
        <w:rPr>
          <w:spacing w:val="-3"/>
        </w:rPr>
        <w:tab/>
      </w:r>
      <w:r w:rsidRPr="00D6328D">
        <w:rPr>
          <w:spacing w:val="-3"/>
        </w:rPr>
        <w:t xml:space="preserve">The compliance history of the regulated entity which committed the violation. </w:t>
      </w:r>
      <w:r>
        <w:rPr>
          <w:spacing w:val="-3"/>
        </w:rPr>
        <w:t xml:space="preserve"> </w:t>
      </w:r>
      <w:r w:rsidRPr="00D6328D">
        <w:rPr>
          <w:spacing w:val="-3"/>
        </w:rPr>
        <w:t>An isolated incident from an otherwise compliant utility may result in a lower penalty, whereas frequent, recurrent violations by a utility may result in a higher penalty.</w:t>
      </w:r>
    </w:p>
    <w:p w:rsidR="00BB1FBB" w:rsidRPr="00D6328D" w:rsidRDefault="00BB1FBB" w:rsidP="00BB1FBB">
      <w:pPr>
        <w:ind w:left="1440" w:right="1440"/>
        <w:rPr>
          <w:spacing w:val="-3"/>
        </w:rPr>
      </w:pPr>
    </w:p>
    <w:p w:rsidR="002544B3" w:rsidRDefault="00BB1FBB" w:rsidP="002544B3">
      <w:pPr>
        <w:ind w:left="1440" w:right="1440"/>
        <w:rPr>
          <w:spacing w:val="-3"/>
        </w:rPr>
      </w:pPr>
      <w:r w:rsidRPr="00D6328D">
        <w:rPr>
          <w:spacing w:val="-3"/>
        </w:rPr>
        <w:t xml:space="preserve">(7) </w:t>
      </w:r>
      <w:r>
        <w:rPr>
          <w:spacing w:val="-3"/>
        </w:rPr>
        <w:tab/>
      </w:r>
      <w:r w:rsidRPr="00D6328D">
        <w:rPr>
          <w:spacing w:val="-3"/>
        </w:rPr>
        <w:t>Whether the regulated entity cooperated with the Commission's investigation. Facts establishing bad faith, active concealment of violations, or attempts to interfere with Commission investigations may result in a higher penalty.</w:t>
      </w:r>
    </w:p>
    <w:p w:rsidR="002544B3" w:rsidRDefault="002544B3" w:rsidP="002544B3">
      <w:pPr>
        <w:ind w:left="1440" w:right="1440"/>
        <w:rPr>
          <w:spacing w:val="-3"/>
        </w:rPr>
      </w:pPr>
    </w:p>
    <w:p w:rsidR="00DB6B55" w:rsidRDefault="00BB1FBB" w:rsidP="002544B3">
      <w:pPr>
        <w:ind w:left="1440" w:right="1440"/>
        <w:rPr>
          <w:spacing w:val="-3"/>
        </w:rPr>
      </w:pPr>
      <w:r w:rsidRPr="00D6328D">
        <w:rPr>
          <w:spacing w:val="-3"/>
        </w:rPr>
        <w:t xml:space="preserve">(8) </w:t>
      </w:r>
      <w:r>
        <w:rPr>
          <w:spacing w:val="-3"/>
        </w:rPr>
        <w:tab/>
      </w:r>
      <w:r w:rsidRPr="00D6328D">
        <w:rPr>
          <w:spacing w:val="-3"/>
        </w:rPr>
        <w:t xml:space="preserve">The amount of the </w:t>
      </w:r>
      <w:r w:rsidRPr="00D6328D">
        <w:rPr>
          <w:bCs/>
          <w:spacing w:val="-3"/>
        </w:rPr>
        <w:t>civil penalty</w:t>
      </w:r>
      <w:r w:rsidRPr="00D6328D">
        <w:rPr>
          <w:spacing w:val="-3"/>
        </w:rPr>
        <w:t xml:space="preserve"> or fine necessary to deter future violations. The size of the utility may be considered to determine an appropriate penalty amount.</w:t>
      </w:r>
    </w:p>
    <w:p w:rsidR="00DB6B55" w:rsidRDefault="00DB6B55" w:rsidP="002544B3">
      <w:pPr>
        <w:ind w:left="1440" w:right="1440"/>
        <w:rPr>
          <w:spacing w:val="-3"/>
        </w:rPr>
      </w:pPr>
    </w:p>
    <w:p w:rsidR="00DB6B55" w:rsidRDefault="00BB1FBB" w:rsidP="00DB6B55">
      <w:pPr>
        <w:keepNext/>
        <w:keepLines/>
        <w:ind w:left="1440" w:right="1440"/>
        <w:rPr>
          <w:spacing w:val="-3"/>
        </w:rPr>
      </w:pPr>
      <w:r w:rsidRPr="00D6328D">
        <w:rPr>
          <w:spacing w:val="-3"/>
        </w:rPr>
        <w:lastRenderedPageBreak/>
        <w:t>(9)</w:t>
      </w:r>
      <w:r w:rsidR="00DB6B55">
        <w:rPr>
          <w:spacing w:val="-3"/>
        </w:rPr>
        <w:tab/>
      </w:r>
      <w:r w:rsidRPr="00D6328D">
        <w:rPr>
          <w:spacing w:val="-3"/>
        </w:rPr>
        <w:t>Past Commission decisions in similar situations.</w:t>
      </w:r>
    </w:p>
    <w:p w:rsidR="00DB6B55" w:rsidRDefault="00DB6B55" w:rsidP="00DB6B55">
      <w:pPr>
        <w:keepNext/>
        <w:keepLines/>
        <w:ind w:left="1440" w:right="1440"/>
        <w:rPr>
          <w:spacing w:val="-3"/>
        </w:rPr>
      </w:pPr>
    </w:p>
    <w:p w:rsidR="00BB1FBB" w:rsidRPr="00D6328D" w:rsidRDefault="00BB1FBB" w:rsidP="00DB6B55">
      <w:pPr>
        <w:keepNext/>
        <w:keepLines/>
        <w:ind w:left="1440" w:right="1440"/>
        <w:rPr>
          <w:spacing w:val="-3"/>
        </w:rPr>
      </w:pPr>
      <w:r w:rsidRPr="00D6328D">
        <w:rPr>
          <w:spacing w:val="-3"/>
        </w:rPr>
        <w:t xml:space="preserve">(10) </w:t>
      </w:r>
      <w:r>
        <w:rPr>
          <w:spacing w:val="-3"/>
        </w:rPr>
        <w:tab/>
      </w:r>
      <w:r w:rsidRPr="00D6328D">
        <w:rPr>
          <w:spacing w:val="-3"/>
        </w:rPr>
        <w:t>Other relevant factors.</w:t>
      </w:r>
    </w:p>
    <w:p w:rsidR="00BB1FBB" w:rsidRDefault="00BB1FBB" w:rsidP="00DB6B55">
      <w:pPr>
        <w:keepNext/>
        <w:keepLines/>
        <w:spacing w:line="360" w:lineRule="auto"/>
        <w:ind w:firstLine="1440"/>
      </w:pPr>
    </w:p>
    <w:p w:rsidR="00BB1FBB" w:rsidRDefault="00BB1FBB" w:rsidP="002544B3">
      <w:pPr>
        <w:keepNext/>
        <w:keepLines/>
        <w:spacing w:line="360" w:lineRule="auto"/>
      </w:pPr>
      <w:r>
        <w:rPr>
          <w:i/>
        </w:rPr>
        <w:t xml:space="preserve">See </w:t>
      </w:r>
      <w:r>
        <w:t>52 Pa.</w:t>
      </w:r>
      <w:r w:rsidR="008F3104">
        <w:t xml:space="preserve"> </w:t>
      </w:r>
      <w:r>
        <w:t>Code §</w:t>
      </w:r>
      <w:r w:rsidR="002D54D9">
        <w:t xml:space="preserve"> </w:t>
      </w:r>
      <w:r w:rsidR="002D54D9" w:rsidRPr="00D6328D">
        <w:rPr>
          <w:spacing w:val="-3"/>
        </w:rPr>
        <w:t>69.1201(c)</w:t>
      </w:r>
      <w:r>
        <w:t>.</w:t>
      </w:r>
    </w:p>
    <w:p w:rsidR="00BB1FBB" w:rsidRDefault="00BB1FBB" w:rsidP="008C77AB">
      <w:pPr>
        <w:spacing w:line="360" w:lineRule="auto"/>
      </w:pPr>
    </w:p>
    <w:p w:rsidR="00261846" w:rsidRPr="009F1EE4" w:rsidRDefault="00261846" w:rsidP="00261846">
      <w:pPr>
        <w:spacing w:line="360" w:lineRule="auto"/>
        <w:ind w:firstLine="1440"/>
        <w:rPr>
          <w:spacing w:val="-3"/>
        </w:rPr>
      </w:pPr>
      <w:r w:rsidRPr="00D6328D">
        <w:rPr>
          <w:spacing w:val="-3"/>
        </w:rPr>
        <w:t xml:space="preserve">The first factor is whether the conduct was of a serious nature.  There is no evidence </w:t>
      </w:r>
      <w:r>
        <w:rPr>
          <w:spacing w:val="-3"/>
        </w:rPr>
        <w:t>i</w:t>
      </w:r>
      <w:r w:rsidRPr="00D6328D">
        <w:rPr>
          <w:spacing w:val="-3"/>
        </w:rPr>
        <w:t xml:space="preserve">n the record to conclude that </w:t>
      </w:r>
      <w:r>
        <w:rPr>
          <w:spacing w:val="-3"/>
        </w:rPr>
        <w:t>PPL’s</w:t>
      </w:r>
      <w:r w:rsidRPr="00D6328D">
        <w:rPr>
          <w:spacing w:val="-3"/>
        </w:rPr>
        <w:t xml:space="preserve"> </w:t>
      </w:r>
      <w:r>
        <w:rPr>
          <w:spacing w:val="-3"/>
        </w:rPr>
        <w:t>change in account</w:t>
      </w:r>
      <w:r w:rsidRPr="00D6328D">
        <w:rPr>
          <w:spacing w:val="-3"/>
        </w:rPr>
        <w:t xml:space="preserve"> was willful</w:t>
      </w:r>
      <w:r>
        <w:rPr>
          <w:spacing w:val="-3"/>
        </w:rPr>
        <w:t>.  Rather, the ALJ found that the error was inadvertent.  I.D. at 4.  T</w:t>
      </w:r>
      <w:r w:rsidRPr="00D6328D">
        <w:rPr>
          <w:spacing w:val="-3"/>
        </w:rPr>
        <w:t xml:space="preserve">he </w:t>
      </w:r>
      <w:r>
        <w:rPr>
          <w:spacing w:val="-3"/>
        </w:rPr>
        <w:t>rationale or basis of the occurrence, however, has not been developed in the record other than the citation to the fact that a person used the Respondent’s self-service website and entered the wrong address.  The record does not indicate whether the error is a function of any lack of</w:t>
      </w:r>
      <w:r>
        <w:t xml:space="preserve"> </w:t>
      </w:r>
      <w:r w:rsidRPr="007A31D3">
        <w:t xml:space="preserve">an effective mechanism to notify </w:t>
      </w:r>
      <w:r>
        <w:t xml:space="preserve">existing </w:t>
      </w:r>
      <w:r w:rsidRPr="007A31D3">
        <w:t xml:space="preserve">ratepayers </w:t>
      </w:r>
      <w:r>
        <w:t xml:space="preserve">of changes to a service address and/or confirm the service address </w:t>
      </w:r>
      <w:r w:rsidRPr="007A31D3">
        <w:t xml:space="preserve">when </w:t>
      </w:r>
      <w:r>
        <w:t>PPL</w:t>
      </w:r>
      <w:r w:rsidRPr="007A31D3">
        <w:t xml:space="preserve"> receives a request to transfer service out of one name and place it in the name of someone else.</w:t>
      </w:r>
      <w:r>
        <w:t xml:space="preserve">  </w:t>
      </w:r>
      <w:r>
        <w:rPr>
          <w:i/>
        </w:rPr>
        <w:t>See Gallagher</w:t>
      </w:r>
      <w:r>
        <w:t xml:space="preserve">, </w:t>
      </w:r>
      <w:r>
        <w:rPr>
          <w:i/>
        </w:rPr>
        <w:t>supra</w:t>
      </w:r>
      <w:r>
        <w:t xml:space="preserve">. </w:t>
      </w:r>
      <w:r w:rsidRPr="007A31D3">
        <w:t xml:space="preserve">  </w:t>
      </w:r>
    </w:p>
    <w:p w:rsidR="00BB1FBB" w:rsidRDefault="00BB1FBB" w:rsidP="00605680">
      <w:pPr>
        <w:spacing w:line="360" w:lineRule="auto"/>
        <w:ind w:firstLine="1440"/>
      </w:pPr>
    </w:p>
    <w:p w:rsidR="00D645D2" w:rsidRPr="00D6328D" w:rsidRDefault="00D645D2" w:rsidP="00D645D2">
      <w:pPr>
        <w:spacing w:line="360" w:lineRule="auto"/>
        <w:ind w:firstLine="1440"/>
        <w:contextualSpacing/>
        <w:rPr>
          <w:rFonts w:ascii="Verdana" w:hAnsi="Verdana"/>
        </w:rPr>
      </w:pPr>
      <w:r w:rsidRPr="00D6328D">
        <w:rPr>
          <w:spacing w:val="-3"/>
        </w:rPr>
        <w:t xml:space="preserve">The second factor is whether the consequences of the utility’s conduct were of a serious nature resulting in damages to property or injury to persons.  </w:t>
      </w:r>
      <w:r>
        <w:rPr>
          <w:spacing w:val="-3"/>
        </w:rPr>
        <w:t>Mr. Vianello was, obviously, inconvenienced by the consequences of PPL’s conduct and could have suffered a termination of service based on his confusion and contention over the accuracy of the bills sent to him by the utility.</w:t>
      </w:r>
      <w:r w:rsidR="00C3582B">
        <w:rPr>
          <w:spacing w:val="-3"/>
        </w:rPr>
        <w:t xml:space="preserve"> </w:t>
      </w:r>
      <w:r>
        <w:rPr>
          <w:spacing w:val="-3"/>
        </w:rPr>
        <w:t xml:space="preserve"> Mr. Vianello</w:t>
      </w:r>
      <w:r w:rsidR="00C3582B">
        <w:rPr>
          <w:spacing w:val="-3"/>
        </w:rPr>
        <w:t xml:space="preserve"> w</w:t>
      </w:r>
      <w:r>
        <w:rPr>
          <w:spacing w:val="-3"/>
        </w:rPr>
        <w:t>as disrupted from his agreement with an electric generation supplier and not re-enrolled with this supplier as of the close of the record in this matter.</w:t>
      </w:r>
      <w:r w:rsidR="00C3582B">
        <w:rPr>
          <w:spacing w:val="-3"/>
        </w:rPr>
        <w:t xml:space="preserve">  The failure to re-enroll with the previous electric generation supplier was due, in part, to certain of the actions of Mr. Vianello in his contacts with PPL customer service representatives.</w:t>
      </w:r>
      <w:r>
        <w:rPr>
          <w:spacing w:val="-3"/>
        </w:rPr>
        <w:t xml:space="preserve">  </w:t>
      </w:r>
      <w:r w:rsidRPr="00D6328D">
        <w:rPr>
          <w:spacing w:val="-3"/>
        </w:rPr>
        <w:t>There is no evidence</w:t>
      </w:r>
      <w:r>
        <w:rPr>
          <w:spacing w:val="-3"/>
        </w:rPr>
        <w:t>, however,</w:t>
      </w:r>
      <w:r w:rsidRPr="00D6328D">
        <w:rPr>
          <w:spacing w:val="-3"/>
        </w:rPr>
        <w:t xml:space="preserve"> that </w:t>
      </w:r>
      <w:r>
        <w:rPr>
          <w:spacing w:val="-3"/>
        </w:rPr>
        <w:t>PPL’s</w:t>
      </w:r>
      <w:r w:rsidRPr="00D6328D">
        <w:rPr>
          <w:spacing w:val="-3"/>
        </w:rPr>
        <w:t xml:space="preserve"> </w:t>
      </w:r>
      <w:r>
        <w:rPr>
          <w:spacing w:val="-3"/>
        </w:rPr>
        <w:t xml:space="preserve">inadvertence had any consequences we deem to be of a </w:t>
      </w:r>
      <w:r w:rsidRPr="00D6328D">
        <w:rPr>
          <w:spacing w:val="-3"/>
        </w:rPr>
        <w:t>serious nature.</w:t>
      </w:r>
      <w:r>
        <w:rPr>
          <w:spacing w:val="-3"/>
        </w:rPr>
        <w:t xml:space="preserve">  PPL has, in good faith offered, and we shall so direct, that Mr. Vianello be credited with amounts he would have paid for the applicable period had the change not occurred. </w:t>
      </w:r>
      <w:r w:rsidRPr="00D6328D">
        <w:rPr>
          <w:spacing w:val="-3"/>
        </w:rPr>
        <w:t xml:space="preserve"> The </w:t>
      </w:r>
      <w:r>
        <w:rPr>
          <w:spacing w:val="-3"/>
        </w:rPr>
        <w:t xml:space="preserve">record does not show any </w:t>
      </w:r>
      <w:r w:rsidRPr="00D6328D">
        <w:rPr>
          <w:spacing w:val="-3"/>
        </w:rPr>
        <w:t>damage to property or injury to persons.</w:t>
      </w:r>
    </w:p>
    <w:p w:rsidR="00261846" w:rsidRDefault="00261846" w:rsidP="00605680">
      <w:pPr>
        <w:spacing w:line="360" w:lineRule="auto"/>
        <w:ind w:firstLine="1440"/>
      </w:pPr>
    </w:p>
    <w:p w:rsidR="00F8054A" w:rsidRDefault="00AC1292" w:rsidP="00AC1292">
      <w:pPr>
        <w:spacing w:line="360" w:lineRule="auto"/>
        <w:ind w:firstLine="1440"/>
        <w:rPr>
          <w:spacing w:val="-3"/>
        </w:rPr>
      </w:pPr>
      <w:r w:rsidRPr="00D6328D">
        <w:rPr>
          <w:spacing w:val="-3"/>
        </w:rPr>
        <w:lastRenderedPageBreak/>
        <w:t xml:space="preserve">The third factor is whether the offending conduct was intentional or negligent.  </w:t>
      </w:r>
      <w:r>
        <w:rPr>
          <w:spacing w:val="-3"/>
        </w:rPr>
        <w:t>As noted, the offending conduct was inadvertent.</w:t>
      </w:r>
      <w:r w:rsidR="00F8054A">
        <w:rPr>
          <w:spacing w:val="-3"/>
        </w:rPr>
        <w:t xml:space="preserve">  However, we duly note a concern identified in </w:t>
      </w:r>
      <w:r w:rsidR="00F8054A">
        <w:rPr>
          <w:i/>
          <w:spacing w:val="-3"/>
        </w:rPr>
        <w:t>Kash</w:t>
      </w:r>
      <w:r w:rsidR="00EA7984">
        <w:rPr>
          <w:i/>
          <w:spacing w:val="-3"/>
        </w:rPr>
        <w:t>m</w:t>
      </w:r>
      <w:r w:rsidR="00F8054A">
        <w:rPr>
          <w:i/>
          <w:spacing w:val="-3"/>
        </w:rPr>
        <w:t>er</w:t>
      </w:r>
      <w:r w:rsidR="00F8054A">
        <w:rPr>
          <w:spacing w:val="-3"/>
        </w:rPr>
        <w:t xml:space="preserve"> that PPL may, as a business decision, accept the possibility of inaccurate information resulting in a</w:t>
      </w:r>
      <w:r w:rsidR="00490A11">
        <w:rPr>
          <w:spacing w:val="-3"/>
        </w:rPr>
        <w:t>n erroneous</w:t>
      </w:r>
      <w:r w:rsidR="00F8054A">
        <w:rPr>
          <w:spacing w:val="-3"/>
        </w:rPr>
        <w:t xml:space="preserve"> change </w:t>
      </w:r>
      <w:r w:rsidR="00490A11">
        <w:rPr>
          <w:spacing w:val="-3"/>
        </w:rPr>
        <w:t>to</w:t>
      </w:r>
      <w:r w:rsidR="00F8054A">
        <w:rPr>
          <w:spacing w:val="-3"/>
        </w:rPr>
        <w:t xml:space="preserve"> </w:t>
      </w:r>
      <w:r w:rsidR="00490A11">
        <w:rPr>
          <w:spacing w:val="-3"/>
        </w:rPr>
        <w:t xml:space="preserve">a </w:t>
      </w:r>
      <w:r w:rsidR="00F8054A">
        <w:rPr>
          <w:spacing w:val="-3"/>
        </w:rPr>
        <w:t>service address.</w:t>
      </w:r>
    </w:p>
    <w:p w:rsidR="00F8054A" w:rsidRDefault="00F8054A" w:rsidP="00AC1292">
      <w:pPr>
        <w:spacing w:line="360" w:lineRule="auto"/>
        <w:ind w:firstLine="1440"/>
        <w:rPr>
          <w:spacing w:val="-3"/>
        </w:rPr>
      </w:pPr>
    </w:p>
    <w:p w:rsidR="00F8054A" w:rsidRDefault="00F8054A" w:rsidP="00F8054A">
      <w:pPr>
        <w:ind w:left="1440" w:right="1440" w:firstLine="720"/>
      </w:pPr>
      <w:r>
        <w:t>According to PPL, because existing customers often do not contact the Company to cancel service, it usually processes new service requests without service cancellation requests, in order to avoid a delay in the new service request.  Specifically, PPL indicated that it did not contact the Complainant by phone or mail regarding the termination notice because it considered Ms. Bellamy the new owner of the account.</w:t>
      </w:r>
      <w:r>
        <w:rPr>
          <w:rStyle w:val="FootnoteReference"/>
        </w:rPr>
        <w:footnoteReference w:id="12"/>
      </w:r>
      <w:r>
        <w:t xml:space="preserve">  PPL further contended that it met the notification requirements when it placed the termination notice on the Complainant’s door at the Service Address.  Tr.</w:t>
      </w:r>
      <w:r w:rsidR="00DB6B55">
        <w:t> </w:t>
      </w:r>
      <w:r>
        <w:t>at 23-25; I.D. at 5.</w:t>
      </w:r>
    </w:p>
    <w:p w:rsidR="00DB6B55" w:rsidRDefault="00DB6B55" w:rsidP="00F8054A">
      <w:pPr>
        <w:ind w:left="1440" w:right="1440" w:firstLine="720"/>
      </w:pPr>
    </w:p>
    <w:p w:rsidR="00DB6B55" w:rsidRDefault="00DB6B55" w:rsidP="00F8054A">
      <w:pPr>
        <w:ind w:left="1440" w:right="1440" w:firstLine="720"/>
      </w:pPr>
    </w:p>
    <w:p w:rsidR="00F8054A" w:rsidRPr="00F8054A" w:rsidRDefault="00F8054A" w:rsidP="00F8054A">
      <w:pPr>
        <w:spacing w:line="360" w:lineRule="auto"/>
      </w:pPr>
      <w:r>
        <w:rPr>
          <w:i/>
          <w:spacing w:val="-3"/>
        </w:rPr>
        <w:t>Kash</w:t>
      </w:r>
      <w:r w:rsidR="00EA7984">
        <w:rPr>
          <w:i/>
          <w:spacing w:val="-3"/>
        </w:rPr>
        <w:t>m</w:t>
      </w:r>
      <w:r>
        <w:rPr>
          <w:i/>
          <w:spacing w:val="-3"/>
        </w:rPr>
        <w:t>er</w:t>
      </w:r>
      <w:r>
        <w:rPr>
          <w:spacing w:val="-3"/>
        </w:rPr>
        <w:t xml:space="preserve">, at 5-6. </w:t>
      </w:r>
    </w:p>
    <w:p w:rsidR="00AC1292" w:rsidRPr="00D6328D" w:rsidRDefault="00AC1292" w:rsidP="00AC1292">
      <w:pPr>
        <w:spacing w:line="360" w:lineRule="auto"/>
        <w:ind w:firstLine="1440"/>
        <w:rPr>
          <w:spacing w:val="-3"/>
        </w:rPr>
      </w:pPr>
    </w:p>
    <w:p w:rsidR="00AC1292" w:rsidRPr="00D6328D" w:rsidRDefault="00AC1292" w:rsidP="00AC1292">
      <w:pPr>
        <w:spacing w:line="360" w:lineRule="auto"/>
        <w:ind w:firstLine="1440"/>
      </w:pPr>
      <w:r w:rsidRPr="00D6328D">
        <w:rPr>
          <w:spacing w:val="-3"/>
        </w:rPr>
        <w:t>The fourth factor is whether the utility has modified its internal practices and procedures to address the offensive conduct at issue to deter and prevent similar conduct in the future.</w:t>
      </w:r>
      <w:r>
        <w:rPr>
          <w:spacing w:val="-3"/>
        </w:rPr>
        <w:t xml:space="preserve">  It is this area where we have the most concern.  We find no explanation, rationale, or proffer of evidence as to whether PPL has procedures to address the conduct, </w:t>
      </w:r>
      <w:r>
        <w:rPr>
          <w:i/>
          <w:spacing w:val="-3"/>
        </w:rPr>
        <w:t>i.e.</w:t>
      </w:r>
      <w:r>
        <w:rPr>
          <w:spacing w:val="-3"/>
        </w:rPr>
        <w:t xml:space="preserve">, human error in providing information resulting in a change of </w:t>
      </w:r>
      <w:r w:rsidR="00C3582B">
        <w:rPr>
          <w:spacing w:val="-3"/>
        </w:rPr>
        <w:t xml:space="preserve">account that is associated with a service </w:t>
      </w:r>
      <w:r>
        <w:rPr>
          <w:spacing w:val="-3"/>
        </w:rPr>
        <w:t>address to an existing customer.</w:t>
      </w:r>
    </w:p>
    <w:p w:rsidR="00221FFC" w:rsidRPr="00D6328D" w:rsidRDefault="00221FFC" w:rsidP="004E7324">
      <w:pPr>
        <w:spacing w:line="360" w:lineRule="auto"/>
        <w:rPr>
          <w:spacing w:val="-3"/>
        </w:rPr>
      </w:pPr>
    </w:p>
    <w:p w:rsidR="00CC50BD" w:rsidRPr="00CC50BD" w:rsidRDefault="00221FFC" w:rsidP="00221FFC">
      <w:pPr>
        <w:spacing w:line="360" w:lineRule="auto"/>
        <w:ind w:firstLine="1440"/>
        <w:rPr>
          <w:spacing w:val="-3"/>
        </w:rPr>
      </w:pPr>
      <w:r w:rsidRPr="00D6328D">
        <w:rPr>
          <w:spacing w:val="-3"/>
        </w:rPr>
        <w:t xml:space="preserve">The fifth factor is the number of customers affected and the duration of the violation.  </w:t>
      </w:r>
      <w:r>
        <w:rPr>
          <w:spacing w:val="-3"/>
        </w:rPr>
        <w:t xml:space="preserve">Only one customer in this Complaint has been affected.  However, the duration of the violation was, as noted, </w:t>
      </w:r>
      <w:r w:rsidR="00DC38DA">
        <w:rPr>
          <w:spacing w:val="-3"/>
        </w:rPr>
        <w:t>fifty-six</w:t>
      </w:r>
      <w:r>
        <w:rPr>
          <w:spacing w:val="-3"/>
        </w:rPr>
        <w:t xml:space="preserve"> days.  The duration of the violation militates in favor of the imposition of a civil penalty.  On review of the PPL Exhibits 4A-4B, and the </w:t>
      </w:r>
      <w:r>
        <w:rPr>
          <w:spacing w:val="-3"/>
        </w:rPr>
        <w:lastRenderedPageBreak/>
        <w:t xml:space="preserve">transcript, we find that there was confusion created by the inadvertent change in account number.  </w:t>
      </w:r>
      <w:r w:rsidR="00615DDE">
        <w:rPr>
          <w:spacing w:val="-3"/>
        </w:rPr>
        <w:t>Mr. Vianello</w:t>
      </w:r>
      <w:r>
        <w:rPr>
          <w:spacing w:val="-3"/>
        </w:rPr>
        <w:t xml:space="preserve">, who does not appear to have an amiable relationship with PPL, was understandably disconcerted when he did not receive a bill from the Respondent for </w:t>
      </w:r>
      <w:r w:rsidR="00DC38DA">
        <w:rPr>
          <w:spacing w:val="-3"/>
        </w:rPr>
        <w:t>fifty-six</w:t>
      </w:r>
      <w:r>
        <w:rPr>
          <w:spacing w:val="-3"/>
        </w:rPr>
        <w:t xml:space="preserve"> days, and then received a letter and bill for a balance in excess of </w:t>
      </w:r>
      <w:r w:rsidR="00192EA1">
        <w:rPr>
          <w:spacing w:val="-3"/>
        </w:rPr>
        <w:t>o</w:t>
      </w:r>
      <w:r>
        <w:rPr>
          <w:spacing w:val="-3"/>
        </w:rPr>
        <w:t>ne-thousand Dollars that he, subjectively, questioned based on the difference in account numbers.</w:t>
      </w:r>
      <w:r w:rsidR="00CC50BD">
        <w:rPr>
          <w:spacing w:val="-3"/>
        </w:rPr>
        <w:t xml:space="preserve">  Additionally, these are considerations which were expressly noted in </w:t>
      </w:r>
      <w:r w:rsidR="00CC50BD">
        <w:rPr>
          <w:i/>
          <w:spacing w:val="-3"/>
        </w:rPr>
        <w:t>Kash</w:t>
      </w:r>
      <w:r w:rsidR="00192EA1">
        <w:rPr>
          <w:i/>
          <w:spacing w:val="-3"/>
        </w:rPr>
        <w:t>m</w:t>
      </w:r>
      <w:r w:rsidR="00CC50BD">
        <w:rPr>
          <w:i/>
          <w:spacing w:val="-3"/>
        </w:rPr>
        <w:t>er</w:t>
      </w:r>
      <w:r w:rsidR="00CC50BD">
        <w:rPr>
          <w:spacing w:val="-3"/>
        </w:rPr>
        <w:t>.</w:t>
      </w:r>
    </w:p>
    <w:p w:rsidR="00CC50BD" w:rsidRDefault="00CC50BD" w:rsidP="00221FFC">
      <w:pPr>
        <w:spacing w:line="360" w:lineRule="auto"/>
        <w:ind w:firstLine="1440"/>
        <w:rPr>
          <w:spacing w:val="-3"/>
        </w:rPr>
      </w:pPr>
    </w:p>
    <w:p w:rsidR="001F19F1" w:rsidRPr="001F19F1" w:rsidRDefault="00221FFC" w:rsidP="00221FFC">
      <w:pPr>
        <w:spacing w:line="360" w:lineRule="auto"/>
        <w:ind w:firstLine="1440"/>
      </w:pPr>
      <w:r>
        <w:rPr>
          <w:spacing w:val="-3"/>
        </w:rPr>
        <w:t xml:space="preserve">We acknowledge the difficulty PPL had in working with Mr. Vianello to get to the root of the problem and to make him whole.  </w:t>
      </w:r>
      <w:r w:rsidR="00F70710">
        <w:rPr>
          <w:spacing w:val="-3"/>
        </w:rPr>
        <w:t xml:space="preserve">However, we must reject </w:t>
      </w:r>
      <w:r>
        <w:rPr>
          <w:spacing w:val="-3"/>
        </w:rPr>
        <w:t>PPL</w:t>
      </w:r>
      <w:r w:rsidR="00F70710">
        <w:rPr>
          <w:spacing w:val="-3"/>
        </w:rPr>
        <w:t>’s</w:t>
      </w:r>
      <w:r>
        <w:rPr>
          <w:spacing w:val="-3"/>
        </w:rPr>
        <w:t xml:space="preserve"> attempts to have Mr. Vianello shoulder the majority of the blame for</w:t>
      </w:r>
      <w:r w:rsidR="00BC09A1">
        <w:rPr>
          <w:spacing w:val="-3"/>
        </w:rPr>
        <w:t xml:space="preserve"> the</w:t>
      </w:r>
      <w:r w:rsidR="00F70710">
        <w:rPr>
          <w:spacing w:val="-3"/>
        </w:rPr>
        <w:t xml:space="preserve"> duration of the problem with his account by citing the fact that Complainant</w:t>
      </w:r>
      <w:r>
        <w:rPr>
          <w:spacing w:val="-3"/>
        </w:rPr>
        <w:t xml:space="preserve">, </w:t>
      </w:r>
      <w:r>
        <w:rPr>
          <w:i/>
          <w:spacing w:val="-3"/>
        </w:rPr>
        <w:t>inter alia</w:t>
      </w:r>
      <w:r>
        <w:rPr>
          <w:spacing w:val="-3"/>
        </w:rPr>
        <w:t>, refus</w:t>
      </w:r>
      <w:r w:rsidR="00F70710">
        <w:rPr>
          <w:spacing w:val="-3"/>
        </w:rPr>
        <w:t>ed</w:t>
      </w:r>
      <w:r>
        <w:rPr>
          <w:spacing w:val="-3"/>
        </w:rPr>
        <w:t xml:space="preserve"> to provide his last name in customer contacts.  </w:t>
      </w:r>
      <w:r w:rsidR="00F70710">
        <w:rPr>
          <w:spacing w:val="-3"/>
        </w:rPr>
        <w:t>We</w:t>
      </w:r>
      <w:r>
        <w:rPr>
          <w:spacing w:val="-3"/>
        </w:rPr>
        <w:t xml:space="preserve"> </w:t>
      </w:r>
      <w:r w:rsidR="00800921">
        <w:t xml:space="preserve">find it incongruous </w:t>
      </w:r>
      <w:r>
        <w:t>f</w:t>
      </w:r>
      <w:r w:rsidR="00800921">
        <w:t>o</w:t>
      </w:r>
      <w:r>
        <w:t>r</w:t>
      </w:r>
      <w:r w:rsidR="00800921">
        <w:t xml:space="preserve"> </w:t>
      </w:r>
      <w:r>
        <w:t>PPL to rely on th</w:t>
      </w:r>
      <w:r w:rsidR="001F19F1">
        <w:t>is fact as the record shows that PPL and Silver Valley Apartments had routinely engaged in contacts regarding the account from both, a person who was identified as “Rhonda,” property manager,</w:t>
      </w:r>
      <w:r w:rsidR="003E5364">
        <w:t>”</w:t>
      </w:r>
      <w:r w:rsidR="001F19F1">
        <w:t xml:space="preserve"> “Mike</w:t>
      </w:r>
      <w:r w:rsidR="003E5364">
        <w:t>,</w:t>
      </w:r>
      <w:r w:rsidR="001F19F1">
        <w:t>” bookkeeper,</w:t>
      </w:r>
      <w:r w:rsidR="003E5364">
        <w:t>”</w:t>
      </w:r>
      <w:r w:rsidR="001F19F1">
        <w:t xml:space="preserve"> and sometimes referred to as “owner.”  </w:t>
      </w:r>
      <w:r w:rsidR="001F19F1">
        <w:rPr>
          <w:i/>
        </w:rPr>
        <w:t xml:space="preserve">See </w:t>
      </w:r>
      <w:r w:rsidR="001F19F1">
        <w:t xml:space="preserve">PPL Exhibit #4B. </w:t>
      </w:r>
      <w:r w:rsidR="00800921">
        <w:t xml:space="preserve"> </w:t>
      </w:r>
      <w:r w:rsidR="001F19F1">
        <w:t>Th</w:t>
      </w:r>
      <w:r w:rsidR="00F70710">
        <w:t>e</w:t>
      </w:r>
      <w:r w:rsidR="001F19F1">
        <w:t xml:space="preserve"> </w:t>
      </w:r>
      <w:r w:rsidR="00F70710">
        <w:t xml:space="preserve">inception of the problem was due to a </w:t>
      </w:r>
      <w:r w:rsidR="001F19F1">
        <w:t>c</w:t>
      </w:r>
      <w:r w:rsidR="00800921">
        <w:t xml:space="preserve">hange in service </w:t>
      </w:r>
      <w:r w:rsidR="00F70710">
        <w:t xml:space="preserve">that </w:t>
      </w:r>
      <w:r w:rsidR="001F19F1">
        <w:t xml:space="preserve">was </w:t>
      </w:r>
      <w:r w:rsidR="00800921">
        <w:t xml:space="preserve">based upon an uncorroborated representation </w:t>
      </w:r>
      <w:r w:rsidR="00F70710">
        <w:t xml:space="preserve">of an address change provided </w:t>
      </w:r>
      <w:r w:rsidR="00800921">
        <w:t xml:space="preserve">to </w:t>
      </w:r>
      <w:r w:rsidR="001F19F1">
        <w:t xml:space="preserve">the Respondent.  Consequently, the transcript indicates </w:t>
      </w:r>
      <w:r w:rsidR="00F70710">
        <w:t xml:space="preserve">several </w:t>
      </w:r>
      <w:r w:rsidR="001F19F1">
        <w:t>Complainant</w:t>
      </w:r>
      <w:r w:rsidR="00800921">
        <w:t xml:space="preserve"> attempts to contact PP</w:t>
      </w:r>
      <w:r w:rsidR="001F19F1">
        <w:t>L</w:t>
      </w:r>
      <w:r w:rsidR="00800921">
        <w:t xml:space="preserve"> customer service representatives </w:t>
      </w:r>
      <w:r w:rsidR="001F19F1">
        <w:t>only</w:t>
      </w:r>
      <w:r w:rsidR="00800921">
        <w:t xml:space="preserve"> to be rebuffed for failing to provide his last name – rather than the account which was identified</w:t>
      </w:r>
      <w:r w:rsidR="001F19F1">
        <w:t xml:space="preserve">.  </w:t>
      </w:r>
      <w:r w:rsidR="001F19F1">
        <w:rPr>
          <w:i/>
        </w:rPr>
        <w:t xml:space="preserve">See </w:t>
      </w:r>
      <w:r w:rsidR="001F19F1">
        <w:t>Tr. at 44-45.</w:t>
      </w:r>
    </w:p>
    <w:p w:rsidR="001F19F1" w:rsidRDefault="001F19F1" w:rsidP="00221FFC">
      <w:pPr>
        <w:spacing w:line="360" w:lineRule="auto"/>
        <w:ind w:firstLine="1440"/>
      </w:pPr>
    </w:p>
    <w:p w:rsidR="00F70710" w:rsidRPr="0005162B" w:rsidRDefault="00F70710" w:rsidP="00F70710">
      <w:pPr>
        <w:spacing w:line="360" w:lineRule="auto"/>
        <w:ind w:firstLine="1440"/>
        <w:rPr>
          <w:spacing w:val="-3"/>
        </w:rPr>
      </w:pPr>
      <w:r w:rsidRPr="00D6328D">
        <w:rPr>
          <w:spacing w:val="-3"/>
        </w:rPr>
        <w:t>The sixth factor is the compliance history of the offender</w:t>
      </w:r>
      <w:r>
        <w:rPr>
          <w:spacing w:val="-3"/>
        </w:rPr>
        <w:t>.</w:t>
      </w:r>
      <w:r w:rsidRPr="00D6328D">
        <w:rPr>
          <w:spacing w:val="-3"/>
        </w:rPr>
        <w:t xml:space="preserve">  The record does not include a history of</w:t>
      </w:r>
      <w:r>
        <w:rPr>
          <w:spacing w:val="-3"/>
        </w:rPr>
        <w:t xml:space="preserve"> PPL’s</w:t>
      </w:r>
      <w:r w:rsidRPr="00D6328D">
        <w:rPr>
          <w:spacing w:val="-3"/>
        </w:rPr>
        <w:t xml:space="preserve"> past offenses</w:t>
      </w:r>
      <w:r>
        <w:rPr>
          <w:spacing w:val="-3"/>
        </w:rPr>
        <w:t xml:space="preserve"> in this area and n</w:t>
      </w:r>
      <w:r w:rsidRPr="00D6328D">
        <w:rPr>
          <w:spacing w:val="-3"/>
        </w:rPr>
        <w:t xml:space="preserve">either </w:t>
      </w:r>
      <w:r w:rsidR="00CE3E5F">
        <w:rPr>
          <w:spacing w:val="-3"/>
        </w:rPr>
        <w:t>P</w:t>
      </w:r>
      <w:r w:rsidRPr="00D6328D">
        <w:rPr>
          <w:spacing w:val="-3"/>
        </w:rPr>
        <w:t>arty provided evidence of a compliance history.</w:t>
      </w:r>
      <w:r w:rsidR="0005162B">
        <w:rPr>
          <w:spacing w:val="-3"/>
        </w:rPr>
        <w:t xml:space="preserve">  However, we take official notice of our holding in </w:t>
      </w:r>
      <w:r w:rsidR="0005162B">
        <w:rPr>
          <w:i/>
          <w:spacing w:val="-3"/>
        </w:rPr>
        <w:t>Kash</w:t>
      </w:r>
      <w:r w:rsidR="00CE3E5F">
        <w:rPr>
          <w:i/>
          <w:spacing w:val="-3"/>
        </w:rPr>
        <w:t>m</w:t>
      </w:r>
      <w:r w:rsidR="0005162B">
        <w:rPr>
          <w:i/>
          <w:spacing w:val="-3"/>
        </w:rPr>
        <w:t xml:space="preserve">er </w:t>
      </w:r>
      <w:r w:rsidR="0005162B">
        <w:rPr>
          <w:spacing w:val="-3"/>
        </w:rPr>
        <w:t>involving PPL, as respondent.</w:t>
      </w:r>
    </w:p>
    <w:p w:rsidR="00F70710" w:rsidRPr="00D6328D" w:rsidRDefault="00F70710" w:rsidP="00F70710">
      <w:pPr>
        <w:spacing w:line="360" w:lineRule="auto"/>
        <w:ind w:firstLine="1440"/>
        <w:rPr>
          <w:spacing w:val="-3"/>
        </w:rPr>
      </w:pPr>
    </w:p>
    <w:p w:rsidR="00F70710" w:rsidRPr="00D6328D" w:rsidRDefault="00F70710" w:rsidP="00F70710">
      <w:pPr>
        <w:spacing w:line="360" w:lineRule="auto"/>
        <w:ind w:firstLine="1440"/>
        <w:rPr>
          <w:spacing w:val="-3"/>
        </w:rPr>
      </w:pPr>
      <w:r w:rsidRPr="00D6328D">
        <w:rPr>
          <w:spacing w:val="-3"/>
        </w:rPr>
        <w:t xml:space="preserve">The seventh factor is whether the actions of the regulated entity were cooperative or discordant with a Commission investigation.  This standard is not applicable to this proceeding.  </w:t>
      </w:r>
    </w:p>
    <w:p w:rsidR="00F70710" w:rsidRPr="00D6328D" w:rsidRDefault="00F70710" w:rsidP="00F70710">
      <w:pPr>
        <w:spacing w:line="360" w:lineRule="auto"/>
        <w:ind w:firstLine="1440"/>
        <w:rPr>
          <w:spacing w:val="-3"/>
        </w:rPr>
      </w:pPr>
    </w:p>
    <w:p w:rsidR="00F70710" w:rsidRPr="00D6328D" w:rsidRDefault="00F70710" w:rsidP="00F70710">
      <w:pPr>
        <w:spacing w:line="360" w:lineRule="auto"/>
        <w:ind w:firstLine="1440"/>
      </w:pPr>
      <w:r w:rsidRPr="00D6328D">
        <w:t>The eighth, ninth and tenth factors are inter-related in this case and they are, respectively: the amount of a civil penalty required to</w:t>
      </w:r>
      <w:r>
        <w:t xml:space="preserve"> </w:t>
      </w:r>
      <w:r w:rsidRPr="00D6328D">
        <w:t>deter future violations; prior Commission decisions in similar cases; and the “other relevant factors”</w:t>
      </w:r>
      <w:r>
        <w:t xml:space="preserve"> standard.</w:t>
      </w:r>
      <w:r w:rsidRPr="00D6328D">
        <w:t xml:space="preserve">  </w:t>
      </w:r>
    </w:p>
    <w:p w:rsidR="00F70710" w:rsidRDefault="00F70710" w:rsidP="00F70710">
      <w:pPr>
        <w:spacing w:line="360" w:lineRule="auto"/>
        <w:ind w:firstLine="1440"/>
      </w:pPr>
    </w:p>
    <w:p w:rsidR="00800921" w:rsidRPr="00F70710" w:rsidRDefault="00F70710" w:rsidP="00F70710">
      <w:pPr>
        <w:spacing w:line="360" w:lineRule="auto"/>
        <w:ind w:firstLine="1440"/>
      </w:pPr>
      <w:r>
        <w:t xml:space="preserve">Using the holding of </w:t>
      </w:r>
      <w:r>
        <w:rPr>
          <w:i/>
        </w:rPr>
        <w:t xml:space="preserve">Gallagher </w:t>
      </w:r>
      <w:r w:rsidR="0005162B">
        <w:t xml:space="preserve">and </w:t>
      </w:r>
      <w:r w:rsidR="0005162B">
        <w:rPr>
          <w:i/>
        </w:rPr>
        <w:t>Kash</w:t>
      </w:r>
      <w:r w:rsidR="00CE3E5F">
        <w:rPr>
          <w:i/>
        </w:rPr>
        <w:t>m</w:t>
      </w:r>
      <w:r w:rsidR="0005162B">
        <w:rPr>
          <w:i/>
        </w:rPr>
        <w:t xml:space="preserve">er </w:t>
      </w:r>
      <w:r>
        <w:t xml:space="preserve">as a guide, we shall impose a civil penalty in the amount of </w:t>
      </w:r>
      <w:r w:rsidR="00CE3E5F">
        <w:t>f</w:t>
      </w:r>
      <w:r w:rsidR="0005162B">
        <w:t>ive-</w:t>
      </w:r>
      <w:r w:rsidR="00CE3E5F">
        <w:t>h</w:t>
      </w:r>
      <w:r w:rsidR="0005162B">
        <w:t>undred</w:t>
      </w:r>
      <w:r>
        <w:t xml:space="preserve"> </w:t>
      </w:r>
      <w:r w:rsidR="00CE3E5F">
        <w:t>d</w:t>
      </w:r>
      <w:r>
        <w:t>ollars ($50</w:t>
      </w:r>
      <w:r w:rsidR="0005162B">
        <w:t>0</w:t>
      </w:r>
      <w:r>
        <w:t xml:space="preserve">.00), upon PPL.  While the actions of PPL were not intentional and remedial actions were accomplished in good faith, the period of </w:t>
      </w:r>
      <w:r w:rsidR="00DC38DA">
        <w:t>fifty-six</w:t>
      </w:r>
      <w:r>
        <w:t xml:space="preserve"> days to correct an error in </w:t>
      </w:r>
      <w:r w:rsidR="009639BE">
        <w:t xml:space="preserve">an erroneous change to a </w:t>
      </w:r>
      <w:r>
        <w:t xml:space="preserve">service address to an existing customer is a cause for concern.  Unlike the circumstances in </w:t>
      </w:r>
      <w:r>
        <w:rPr>
          <w:i/>
        </w:rPr>
        <w:t>Gallagher</w:t>
      </w:r>
      <w:r>
        <w:t xml:space="preserve">, which involved a period of </w:t>
      </w:r>
      <w:r w:rsidR="00CE3E5F">
        <w:t>four</w:t>
      </w:r>
      <w:r>
        <w:t xml:space="preserve"> days, the period involved here is considerably longer and should be addressed from a policy perspective by the utility.</w:t>
      </w:r>
      <w:r w:rsidR="0005162B">
        <w:t xml:space="preserve">  The civil penalty is in line with </w:t>
      </w:r>
      <w:r w:rsidR="0005162B">
        <w:rPr>
          <w:i/>
        </w:rPr>
        <w:t>Kash</w:t>
      </w:r>
      <w:r w:rsidR="00CE3E5F">
        <w:rPr>
          <w:i/>
        </w:rPr>
        <w:t>m</w:t>
      </w:r>
      <w:r w:rsidR="0005162B">
        <w:rPr>
          <w:i/>
        </w:rPr>
        <w:t xml:space="preserve">er </w:t>
      </w:r>
      <w:r w:rsidR="0005162B">
        <w:t xml:space="preserve">and should afford PPL the opportunity to address its procedures in a manner to avoid inaccurate information resulting in inadvertent changes to service. </w:t>
      </w:r>
      <w:r>
        <w:t xml:space="preserve"> </w:t>
      </w:r>
    </w:p>
    <w:p w:rsidR="001521C7" w:rsidRDefault="001521C7" w:rsidP="00605680">
      <w:pPr>
        <w:spacing w:line="360" w:lineRule="auto"/>
        <w:ind w:firstLine="1440"/>
      </w:pPr>
    </w:p>
    <w:p w:rsidR="00800921" w:rsidRDefault="00800921" w:rsidP="00800921">
      <w:pPr>
        <w:pStyle w:val="NoSpacing"/>
        <w:spacing w:line="360" w:lineRule="auto"/>
        <w:jc w:val="center"/>
        <w:rPr>
          <w:b/>
          <w:sz w:val="26"/>
          <w:szCs w:val="26"/>
        </w:rPr>
      </w:pPr>
      <w:r>
        <w:rPr>
          <w:b/>
          <w:sz w:val="26"/>
          <w:szCs w:val="26"/>
        </w:rPr>
        <w:t>Conclusion</w:t>
      </w:r>
    </w:p>
    <w:p w:rsidR="00800921" w:rsidRDefault="00800921" w:rsidP="00800921">
      <w:pPr>
        <w:pStyle w:val="NoSpacing"/>
        <w:spacing w:line="360" w:lineRule="auto"/>
        <w:rPr>
          <w:sz w:val="26"/>
          <w:szCs w:val="26"/>
        </w:rPr>
      </w:pPr>
    </w:p>
    <w:p w:rsidR="00800921" w:rsidRPr="00A27CCD" w:rsidRDefault="00800921" w:rsidP="00800921">
      <w:pPr>
        <w:pStyle w:val="NoSpacing"/>
        <w:spacing w:line="360" w:lineRule="auto"/>
        <w:ind w:firstLine="1440"/>
        <w:rPr>
          <w:sz w:val="26"/>
          <w:szCs w:val="26"/>
        </w:rPr>
      </w:pPr>
      <w:r>
        <w:rPr>
          <w:sz w:val="26"/>
          <w:szCs w:val="26"/>
        </w:rPr>
        <w:t xml:space="preserve">Based on our review of the record and the applicable law, the Exceptions of Complainant, Mike Vianello are granted, </w:t>
      </w:r>
      <w:r w:rsidR="0028405C">
        <w:rPr>
          <w:sz w:val="26"/>
          <w:szCs w:val="26"/>
        </w:rPr>
        <w:t xml:space="preserve">in part, </w:t>
      </w:r>
      <w:r w:rsidR="00AB31AF">
        <w:rPr>
          <w:sz w:val="26"/>
          <w:szCs w:val="26"/>
        </w:rPr>
        <w:t xml:space="preserve">and the Initial Decision is reversed, </w:t>
      </w:r>
      <w:r>
        <w:rPr>
          <w:sz w:val="26"/>
          <w:szCs w:val="26"/>
        </w:rPr>
        <w:t xml:space="preserve">consistent with this Opinion and Order; </w:t>
      </w:r>
      <w:r w:rsidRPr="00A27CCD">
        <w:rPr>
          <w:b/>
          <w:sz w:val="26"/>
          <w:szCs w:val="26"/>
        </w:rPr>
        <w:t>THEREFORE,</w:t>
      </w:r>
    </w:p>
    <w:p w:rsidR="00800921" w:rsidRPr="00F1595C" w:rsidRDefault="00800921" w:rsidP="00800921">
      <w:pPr>
        <w:pStyle w:val="NoSpacing"/>
        <w:spacing w:line="360" w:lineRule="auto"/>
        <w:rPr>
          <w:sz w:val="26"/>
          <w:szCs w:val="26"/>
        </w:rPr>
      </w:pPr>
    </w:p>
    <w:p w:rsidR="00800921" w:rsidRPr="00A27CCD" w:rsidRDefault="00800921" w:rsidP="00800921">
      <w:pPr>
        <w:pStyle w:val="NoSpacing"/>
        <w:spacing w:line="360" w:lineRule="auto"/>
        <w:rPr>
          <w:b/>
          <w:sz w:val="26"/>
          <w:szCs w:val="26"/>
        </w:rPr>
      </w:pPr>
      <w:r w:rsidRPr="00F1595C">
        <w:rPr>
          <w:sz w:val="26"/>
          <w:szCs w:val="26"/>
        </w:rPr>
        <w:tab/>
      </w:r>
      <w:r w:rsidRPr="00F1595C">
        <w:rPr>
          <w:sz w:val="26"/>
          <w:szCs w:val="26"/>
        </w:rPr>
        <w:tab/>
      </w:r>
      <w:r w:rsidRPr="00A27CCD">
        <w:rPr>
          <w:b/>
          <w:sz w:val="26"/>
          <w:szCs w:val="26"/>
        </w:rPr>
        <w:t>IT IS ORDERED</w:t>
      </w:r>
      <w:r>
        <w:rPr>
          <w:b/>
          <w:sz w:val="26"/>
          <w:szCs w:val="26"/>
        </w:rPr>
        <w:t>:</w:t>
      </w:r>
    </w:p>
    <w:p w:rsidR="00800921" w:rsidRPr="00F1595C" w:rsidRDefault="00800921" w:rsidP="00800921">
      <w:pPr>
        <w:pStyle w:val="NoSpacing"/>
        <w:spacing w:line="360" w:lineRule="auto"/>
        <w:rPr>
          <w:sz w:val="26"/>
          <w:szCs w:val="26"/>
        </w:rPr>
      </w:pPr>
    </w:p>
    <w:p w:rsidR="00800921" w:rsidRPr="00F1595C" w:rsidRDefault="00800921" w:rsidP="00800921">
      <w:pPr>
        <w:pStyle w:val="NoSpacing"/>
        <w:numPr>
          <w:ilvl w:val="0"/>
          <w:numId w:val="36"/>
        </w:numPr>
        <w:spacing w:line="360" w:lineRule="auto"/>
        <w:ind w:left="0" w:firstLine="1440"/>
        <w:rPr>
          <w:sz w:val="26"/>
          <w:szCs w:val="26"/>
        </w:rPr>
      </w:pPr>
      <w:r>
        <w:rPr>
          <w:sz w:val="26"/>
          <w:szCs w:val="26"/>
        </w:rPr>
        <w:t>T</w:t>
      </w:r>
      <w:r w:rsidRPr="00F1595C">
        <w:rPr>
          <w:sz w:val="26"/>
          <w:szCs w:val="26"/>
        </w:rPr>
        <w:t xml:space="preserve">hat the </w:t>
      </w:r>
      <w:r w:rsidR="003D16E4">
        <w:rPr>
          <w:sz w:val="26"/>
          <w:szCs w:val="26"/>
        </w:rPr>
        <w:t>Exceptions filed by Silver Valley Apartments/Mike Vianello are, hereby, granted</w:t>
      </w:r>
      <w:r w:rsidR="00AB31AF">
        <w:rPr>
          <w:sz w:val="26"/>
          <w:szCs w:val="26"/>
        </w:rPr>
        <w:t>, in part,</w:t>
      </w:r>
      <w:r w:rsidR="003D16E4">
        <w:rPr>
          <w:sz w:val="26"/>
          <w:szCs w:val="26"/>
        </w:rPr>
        <w:t xml:space="preserve"> consistent with this Opinion and Order</w:t>
      </w:r>
      <w:r w:rsidRPr="00F1595C">
        <w:rPr>
          <w:sz w:val="26"/>
          <w:szCs w:val="26"/>
        </w:rPr>
        <w:t>.</w:t>
      </w:r>
      <w:r w:rsidR="007E48F1">
        <w:rPr>
          <w:sz w:val="26"/>
          <w:szCs w:val="26"/>
        </w:rPr>
        <w:t xml:space="preserve">  </w:t>
      </w:r>
      <w:r w:rsidRPr="00F1595C">
        <w:rPr>
          <w:sz w:val="26"/>
          <w:szCs w:val="26"/>
        </w:rPr>
        <w:t xml:space="preserve"> </w:t>
      </w:r>
    </w:p>
    <w:p w:rsidR="00800921" w:rsidRPr="00F1595C" w:rsidRDefault="00800921" w:rsidP="00800921">
      <w:pPr>
        <w:pStyle w:val="NoSpacing"/>
        <w:spacing w:line="360" w:lineRule="auto"/>
        <w:ind w:firstLine="1440"/>
        <w:rPr>
          <w:spacing w:val="-3"/>
          <w:sz w:val="26"/>
          <w:szCs w:val="26"/>
          <w:u w:val="single"/>
        </w:rPr>
      </w:pPr>
    </w:p>
    <w:p w:rsidR="00AB31AF" w:rsidRDefault="00800921" w:rsidP="007E48F1">
      <w:pPr>
        <w:pStyle w:val="NoSpacing"/>
        <w:numPr>
          <w:ilvl w:val="0"/>
          <w:numId w:val="36"/>
        </w:numPr>
        <w:spacing w:line="360" w:lineRule="auto"/>
        <w:ind w:left="0" w:firstLine="1440"/>
        <w:rPr>
          <w:sz w:val="26"/>
          <w:szCs w:val="26"/>
        </w:rPr>
      </w:pPr>
      <w:r>
        <w:rPr>
          <w:sz w:val="26"/>
          <w:szCs w:val="26"/>
        </w:rPr>
        <w:t>That</w:t>
      </w:r>
      <w:r w:rsidR="007E48F1">
        <w:rPr>
          <w:sz w:val="26"/>
          <w:szCs w:val="26"/>
        </w:rPr>
        <w:t xml:space="preserve"> the Initial Decision of Administrative Law Judge Ember</w:t>
      </w:r>
      <w:r w:rsidR="00615DDE">
        <w:rPr>
          <w:sz w:val="26"/>
          <w:szCs w:val="26"/>
        </w:rPr>
        <w:t> </w:t>
      </w:r>
      <w:r w:rsidR="007E48F1">
        <w:rPr>
          <w:sz w:val="26"/>
          <w:szCs w:val="26"/>
        </w:rPr>
        <w:t>S.</w:t>
      </w:r>
      <w:r w:rsidR="00615DDE">
        <w:rPr>
          <w:sz w:val="26"/>
          <w:szCs w:val="26"/>
        </w:rPr>
        <w:t> </w:t>
      </w:r>
      <w:r w:rsidR="007E48F1">
        <w:rPr>
          <w:sz w:val="26"/>
          <w:szCs w:val="26"/>
        </w:rPr>
        <w:t>Jandebeur, issued on April 1, 2015, is reversed</w:t>
      </w:r>
      <w:r w:rsidR="00AB31AF">
        <w:rPr>
          <w:sz w:val="26"/>
          <w:szCs w:val="26"/>
        </w:rPr>
        <w:t>,</w:t>
      </w:r>
      <w:r w:rsidR="00AE191F">
        <w:rPr>
          <w:sz w:val="26"/>
          <w:szCs w:val="26"/>
        </w:rPr>
        <w:t xml:space="preserve"> consistent with this Opinion and Order</w:t>
      </w:r>
      <w:r w:rsidR="00AB31AF">
        <w:rPr>
          <w:sz w:val="26"/>
          <w:szCs w:val="26"/>
        </w:rPr>
        <w:t>.</w:t>
      </w:r>
    </w:p>
    <w:p w:rsidR="00AB31AF" w:rsidRDefault="00AB31AF" w:rsidP="001521C7">
      <w:pPr>
        <w:pStyle w:val="ListParagraph"/>
      </w:pPr>
    </w:p>
    <w:p w:rsidR="007E48F1" w:rsidRPr="00AB31AF" w:rsidRDefault="00AB31AF" w:rsidP="00AB31AF">
      <w:pPr>
        <w:pStyle w:val="NoSpacing"/>
        <w:numPr>
          <w:ilvl w:val="0"/>
          <w:numId w:val="36"/>
        </w:numPr>
        <w:spacing w:line="360" w:lineRule="auto"/>
        <w:ind w:left="0" w:firstLine="1440"/>
        <w:rPr>
          <w:sz w:val="26"/>
          <w:szCs w:val="26"/>
        </w:rPr>
      </w:pPr>
      <w:r>
        <w:rPr>
          <w:sz w:val="26"/>
          <w:szCs w:val="26"/>
        </w:rPr>
        <w:t xml:space="preserve">That </w:t>
      </w:r>
      <w:r w:rsidR="007E48F1" w:rsidRPr="00AB31AF">
        <w:rPr>
          <w:sz w:val="26"/>
          <w:szCs w:val="26"/>
        </w:rPr>
        <w:t>the Complaint f</w:t>
      </w:r>
      <w:r>
        <w:rPr>
          <w:sz w:val="26"/>
          <w:szCs w:val="26"/>
        </w:rPr>
        <w:t>iled by</w:t>
      </w:r>
      <w:r w:rsidR="007E48F1" w:rsidRPr="00AB31AF">
        <w:rPr>
          <w:sz w:val="26"/>
          <w:szCs w:val="26"/>
        </w:rPr>
        <w:t xml:space="preserve"> Silver Valley Apartments/Mike Vianello against PPL Electric Utilities Co</w:t>
      </w:r>
      <w:r>
        <w:rPr>
          <w:sz w:val="26"/>
          <w:szCs w:val="26"/>
        </w:rPr>
        <w:t>rporation</w:t>
      </w:r>
      <w:r w:rsidR="007E48F1" w:rsidRPr="00AB31AF">
        <w:rPr>
          <w:sz w:val="26"/>
          <w:szCs w:val="26"/>
        </w:rPr>
        <w:t xml:space="preserve"> is sustained</w:t>
      </w:r>
      <w:r w:rsidR="00615DDE">
        <w:rPr>
          <w:sz w:val="26"/>
          <w:szCs w:val="26"/>
        </w:rPr>
        <w:t>,</w:t>
      </w:r>
      <w:r w:rsidR="00C3582B" w:rsidRPr="00AB31AF">
        <w:rPr>
          <w:sz w:val="26"/>
          <w:szCs w:val="26"/>
        </w:rPr>
        <w:t xml:space="preserve"> in part, consistent with this Opinion and Order</w:t>
      </w:r>
      <w:r w:rsidR="007E48F1" w:rsidRPr="00AB31AF">
        <w:rPr>
          <w:sz w:val="26"/>
          <w:szCs w:val="26"/>
        </w:rPr>
        <w:t>.</w:t>
      </w:r>
    </w:p>
    <w:p w:rsidR="00800921" w:rsidRDefault="00800921" w:rsidP="00CE52BC">
      <w:pPr>
        <w:pStyle w:val="NoSpacing"/>
        <w:spacing w:line="360" w:lineRule="auto"/>
        <w:rPr>
          <w:sz w:val="26"/>
          <w:szCs w:val="26"/>
        </w:rPr>
      </w:pPr>
    </w:p>
    <w:p w:rsidR="00800921" w:rsidRDefault="00800921" w:rsidP="00800921">
      <w:pPr>
        <w:pStyle w:val="NoSpacing"/>
        <w:numPr>
          <w:ilvl w:val="0"/>
          <w:numId w:val="36"/>
        </w:numPr>
        <w:spacing w:line="360" w:lineRule="auto"/>
        <w:ind w:left="0" w:firstLine="1440"/>
        <w:rPr>
          <w:sz w:val="26"/>
          <w:szCs w:val="26"/>
        </w:rPr>
      </w:pPr>
      <w:r w:rsidRPr="00F1595C">
        <w:rPr>
          <w:sz w:val="26"/>
          <w:szCs w:val="26"/>
        </w:rPr>
        <w:t xml:space="preserve">That </w:t>
      </w:r>
      <w:r w:rsidR="007E48F1">
        <w:rPr>
          <w:sz w:val="26"/>
          <w:szCs w:val="26"/>
        </w:rPr>
        <w:t>PPL shall</w:t>
      </w:r>
      <w:r w:rsidRPr="00F1595C">
        <w:rPr>
          <w:sz w:val="26"/>
          <w:szCs w:val="26"/>
        </w:rPr>
        <w:t xml:space="preserve"> credit Complainant </w:t>
      </w:r>
      <w:r w:rsidR="007E48F1">
        <w:rPr>
          <w:sz w:val="26"/>
          <w:szCs w:val="26"/>
        </w:rPr>
        <w:t>an amount equal to his kilowatt</w:t>
      </w:r>
      <w:r w:rsidR="00CE52BC">
        <w:rPr>
          <w:sz w:val="26"/>
          <w:szCs w:val="26"/>
        </w:rPr>
        <w:t xml:space="preserve"> hour</w:t>
      </w:r>
      <w:r w:rsidR="007E48F1">
        <w:rPr>
          <w:sz w:val="26"/>
          <w:szCs w:val="26"/>
        </w:rPr>
        <w:t xml:space="preserve"> usage as billed pursuant to the generation charge of Talen Energy</w:t>
      </w:r>
      <w:r w:rsidR="00CE52BC">
        <w:rPr>
          <w:sz w:val="26"/>
          <w:szCs w:val="26"/>
        </w:rPr>
        <w:t xml:space="preserve"> in effect</w:t>
      </w:r>
      <w:r w:rsidR="007E48F1">
        <w:rPr>
          <w:sz w:val="26"/>
          <w:szCs w:val="26"/>
        </w:rPr>
        <w:t xml:space="preserve"> </w:t>
      </w:r>
      <w:r w:rsidRPr="00F1595C">
        <w:rPr>
          <w:sz w:val="26"/>
          <w:szCs w:val="26"/>
        </w:rPr>
        <w:t xml:space="preserve">for the </w:t>
      </w:r>
      <w:r w:rsidR="00DC38DA">
        <w:rPr>
          <w:sz w:val="26"/>
          <w:szCs w:val="26"/>
        </w:rPr>
        <w:t>fifty-six</w:t>
      </w:r>
      <w:r w:rsidR="007E48F1">
        <w:rPr>
          <w:sz w:val="26"/>
          <w:szCs w:val="26"/>
        </w:rPr>
        <w:t xml:space="preserve"> day period involved in this Complaint and shall </w:t>
      </w:r>
      <w:r w:rsidR="00CE52BC">
        <w:rPr>
          <w:sz w:val="26"/>
          <w:szCs w:val="26"/>
        </w:rPr>
        <w:t xml:space="preserve">further </w:t>
      </w:r>
      <w:r w:rsidR="007E48F1">
        <w:rPr>
          <w:sz w:val="26"/>
          <w:szCs w:val="26"/>
        </w:rPr>
        <w:t xml:space="preserve">waive any late payment fees or </w:t>
      </w:r>
      <w:r w:rsidRPr="00F1595C">
        <w:rPr>
          <w:sz w:val="26"/>
          <w:szCs w:val="26"/>
        </w:rPr>
        <w:t>charges for that</w:t>
      </w:r>
      <w:r w:rsidR="007E48F1">
        <w:rPr>
          <w:sz w:val="26"/>
          <w:szCs w:val="26"/>
        </w:rPr>
        <w:t xml:space="preserve"> same</w:t>
      </w:r>
      <w:r w:rsidR="00615DDE">
        <w:rPr>
          <w:sz w:val="26"/>
          <w:szCs w:val="26"/>
        </w:rPr>
        <w:t xml:space="preserve"> period.</w:t>
      </w:r>
    </w:p>
    <w:p w:rsidR="00800921" w:rsidRPr="00F1595C" w:rsidRDefault="00800921" w:rsidP="00800921">
      <w:pPr>
        <w:pStyle w:val="NoSpacing"/>
        <w:spacing w:line="360" w:lineRule="auto"/>
        <w:ind w:left="1440"/>
        <w:rPr>
          <w:sz w:val="26"/>
          <w:szCs w:val="26"/>
        </w:rPr>
      </w:pPr>
    </w:p>
    <w:p w:rsidR="00800921" w:rsidRDefault="00AE191F" w:rsidP="00AE191F">
      <w:pPr>
        <w:pStyle w:val="NoSpacing"/>
        <w:numPr>
          <w:ilvl w:val="0"/>
          <w:numId w:val="36"/>
        </w:numPr>
        <w:spacing w:line="360" w:lineRule="auto"/>
        <w:ind w:left="0" w:firstLine="1440"/>
        <w:rPr>
          <w:sz w:val="26"/>
          <w:szCs w:val="26"/>
        </w:rPr>
      </w:pPr>
      <w:r w:rsidRPr="00EF7DB6">
        <w:rPr>
          <w:rFonts w:eastAsia="Times New Roman"/>
          <w:sz w:val="26"/>
          <w:szCs w:val="26"/>
        </w:rPr>
        <w:t xml:space="preserve">That </w:t>
      </w:r>
      <w:r>
        <w:rPr>
          <w:rFonts w:eastAsia="Times New Roman"/>
          <w:sz w:val="26"/>
          <w:szCs w:val="26"/>
        </w:rPr>
        <w:t>PPL Electric Utilities Corporation</w:t>
      </w:r>
      <w:r w:rsidRPr="00EF7DB6">
        <w:rPr>
          <w:rFonts w:eastAsia="Times New Roman"/>
          <w:sz w:val="26"/>
          <w:szCs w:val="26"/>
        </w:rPr>
        <w:t xml:space="preserve"> is hereby assessed a civil penalty of </w:t>
      </w:r>
      <w:r w:rsidR="0038376F">
        <w:rPr>
          <w:rFonts w:eastAsia="Times New Roman"/>
          <w:sz w:val="26"/>
          <w:szCs w:val="26"/>
        </w:rPr>
        <w:t>Five-Hundred</w:t>
      </w:r>
      <w:r w:rsidRPr="00EF7DB6">
        <w:rPr>
          <w:rFonts w:eastAsia="Times New Roman"/>
          <w:sz w:val="26"/>
          <w:szCs w:val="26"/>
        </w:rPr>
        <w:t xml:space="preserve"> Dollars ($</w:t>
      </w:r>
      <w:r>
        <w:rPr>
          <w:rFonts w:eastAsia="Times New Roman"/>
          <w:sz w:val="26"/>
          <w:szCs w:val="26"/>
        </w:rPr>
        <w:t>50</w:t>
      </w:r>
      <w:r w:rsidR="0038376F">
        <w:rPr>
          <w:rFonts w:eastAsia="Times New Roman"/>
          <w:sz w:val="26"/>
          <w:szCs w:val="26"/>
        </w:rPr>
        <w:t>0</w:t>
      </w:r>
      <w:r>
        <w:rPr>
          <w:rFonts w:eastAsia="Times New Roman"/>
          <w:sz w:val="26"/>
          <w:szCs w:val="26"/>
        </w:rPr>
        <w:t>.</w:t>
      </w:r>
      <w:r w:rsidRPr="00EF7DB6">
        <w:rPr>
          <w:rFonts w:eastAsia="Times New Roman"/>
          <w:sz w:val="26"/>
          <w:szCs w:val="26"/>
        </w:rPr>
        <w:t>00) for its violations of the Public Utility Code, 66 Pa. C.S. §</w:t>
      </w:r>
      <w:r w:rsidR="000A36C3">
        <w:rPr>
          <w:rFonts w:eastAsia="Times New Roman"/>
          <w:sz w:val="26"/>
          <w:szCs w:val="26"/>
        </w:rPr>
        <w:t>§</w:t>
      </w:r>
      <w:r w:rsidRPr="00EF7DB6">
        <w:rPr>
          <w:rFonts w:eastAsia="Times New Roman"/>
          <w:sz w:val="26"/>
          <w:szCs w:val="26"/>
        </w:rPr>
        <w:t xml:space="preserve"> </w:t>
      </w:r>
      <w:r w:rsidR="000A36C3">
        <w:rPr>
          <w:rFonts w:eastAsia="Times New Roman"/>
          <w:sz w:val="26"/>
          <w:szCs w:val="26"/>
        </w:rPr>
        <w:t>1406,</w:t>
      </w:r>
      <w:r w:rsidR="001521C7">
        <w:rPr>
          <w:rFonts w:eastAsia="Times New Roman"/>
          <w:sz w:val="26"/>
          <w:szCs w:val="26"/>
        </w:rPr>
        <w:t xml:space="preserve"> </w:t>
      </w:r>
      <w:r w:rsidRPr="00EF7DB6">
        <w:rPr>
          <w:rFonts w:eastAsia="Times New Roman"/>
          <w:sz w:val="26"/>
          <w:szCs w:val="26"/>
        </w:rPr>
        <w:t xml:space="preserve">1501, </w:t>
      </w:r>
      <w:r w:rsidR="001521C7">
        <w:rPr>
          <w:rFonts w:eastAsia="Times New Roman"/>
          <w:sz w:val="26"/>
          <w:szCs w:val="26"/>
        </w:rPr>
        <w:t xml:space="preserve">and the Commission’s Regulations, </w:t>
      </w:r>
      <w:r w:rsidRPr="00EF7DB6">
        <w:rPr>
          <w:rFonts w:eastAsia="Times New Roman"/>
          <w:sz w:val="26"/>
          <w:szCs w:val="26"/>
        </w:rPr>
        <w:t xml:space="preserve">for failure to provide adequate, efficient, safe and reasonable service, to Complainant and </w:t>
      </w:r>
      <w:r>
        <w:rPr>
          <w:rFonts w:eastAsia="Times New Roman"/>
          <w:sz w:val="26"/>
          <w:szCs w:val="26"/>
        </w:rPr>
        <w:t xml:space="preserve">for a </w:t>
      </w:r>
      <w:r w:rsidRPr="00EF7DB6">
        <w:rPr>
          <w:rFonts w:eastAsia="Times New Roman"/>
          <w:sz w:val="26"/>
          <w:szCs w:val="26"/>
        </w:rPr>
        <w:t>violation of the Commission Regulation</w:t>
      </w:r>
      <w:r>
        <w:rPr>
          <w:rFonts w:eastAsia="Times New Roman"/>
          <w:sz w:val="26"/>
          <w:szCs w:val="26"/>
        </w:rPr>
        <w:t>s</w:t>
      </w:r>
      <w:r>
        <w:rPr>
          <w:sz w:val="26"/>
          <w:szCs w:val="26"/>
        </w:rPr>
        <w:t>.</w:t>
      </w:r>
    </w:p>
    <w:p w:rsidR="00800921" w:rsidRDefault="00800921" w:rsidP="00800921">
      <w:pPr>
        <w:pStyle w:val="NoSpacing"/>
        <w:spacing w:line="360" w:lineRule="auto"/>
        <w:ind w:left="1440"/>
        <w:rPr>
          <w:sz w:val="26"/>
          <w:szCs w:val="26"/>
        </w:rPr>
      </w:pPr>
    </w:p>
    <w:p w:rsidR="00AE191F" w:rsidRPr="00C874F1" w:rsidRDefault="00AE191F" w:rsidP="00AE191F">
      <w:pPr>
        <w:pStyle w:val="ListParagraph"/>
        <w:numPr>
          <w:ilvl w:val="0"/>
          <w:numId w:val="36"/>
        </w:numPr>
        <w:spacing w:line="360" w:lineRule="auto"/>
        <w:ind w:left="0" w:firstLine="1440"/>
      </w:pPr>
      <w:r w:rsidRPr="00C874F1">
        <w:t xml:space="preserve">That </w:t>
      </w:r>
      <w:r>
        <w:t>PPL Electric Utilities Corporation</w:t>
      </w:r>
      <w:r w:rsidRPr="00C874F1">
        <w:t xml:space="preserve"> shall pay a civil penalty in the amount of  </w:t>
      </w:r>
      <w:r w:rsidR="00C01A74">
        <w:t xml:space="preserve">Five </w:t>
      </w:r>
      <w:r>
        <w:t xml:space="preserve">Hundred </w:t>
      </w:r>
      <w:r w:rsidRPr="00EF7DB6">
        <w:t>Dollars ($</w:t>
      </w:r>
      <w:r>
        <w:t>50</w:t>
      </w:r>
      <w:r w:rsidR="0038376F">
        <w:t>0</w:t>
      </w:r>
      <w:r>
        <w:t>.</w:t>
      </w:r>
      <w:r w:rsidRPr="00EF7DB6">
        <w:t xml:space="preserve">00) </w:t>
      </w:r>
      <w:r w:rsidRPr="00C874F1">
        <w:t>by sending a certified check or money order payable to the Commonwealth of Pennsylvania, within thirty (30) days from the entry of th</w:t>
      </w:r>
      <w:r w:rsidR="00C01A74">
        <w:t>is Opinion and</w:t>
      </w:r>
      <w:r w:rsidRPr="00C874F1">
        <w:t xml:space="preserve"> Order to: </w:t>
      </w:r>
    </w:p>
    <w:p w:rsidR="00AE191F" w:rsidRPr="00C874F1" w:rsidRDefault="00AE191F" w:rsidP="00AE191F">
      <w:pPr>
        <w:spacing w:line="360" w:lineRule="auto"/>
        <w:ind w:firstLine="1440"/>
      </w:pPr>
    </w:p>
    <w:p w:rsidR="00AE191F" w:rsidRDefault="00AE191F" w:rsidP="00AE191F">
      <w:pPr>
        <w:keepNext/>
        <w:ind w:left="2160"/>
      </w:pPr>
      <w:r>
        <w:t>Secretary</w:t>
      </w:r>
    </w:p>
    <w:p w:rsidR="00AE191F" w:rsidRDefault="00AE191F" w:rsidP="00AE191F">
      <w:pPr>
        <w:keepNext/>
        <w:ind w:left="2160"/>
      </w:pPr>
      <w:r>
        <w:t>Pennsylvania Public Utility Commission</w:t>
      </w:r>
    </w:p>
    <w:p w:rsidR="00AE191F" w:rsidRDefault="00AE191F" w:rsidP="00AE191F">
      <w:pPr>
        <w:keepNext/>
        <w:ind w:left="2160"/>
      </w:pPr>
      <w:r>
        <w:t>Commonwealth Keystone Building</w:t>
      </w:r>
    </w:p>
    <w:p w:rsidR="00AE191F" w:rsidRDefault="00AE191F" w:rsidP="00AE191F">
      <w:pPr>
        <w:keepNext/>
        <w:ind w:left="2160"/>
      </w:pPr>
      <w:r>
        <w:t>400 North Street</w:t>
      </w:r>
    </w:p>
    <w:p w:rsidR="00AE191F" w:rsidRDefault="00AE191F" w:rsidP="00AE191F">
      <w:pPr>
        <w:keepNext/>
        <w:ind w:left="2160"/>
      </w:pPr>
      <w:r>
        <w:t>Harrisburg, PA  17120</w:t>
      </w:r>
    </w:p>
    <w:p w:rsidR="00800921" w:rsidRDefault="00800921" w:rsidP="00AE191F">
      <w:pPr>
        <w:pStyle w:val="NoSpacing"/>
        <w:spacing w:line="360" w:lineRule="auto"/>
        <w:rPr>
          <w:sz w:val="26"/>
          <w:szCs w:val="26"/>
        </w:rPr>
      </w:pPr>
    </w:p>
    <w:p w:rsidR="0038376F" w:rsidRDefault="0038376F" w:rsidP="0038376F">
      <w:pPr>
        <w:pStyle w:val="ListParagraph"/>
        <w:numPr>
          <w:ilvl w:val="0"/>
          <w:numId w:val="36"/>
        </w:numPr>
        <w:spacing w:line="360" w:lineRule="auto"/>
        <w:ind w:left="0" w:firstLine="1440"/>
      </w:pPr>
      <w:r w:rsidRPr="00070657">
        <w:t>That a copy of this Opinion and Order be served upon the Financial and Assessment Chief, Office of Administrative Services.</w:t>
      </w:r>
    </w:p>
    <w:p w:rsidR="00CE52BC" w:rsidRDefault="00CE52BC" w:rsidP="00CE52BC">
      <w:pPr>
        <w:pStyle w:val="ListParagraph"/>
      </w:pPr>
    </w:p>
    <w:p w:rsidR="009E41AD" w:rsidRDefault="009E41AD" w:rsidP="00CE52BC">
      <w:pPr>
        <w:pStyle w:val="ListParagraph"/>
      </w:pPr>
    </w:p>
    <w:p w:rsidR="00800921" w:rsidRDefault="0038376F" w:rsidP="0038376F">
      <w:pPr>
        <w:pStyle w:val="NoSpacing"/>
        <w:numPr>
          <w:ilvl w:val="0"/>
          <w:numId w:val="36"/>
        </w:numPr>
        <w:spacing w:line="360" w:lineRule="auto"/>
        <w:ind w:left="0" w:firstLine="1440"/>
        <w:rPr>
          <w:sz w:val="26"/>
          <w:szCs w:val="26"/>
        </w:rPr>
      </w:pPr>
      <w:r>
        <w:rPr>
          <w:sz w:val="26"/>
          <w:szCs w:val="26"/>
        </w:rPr>
        <w:lastRenderedPageBreak/>
        <w:t xml:space="preserve"> </w:t>
      </w:r>
      <w:r w:rsidR="00800921" w:rsidRPr="005F2F0A">
        <w:rPr>
          <w:sz w:val="26"/>
          <w:szCs w:val="26"/>
        </w:rPr>
        <w:t>That</w:t>
      </w:r>
      <w:r w:rsidR="00800921">
        <w:rPr>
          <w:sz w:val="26"/>
          <w:szCs w:val="26"/>
        </w:rPr>
        <w:t xml:space="preserve"> </w:t>
      </w:r>
      <w:r w:rsidRPr="00070657">
        <w:rPr>
          <w:sz w:val="26"/>
          <w:szCs w:val="26"/>
        </w:rPr>
        <w:t xml:space="preserve">the Secretary’s Bureau shall mark this </w:t>
      </w:r>
      <w:r>
        <w:rPr>
          <w:sz w:val="26"/>
          <w:szCs w:val="26"/>
        </w:rPr>
        <w:t>docket</w:t>
      </w:r>
      <w:r w:rsidRPr="00070657">
        <w:rPr>
          <w:sz w:val="26"/>
          <w:szCs w:val="26"/>
        </w:rPr>
        <w:t xml:space="preserve"> closed upon payment of the </w:t>
      </w:r>
      <w:r>
        <w:rPr>
          <w:sz w:val="26"/>
          <w:szCs w:val="26"/>
        </w:rPr>
        <w:t xml:space="preserve">civil </w:t>
      </w:r>
      <w:r w:rsidRPr="00070657">
        <w:rPr>
          <w:sz w:val="26"/>
          <w:szCs w:val="26"/>
        </w:rPr>
        <w:t>penalty</w:t>
      </w:r>
      <w:r w:rsidRPr="005F2F0A">
        <w:rPr>
          <w:sz w:val="26"/>
          <w:szCs w:val="26"/>
        </w:rPr>
        <w:t xml:space="preserve"> </w:t>
      </w:r>
      <w:r>
        <w:rPr>
          <w:sz w:val="26"/>
          <w:szCs w:val="26"/>
        </w:rPr>
        <w:t>directed in this Opinion and Order.</w:t>
      </w:r>
    </w:p>
    <w:p w:rsidR="00800921" w:rsidRDefault="00800921" w:rsidP="00800921">
      <w:pPr>
        <w:pStyle w:val="NoSpacing"/>
        <w:spacing w:line="360" w:lineRule="auto"/>
        <w:ind w:firstLine="1440"/>
        <w:rPr>
          <w:bCs/>
          <w:sz w:val="26"/>
          <w:szCs w:val="26"/>
        </w:rPr>
      </w:pPr>
    </w:p>
    <w:p w:rsidR="009E41AD" w:rsidRDefault="009E41AD" w:rsidP="00800921">
      <w:pPr>
        <w:pStyle w:val="NoSpacing"/>
        <w:spacing w:line="360" w:lineRule="auto"/>
        <w:ind w:firstLine="1440"/>
        <w:rPr>
          <w:bCs/>
          <w:sz w:val="26"/>
          <w:szCs w:val="26"/>
        </w:rPr>
      </w:pPr>
    </w:p>
    <w:p w:rsidR="00800921" w:rsidRDefault="0095567D" w:rsidP="00800921">
      <w:pPr>
        <w:pStyle w:val="NoSpacing"/>
        <w:spacing w:line="360" w:lineRule="auto"/>
        <w:ind w:firstLine="1440"/>
        <w:rPr>
          <w:b/>
          <w:sz w:val="26"/>
          <w:szCs w:val="26"/>
        </w:rPr>
      </w:pPr>
      <w:bookmarkStart w:id="0" w:name="_GoBack"/>
      <w:r w:rsidRPr="009F01BA">
        <w:rPr>
          <w:b/>
          <w:noProof/>
          <w:sz w:val="20"/>
        </w:rPr>
        <w:drawing>
          <wp:anchor distT="0" distB="0" distL="114300" distR="114300" simplePos="0" relativeHeight="251659264" behindDoc="1" locked="0" layoutInCell="1" allowOverlap="1" wp14:anchorId="5FF052B7" wp14:editId="21A2121F">
            <wp:simplePos x="0" y="0"/>
            <wp:positionH relativeFrom="column">
              <wp:posOffset>2895600</wp:posOffset>
            </wp:positionH>
            <wp:positionV relativeFrom="paragraph">
              <wp:posOffset>34290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00921">
        <w:rPr>
          <w:bCs/>
          <w:sz w:val="26"/>
          <w:szCs w:val="26"/>
        </w:rPr>
        <w:tab/>
      </w:r>
      <w:r w:rsidR="00800921">
        <w:rPr>
          <w:bCs/>
          <w:sz w:val="26"/>
          <w:szCs w:val="26"/>
        </w:rPr>
        <w:tab/>
      </w:r>
      <w:r w:rsidR="00800921">
        <w:rPr>
          <w:bCs/>
          <w:sz w:val="26"/>
          <w:szCs w:val="26"/>
        </w:rPr>
        <w:tab/>
      </w:r>
      <w:r w:rsidR="00800921">
        <w:rPr>
          <w:bCs/>
          <w:sz w:val="26"/>
          <w:szCs w:val="26"/>
        </w:rPr>
        <w:tab/>
      </w:r>
      <w:r w:rsidR="00800921">
        <w:rPr>
          <w:bCs/>
          <w:sz w:val="26"/>
          <w:szCs w:val="26"/>
        </w:rPr>
        <w:tab/>
      </w:r>
      <w:r w:rsidR="00800921">
        <w:rPr>
          <w:b/>
          <w:sz w:val="26"/>
          <w:szCs w:val="26"/>
        </w:rPr>
        <w:t>BY THE COMMISSION</w:t>
      </w:r>
    </w:p>
    <w:p w:rsidR="00800921" w:rsidRDefault="00800921" w:rsidP="00800921">
      <w:pPr>
        <w:pStyle w:val="NoSpacing"/>
        <w:spacing w:line="360" w:lineRule="auto"/>
        <w:ind w:firstLine="1440"/>
        <w:rPr>
          <w:b/>
          <w:sz w:val="26"/>
          <w:szCs w:val="26"/>
        </w:rPr>
      </w:pPr>
    </w:p>
    <w:p w:rsidR="00800921" w:rsidRPr="00A27CCD" w:rsidRDefault="00800921" w:rsidP="00800921">
      <w:pPr>
        <w:pStyle w:val="NoSpacing"/>
        <w:spacing w:line="360" w:lineRule="auto"/>
        <w:ind w:firstLine="1440"/>
        <w:rPr>
          <w:bCs/>
          <w:sz w:val="26"/>
          <w:szCs w:val="26"/>
        </w:rPr>
      </w:pPr>
    </w:p>
    <w:p w:rsidR="00800921" w:rsidRPr="00A27CCD" w:rsidRDefault="00800921" w:rsidP="00800921">
      <w:pPr>
        <w:keepNext/>
        <w:keepLines/>
        <w:widowControl w:val="0"/>
        <w:tabs>
          <w:tab w:val="left" w:pos="-720"/>
        </w:tabs>
        <w:suppressAutoHyphens/>
        <w:rPr>
          <w:spacing w:val="-3"/>
        </w:rPr>
      </w:pPr>
      <w:r w:rsidRPr="00A27CCD">
        <w:rPr>
          <w:spacing w:val="-3"/>
        </w:rPr>
        <w:tab/>
      </w:r>
      <w:r w:rsidRPr="00A27CCD">
        <w:rPr>
          <w:spacing w:val="-3"/>
        </w:rPr>
        <w:tab/>
      </w:r>
      <w:r w:rsidRPr="00A27CCD">
        <w:rPr>
          <w:spacing w:val="-3"/>
        </w:rPr>
        <w:tab/>
      </w:r>
      <w:r w:rsidRPr="00A27CCD">
        <w:rPr>
          <w:spacing w:val="-3"/>
        </w:rPr>
        <w:tab/>
      </w:r>
      <w:r w:rsidRPr="00A27CCD">
        <w:rPr>
          <w:spacing w:val="-3"/>
        </w:rPr>
        <w:tab/>
      </w:r>
      <w:r w:rsidRPr="00A27CCD">
        <w:rPr>
          <w:spacing w:val="-3"/>
        </w:rPr>
        <w:tab/>
      </w:r>
      <w:r w:rsidRPr="00A27CCD">
        <w:rPr>
          <w:spacing w:val="-3"/>
        </w:rPr>
        <w:tab/>
        <w:t>Rosemary Chiavetta</w:t>
      </w:r>
    </w:p>
    <w:p w:rsidR="00800921" w:rsidRPr="00A27CCD" w:rsidRDefault="00800921" w:rsidP="00800921">
      <w:pPr>
        <w:keepNext/>
        <w:keepLines/>
        <w:widowControl w:val="0"/>
        <w:tabs>
          <w:tab w:val="left" w:pos="-720"/>
        </w:tabs>
        <w:suppressAutoHyphens/>
        <w:rPr>
          <w:spacing w:val="-3"/>
        </w:rPr>
      </w:pPr>
      <w:r w:rsidRPr="00A27CCD">
        <w:rPr>
          <w:spacing w:val="-3"/>
        </w:rPr>
        <w:tab/>
      </w:r>
      <w:r w:rsidRPr="00A27CCD">
        <w:rPr>
          <w:spacing w:val="-3"/>
        </w:rPr>
        <w:tab/>
      </w:r>
      <w:r w:rsidRPr="00A27CCD">
        <w:rPr>
          <w:spacing w:val="-3"/>
        </w:rPr>
        <w:tab/>
      </w:r>
      <w:r w:rsidRPr="00A27CCD">
        <w:rPr>
          <w:spacing w:val="-3"/>
        </w:rPr>
        <w:tab/>
      </w:r>
      <w:r w:rsidRPr="00A27CCD">
        <w:rPr>
          <w:spacing w:val="-3"/>
        </w:rPr>
        <w:tab/>
      </w:r>
      <w:r w:rsidRPr="00A27CCD">
        <w:rPr>
          <w:spacing w:val="-3"/>
        </w:rPr>
        <w:tab/>
      </w:r>
      <w:r w:rsidRPr="00A27CCD">
        <w:rPr>
          <w:spacing w:val="-3"/>
        </w:rPr>
        <w:tab/>
        <w:t>Secretary</w:t>
      </w:r>
    </w:p>
    <w:p w:rsidR="00800921" w:rsidRPr="00A27CCD" w:rsidRDefault="00800921" w:rsidP="00800921">
      <w:pPr>
        <w:keepNext/>
        <w:keepLines/>
        <w:widowControl w:val="0"/>
        <w:tabs>
          <w:tab w:val="left" w:pos="-720"/>
        </w:tabs>
        <w:suppressAutoHyphens/>
        <w:rPr>
          <w:spacing w:val="-3"/>
        </w:rPr>
      </w:pPr>
    </w:p>
    <w:p w:rsidR="00800921" w:rsidRPr="00A27CCD" w:rsidRDefault="00800921" w:rsidP="00800921">
      <w:pPr>
        <w:pStyle w:val="BodyText3"/>
        <w:keepNext/>
        <w:keepLines/>
        <w:widowControl w:val="0"/>
        <w:tabs>
          <w:tab w:val="left" w:pos="-720"/>
        </w:tabs>
        <w:suppressAutoHyphens/>
        <w:rPr>
          <w:spacing w:val="-3"/>
          <w:sz w:val="26"/>
          <w:szCs w:val="26"/>
        </w:rPr>
      </w:pPr>
      <w:r w:rsidRPr="00A27CCD">
        <w:rPr>
          <w:spacing w:val="-3"/>
          <w:sz w:val="26"/>
          <w:szCs w:val="26"/>
        </w:rPr>
        <w:t>(SEAL)</w:t>
      </w:r>
    </w:p>
    <w:p w:rsidR="00800921" w:rsidRDefault="00800921" w:rsidP="00800921">
      <w:pPr>
        <w:keepNext/>
        <w:keepLines/>
        <w:widowControl w:val="0"/>
        <w:tabs>
          <w:tab w:val="left" w:pos="-720"/>
        </w:tabs>
        <w:suppressAutoHyphens/>
        <w:rPr>
          <w:spacing w:val="-3"/>
        </w:rPr>
      </w:pPr>
      <w:r w:rsidRPr="00A27CCD">
        <w:rPr>
          <w:spacing w:val="-3"/>
        </w:rPr>
        <w:t xml:space="preserve">ORDER ADOPTED:  </w:t>
      </w:r>
      <w:r w:rsidR="001521C7">
        <w:rPr>
          <w:spacing w:val="-3"/>
        </w:rPr>
        <w:t xml:space="preserve"> January </w:t>
      </w:r>
      <w:r w:rsidR="0088330A">
        <w:rPr>
          <w:spacing w:val="-3"/>
        </w:rPr>
        <w:t>26</w:t>
      </w:r>
      <w:r w:rsidR="001521C7">
        <w:rPr>
          <w:spacing w:val="-3"/>
        </w:rPr>
        <w:t xml:space="preserve">, 2017 </w:t>
      </w:r>
    </w:p>
    <w:p w:rsidR="00CE2384" w:rsidRDefault="00CE2384" w:rsidP="00800921">
      <w:pPr>
        <w:keepNext/>
        <w:keepLines/>
        <w:widowControl w:val="0"/>
        <w:tabs>
          <w:tab w:val="left" w:pos="-720"/>
        </w:tabs>
        <w:suppressAutoHyphens/>
        <w:rPr>
          <w:spacing w:val="-3"/>
        </w:rPr>
      </w:pPr>
    </w:p>
    <w:p w:rsidR="00800921" w:rsidRPr="00A27CCD" w:rsidRDefault="00800921" w:rsidP="00800921">
      <w:pPr>
        <w:keepNext/>
        <w:keepLines/>
        <w:widowControl w:val="0"/>
        <w:tabs>
          <w:tab w:val="left" w:pos="-720"/>
        </w:tabs>
        <w:suppressAutoHyphens/>
      </w:pPr>
      <w:r w:rsidRPr="00A27CCD">
        <w:rPr>
          <w:spacing w:val="-3"/>
        </w:rPr>
        <w:t xml:space="preserve">ORDER ENTERED:   </w:t>
      </w:r>
      <w:r w:rsidR="0095567D">
        <w:rPr>
          <w:spacing w:val="-3"/>
        </w:rPr>
        <w:t>January 26, 2017</w:t>
      </w:r>
    </w:p>
    <w:sectPr w:rsidR="00800921" w:rsidRPr="00A27CCD" w:rsidSect="005F452A">
      <w:footerReference w:type="even" r:id="rId31"/>
      <w:footerReference w:type="default" r:id="rId3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A77" w:rsidRDefault="002D2A77">
      <w:r>
        <w:separator/>
      </w:r>
    </w:p>
  </w:endnote>
  <w:endnote w:type="continuationSeparator" w:id="0">
    <w:p w:rsidR="002D2A77" w:rsidRDefault="002D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1C7" w:rsidRDefault="001521C7" w:rsidP="00281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21C7" w:rsidRDefault="00152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1C7" w:rsidRPr="001521C7" w:rsidRDefault="001521C7" w:rsidP="0028114B">
    <w:pPr>
      <w:pStyle w:val="Footer"/>
      <w:framePr w:wrap="around" w:vAnchor="text" w:hAnchor="margin" w:xAlign="center" w:y="1"/>
      <w:rPr>
        <w:rStyle w:val="PageNumber"/>
      </w:rPr>
    </w:pPr>
    <w:r w:rsidRPr="001521C7">
      <w:rPr>
        <w:rStyle w:val="PageNumber"/>
      </w:rPr>
      <w:fldChar w:fldCharType="begin"/>
    </w:r>
    <w:r w:rsidRPr="001521C7">
      <w:rPr>
        <w:rStyle w:val="PageNumber"/>
      </w:rPr>
      <w:instrText xml:space="preserve">PAGE  </w:instrText>
    </w:r>
    <w:r w:rsidRPr="001521C7">
      <w:rPr>
        <w:rStyle w:val="PageNumber"/>
      </w:rPr>
      <w:fldChar w:fldCharType="separate"/>
    </w:r>
    <w:r w:rsidR="0095567D">
      <w:rPr>
        <w:rStyle w:val="PageNumber"/>
        <w:noProof/>
      </w:rPr>
      <w:t>34</w:t>
    </w:r>
    <w:r w:rsidRPr="001521C7">
      <w:rPr>
        <w:rStyle w:val="PageNumber"/>
      </w:rPr>
      <w:fldChar w:fldCharType="end"/>
    </w:r>
  </w:p>
  <w:p w:rsidR="001521C7" w:rsidRDefault="001521C7"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A77" w:rsidRDefault="002D2A77">
      <w:r>
        <w:separator/>
      </w:r>
    </w:p>
  </w:footnote>
  <w:footnote w:type="continuationSeparator" w:id="0">
    <w:p w:rsidR="002D2A77" w:rsidRDefault="002D2A77">
      <w:r>
        <w:continuationSeparator/>
      </w:r>
    </w:p>
  </w:footnote>
  <w:footnote w:id="1">
    <w:p w:rsidR="001521C7" w:rsidRPr="00DB47C6" w:rsidRDefault="001521C7" w:rsidP="00E73959">
      <w:pPr>
        <w:pStyle w:val="FootnoteText"/>
        <w:keepNext/>
        <w:keepLines/>
        <w:ind w:firstLine="720"/>
        <w:rPr>
          <w:sz w:val="26"/>
          <w:szCs w:val="26"/>
        </w:rPr>
      </w:pPr>
      <w:r w:rsidRPr="00DB47C6">
        <w:rPr>
          <w:rStyle w:val="FootnoteReference"/>
          <w:sz w:val="26"/>
          <w:szCs w:val="26"/>
        </w:rPr>
        <w:footnoteRef/>
      </w:r>
      <w:r w:rsidRPr="00DB47C6">
        <w:rPr>
          <w:sz w:val="26"/>
          <w:szCs w:val="26"/>
        </w:rPr>
        <w:t xml:space="preserve"> </w:t>
      </w:r>
      <w:r>
        <w:rPr>
          <w:sz w:val="26"/>
          <w:szCs w:val="26"/>
        </w:rPr>
        <w:tab/>
      </w:r>
      <w:r w:rsidRPr="00DB47C6">
        <w:rPr>
          <w:sz w:val="26"/>
          <w:szCs w:val="26"/>
        </w:rPr>
        <w:t>The matter is an appeal from a determination of the Commiss</w:t>
      </w:r>
      <w:r>
        <w:rPr>
          <w:sz w:val="26"/>
          <w:szCs w:val="26"/>
        </w:rPr>
        <w:t>i</w:t>
      </w:r>
      <w:r w:rsidRPr="00DB47C6">
        <w:rPr>
          <w:sz w:val="26"/>
          <w:szCs w:val="26"/>
        </w:rPr>
        <w:t>on’s Bureau of Consumer Serv</w:t>
      </w:r>
      <w:r>
        <w:rPr>
          <w:sz w:val="26"/>
          <w:szCs w:val="26"/>
        </w:rPr>
        <w:t>i</w:t>
      </w:r>
      <w:r w:rsidRPr="00DB47C6">
        <w:rPr>
          <w:sz w:val="26"/>
          <w:szCs w:val="26"/>
        </w:rPr>
        <w:t>ces</w:t>
      </w:r>
      <w:r>
        <w:rPr>
          <w:sz w:val="26"/>
          <w:szCs w:val="26"/>
        </w:rPr>
        <w:t xml:space="preserve"> (BCS)</w:t>
      </w:r>
      <w:r w:rsidRPr="00DB47C6">
        <w:rPr>
          <w:sz w:val="26"/>
          <w:szCs w:val="26"/>
        </w:rPr>
        <w:t>, No. 3360209</w:t>
      </w:r>
      <w:r>
        <w:rPr>
          <w:sz w:val="26"/>
          <w:szCs w:val="26"/>
        </w:rPr>
        <w:t>,</w:t>
      </w:r>
      <w:r w:rsidRPr="00DB47C6">
        <w:rPr>
          <w:sz w:val="26"/>
          <w:szCs w:val="26"/>
        </w:rPr>
        <w:t xml:space="preserve"> dated March 3, 2016.</w:t>
      </w:r>
      <w:r>
        <w:rPr>
          <w:sz w:val="26"/>
          <w:szCs w:val="26"/>
        </w:rPr>
        <w:t xml:space="preserve">  </w:t>
      </w:r>
      <w:r>
        <w:rPr>
          <w:i/>
          <w:sz w:val="26"/>
          <w:szCs w:val="26"/>
        </w:rPr>
        <w:t xml:space="preserve">See </w:t>
      </w:r>
      <w:r>
        <w:rPr>
          <w:sz w:val="26"/>
          <w:szCs w:val="26"/>
        </w:rPr>
        <w:t>PPL Exhibit #5.</w:t>
      </w:r>
    </w:p>
  </w:footnote>
  <w:footnote w:id="2">
    <w:p w:rsidR="001521C7" w:rsidRPr="00D75C53" w:rsidRDefault="001521C7" w:rsidP="00E73959">
      <w:pPr>
        <w:pStyle w:val="FootnoteText"/>
        <w:keepNext/>
        <w:keepLines/>
        <w:ind w:firstLine="720"/>
        <w:rPr>
          <w:sz w:val="26"/>
          <w:szCs w:val="26"/>
        </w:rPr>
      </w:pPr>
      <w:r>
        <w:rPr>
          <w:rStyle w:val="FootnoteReference"/>
        </w:rPr>
        <w:footnoteRef/>
      </w:r>
      <w:r>
        <w:t xml:space="preserve"> </w:t>
      </w:r>
      <w:r>
        <w:tab/>
      </w:r>
      <w:r w:rsidRPr="00D75C53">
        <w:rPr>
          <w:sz w:val="26"/>
          <w:szCs w:val="26"/>
        </w:rPr>
        <w:t>PPL witness, Ms.</w:t>
      </w:r>
      <w:r>
        <w:rPr>
          <w:sz w:val="26"/>
          <w:szCs w:val="26"/>
        </w:rPr>
        <w:t xml:space="preserve"> Alecia</w:t>
      </w:r>
      <w:r w:rsidRPr="00D75C53">
        <w:rPr>
          <w:sz w:val="26"/>
          <w:szCs w:val="26"/>
        </w:rPr>
        <w:t xml:space="preserve"> Weaver, testified that the period was 53 days.  Tr. at 18</w:t>
      </w:r>
      <w:r>
        <w:rPr>
          <w:sz w:val="26"/>
          <w:szCs w:val="26"/>
        </w:rPr>
        <w:t xml:space="preserve">; </w:t>
      </w:r>
      <w:r>
        <w:rPr>
          <w:i/>
          <w:sz w:val="26"/>
          <w:szCs w:val="26"/>
        </w:rPr>
        <w:t xml:space="preserve">see also </w:t>
      </w:r>
      <w:r>
        <w:rPr>
          <w:sz w:val="26"/>
          <w:szCs w:val="26"/>
        </w:rPr>
        <w:t>Tr. at 23.</w:t>
      </w:r>
    </w:p>
  </w:footnote>
  <w:footnote w:id="3">
    <w:p w:rsidR="001521C7" w:rsidRDefault="001521C7" w:rsidP="00E73959">
      <w:pPr>
        <w:pStyle w:val="FootnoteText"/>
        <w:keepNext/>
        <w:keepLines/>
        <w:ind w:firstLine="720"/>
      </w:pPr>
      <w:r>
        <w:rPr>
          <w:rStyle w:val="FootnoteReference"/>
        </w:rPr>
        <w:footnoteRef/>
      </w:r>
      <w:r>
        <w:t xml:space="preserve"> </w:t>
      </w:r>
      <w:r>
        <w:tab/>
      </w:r>
      <w:r w:rsidRPr="005D3DE0">
        <w:rPr>
          <w:sz w:val="26"/>
          <w:szCs w:val="26"/>
        </w:rPr>
        <w:t>The February 19, 2015 letter</w:t>
      </w:r>
      <w:r>
        <w:rPr>
          <w:sz w:val="26"/>
          <w:szCs w:val="26"/>
        </w:rPr>
        <w:t xml:space="preserve"> was directed to the account ending, “31065,” </w:t>
      </w:r>
      <w:r>
        <w:rPr>
          <w:i/>
          <w:sz w:val="26"/>
          <w:szCs w:val="26"/>
        </w:rPr>
        <w:t>i.e.</w:t>
      </w:r>
      <w:r>
        <w:rPr>
          <w:sz w:val="26"/>
          <w:szCs w:val="26"/>
        </w:rPr>
        <w:t xml:space="preserve">, changed account number, advised Mr. Vianello that the Respondent stopped his billing at the service address but corrected the billing to the proper address, resumed his billing as of October 10, 2014, and sent him a bill for service for the balance due from the period, October 10, 2014 to February 4, 2015, in the amount of $1,315.64.  The Respondent further advised: “Please contact us if arrangements for payment of the balance are needed.”  </w:t>
      </w:r>
      <w:r>
        <w:rPr>
          <w:i/>
          <w:sz w:val="26"/>
          <w:szCs w:val="26"/>
        </w:rPr>
        <w:t xml:space="preserve">See </w:t>
      </w:r>
      <w:r>
        <w:rPr>
          <w:sz w:val="26"/>
          <w:szCs w:val="26"/>
        </w:rPr>
        <w:t>PPL Exhibit #7.</w:t>
      </w:r>
    </w:p>
  </w:footnote>
  <w:footnote w:id="4">
    <w:p w:rsidR="001521C7" w:rsidRDefault="001521C7" w:rsidP="00C369AF">
      <w:pPr>
        <w:pStyle w:val="FootnoteText"/>
        <w:ind w:firstLine="720"/>
      </w:pPr>
      <w:r>
        <w:rPr>
          <w:rStyle w:val="FootnoteReference"/>
        </w:rPr>
        <w:footnoteRef/>
      </w:r>
      <w:r>
        <w:t xml:space="preserve"> </w:t>
      </w:r>
      <w:r>
        <w:tab/>
      </w:r>
      <w:r w:rsidRPr="00C369AF">
        <w:rPr>
          <w:sz w:val="26"/>
          <w:szCs w:val="26"/>
        </w:rPr>
        <w:t>The hearing date of F</w:t>
      </w:r>
      <w:r w:rsidRPr="00F7706E">
        <w:rPr>
          <w:sz w:val="26"/>
          <w:szCs w:val="26"/>
        </w:rPr>
        <w:t xml:space="preserve">ebruary 11, 2016, </w:t>
      </w:r>
      <w:r>
        <w:rPr>
          <w:sz w:val="26"/>
          <w:szCs w:val="26"/>
        </w:rPr>
        <w:t xml:space="preserve">was the result of a re-scheduling of a prior date made </w:t>
      </w:r>
      <w:r w:rsidRPr="00F7706E">
        <w:rPr>
          <w:sz w:val="26"/>
          <w:szCs w:val="26"/>
        </w:rPr>
        <w:t>at the Complainant’s request</w:t>
      </w:r>
      <w:r>
        <w:rPr>
          <w:sz w:val="26"/>
          <w:szCs w:val="26"/>
        </w:rPr>
        <w:t>.</w:t>
      </w:r>
    </w:p>
  </w:footnote>
  <w:footnote w:id="5">
    <w:p w:rsidR="001521C7" w:rsidRDefault="001521C7" w:rsidP="00E73959">
      <w:pPr>
        <w:keepNext/>
        <w:keepLines/>
        <w:ind w:firstLine="720"/>
      </w:pPr>
      <w:r>
        <w:rPr>
          <w:rStyle w:val="FootnoteReference"/>
        </w:rPr>
        <w:footnoteRef/>
      </w:r>
      <w:r>
        <w:tab/>
        <w:t>T</w:t>
      </w:r>
      <w:r w:rsidRPr="008E5BEC">
        <w:t xml:space="preserve">he </w:t>
      </w:r>
      <w:r>
        <w:t>Commission</w:t>
      </w:r>
      <w:r w:rsidRPr="008E5BEC">
        <w:t xml:space="preserve"> is the </w:t>
      </w:r>
      <w:r w:rsidRPr="008E5BEC">
        <w:rPr>
          <w:rStyle w:val="term1"/>
          <w:b w:val="0"/>
        </w:rPr>
        <w:t>ultimate finder of fact</w:t>
      </w:r>
      <w:r w:rsidRPr="008E5BEC">
        <w:rPr>
          <w:b/>
        </w:rPr>
        <w:t xml:space="preserve"> </w:t>
      </w:r>
      <w:r w:rsidRPr="008E5BEC">
        <w:t>where it reviews an ALJ decision.</w:t>
      </w:r>
      <w:r>
        <w:t xml:space="preserve">  </w:t>
      </w:r>
      <w:r>
        <w:rPr>
          <w:i/>
        </w:rPr>
        <w:t>Capital City Cab Service v. Pa. PUC</w:t>
      </w:r>
      <w:r>
        <w:t xml:space="preserve">, 138 A.3d 119 (Pa. Cmwlth. 2016), citing </w:t>
      </w:r>
      <w:hyperlink r:id="rId1" w:history="1">
        <w:r w:rsidRPr="008E5BEC">
          <w:rPr>
            <w:rStyle w:val="Hyperlink"/>
            <w:i/>
            <w:color w:val="auto"/>
          </w:rPr>
          <w:t xml:space="preserve">Lloyd v. </w:t>
        </w:r>
        <w:r w:rsidRPr="008E5BEC">
          <w:rPr>
            <w:rStyle w:val="term1"/>
            <w:b w:val="0"/>
            <w:i/>
          </w:rPr>
          <w:t>P</w:t>
        </w:r>
        <w:r>
          <w:rPr>
            <w:rStyle w:val="term1"/>
            <w:b w:val="0"/>
            <w:i/>
          </w:rPr>
          <w:t xml:space="preserve">a. </w:t>
        </w:r>
        <w:r w:rsidRPr="008E5BEC">
          <w:rPr>
            <w:rStyle w:val="term1"/>
            <w:b w:val="0"/>
            <w:i/>
          </w:rPr>
          <w:t>PU</w:t>
        </w:r>
        <w:r>
          <w:rPr>
            <w:rStyle w:val="term1"/>
            <w:b w:val="0"/>
            <w:i/>
          </w:rPr>
          <w:t>C,</w:t>
        </w:r>
        <w:r w:rsidRPr="008E5BEC">
          <w:rPr>
            <w:rStyle w:val="term1"/>
            <w:b w:val="0"/>
            <w:i/>
          </w:rPr>
          <w:t xml:space="preserve"> </w:t>
        </w:r>
        <w:r w:rsidRPr="008E5BEC">
          <w:rPr>
            <w:rStyle w:val="Hyperlink"/>
            <w:color w:val="auto"/>
          </w:rPr>
          <w:t>17 A.3d 425, 429 (Pa. Cmwlth. 2011)</w:t>
        </w:r>
      </w:hyperlink>
      <w:r>
        <w:t>;</w:t>
      </w:r>
      <w:r w:rsidRPr="008E5BEC">
        <w:t xml:space="preserve"> </w:t>
      </w:r>
      <w:hyperlink r:id="rId2" w:history="1">
        <w:r w:rsidRPr="006052F7">
          <w:rPr>
            <w:rStyle w:val="Hyperlink"/>
            <w:i/>
            <w:color w:val="auto"/>
          </w:rPr>
          <w:t>Pa</w:t>
        </w:r>
        <w:r w:rsidRPr="00163FB4">
          <w:rPr>
            <w:rStyle w:val="Hyperlink"/>
            <w:i/>
          </w:rPr>
          <w:t>.</w:t>
        </w:r>
        <w:r w:rsidRPr="00163FB4">
          <w:rPr>
            <w:rStyle w:val="Hyperlink"/>
            <w:i/>
            <w:color w:val="auto"/>
          </w:rPr>
          <w:t xml:space="preserve"> Retailers</w:t>
        </w:r>
        <w:r w:rsidRPr="00163FB4">
          <w:rPr>
            <w:rStyle w:val="Hyperlink"/>
            <w:i/>
          </w:rPr>
          <w:t>’</w:t>
        </w:r>
        <w:r w:rsidRPr="00163FB4">
          <w:rPr>
            <w:rStyle w:val="Hyperlink"/>
            <w:i/>
            <w:color w:val="auto"/>
          </w:rPr>
          <w:t xml:space="preserve"> Associations v. </w:t>
        </w:r>
        <w:r w:rsidRPr="00163FB4">
          <w:rPr>
            <w:rStyle w:val="term1"/>
            <w:b w:val="0"/>
            <w:i/>
          </w:rPr>
          <w:t>Pa.</w:t>
        </w:r>
        <w:r>
          <w:rPr>
            <w:rStyle w:val="term1"/>
            <w:b w:val="0"/>
            <w:i/>
          </w:rPr>
          <w:t xml:space="preserve"> </w:t>
        </w:r>
        <w:r w:rsidRPr="00163FB4">
          <w:rPr>
            <w:rStyle w:val="term1"/>
            <w:b w:val="0"/>
            <w:i/>
          </w:rPr>
          <w:t>PUC</w:t>
        </w:r>
        <w:r w:rsidRPr="008E5BEC">
          <w:rPr>
            <w:rStyle w:val="Hyperlink"/>
            <w:b/>
            <w:color w:val="auto"/>
          </w:rPr>
          <w:t>,</w:t>
        </w:r>
        <w:r w:rsidRPr="008E5BEC">
          <w:rPr>
            <w:rStyle w:val="Hyperlink"/>
            <w:color w:val="auto"/>
          </w:rPr>
          <w:t xml:space="preserve">  440 A.2d 1267, 1272 (Pa. Cmwlth. 1982)</w:t>
        </w:r>
      </w:hyperlink>
      <w:r>
        <w:t xml:space="preserve">; </w:t>
      </w:r>
      <w:r w:rsidRPr="006052F7">
        <w:rPr>
          <w:bCs/>
          <w:i/>
        </w:rPr>
        <w:t>Energy Conservation Council of Pa. v.</w:t>
      </w:r>
      <w:r>
        <w:rPr>
          <w:bCs/>
          <w:i/>
        </w:rPr>
        <w:t xml:space="preserve"> Pa.</w:t>
      </w:r>
      <w:r w:rsidRPr="006052F7">
        <w:rPr>
          <w:bCs/>
          <w:i/>
        </w:rPr>
        <w:t xml:space="preserve"> PUC</w:t>
      </w:r>
      <w:r w:rsidRPr="00A97D64">
        <w:rPr>
          <w:bCs/>
        </w:rPr>
        <w:t>, 995 A.2d 465</w:t>
      </w:r>
      <w:r>
        <w:rPr>
          <w:bCs/>
        </w:rPr>
        <w:t xml:space="preserve"> (Pa. Cmwlth. 2010); </w:t>
      </w:r>
      <w:hyperlink r:id="rId3" w:history="1">
        <w:r w:rsidRPr="00A97D64">
          <w:rPr>
            <w:rStyle w:val="Hyperlink"/>
            <w:color w:val="auto"/>
          </w:rPr>
          <w:t>66 Pa. C.S. § 335(a)</w:t>
        </w:r>
      </w:hyperlink>
      <w:r>
        <w:t>.</w:t>
      </w:r>
    </w:p>
  </w:footnote>
  <w:footnote w:id="6">
    <w:p w:rsidR="001521C7" w:rsidRPr="004C6030" w:rsidRDefault="001521C7" w:rsidP="00CC0C98">
      <w:pPr>
        <w:pStyle w:val="FootnoteText"/>
        <w:keepNext/>
        <w:keepLines/>
        <w:ind w:firstLine="720"/>
        <w:rPr>
          <w:sz w:val="26"/>
          <w:szCs w:val="26"/>
        </w:rPr>
      </w:pPr>
      <w:r>
        <w:rPr>
          <w:rStyle w:val="FootnoteReference"/>
        </w:rPr>
        <w:footnoteRef/>
      </w:r>
      <w:r>
        <w:t xml:space="preserve"> </w:t>
      </w:r>
      <w:r>
        <w:tab/>
      </w:r>
      <w:r w:rsidRPr="004C6030">
        <w:rPr>
          <w:sz w:val="26"/>
          <w:szCs w:val="26"/>
        </w:rPr>
        <w:t>In testimony permitted by the presiding ALJ due</w:t>
      </w:r>
      <w:r>
        <w:rPr>
          <w:sz w:val="26"/>
          <w:szCs w:val="26"/>
        </w:rPr>
        <w:t xml:space="preserve"> </w:t>
      </w:r>
      <w:r w:rsidRPr="004C6030">
        <w:rPr>
          <w:sz w:val="26"/>
          <w:szCs w:val="26"/>
        </w:rPr>
        <w:t>to</w:t>
      </w:r>
      <w:r w:rsidR="005C571C">
        <w:rPr>
          <w:sz w:val="26"/>
          <w:szCs w:val="26"/>
        </w:rPr>
        <w:t>,</w:t>
      </w:r>
      <w:r w:rsidRPr="004C6030">
        <w:rPr>
          <w:sz w:val="26"/>
          <w:szCs w:val="26"/>
        </w:rPr>
        <w:t xml:space="preserve"> </w:t>
      </w:r>
      <w:r w:rsidR="005C571C">
        <w:rPr>
          <w:i/>
          <w:sz w:val="26"/>
          <w:szCs w:val="26"/>
        </w:rPr>
        <w:t>inter alia</w:t>
      </w:r>
      <w:r w:rsidR="005C571C">
        <w:rPr>
          <w:sz w:val="26"/>
          <w:szCs w:val="26"/>
        </w:rPr>
        <w:t>,</w:t>
      </w:r>
      <w:r w:rsidR="005C571C" w:rsidRPr="004C6030">
        <w:rPr>
          <w:sz w:val="26"/>
          <w:szCs w:val="26"/>
        </w:rPr>
        <w:t xml:space="preserve"> </w:t>
      </w:r>
      <w:r w:rsidRPr="004C6030">
        <w:rPr>
          <w:sz w:val="26"/>
          <w:szCs w:val="26"/>
        </w:rPr>
        <w:t xml:space="preserve">the </w:t>
      </w:r>
      <w:r w:rsidRPr="004C6030">
        <w:rPr>
          <w:i/>
          <w:sz w:val="26"/>
          <w:szCs w:val="26"/>
        </w:rPr>
        <w:t>pro se</w:t>
      </w:r>
      <w:r w:rsidRPr="004C6030">
        <w:rPr>
          <w:sz w:val="26"/>
          <w:szCs w:val="26"/>
        </w:rPr>
        <w:t xml:space="preserve"> representation of Complainant, Mr. Vianello explained that there are four meters serving the apartments/complex</w:t>
      </w:r>
      <w:r>
        <w:rPr>
          <w:sz w:val="26"/>
          <w:szCs w:val="26"/>
        </w:rPr>
        <w:t xml:space="preserve"> he owns</w:t>
      </w:r>
      <w:r w:rsidRPr="004C6030">
        <w:rPr>
          <w:sz w:val="26"/>
          <w:szCs w:val="26"/>
        </w:rPr>
        <w:t xml:space="preserve"> – a house which has its own electric meter; a garage apartment which has its own electric meter (two meters); and two duplex apartments (one meter), tied together electronically.  Mr. Vianello pays the electric on the two duplex apartment units</w:t>
      </w:r>
      <w:r>
        <w:rPr>
          <w:sz w:val="26"/>
          <w:szCs w:val="26"/>
        </w:rPr>
        <w:t xml:space="preserve"> and the occupants of the other dwellings are responsible for their own electricity usage</w:t>
      </w:r>
      <w:r w:rsidRPr="004C6030">
        <w:rPr>
          <w:sz w:val="26"/>
          <w:szCs w:val="26"/>
        </w:rPr>
        <w:t xml:space="preserve">.  </w:t>
      </w:r>
      <w:r w:rsidRPr="004C6030">
        <w:rPr>
          <w:i/>
          <w:sz w:val="26"/>
          <w:szCs w:val="26"/>
        </w:rPr>
        <w:t xml:space="preserve">See </w:t>
      </w:r>
      <w:r w:rsidRPr="004C6030">
        <w:rPr>
          <w:sz w:val="26"/>
          <w:szCs w:val="26"/>
        </w:rPr>
        <w:t>Tr. at 40.</w:t>
      </w:r>
    </w:p>
  </w:footnote>
  <w:footnote w:id="7">
    <w:p w:rsidR="001521C7" w:rsidRPr="007E27FC" w:rsidRDefault="001521C7" w:rsidP="007E27FC">
      <w:pPr>
        <w:pStyle w:val="FootnoteText"/>
        <w:ind w:firstLine="720"/>
        <w:rPr>
          <w:sz w:val="26"/>
          <w:szCs w:val="26"/>
        </w:rPr>
      </w:pPr>
      <w:r>
        <w:rPr>
          <w:rStyle w:val="FootnoteReference"/>
        </w:rPr>
        <w:footnoteRef/>
      </w:r>
      <w:r>
        <w:t xml:space="preserve"> </w:t>
      </w:r>
      <w:r>
        <w:tab/>
      </w:r>
      <w:r w:rsidRPr="007E27FC">
        <w:rPr>
          <w:sz w:val="26"/>
          <w:szCs w:val="26"/>
        </w:rPr>
        <w:t xml:space="preserve">PPL has raised objection to the format in its Replies to Exceptions. </w:t>
      </w:r>
    </w:p>
  </w:footnote>
  <w:footnote w:id="8">
    <w:p w:rsidR="001521C7" w:rsidRPr="003E3281" w:rsidRDefault="001521C7" w:rsidP="00855E36">
      <w:pPr>
        <w:ind w:firstLine="720"/>
      </w:pPr>
      <w:r>
        <w:rPr>
          <w:rStyle w:val="FootnoteReference"/>
        </w:rPr>
        <w:footnoteRef/>
      </w:r>
      <w:r>
        <w:t xml:space="preserve"> </w:t>
      </w:r>
      <w:r>
        <w:tab/>
      </w:r>
      <w:r w:rsidRPr="003E3281">
        <w:t xml:space="preserve">66 Pa. C.S. § 1406(b), </w:t>
      </w:r>
      <w:r w:rsidRPr="003E3281">
        <w:rPr>
          <w:rFonts w:eastAsiaTheme="minorEastAsia"/>
        </w:rPr>
        <w:t>provides, in pertinent part, that: “</w:t>
      </w:r>
      <w:r w:rsidRPr="003E3281">
        <w:t xml:space="preserve">Prior to terminating service under subsection (a), a public utility: </w:t>
      </w:r>
      <w:r w:rsidRPr="003E3281">
        <w:rPr>
          <w:bCs/>
        </w:rPr>
        <w:t xml:space="preserve">(i) </w:t>
      </w:r>
      <w:r w:rsidRPr="003E3281">
        <w:t>Shall provide written notice of the termination to the customer at least ten days prior to the date of the proposed termination.  The termination notice shall remain effective for 60 days.”  66 Pa. C.S. § 1406(b)(1)(i)</w:t>
      </w:r>
      <w:r>
        <w:t xml:space="preserve">.  </w:t>
      </w:r>
      <w:r>
        <w:rPr>
          <w:i/>
        </w:rPr>
        <w:t>See Kashmer</w:t>
      </w:r>
      <w:r>
        <w:t xml:space="preserve"> at 7.</w:t>
      </w:r>
    </w:p>
    <w:p w:rsidR="001521C7" w:rsidRDefault="001521C7">
      <w:pPr>
        <w:pStyle w:val="FootnoteText"/>
      </w:pPr>
    </w:p>
  </w:footnote>
  <w:footnote w:id="9">
    <w:p w:rsidR="001521C7" w:rsidRPr="00DC57C3" w:rsidRDefault="001521C7" w:rsidP="00DC57C3">
      <w:pPr>
        <w:pStyle w:val="FootnoteText"/>
        <w:ind w:firstLine="720"/>
        <w:rPr>
          <w:sz w:val="26"/>
          <w:szCs w:val="26"/>
        </w:rPr>
      </w:pPr>
      <w:r>
        <w:rPr>
          <w:rStyle w:val="FootnoteReference"/>
        </w:rPr>
        <w:footnoteRef/>
      </w:r>
      <w:r>
        <w:t xml:space="preserve"> </w:t>
      </w:r>
      <w:r>
        <w:tab/>
      </w:r>
      <w:r w:rsidRPr="00DC57C3">
        <w:rPr>
          <w:sz w:val="26"/>
          <w:szCs w:val="26"/>
        </w:rPr>
        <w:t xml:space="preserve">We also note that in </w:t>
      </w:r>
      <w:r w:rsidRPr="00DC57C3">
        <w:rPr>
          <w:i/>
          <w:sz w:val="26"/>
          <w:szCs w:val="26"/>
        </w:rPr>
        <w:t>Kash</w:t>
      </w:r>
      <w:r>
        <w:rPr>
          <w:i/>
          <w:sz w:val="26"/>
          <w:szCs w:val="26"/>
        </w:rPr>
        <w:t>m</w:t>
      </w:r>
      <w:r w:rsidRPr="00DC57C3">
        <w:rPr>
          <w:i/>
          <w:sz w:val="26"/>
          <w:szCs w:val="26"/>
        </w:rPr>
        <w:t xml:space="preserve">er, </w:t>
      </w:r>
      <w:r w:rsidRPr="00DC57C3">
        <w:rPr>
          <w:sz w:val="26"/>
          <w:szCs w:val="26"/>
        </w:rPr>
        <w:t xml:space="preserve">the erroneous service address change was discovered only through the </w:t>
      </w:r>
      <w:r>
        <w:rPr>
          <w:sz w:val="26"/>
          <w:szCs w:val="26"/>
        </w:rPr>
        <w:t>happenstance</w:t>
      </w:r>
      <w:r w:rsidRPr="00DC57C3">
        <w:rPr>
          <w:sz w:val="26"/>
          <w:szCs w:val="26"/>
        </w:rPr>
        <w:t xml:space="preserve"> of the ratepayer’s visit to the property before service was, in fact, terminated.</w:t>
      </w:r>
    </w:p>
  </w:footnote>
  <w:footnote w:id="10">
    <w:p w:rsidR="001521C7" w:rsidRPr="003D16E4" w:rsidRDefault="001521C7" w:rsidP="003D16E4">
      <w:pPr>
        <w:pStyle w:val="FootnoteText"/>
        <w:ind w:firstLine="720"/>
        <w:rPr>
          <w:sz w:val="26"/>
          <w:szCs w:val="26"/>
        </w:rPr>
      </w:pPr>
      <w:r>
        <w:rPr>
          <w:rStyle w:val="FootnoteReference"/>
        </w:rPr>
        <w:footnoteRef/>
      </w:r>
      <w:r>
        <w:t xml:space="preserve"> </w:t>
      </w:r>
      <w:r>
        <w:tab/>
      </w:r>
      <w:r w:rsidRPr="003D16E4">
        <w:rPr>
          <w:i/>
          <w:sz w:val="26"/>
          <w:szCs w:val="26"/>
        </w:rPr>
        <w:t>Gallagher</w:t>
      </w:r>
      <w:r w:rsidRPr="003D16E4">
        <w:rPr>
          <w:sz w:val="26"/>
          <w:szCs w:val="26"/>
        </w:rPr>
        <w:t xml:space="preserve"> </w:t>
      </w:r>
      <w:r>
        <w:rPr>
          <w:sz w:val="26"/>
          <w:szCs w:val="26"/>
        </w:rPr>
        <w:t>is additionally on all-fours with the present Complaint because, although a “termination” was discussed, service was not interrupted to Mr. Gallagher or Mr. Vianello in the present Complaint.</w:t>
      </w:r>
    </w:p>
  </w:footnote>
  <w:footnote w:id="11">
    <w:p w:rsidR="001521C7" w:rsidRPr="006F0479" w:rsidRDefault="001521C7" w:rsidP="00E56843">
      <w:pPr>
        <w:pStyle w:val="FootnoteText"/>
        <w:keepNext/>
        <w:keepLines/>
        <w:ind w:firstLine="720"/>
        <w:rPr>
          <w:sz w:val="26"/>
          <w:szCs w:val="26"/>
        </w:rPr>
      </w:pPr>
      <w:r>
        <w:rPr>
          <w:rStyle w:val="FootnoteReference"/>
        </w:rPr>
        <w:footnoteRef/>
      </w:r>
      <w:r>
        <w:tab/>
      </w:r>
      <w:r w:rsidRPr="006F0479">
        <w:rPr>
          <w:sz w:val="26"/>
          <w:szCs w:val="26"/>
        </w:rPr>
        <w:t xml:space="preserve">In </w:t>
      </w:r>
      <w:r w:rsidRPr="006F0479">
        <w:rPr>
          <w:i/>
          <w:sz w:val="26"/>
          <w:szCs w:val="26"/>
        </w:rPr>
        <w:t>Kash</w:t>
      </w:r>
      <w:r>
        <w:rPr>
          <w:i/>
          <w:sz w:val="26"/>
          <w:szCs w:val="26"/>
        </w:rPr>
        <w:t>m</w:t>
      </w:r>
      <w:r w:rsidRPr="006F0479">
        <w:rPr>
          <w:i/>
          <w:sz w:val="26"/>
          <w:szCs w:val="26"/>
        </w:rPr>
        <w:t>er</w:t>
      </w:r>
      <w:r w:rsidRPr="006F0479">
        <w:rPr>
          <w:sz w:val="26"/>
          <w:szCs w:val="26"/>
        </w:rPr>
        <w:t>, the Initial Decision was issued, November 18, 2015, and, as noted, the Initial Decision in this matter, April 1, 2016.</w:t>
      </w:r>
    </w:p>
  </w:footnote>
  <w:footnote w:id="12">
    <w:p w:rsidR="001521C7" w:rsidRPr="003472A7" w:rsidRDefault="001521C7" w:rsidP="00F8054A">
      <w:pPr>
        <w:pStyle w:val="FootnoteText"/>
        <w:keepLines/>
        <w:ind w:firstLine="720"/>
        <w:rPr>
          <w:sz w:val="26"/>
          <w:szCs w:val="26"/>
        </w:rPr>
      </w:pPr>
      <w:r w:rsidRPr="003472A7">
        <w:rPr>
          <w:rStyle w:val="FootnoteReference"/>
          <w:sz w:val="26"/>
          <w:szCs w:val="26"/>
        </w:rPr>
        <w:footnoteRef/>
      </w:r>
      <w:r w:rsidRPr="003472A7">
        <w:rPr>
          <w:sz w:val="26"/>
          <w:szCs w:val="26"/>
        </w:rPr>
        <w:tab/>
        <w:t xml:space="preserve">PPL averred that it usually </w:t>
      </w:r>
      <w:r>
        <w:rPr>
          <w:sz w:val="26"/>
          <w:szCs w:val="26"/>
        </w:rPr>
        <w:t xml:space="preserve">only </w:t>
      </w:r>
      <w:r w:rsidRPr="003472A7">
        <w:rPr>
          <w:sz w:val="26"/>
          <w:szCs w:val="26"/>
        </w:rPr>
        <w:t xml:space="preserve">sends a final bill to </w:t>
      </w:r>
      <w:r>
        <w:rPr>
          <w:sz w:val="26"/>
          <w:szCs w:val="26"/>
        </w:rPr>
        <w:t xml:space="preserve">the </w:t>
      </w:r>
      <w:r w:rsidRPr="003472A7">
        <w:rPr>
          <w:sz w:val="26"/>
          <w:szCs w:val="26"/>
        </w:rPr>
        <w:t xml:space="preserve">existing account holder upon </w:t>
      </w:r>
      <w:r>
        <w:rPr>
          <w:sz w:val="26"/>
          <w:szCs w:val="26"/>
        </w:rPr>
        <w:t xml:space="preserve">establishing the </w:t>
      </w:r>
      <w:r w:rsidRPr="003472A7">
        <w:rPr>
          <w:sz w:val="26"/>
          <w:szCs w:val="26"/>
        </w:rPr>
        <w:t>new account.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5BB"/>
    <w:multiLevelType w:val="hybridMultilevel"/>
    <w:tmpl w:val="B7F0264C"/>
    <w:lvl w:ilvl="0" w:tplc="176285A6">
      <w:start w:val="1"/>
      <w:numFmt w:val="decimal"/>
      <w:lvlText w:val="%1"/>
      <w:lvlJc w:val="left"/>
      <w:pPr>
        <w:ind w:left="2520" w:hanging="360"/>
      </w:pPr>
      <w:rPr>
        <w:rFonts w:ascii="Times New Roman" w:hAnsi="Times New Roman"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2424F0F"/>
    <w:multiLevelType w:val="hybridMultilevel"/>
    <w:tmpl w:val="65B8D1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BBA0D1F"/>
    <w:multiLevelType w:val="hybridMultilevel"/>
    <w:tmpl w:val="3D86C692"/>
    <w:lvl w:ilvl="0" w:tplc="6FD0F5E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0C468DA"/>
    <w:multiLevelType w:val="hybridMultilevel"/>
    <w:tmpl w:val="E894F8A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1817E8"/>
    <w:multiLevelType w:val="hybridMultilevel"/>
    <w:tmpl w:val="19FAD78C"/>
    <w:lvl w:ilvl="0" w:tplc="99447426">
      <w:start w:val="1"/>
      <w:numFmt w:val="decimal"/>
      <w:lvlText w:val="%1."/>
      <w:lvlJc w:val="left"/>
      <w:pPr>
        <w:ind w:left="3240" w:hanging="360"/>
      </w:pPr>
      <w:rPr>
        <w:rFonts w:ascii="Times New Roman" w:hAnsi="Times New Roman" w:cs="Times New Roman" w:hint="default"/>
        <w:color w:val="auto"/>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7E331A"/>
    <w:multiLevelType w:val="hybridMultilevel"/>
    <w:tmpl w:val="6F207A0E"/>
    <w:lvl w:ilvl="0" w:tplc="4FA00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318F6CEF"/>
    <w:multiLevelType w:val="hybridMultilevel"/>
    <w:tmpl w:val="76181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8120DD"/>
    <w:multiLevelType w:val="hybridMultilevel"/>
    <w:tmpl w:val="DC123A88"/>
    <w:lvl w:ilvl="0" w:tplc="BB16E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AB44D2F"/>
    <w:multiLevelType w:val="hybridMultilevel"/>
    <w:tmpl w:val="A4EEC7A2"/>
    <w:lvl w:ilvl="0" w:tplc="F31E74EA">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4984D37"/>
    <w:multiLevelType w:val="hybridMultilevel"/>
    <w:tmpl w:val="C96A5F6C"/>
    <w:lvl w:ilvl="0" w:tplc="662C44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2">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8B3C11"/>
    <w:multiLevelType w:val="hybridMultilevel"/>
    <w:tmpl w:val="D9E25B74"/>
    <w:lvl w:ilvl="0" w:tplc="E1144606">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9241DD3"/>
    <w:multiLevelType w:val="hybridMultilevel"/>
    <w:tmpl w:val="A07C4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6"/>
  </w:num>
  <w:num w:numId="3">
    <w:abstractNumId w:val="31"/>
  </w:num>
  <w:num w:numId="4">
    <w:abstractNumId w:val="5"/>
  </w:num>
  <w:num w:numId="5">
    <w:abstractNumId w:val="26"/>
  </w:num>
  <w:num w:numId="6">
    <w:abstractNumId w:val="15"/>
  </w:num>
  <w:num w:numId="7">
    <w:abstractNumId w:val="11"/>
  </w:num>
  <w:num w:numId="8">
    <w:abstractNumId w:val="2"/>
  </w:num>
  <w:num w:numId="9">
    <w:abstractNumId w:val="27"/>
  </w:num>
  <w:num w:numId="10">
    <w:abstractNumId w:val="32"/>
  </w:num>
  <w:num w:numId="11">
    <w:abstractNumId w:val="30"/>
  </w:num>
  <w:num w:numId="12">
    <w:abstractNumId w:val="43"/>
  </w:num>
  <w:num w:numId="13">
    <w:abstractNumId w:val="3"/>
  </w:num>
  <w:num w:numId="14">
    <w:abstractNumId w:val="12"/>
  </w:num>
  <w:num w:numId="15">
    <w:abstractNumId w:val="37"/>
  </w:num>
  <w:num w:numId="16">
    <w:abstractNumId w:val="39"/>
  </w:num>
  <w:num w:numId="17">
    <w:abstractNumId w:val="18"/>
  </w:num>
  <w:num w:numId="18">
    <w:abstractNumId w:val="9"/>
  </w:num>
  <w:num w:numId="19">
    <w:abstractNumId w:val="33"/>
  </w:num>
  <w:num w:numId="20">
    <w:abstractNumId w:val="7"/>
  </w:num>
  <w:num w:numId="21">
    <w:abstractNumId w:val="10"/>
  </w:num>
  <w:num w:numId="22">
    <w:abstractNumId w:val="23"/>
  </w:num>
  <w:num w:numId="23">
    <w:abstractNumId w:val="24"/>
  </w:num>
  <w:num w:numId="24">
    <w:abstractNumId w:val="41"/>
  </w:num>
  <w:num w:numId="25">
    <w:abstractNumId w:val="38"/>
  </w:num>
  <w:num w:numId="26">
    <w:abstractNumId w:val="8"/>
  </w:num>
  <w:num w:numId="27">
    <w:abstractNumId w:val="28"/>
  </w:num>
  <w:num w:numId="28">
    <w:abstractNumId w:val="17"/>
  </w:num>
  <w:num w:numId="29">
    <w:abstractNumId w:val="21"/>
  </w:num>
  <w:num w:numId="30">
    <w:abstractNumId w:val="13"/>
  </w:num>
  <w:num w:numId="31">
    <w:abstractNumId w:val="40"/>
  </w:num>
  <w:num w:numId="32">
    <w:abstractNumId w:val="35"/>
  </w:num>
  <w:num w:numId="33">
    <w:abstractNumId w:val="20"/>
  </w:num>
  <w:num w:numId="34">
    <w:abstractNumId w:val="22"/>
  </w:num>
  <w:num w:numId="35">
    <w:abstractNumId w:val="16"/>
  </w:num>
  <w:num w:numId="36">
    <w:abstractNumId w:val="14"/>
  </w:num>
  <w:num w:numId="37">
    <w:abstractNumId w:val="29"/>
  </w:num>
  <w:num w:numId="38">
    <w:abstractNumId w:val="0"/>
  </w:num>
  <w:num w:numId="39">
    <w:abstractNumId w:val="4"/>
  </w:num>
  <w:num w:numId="40">
    <w:abstractNumId w:val="25"/>
  </w:num>
  <w:num w:numId="41">
    <w:abstractNumId w:val="34"/>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0889"/>
    <w:rsid w:val="00003ED9"/>
    <w:rsid w:val="00010E00"/>
    <w:rsid w:val="0001342A"/>
    <w:rsid w:val="00020AB1"/>
    <w:rsid w:val="00022997"/>
    <w:rsid w:val="00022D67"/>
    <w:rsid w:val="0002304B"/>
    <w:rsid w:val="0002321C"/>
    <w:rsid w:val="00023A1C"/>
    <w:rsid w:val="0002512E"/>
    <w:rsid w:val="000334AA"/>
    <w:rsid w:val="0003352C"/>
    <w:rsid w:val="00034A86"/>
    <w:rsid w:val="00035C05"/>
    <w:rsid w:val="00035E78"/>
    <w:rsid w:val="000376EF"/>
    <w:rsid w:val="00042626"/>
    <w:rsid w:val="000460AF"/>
    <w:rsid w:val="00046733"/>
    <w:rsid w:val="0005162B"/>
    <w:rsid w:val="00055199"/>
    <w:rsid w:val="00055A89"/>
    <w:rsid w:val="000573C2"/>
    <w:rsid w:val="00060AFD"/>
    <w:rsid w:val="000647C4"/>
    <w:rsid w:val="00064F92"/>
    <w:rsid w:val="0006610A"/>
    <w:rsid w:val="0006622C"/>
    <w:rsid w:val="00070E25"/>
    <w:rsid w:val="0007126E"/>
    <w:rsid w:val="000728A4"/>
    <w:rsid w:val="00075662"/>
    <w:rsid w:val="00075A22"/>
    <w:rsid w:val="00082976"/>
    <w:rsid w:val="00083F2A"/>
    <w:rsid w:val="00091178"/>
    <w:rsid w:val="00091672"/>
    <w:rsid w:val="00091CE2"/>
    <w:rsid w:val="000934F1"/>
    <w:rsid w:val="00093DB9"/>
    <w:rsid w:val="00095262"/>
    <w:rsid w:val="000952AF"/>
    <w:rsid w:val="000967DB"/>
    <w:rsid w:val="000A001F"/>
    <w:rsid w:val="000A1CB9"/>
    <w:rsid w:val="000A20A3"/>
    <w:rsid w:val="000A285B"/>
    <w:rsid w:val="000A36C3"/>
    <w:rsid w:val="000A5832"/>
    <w:rsid w:val="000B0034"/>
    <w:rsid w:val="000B0669"/>
    <w:rsid w:val="000B27D4"/>
    <w:rsid w:val="000B5F6A"/>
    <w:rsid w:val="000B74D0"/>
    <w:rsid w:val="000C2C55"/>
    <w:rsid w:val="000C4C32"/>
    <w:rsid w:val="000C6F32"/>
    <w:rsid w:val="000D2CE8"/>
    <w:rsid w:val="000E0BD8"/>
    <w:rsid w:val="000E0EFD"/>
    <w:rsid w:val="000E277A"/>
    <w:rsid w:val="000E2934"/>
    <w:rsid w:val="000E34A9"/>
    <w:rsid w:val="000E3F6F"/>
    <w:rsid w:val="000E6B17"/>
    <w:rsid w:val="000F0833"/>
    <w:rsid w:val="000F0949"/>
    <w:rsid w:val="000F1894"/>
    <w:rsid w:val="000F1ED8"/>
    <w:rsid w:val="000F1F62"/>
    <w:rsid w:val="000F2F0A"/>
    <w:rsid w:val="000F6118"/>
    <w:rsid w:val="0010177F"/>
    <w:rsid w:val="00101D68"/>
    <w:rsid w:val="001027AA"/>
    <w:rsid w:val="0010644A"/>
    <w:rsid w:val="00110C23"/>
    <w:rsid w:val="00111EA9"/>
    <w:rsid w:val="001122A9"/>
    <w:rsid w:val="001131A0"/>
    <w:rsid w:val="001155B6"/>
    <w:rsid w:val="00116136"/>
    <w:rsid w:val="00125871"/>
    <w:rsid w:val="00126207"/>
    <w:rsid w:val="001312A6"/>
    <w:rsid w:val="00134E8D"/>
    <w:rsid w:val="00136BB6"/>
    <w:rsid w:val="001404C5"/>
    <w:rsid w:val="00141D7E"/>
    <w:rsid w:val="00141DF5"/>
    <w:rsid w:val="00143C49"/>
    <w:rsid w:val="00144488"/>
    <w:rsid w:val="00147DEE"/>
    <w:rsid w:val="001521C7"/>
    <w:rsid w:val="00152C6B"/>
    <w:rsid w:val="00153EA5"/>
    <w:rsid w:val="00155B63"/>
    <w:rsid w:val="0015646C"/>
    <w:rsid w:val="00157791"/>
    <w:rsid w:val="001620CA"/>
    <w:rsid w:val="00162898"/>
    <w:rsid w:val="00163FB4"/>
    <w:rsid w:val="00176F82"/>
    <w:rsid w:val="0018160C"/>
    <w:rsid w:val="00187B87"/>
    <w:rsid w:val="00192EA1"/>
    <w:rsid w:val="001930DE"/>
    <w:rsid w:val="00193B6C"/>
    <w:rsid w:val="001A4CC0"/>
    <w:rsid w:val="001A4EEB"/>
    <w:rsid w:val="001A5380"/>
    <w:rsid w:val="001A721E"/>
    <w:rsid w:val="001B123C"/>
    <w:rsid w:val="001B3235"/>
    <w:rsid w:val="001B534F"/>
    <w:rsid w:val="001C20B7"/>
    <w:rsid w:val="001C344F"/>
    <w:rsid w:val="001C715B"/>
    <w:rsid w:val="001D14DA"/>
    <w:rsid w:val="001D2BC2"/>
    <w:rsid w:val="001D3206"/>
    <w:rsid w:val="001D6FCF"/>
    <w:rsid w:val="001E4FAC"/>
    <w:rsid w:val="001E57DC"/>
    <w:rsid w:val="001F0787"/>
    <w:rsid w:val="001F08B4"/>
    <w:rsid w:val="001F19F1"/>
    <w:rsid w:val="001F2116"/>
    <w:rsid w:val="001F3112"/>
    <w:rsid w:val="001F6FC1"/>
    <w:rsid w:val="001F7F73"/>
    <w:rsid w:val="00200863"/>
    <w:rsid w:val="0020095D"/>
    <w:rsid w:val="00200D69"/>
    <w:rsid w:val="00202FE3"/>
    <w:rsid w:val="00204F19"/>
    <w:rsid w:val="002064BC"/>
    <w:rsid w:val="00215221"/>
    <w:rsid w:val="00220C5E"/>
    <w:rsid w:val="00221FFC"/>
    <w:rsid w:val="00222EA7"/>
    <w:rsid w:val="00223E7E"/>
    <w:rsid w:val="002265EE"/>
    <w:rsid w:val="00234619"/>
    <w:rsid w:val="0023520D"/>
    <w:rsid w:val="00235C44"/>
    <w:rsid w:val="00235CB2"/>
    <w:rsid w:val="00236267"/>
    <w:rsid w:val="00236FF7"/>
    <w:rsid w:val="002416AB"/>
    <w:rsid w:val="00242B3A"/>
    <w:rsid w:val="0024496F"/>
    <w:rsid w:val="00244D86"/>
    <w:rsid w:val="00246A1F"/>
    <w:rsid w:val="00251D19"/>
    <w:rsid w:val="0025370D"/>
    <w:rsid w:val="00253FC4"/>
    <w:rsid w:val="002544B3"/>
    <w:rsid w:val="00260D19"/>
    <w:rsid w:val="00261846"/>
    <w:rsid w:val="00261BD4"/>
    <w:rsid w:val="00262731"/>
    <w:rsid w:val="0027270B"/>
    <w:rsid w:val="002732DC"/>
    <w:rsid w:val="002739D7"/>
    <w:rsid w:val="002744C6"/>
    <w:rsid w:val="002756D0"/>
    <w:rsid w:val="0028114B"/>
    <w:rsid w:val="0028185A"/>
    <w:rsid w:val="00281CAD"/>
    <w:rsid w:val="00283C0B"/>
    <w:rsid w:val="0028405C"/>
    <w:rsid w:val="00290918"/>
    <w:rsid w:val="002919C6"/>
    <w:rsid w:val="00293557"/>
    <w:rsid w:val="002959E3"/>
    <w:rsid w:val="002A7C1C"/>
    <w:rsid w:val="002B0482"/>
    <w:rsid w:val="002B19D4"/>
    <w:rsid w:val="002B3489"/>
    <w:rsid w:val="002B4EAE"/>
    <w:rsid w:val="002C3394"/>
    <w:rsid w:val="002C3B4D"/>
    <w:rsid w:val="002C3FDE"/>
    <w:rsid w:val="002C486F"/>
    <w:rsid w:val="002D13C5"/>
    <w:rsid w:val="002D22A2"/>
    <w:rsid w:val="002D2A77"/>
    <w:rsid w:val="002D32DE"/>
    <w:rsid w:val="002D5384"/>
    <w:rsid w:val="002D54D9"/>
    <w:rsid w:val="002D554B"/>
    <w:rsid w:val="002D6A19"/>
    <w:rsid w:val="002E0985"/>
    <w:rsid w:val="002E0D76"/>
    <w:rsid w:val="002E7F3C"/>
    <w:rsid w:val="002F2552"/>
    <w:rsid w:val="002F4723"/>
    <w:rsid w:val="002F66F9"/>
    <w:rsid w:val="002F6BC1"/>
    <w:rsid w:val="00300A0A"/>
    <w:rsid w:val="00300CB7"/>
    <w:rsid w:val="00300F91"/>
    <w:rsid w:val="0030207C"/>
    <w:rsid w:val="0030584C"/>
    <w:rsid w:val="00306B0D"/>
    <w:rsid w:val="00311AD2"/>
    <w:rsid w:val="003129F7"/>
    <w:rsid w:val="00312E1C"/>
    <w:rsid w:val="00314B73"/>
    <w:rsid w:val="00317B5C"/>
    <w:rsid w:val="003226A2"/>
    <w:rsid w:val="00323AAE"/>
    <w:rsid w:val="0032451C"/>
    <w:rsid w:val="00324F3E"/>
    <w:rsid w:val="00326623"/>
    <w:rsid w:val="00326715"/>
    <w:rsid w:val="0032775D"/>
    <w:rsid w:val="0033043C"/>
    <w:rsid w:val="0033647C"/>
    <w:rsid w:val="00337C53"/>
    <w:rsid w:val="00340AB8"/>
    <w:rsid w:val="003421E0"/>
    <w:rsid w:val="0034312D"/>
    <w:rsid w:val="00346A14"/>
    <w:rsid w:val="00346E30"/>
    <w:rsid w:val="003539D2"/>
    <w:rsid w:val="00354246"/>
    <w:rsid w:val="00354E6F"/>
    <w:rsid w:val="0035737A"/>
    <w:rsid w:val="003579F1"/>
    <w:rsid w:val="003630FC"/>
    <w:rsid w:val="00363378"/>
    <w:rsid w:val="00364519"/>
    <w:rsid w:val="003657A8"/>
    <w:rsid w:val="00375282"/>
    <w:rsid w:val="00375C52"/>
    <w:rsid w:val="003772A2"/>
    <w:rsid w:val="00380450"/>
    <w:rsid w:val="00380AD7"/>
    <w:rsid w:val="00382B1A"/>
    <w:rsid w:val="0038376F"/>
    <w:rsid w:val="003857DF"/>
    <w:rsid w:val="00386CDC"/>
    <w:rsid w:val="00392382"/>
    <w:rsid w:val="00394493"/>
    <w:rsid w:val="003959AC"/>
    <w:rsid w:val="00395E03"/>
    <w:rsid w:val="00396B93"/>
    <w:rsid w:val="00396DE1"/>
    <w:rsid w:val="00396FB7"/>
    <w:rsid w:val="003A0682"/>
    <w:rsid w:val="003A167D"/>
    <w:rsid w:val="003B715B"/>
    <w:rsid w:val="003C050F"/>
    <w:rsid w:val="003C0716"/>
    <w:rsid w:val="003C3664"/>
    <w:rsid w:val="003C44EE"/>
    <w:rsid w:val="003C7143"/>
    <w:rsid w:val="003D139F"/>
    <w:rsid w:val="003D15FA"/>
    <w:rsid w:val="003D16E4"/>
    <w:rsid w:val="003D41C4"/>
    <w:rsid w:val="003D77FF"/>
    <w:rsid w:val="003D7EC6"/>
    <w:rsid w:val="003E292B"/>
    <w:rsid w:val="003E5364"/>
    <w:rsid w:val="003E594B"/>
    <w:rsid w:val="003F155A"/>
    <w:rsid w:val="003F202D"/>
    <w:rsid w:val="003F303F"/>
    <w:rsid w:val="003F5796"/>
    <w:rsid w:val="003F5965"/>
    <w:rsid w:val="003F69BF"/>
    <w:rsid w:val="00402359"/>
    <w:rsid w:val="004064A8"/>
    <w:rsid w:val="004107FD"/>
    <w:rsid w:val="00417087"/>
    <w:rsid w:val="0042160A"/>
    <w:rsid w:val="0042193A"/>
    <w:rsid w:val="00422E29"/>
    <w:rsid w:val="00424A76"/>
    <w:rsid w:val="00425A13"/>
    <w:rsid w:val="00426B3B"/>
    <w:rsid w:val="00427E73"/>
    <w:rsid w:val="004312BE"/>
    <w:rsid w:val="00431BEF"/>
    <w:rsid w:val="00442854"/>
    <w:rsid w:val="0044400F"/>
    <w:rsid w:val="00453B16"/>
    <w:rsid w:val="0046339D"/>
    <w:rsid w:val="00464BE0"/>
    <w:rsid w:val="00473B14"/>
    <w:rsid w:val="00476B60"/>
    <w:rsid w:val="00476C8A"/>
    <w:rsid w:val="004777D0"/>
    <w:rsid w:val="00486535"/>
    <w:rsid w:val="00490174"/>
    <w:rsid w:val="00490A11"/>
    <w:rsid w:val="004917C1"/>
    <w:rsid w:val="00491C99"/>
    <w:rsid w:val="00495450"/>
    <w:rsid w:val="00495B88"/>
    <w:rsid w:val="004A1805"/>
    <w:rsid w:val="004A5AD6"/>
    <w:rsid w:val="004A5E87"/>
    <w:rsid w:val="004B3099"/>
    <w:rsid w:val="004B43C8"/>
    <w:rsid w:val="004B4C99"/>
    <w:rsid w:val="004C1A8D"/>
    <w:rsid w:val="004C2124"/>
    <w:rsid w:val="004C3EFA"/>
    <w:rsid w:val="004C6030"/>
    <w:rsid w:val="004D04D1"/>
    <w:rsid w:val="004D160C"/>
    <w:rsid w:val="004D1B54"/>
    <w:rsid w:val="004D3108"/>
    <w:rsid w:val="004D46FD"/>
    <w:rsid w:val="004D65F3"/>
    <w:rsid w:val="004E187E"/>
    <w:rsid w:val="004E20CB"/>
    <w:rsid w:val="004E2912"/>
    <w:rsid w:val="004E2B03"/>
    <w:rsid w:val="004E533F"/>
    <w:rsid w:val="004E56D8"/>
    <w:rsid w:val="004E7249"/>
    <w:rsid w:val="004E7324"/>
    <w:rsid w:val="004F01FA"/>
    <w:rsid w:val="004F177E"/>
    <w:rsid w:val="004F2D3D"/>
    <w:rsid w:val="00500FAA"/>
    <w:rsid w:val="00501F10"/>
    <w:rsid w:val="005032B5"/>
    <w:rsid w:val="00504DEF"/>
    <w:rsid w:val="00507063"/>
    <w:rsid w:val="00515521"/>
    <w:rsid w:val="00515937"/>
    <w:rsid w:val="00517AD1"/>
    <w:rsid w:val="00523780"/>
    <w:rsid w:val="00525FCC"/>
    <w:rsid w:val="00526B2A"/>
    <w:rsid w:val="00530D03"/>
    <w:rsid w:val="00530D1B"/>
    <w:rsid w:val="00531226"/>
    <w:rsid w:val="00531409"/>
    <w:rsid w:val="00532A03"/>
    <w:rsid w:val="00535DF7"/>
    <w:rsid w:val="00540F30"/>
    <w:rsid w:val="00540F3D"/>
    <w:rsid w:val="00542107"/>
    <w:rsid w:val="0054470D"/>
    <w:rsid w:val="00553EEB"/>
    <w:rsid w:val="005619B0"/>
    <w:rsid w:val="00564C41"/>
    <w:rsid w:val="0056706A"/>
    <w:rsid w:val="005701DB"/>
    <w:rsid w:val="005755EF"/>
    <w:rsid w:val="005766FB"/>
    <w:rsid w:val="00577322"/>
    <w:rsid w:val="005822CA"/>
    <w:rsid w:val="00582896"/>
    <w:rsid w:val="00584798"/>
    <w:rsid w:val="0059070D"/>
    <w:rsid w:val="00590A1D"/>
    <w:rsid w:val="00592C86"/>
    <w:rsid w:val="005A33D0"/>
    <w:rsid w:val="005A7D92"/>
    <w:rsid w:val="005B083F"/>
    <w:rsid w:val="005B13B6"/>
    <w:rsid w:val="005B250B"/>
    <w:rsid w:val="005B3C00"/>
    <w:rsid w:val="005B6749"/>
    <w:rsid w:val="005B7834"/>
    <w:rsid w:val="005C28EC"/>
    <w:rsid w:val="005C2971"/>
    <w:rsid w:val="005C3634"/>
    <w:rsid w:val="005C571C"/>
    <w:rsid w:val="005D19C4"/>
    <w:rsid w:val="005D2DEE"/>
    <w:rsid w:val="005D3DE0"/>
    <w:rsid w:val="005D442D"/>
    <w:rsid w:val="005D4D0C"/>
    <w:rsid w:val="005D5E04"/>
    <w:rsid w:val="005D6656"/>
    <w:rsid w:val="005D68F9"/>
    <w:rsid w:val="005D706A"/>
    <w:rsid w:val="005E2068"/>
    <w:rsid w:val="005E3007"/>
    <w:rsid w:val="005E5A56"/>
    <w:rsid w:val="005E6321"/>
    <w:rsid w:val="005E6C27"/>
    <w:rsid w:val="005E78AE"/>
    <w:rsid w:val="005F17F5"/>
    <w:rsid w:val="005F38EC"/>
    <w:rsid w:val="005F3B50"/>
    <w:rsid w:val="005F452A"/>
    <w:rsid w:val="005F5064"/>
    <w:rsid w:val="006034D3"/>
    <w:rsid w:val="006052F7"/>
    <w:rsid w:val="0060549E"/>
    <w:rsid w:val="00605680"/>
    <w:rsid w:val="00605D3A"/>
    <w:rsid w:val="00615DDE"/>
    <w:rsid w:val="00616A11"/>
    <w:rsid w:val="006175E0"/>
    <w:rsid w:val="0062087D"/>
    <w:rsid w:val="006215E0"/>
    <w:rsid w:val="00621853"/>
    <w:rsid w:val="006306EB"/>
    <w:rsid w:val="00631220"/>
    <w:rsid w:val="00634393"/>
    <w:rsid w:val="00634A5C"/>
    <w:rsid w:val="006352B9"/>
    <w:rsid w:val="00641596"/>
    <w:rsid w:val="0064329B"/>
    <w:rsid w:val="006441F5"/>
    <w:rsid w:val="00644E60"/>
    <w:rsid w:val="00645B55"/>
    <w:rsid w:val="0064696E"/>
    <w:rsid w:val="00652C21"/>
    <w:rsid w:val="0066237B"/>
    <w:rsid w:val="006656FC"/>
    <w:rsid w:val="0067012A"/>
    <w:rsid w:val="00672122"/>
    <w:rsid w:val="00675607"/>
    <w:rsid w:val="00675986"/>
    <w:rsid w:val="006804A6"/>
    <w:rsid w:val="00683DD4"/>
    <w:rsid w:val="00693ED0"/>
    <w:rsid w:val="00695694"/>
    <w:rsid w:val="006A1268"/>
    <w:rsid w:val="006A21C2"/>
    <w:rsid w:val="006A31D7"/>
    <w:rsid w:val="006A3B47"/>
    <w:rsid w:val="006A7A0A"/>
    <w:rsid w:val="006B59E7"/>
    <w:rsid w:val="006B6459"/>
    <w:rsid w:val="006C1047"/>
    <w:rsid w:val="006C3226"/>
    <w:rsid w:val="006C3904"/>
    <w:rsid w:val="006D4BB7"/>
    <w:rsid w:val="006D51B5"/>
    <w:rsid w:val="006D6741"/>
    <w:rsid w:val="006D75BD"/>
    <w:rsid w:val="006E2E05"/>
    <w:rsid w:val="006E4407"/>
    <w:rsid w:val="006E5AE5"/>
    <w:rsid w:val="006F0479"/>
    <w:rsid w:val="006F3E0F"/>
    <w:rsid w:val="006F44F9"/>
    <w:rsid w:val="00700D66"/>
    <w:rsid w:val="007015FC"/>
    <w:rsid w:val="007019B0"/>
    <w:rsid w:val="0070632D"/>
    <w:rsid w:val="0070690D"/>
    <w:rsid w:val="007114E7"/>
    <w:rsid w:val="0071588F"/>
    <w:rsid w:val="00723542"/>
    <w:rsid w:val="0073239A"/>
    <w:rsid w:val="0073727C"/>
    <w:rsid w:val="00744AF3"/>
    <w:rsid w:val="00747E56"/>
    <w:rsid w:val="00751672"/>
    <w:rsid w:val="0075510C"/>
    <w:rsid w:val="00766B89"/>
    <w:rsid w:val="00766C8E"/>
    <w:rsid w:val="0077255F"/>
    <w:rsid w:val="00775593"/>
    <w:rsid w:val="00782A08"/>
    <w:rsid w:val="0078466F"/>
    <w:rsid w:val="00786153"/>
    <w:rsid w:val="0078629E"/>
    <w:rsid w:val="00790EF3"/>
    <w:rsid w:val="00791ABB"/>
    <w:rsid w:val="00792662"/>
    <w:rsid w:val="00792C70"/>
    <w:rsid w:val="00795D3B"/>
    <w:rsid w:val="007965B0"/>
    <w:rsid w:val="007A04B5"/>
    <w:rsid w:val="007A09EF"/>
    <w:rsid w:val="007A49B5"/>
    <w:rsid w:val="007B1672"/>
    <w:rsid w:val="007B1D2D"/>
    <w:rsid w:val="007B2EA0"/>
    <w:rsid w:val="007B46F9"/>
    <w:rsid w:val="007B4929"/>
    <w:rsid w:val="007B6CFE"/>
    <w:rsid w:val="007C36CE"/>
    <w:rsid w:val="007C74E3"/>
    <w:rsid w:val="007D284B"/>
    <w:rsid w:val="007D3E3E"/>
    <w:rsid w:val="007D40DF"/>
    <w:rsid w:val="007D4B33"/>
    <w:rsid w:val="007D6063"/>
    <w:rsid w:val="007D63A2"/>
    <w:rsid w:val="007E09E5"/>
    <w:rsid w:val="007E27FC"/>
    <w:rsid w:val="007E3130"/>
    <w:rsid w:val="007E31DB"/>
    <w:rsid w:val="007E48F1"/>
    <w:rsid w:val="007E7871"/>
    <w:rsid w:val="007E7E9F"/>
    <w:rsid w:val="007F09F4"/>
    <w:rsid w:val="007F53E5"/>
    <w:rsid w:val="00800921"/>
    <w:rsid w:val="00800F8C"/>
    <w:rsid w:val="00801DEE"/>
    <w:rsid w:val="00803141"/>
    <w:rsid w:val="0081070B"/>
    <w:rsid w:val="008142EB"/>
    <w:rsid w:val="0081669B"/>
    <w:rsid w:val="0081696C"/>
    <w:rsid w:val="0082268C"/>
    <w:rsid w:val="008228F3"/>
    <w:rsid w:val="00823F91"/>
    <w:rsid w:val="00824683"/>
    <w:rsid w:val="00825962"/>
    <w:rsid w:val="008316EF"/>
    <w:rsid w:val="008354C5"/>
    <w:rsid w:val="0083691D"/>
    <w:rsid w:val="00840FD3"/>
    <w:rsid w:val="00841779"/>
    <w:rsid w:val="00843F05"/>
    <w:rsid w:val="008506A0"/>
    <w:rsid w:val="00851A4F"/>
    <w:rsid w:val="0085393D"/>
    <w:rsid w:val="00854E5A"/>
    <w:rsid w:val="008555DA"/>
    <w:rsid w:val="00855E36"/>
    <w:rsid w:val="00866264"/>
    <w:rsid w:val="008663C0"/>
    <w:rsid w:val="008746E1"/>
    <w:rsid w:val="0087572C"/>
    <w:rsid w:val="008803F7"/>
    <w:rsid w:val="0088053B"/>
    <w:rsid w:val="00881C76"/>
    <w:rsid w:val="0088330A"/>
    <w:rsid w:val="00886889"/>
    <w:rsid w:val="0088763C"/>
    <w:rsid w:val="00892B45"/>
    <w:rsid w:val="00893108"/>
    <w:rsid w:val="00893B0E"/>
    <w:rsid w:val="00893F0B"/>
    <w:rsid w:val="00894839"/>
    <w:rsid w:val="00897367"/>
    <w:rsid w:val="0089761B"/>
    <w:rsid w:val="008A0235"/>
    <w:rsid w:val="008A60E2"/>
    <w:rsid w:val="008A64D3"/>
    <w:rsid w:val="008A6528"/>
    <w:rsid w:val="008B1003"/>
    <w:rsid w:val="008B170D"/>
    <w:rsid w:val="008B1A8B"/>
    <w:rsid w:val="008B2564"/>
    <w:rsid w:val="008B282A"/>
    <w:rsid w:val="008B2B8B"/>
    <w:rsid w:val="008C0525"/>
    <w:rsid w:val="008C402B"/>
    <w:rsid w:val="008C42BE"/>
    <w:rsid w:val="008C77AB"/>
    <w:rsid w:val="008D4CB0"/>
    <w:rsid w:val="008D543F"/>
    <w:rsid w:val="008D6D09"/>
    <w:rsid w:val="008D761F"/>
    <w:rsid w:val="008D768A"/>
    <w:rsid w:val="008E3BE1"/>
    <w:rsid w:val="008E5A53"/>
    <w:rsid w:val="008F013A"/>
    <w:rsid w:val="008F050A"/>
    <w:rsid w:val="008F22F9"/>
    <w:rsid w:val="008F3104"/>
    <w:rsid w:val="008F554F"/>
    <w:rsid w:val="008F6AC3"/>
    <w:rsid w:val="00903664"/>
    <w:rsid w:val="00903C3C"/>
    <w:rsid w:val="009077E3"/>
    <w:rsid w:val="00910EF2"/>
    <w:rsid w:val="00913B17"/>
    <w:rsid w:val="009166DD"/>
    <w:rsid w:val="0091672D"/>
    <w:rsid w:val="00921886"/>
    <w:rsid w:val="00922660"/>
    <w:rsid w:val="00922FE6"/>
    <w:rsid w:val="00927397"/>
    <w:rsid w:val="00927EFF"/>
    <w:rsid w:val="0093170C"/>
    <w:rsid w:val="0093219E"/>
    <w:rsid w:val="009342E4"/>
    <w:rsid w:val="009445E9"/>
    <w:rsid w:val="00946367"/>
    <w:rsid w:val="00947175"/>
    <w:rsid w:val="009542EA"/>
    <w:rsid w:val="0095567D"/>
    <w:rsid w:val="00961314"/>
    <w:rsid w:val="00961CF8"/>
    <w:rsid w:val="009634B4"/>
    <w:rsid w:val="009639BE"/>
    <w:rsid w:val="009643E3"/>
    <w:rsid w:val="009649FC"/>
    <w:rsid w:val="00965EC1"/>
    <w:rsid w:val="00965F82"/>
    <w:rsid w:val="009660C3"/>
    <w:rsid w:val="00966FB7"/>
    <w:rsid w:val="00971C93"/>
    <w:rsid w:val="0098237A"/>
    <w:rsid w:val="00982B8E"/>
    <w:rsid w:val="009830C8"/>
    <w:rsid w:val="00983B9A"/>
    <w:rsid w:val="009870EF"/>
    <w:rsid w:val="009877CF"/>
    <w:rsid w:val="00987B98"/>
    <w:rsid w:val="00995E0A"/>
    <w:rsid w:val="009A3D79"/>
    <w:rsid w:val="009A475D"/>
    <w:rsid w:val="009A5C49"/>
    <w:rsid w:val="009B07D8"/>
    <w:rsid w:val="009B1C06"/>
    <w:rsid w:val="009B37BF"/>
    <w:rsid w:val="009B44FC"/>
    <w:rsid w:val="009C22D0"/>
    <w:rsid w:val="009D2EB5"/>
    <w:rsid w:val="009D33F4"/>
    <w:rsid w:val="009D353B"/>
    <w:rsid w:val="009D5A08"/>
    <w:rsid w:val="009E41AD"/>
    <w:rsid w:val="009E5C59"/>
    <w:rsid w:val="009E69A1"/>
    <w:rsid w:val="009F24FB"/>
    <w:rsid w:val="009F4939"/>
    <w:rsid w:val="009F620C"/>
    <w:rsid w:val="009F7BD8"/>
    <w:rsid w:val="00A022C7"/>
    <w:rsid w:val="00A02D20"/>
    <w:rsid w:val="00A0627A"/>
    <w:rsid w:val="00A107BC"/>
    <w:rsid w:val="00A13B0F"/>
    <w:rsid w:val="00A21506"/>
    <w:rsid w:val="00A22653"/>
    <w:rsid w:val="00A23BC5"/>
    <w:rsid w:val="00A24F45"/>
    <w:rsid w:val="00A345AE"/>
    <w:rsid w:val="00A409B8"/>
    <w:rsid w:val="00A4383B"/>
    <w:rsid w:val="00A4428B"/>
    <w:rsid w:val="00A446F4"/>
    <w:rsid w:val="00A44E44"/>
    <w:rsid w:val="00A470ED"/>
    <w:rsid w:val="00A475EE"/>
    <w:rsid w:val="00A523A9"/>
    <w:rsid w:val="00A52E9C"/>
    <w:rsid w:val="00A56CCE"/>
    <w:rsid w:val="00A67786"/>
    <w:rsid w:val="00A67C1E"/>
    <w:rsid w:val="00A7050E"/>
    <w:rsid w:val="00A72E7C"/>
    <w:rsid w:val="00A761ED"/>
    <w:rsid w:val="00A76B1D"/>
    <w:rsid w:val="00A81BC3"/>
    <w:rsid w:val="00A83C9F"/>
    <w:rsid w:val="00A86505"/>
    <w:rsid w:val="00A92461"/>
    <w:rsid w:val="00AA00A9"/>
    <w:rsid w:val="00AA0438"/>
    <w:rsid w:val="00AA1DE2"/>
    <w:rsid w:val="00AA6434"/>
    <w:rsid w:val="00AA6585"/>
    <w:rsid w:val="00AA7B5D"/>
    <w:rsid w:val="00AB31AF"/>
    <w:rsid w:val="00AB3A78"/>
    <w:rsid w:val="00AC1292"/>
    <w:rsid w:val="00AC4DB7"/>
    <w:rsid w:val="00AC7513"/>
    <w:rsid w:val="00AC7D0F"/>
    <w:rsid w:val="00AC7FED"/>
    <w:rsid w:val="00AD0497"/>
    <w:rsid w:val="00AD0503"/>
    <w:rsid w:val="00AD0929"/>
    <w:rsid w:val="00AD27BC"/>
    <w:rsid w:val="00AD403A"/>
    <w:rsid w:val="00AD507E"/>
    <w:rsid w:val="00AE00BA"/>
    <w:rsid w:val="00AE191F"/>
    <w:rsid w:val="00AE22DE"/>
    <w:rsid w:val="00AE3E93"/>
    <w:rsid w:val="00AE6D1F"/>
    <w:rsid w:val="00AE71EB"/>
    <w:rsid w:val="00AF2068"/>
    <w:rsid w:val="00AF477C"/>
    <w:rsid w:val="00AF7EAE"/>
    <w:rsid w:val="00B03092"/>
    <w:rsid w:val="00B049BC"/>
    <w:rsid w:val="00B0541E"/>
    <w:rsid w:val="00B1189B"/>
    <w:rsid w:val="00B13849"/>
    <w:rsid w:val="00B21132"/>
    <w:rsid w:val="00B23067"/>
    <w:rsid w:val="00B23533"/>
    <w:rsid w:val="00B2590D"/>
    <w:rsid w:val="00B26140"/>
    <w:rsid w:val="00B26946"/>
    <w:rsid w:val="00B32E66"/>
    <w:rsid w:val="00B34848"/>
    <w:rsid w:val="00B40019"/>
    <w:rsid w:val="00B4099A"/>
    <w:rsid w:val="00B40E21"/>
    <w:rsid w:val="00B41924"/>
    <w:rsid w:val="00B45676"/>
    <w:rsid w:val="00B45F71"/>
    <w:rsid w:val="00B5018B"/>
    <w:rsid w:val="00B57687"/>
    <w:rsid w:val="00B625D9"/>
    <w:rsid w:val="00B62986"/>
    <w:rsid w:val="00B665D7"/>
    <w:rsid w:val="00B70860"/>
    <w:rsid w:val="00B71271"/>
    <w:rsid w:val="00B71D02"/>
    <w:rsid w:val="00B73C5C"/>
    <w:rsid w:val="00B73C77"/>
    <w:rsid w:val="00B73F61"/>
    <w:rsid w:val="00B75649"/>
    <w:rsid w:val="00B7644B"/>
    <w:rsid w:val="00B810E7"/>
    <w:rsid w:val="00B87994"/>
    <w:rsid w:val="00B9036B"/>
    <w:rsid w:val="00B922CF"/>
    <w:rsid w:val="00B94E3D"/>
    <w:rsid w:val="00BA40C6"/>
    <w:rsid w:val="00BA47D2"/>
    <w:rsid w:val="00BA61F7"/>
    <w:rsid w:val="00BB08DD"/>
    <w:rsid w:val="00BB1FBB"/>
    <w:rsid w:val="00BB3104"/>
    <w:rsid w:val="00BB352A"/>
    <w:rsid w:val="00BB4CD3"/>
    <w:rsid w:val="00BB7304"/>
    <w:rsid w:val="00BC09A1"/>
    <w:rsid w:val="00BC2D8F"/>
    <w:rsid w:val="00BC2DE6"/>
    <w:rsid w:val="00BC549A"/>
    <w:rsid w:val="00BC6AEF"/>
    <w:rsid w:val="00BC7240"/>
    <w:rsid w:val="00BC7AF5"/>
    <w:rsid w:val="00BD24DE"/>
    <w:rsid w:val="00BD42F1"/>
    <w:rsid w:val="00BE1D82"/>
    <w:rsid w:val="00BE5F2D"/>
    <w:rsid w:val="00BE6352"/>
    <w:rsid w:val="00BF56A7"/>
    <w:rsid w:val="00BF5F04"/>
    <w:rsid w:val="00BF72A4"/>
    <w:rsid w:val="00C01896"/>
    <w:rsid w:val="00C01A74"/>
    <w:rsid w:val="00C052E4"/>
    <w:rsid w:val="00C077F4"/>
    <w:rsid w:val="00C10931"/>
    <w:rsid w:val="00C1140C"/>
    <w:rsid w:val="00C1195C"/>
    <w:rsid w:val="00C136F0"/>
    <w:rsid w:val="00C150A5"/>
    <w:rsid w:val="00C21F78"/>
    <w:rsid w:val="00C224B0"/>
    <w:rsid w:val="00C25C02"/>
    <w:rsid w:val="00C27A38"/>
    <w:rsid w:val="00C302A8"/>
    <w:rsid w:val="00C322C5"/>
    <w:rsid w:val="00C34D87"/>
    <w:rsid w:val="00C3582B"/>
    <w:rsid w:val="00C369AF"/>
    <w:rsid w:val="00C37F96"/>
    <w:rsid w:val="00C419F9"/>
    <w:rsid w:val="00C426F5"/>
    <w:rsid w:val="00C45D4C"/>
    <w:rsid w:val="00C47400"/>
    <w:rsid w:val="00C477B5"/>
    <w:rsid w:val="00C50451"/>
    <w:rsid w:val="00C546D2"/>
    <w:rsid w:val="00C6113E"/>
    <w:rsid w:val="00C61510"/>
    <w:rsid w:val="00C61561"/>
    <w:rsid w:val="00C643E9"/>
    <w:rsid w:val="00C6456D"/>
    <w:rsid w:val="00C6581D"/>
    <w:rsid w:val="00C6634A"/>
    <w:rsid w:val="00C7068E"/>
    <w:rsid w:val="00C73912"/>
    <w:rsid w:val="00C741D9"/>
    <w:rsid w:val="00C769EE"/>
    <w:rsid w:val="00C84029"/>
    <w:rsid w:val="00C848DA"/>
    <w:rsid w:val="00C86201"/>
    <w:rsid w:val="00C908AD"/>
    <w:rsid w:val="00C920E5"/>
    <w:rsid w:val="00C945B6"/>
    <w:rsid w:val="00C94BB9"/>
    <w:rsid w:val="00C95C9F"/>
    <w:rsid w:val="00CA1E0E"/>
    <w:rsid w:val="00CA3087"/>
    <w:rsid w:val="00CA4D6A"/>
    <w:rsid w:val="00CA5941"/>
    <w:rsid w:val="00CA5BA3"/>
    <w:rsid w:val="00CA6E87"/>
    <w:rsid w:val="00CB0D2B"/>
    <w:rsid w:val="00CB495C"/>
    <w:rsid w:val="00CB4F5E"/>
    <w:rsid w:val="00CB6A72"/>
    <w:rsid w:val="00CB7D37"/>
    <w:rsid w:val="00CC0C98"/>
    <w:rsid w:val="00CC3CC1"/>
    <w:rsid w:val="00CC419E"/>
    <w:rsid w:val="00CC49DA"/>
    <w:rsid w:val="00CC50BD"/>
    <w:rsid w:val="00CC5E96"/>
    <w:rsid w:val="00CD2395"/>
    <w:rsid w:val="00CD3D7C"/>
    <w:rsid w:val="00CD4A78"/>
    <w:rsid w:val="00CD6B6A"/>
    <w:rsid w:val="00CE2384"/>
    <w:rsid w:val="00CE3E5F"/>
    <w:rsid w:val="00CE43B4"/>
    <w:rsid w:val="00CE52BC"/>
    <w:rsid w:val="00CE68C6"/>
    <w:rsid w:val="00CF3BB0"/>
    <w:rsid w:val="00CF7138"/>
    <w:rsid w:val="00D02084"/>
    <w:rsid w:val="00D02AB8"/>
    <w:rsid w:val="00D03ED2"/>
    <w:rsid w:val="00D050DE"/>
    <w:rsid w:val="00D077EC"/>
    <w:rsid w:val="00D13B06"/>
    <w:rsid w:val="00D1728D"/>
    <w:rsid w:val="00D1783C"/>
    <w:rsid w:val="00D21BFC"/>
    <w:rsid w:val="00D21D55"/>
    <w:rsid w:val="00D21EF9"/>
    <w:rsid w:val="00D22F4A"/>
    <w:rsid w:val="00D23330"/>
    <w:rsid w:val="00D32326"/>
    <w:rsid w:val="00D33638"/>
    <w:rsid w:val="00D34B76"/>
    <w:rsid w:val="00D35F74"/>
    <w:rsid w:val="00D4029A"/>
    <w:rsid w:val="00D416A5"/>
    <w:rsid w:val="00D41BB7"/>
    <w:rsid w:val="00D50C56"/>
    <w:rsid w:val="00D5488B"/>
    <w:rsid w:val="00D55074"/>
    <w:rsid w:val="00D55AA4"/>
    <w:rsid w:val="00D5720C"/>
    <w:rsid w:val="00D60D82"/>
    <w:rsid w:val="00D6261D"/>
    <w:rsid w:val="00D645D2"/>
    <w:rsid w:val="00D6598A"/>
    <w:rsid w:val="00D6599A"/>
    <w:rsid w:val="00D65F4B"/>
    <w:rsid w:val="00D66D89"/>
    <w:rsid w:val="00D671F6"/>
    <w:rsid w:val="00D71653"/>
    <w:rsid w:val="00D72436"/>
    <w:rsid w:val="00D75C53"/>
    <w:rsid w:val="00D765D1"/>
    <w:rsid w:val="00D8063C"/>
    <w:rsid w:val="00D8302B"/>
    <w:rsid w:val="00D846DE"/>
    <w:rsid w:val="00D91EAF"/>
    <w:rsid w:val="00D926F9"/>
    <w:rsid w:val="00D93182"/>
    <w:rsid w:val="00D961B5"/>
    <w:rsid w:val="00DA30DC"/>
    <w:rsid w:val="00DA71C4"/>
    <w:rsid w:val="00DA7FD6"/>
    <w:rsid w:val="00DB1328"/>
    <w:rsid w:val="00DB47C6"/>
    <w:rsid w:val="00DB6B55"/>
    <w:rsid w:val="00DB7EE0"/>
    <w:rsid w:val="00DC0033"/>
    <w:rsid w:val="00DC0ADA"/>
    <w:rsid w:val="00DC0E41"/>
    <w:rsid w:val="00DC38DA"/>
    <w:rsid w:val="00DC4452"/>
    <w:rsid w:val="00DC57C3"/>
    <w:rsid w:val="00DD2411"/>
    <w:rsid w:val="00DD24A0"/>
    <w:rsid w:val="00DD3E7F"/>
    <w:rsid w:val="00DE0ECC"/>
    <w:rsid w:val="00DE1193"/>
    <w:rsid w:val="00DE2348"/>
    <w:rsid w:val="00DE3943"/>
    <w:rsid w:val="00DE562E"/>
    <w:rsid w:val="00DE5928"/>
    <w:rsid w:val="00DE6FB0"/>
    <w:rsid w:val="00DE7714"/>
    <w:rsid w:val="00DE77F8"/>
    <w:rsid w:val="00DF0138"/>
    <w:rsid w:val="00DF294A"/>
    <w:rsid w:val="00DF57F5"/>
    <w:rsid w:val="00E00EAF"/>
    <w:rsid w:val="00E0236A"/>
    <w:rsid w:val="00E0575E"/>
    <w:rsid w:val="00E0730D"/>
    <w:rsid w:val="00E11739"/>
    <w:rsid w:val="00E12F72"/>
    <w:rsid w:val="00E15A2D"/>
    <w:rsid w:val="00E15B2B"/>
    <w:rsid w:val="00E179C9"/>
    <w:rsid w:val="00E2376D"/>
    <w:rsid w:val="00E23F95"/>
    <w:rsid w:val="00E26247"/>
    <w:rsid w:val="00E267A5"/>
    <w:rsid w:val="00E32DA2"/>
    <w:rsid w:val="00E35AC9"/>
    <w:rsid w:val="00E40D52"/>
    <w:rsid w:val="00E413A9"/>
    <w:rsid w:val="00E4163F"/>
    <w:rsid w:val="00E4241A"/>
    <w:rsid w:val="00E4291E"/>
    <w:rsid w:val="00E463E1"/>
    <w:rsid w:val="00E5003A"/>
    <w:rsid w:val="00E514FA"/>
    <w:rsid w:val="00E51D1F"/>
    <w:rsid w:val="00E52738"/>
    <w:rsid w:val="00E56529"/>
    <w:rsid w:val="00E56843"/>
    <w:rsid w:val="00E6135C"/>
    <w:rsid w:val="00E62108"/>
    <w:rsid w:val="00E6277D"/>
    <w:rsid w:val="00E659AC"/>
    <w:rsid w:val="00E66725"/>
    <w:rsid w:val="00E67591"/>
    <w:rsid w:val="00E67A2A"/>
    <w:rsid w:val="00E728B0"/>
    <w:rsid w:val="00E73959"/>
    <w:rsid w:val="00E75758"/>
    <w:rsid w:val="00E75BC0"/>
    <w:rsid w:val="00E84257"/>
    <w:rsid w:val="00E85ECC"/>
    <w:rsid w:val="00E9292D"/>
    <w:rsid w:val="00EA0E43"/>
    <w:rsid w:val="00EA2B0E"/>
    <w:rsid w:val="00EA319E"/>
    <w:rsid w:val="00EA56F6"/>
    <w:rsid w:val="00EA77CE"/>
    <w:rsid w:val="00EA7984"/>
    <w:rsid w:val="00EA7F13"/>
    <w:rsid w:val="00EB0F21"/>
    <w:rsid w:val="00EB1948"/>
    <w:rsid w:val="00EB1DAB"/>
    <w:rsid w:val="00EB1EEE"/>
    <w:rsid w:val="00EB37D1"/>
    <w:rsid w:val="00EC0D7D"/>
    <w:rsid w:val="00EC15BD"/>
    <w:rsid w:val="00EC28AA"/>
    <w:rsid w:val="00EC38D5"/>
    <w:rsid w:val="00EC41CE"/>
    <w:rsid w:val="00EC477B"/>
    <w:rsid w:val="00EC6CEC"/>
    <w:rsid w:val="00ED0F47"/>
    <w:rsid w:val="00ED2956"/>
    <w:rsid w:val="00ED4FE1"/>
    <w:rsid w:val="00ED50A4"/>
    <w:rsid w:val="00EE34BE"/>
    <w:rsid w:val="00EE7E40"/>
    <w:rsid w:val="00EF6C7F"/>
    <w:rsid w:val="00F174BC"/>
    <w:rsid w:val="00F2180F"/>
    <w:rsid w:val="00F31732"/>
    <w:rsid w:val="00F31F04"/>
    <w:rsid w:val="00F327E2"/>
    <w:rsid w:val="00F32D26"/>
    <w:rsid w:val="00F34A38"/>
    <w:rsid w:val="00F358DC"/>
    <w:rsid w:val="00F375FF"/>
    <w:rsid w:val="00F42860"/>
    <w:rsid w:val="00F44487"/>
    <w:rsid w:val="00F46DBB"/>
    <w:rsid w:val="00F50C2B"/>
    <w:rsid w:val="00F51FA3"/>
    <w:rsid w:val="00F566E6"/>
    <w:rsid w:val="00F67159"/>
    <w:rsid w:val="00F702DD"/>
    <w:rsid w:val="00F70710"/>
    <w:rsid w:val="00F721A2"/>
    <w:rsid w:val="00F72B51"/>
    <w:rsid w:val="00F734B6"/>
    <w:rsid w:val="00F76C50"/>
    <w:rsid w:val="00F7706E"/>
    <w:rsid w:val="00F8054A"/>
    <w:rsid w:val="00F84427"/>
    <w:rsid w:val="00F85050"/>
    <w:rsid w:val="00F86303"/>
    <w:rsid w:val="00F95BD7"/>
    <w:rsid w:val="00F9649E"/>
    <w:rsid w:val="00FA1741"/>
    <w:rsid w:val="00FA2BEA"/>
    <w:rsid w:val="00FA3895"/>
    <w:rsid w:val="00FA53B2"/>
    <w:rsid w:val="00FA6242"/>
    <w:rsid w:val="00FA643C"/>
    <w:rsid w:val="00FA7894"/>
    <w:rsid w:val="00FB23E3"/>
    <w:rsid w:val="00FC18AE"/>
    <w:rsid w:val="00FC4DCA"/>
    <w:rsid w:val="00FC4DD1"/>
    <w:rsid w:val="00FD0684"/>
    <w:rsid w:val="00FD1DCC"/>
    <w:rsid w:val="00FD2E3D"/>
    <w:rsid w:val="00FD64D4"/>
    <w:rsid w:val="00FE07B5"/>
    <w:rsid w:val="00FE2456"/>
    <w:rsid w:val="00FE51AD"/>
    <w:rsid w:val="00FE5CAF"/>
    <w:rsid w:val="00FE6157"/>
    <w:rsid w:val="00FE74BE"/>
    <w:rsid w:val="00FF0B73"/>
    <w:rsid w:val="00FF17C7"/>
    <w:rsid w:val="00FF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qFormat/>
    <w:rsid w:val="00E85ECC"/>
    <w:rPr>
      <w:sz w:val="20"/>
      <w:szCs w:val="20"/>
    </w:rPr>
  </w:style>
  <w:style w:type="character" w:styleId="FootnoteReference">
    <w:name w:val="footnote reference"/>
    <w:basedOn w:val="DefaultParagraphFont"/>
    <w:uiPriority w:val="99"/>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table" w:styleId="TableGrid">
    <w:name w:val="Table Grid"/>
    <w:basedOn w:val="TableNormal"/>
    <w:uiPriority w:val="59"/>
    <w:rsid w:val="00927EFF"/>
    <w:pPr>
      <w:ind w:firstLine="72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11">
    <w:name w:val="pmterms11"/>
    <w:basedOn w:val="DefaultParagraphFont"/>
    <w:rsid w:val="0010644A"/>
    <w:rPr>
      <w:b/>
      <w:bCs/>
      <w:i w:val="0"/>
      <w:iCs w:val="0"/>
      <w:color w:val="000000"/>
    </w:rPr>
  </w:style>
  <w:style w:type="paragraph" w:styleId="BodyText3">
    <w:name w:val="Body Text 3"/>
    <w:basedOn w:val="Normal"/>
    <w:link w:val="BodyText3Char"/>
    <w:rsid w:val="00800921"/>
    <w:pPr>
      <w:spacing w:after="120"/>
    </w:pPr>
    <w:rPr>
      <w:sz w:val="16"/>
      <w:szCs w:val="16"/>
    </w:rPr>
  </w:style>
  <w:style w:type="character" w:customStyle="1" w:styleId="BodyText3Char">
    <w:name w:val="Body Text 3 Char"/>
    <w:basedOn w:val="DefaultParagraphFont"/>
    <w:link w:val="BodyText3"/>
    <w:rsid w:val="00800921"/>
    <w:rPr>
      <w:sz w:val="16"/>
      <w:szCs w:val="16"/>
    </w:rPr>
  </w:style>
  <w:style w:type="paragraph" w:styleId="NoSpacing">
    <w:name w:val="No Spacing"/>
    <w:uiPriority w:val="1"/>
    <w:qFormat/>
    <w:rsid w:val="00800921"/>
    <w:rPr>
      <w:rFonts w:eastAsia="Calibri"/>
      <w:sz w:val="24"/>
    </w:rPr>
  </w:style>
  <w:style w:type="character" w:customStyle="1" w:styleId="term1">
    <w:name w:val="term1"/>
    <w:basedOn w:val="DefaultParagraphFont"/>
    <w:rsid w:val="008C402B"/>
    <w:rPr>
      <w:b/>
      <w:bCs/>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A7F13"/>
  </w:style>
  <w:style w:type="paragraph" w:styleId="PlainText">
    <w:name w:val="Plain Text"/>
    <w:basedOn w:val="Normal"/>
    <w:link w:val="PlainTextChar"/>
    <w:uiPriority w:val="99"/>
    <w:unhideWhenUsed/>
    <w:rsid w:val="00AA6585"/>
    <w:rPr>
      <w:rFonts w:ascii="Consolas" w:eastAsia="Calibri" w:hAnsi="Consolas"/>
      <w:sz w:val="21"/>
      <w:szCs w:val="21"/>
    </w:rPr>
  </w:style>
  <w:style w:type="character" w:customStyle="1" w:styleId="PlainTextChar">
    <w:name w:val="Plain Text Char"/>
    <w:basedOn w:val="DefaultParagraphFont"/>
    <w:link w:val="PlainText"/>
    <w:uiPriority w:val="99"/>
    <w:rsid w:val="00AA6585"/>
    <w:rPr>
      <w:rFonts w:ascii="Consolas" w:eastAsia="Calibri" w:hAnsi="Consolas"/>
      <w:sz w:val="21"/>
      <w:szCs w:val="21"/>
    </w:rPr>
  </w:style>
  <w:style w:type="character" w:styleId="CommentReference">
    <w:name w:val="annotation reference"/>
    <w:basedOn w:val="DefaultParagraphFont"/>
    <w:rsid w:val="002E7F3C"/>
    <w:rPr>
      <w:sz w:val="16"/>
      <w:szCs w:val="16"/>
    </w:rPr>
  </w:style>
  <w:style w:type="paragraph" w:styleId="CommentText">
    <w:name w:val="annotation text"/>
    <w:basedOn w:val="Normal"/>
    <w:link w:val="CommentTextChar"/>
    <w:rsid w:val="002E7F3C"/>
    <w:rPr>
      <w:sz w:val="20"/>
      <w:szCs w:val="20"/>
    </w:rPr>
  </w:style>
  <w:style w:type="character" w:customStyle="1" w:styleId="CommentTextChar">
    <w:name w:val="Comment Text Char"/>
    <w:basedOn w:val="DefaultParagraphFont"/>
    <w:link w:val="CommentText"/>
    <w:rsid w:val="002E7F3C"/>
  </w:style>
  <w:style w:type="paragraph" w:styleId="CommentSubject">
    <w:name w:val="annotation subject"/>
    <w:basedOn w:val="CommentText"/>
    <w:next w:val="CommentText"/>
    <w:link w:val="CommentSubjectChar"/>
    <w:rsid w:val="002E7F3C"/>
    <w:rPr>
      <w:b/>
      <w:bCs/>
    </w:rPr>
  </w:style>
  <w:style w:type="character" w:customStyle="1" w:styleId="CommentSubjectChar">
    <w:name w:val="Comment Subject Char"/>
    <w:basedOn w:val="CommentTextChar"/>
    <w:link w:val="CommentSubject"/>
    <w:rsid w:val="002E7F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qFormat/>
    <w:rsid w:val="00E85ECC"/>
    <w:rPr>
      <w:sz w:val="20"/>
      <w:szCs w:val="20"/>
    </w:rPr>
  </w:style>
  <w:style w:type="character" w:styleId="FootnoteReference">
    <w:name w:val="footnote reference"/>
    <w:basedOn w:val="DefaultParagraphFont"/>
    <w:uiPriority w:val="99"/>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table" w:styleId="TableGrid">
    <w:name w:val="Table Grid"/>
    <w:basedOn w:val="TableNormal"/>
    <w:uiPriority w:val="59"/>
    <w:rsid w:val="00927EFF"/>
    <w:pPr>
      <w:ind w:firstLine="72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11">
    <w:name w:val="pmterms11"/>
    <w:basedOn w:val="DefaultParagraphFont"/>
    <w:rsid w:val="0010644A"/>
    <w:rPr>
      <w:b/>
      <w:bCs/>
      <w:i w:val="0"/>
      <w:iCs w:val="0"/>
      <w:color w:val="000000"/>
    </w:rPr>
  </w:style>
  <w:style w:type="paragraph" w:styleId="BodyText3">
    <w:name w:val="Body Text 3"/>
    <w:basedOn w:val="Normal"/>
    <w:link w:val="BodyText3Char"/>
    <w:rsid w:val="00800921"/>
    <w:pPr>
      <w:spacing w:after="120"/>
    </w:pPr>
    <w:rPr>
      <w:sz w:val="16"/>
      <w:szCs w:val="16"/>
    </w:rPr>
  </w:style>
  <w:style w:type="character" w:customStyle="1" w:styleId="BodyText3Char">
    <w:name w:val="Body Text 3 Char"/>
    <w:basedOn w:val="DefaultParagraphFont"/>
    <w:link w:val="BodyText3"/>
    <w:rsid w:val="00800921"/>
    <w:rPr>
      <w:sz w:val="16"/>
      <w:szCs w:val="16"/>
    </w:rPr>
  </w:style>
  <w:style w:type="paragraph" w:styleId="NoSpacing">
    <w:name w:val="No Spacing"/>
    <w:uiPriority w:val="1"/>
    <w:qFormat/>
    <w:rsid w:val="00800921"/>
    <w:rPr>
      <w:rFonts w:eastAsia="Calibri"/>
      <w:sz w:val="24"/>
    </w:rPr>
  </w:style>
  <w:style w:type="character" w:customStyle="1" w:styleId="term1">
    <w:name w:val="term1"/>
    <w:basedOn w:val="DefaultParagraphFont"/>
    <w:rsid w:val="008C402B"/>
    <w:rPr>
      <w:b/>
      <w:bCs/>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A7F13"/>
  </w:style>
  <w:style w:type="paragraph" w:styleId="PlainText">
    <w:name w:val="Plain Text"/>
    <w:basedOn w:val="Normal"/>
    <w:link w:val="PlainTextChar"/>
    <w:uiPriority w:val="99"/>
    <w:unhideWhenUsed/>
    <w:rsid w:val="00AA6585"/>
    <w:rPr>
      <w:rFonts w:ascii="Consolas" w:eastAsia="Calibri" w:hAnsi="Consolas"/>
      <w:sz w:val="21"/>
      <w:szCs w:val="21"/>
    </w:rPr>
  </w:style>
  <w:style w:type="character" w:customStyle="1" w:styleId="PlainTextChar">
    <w:name w:val="Plain Text Char"/>
    <w:basedOn w:val="DefaultParagraphFont"/>
    <w:link w:val="PlainText"/>
    <w:uiPriority w:val="99"/>
    <w:rsid w:val="00AA6585"/>
    <w:rPr>
      <w:rFonts w:ascii="Consolas" w:eastAsia="Calibri" w:hAnsi="Consolas"/>
      <w:sz w:val="21"/>
      <w:szCs w:val="21"/>
    </w:rPr>
  </w:style>
  <w:style w:type="character" w:styleId="CommentReference">
    <w:name w:val="annotation reference"/>
    <w:basedOn w:val="DefaultParagraphFont"/>
    <w:rsid w:val="002E7F3C"/>
    <w:rPr>
      <w:sz w:val="16"/>
      <w:szCs w:val="16"/>
    </w:rPr>
  </w:style>
  <w:style w:type="paragraph" w:styleId="CommentText">
    <w:name w:val="annotation text"/>
    <w:basedOn w:val="Normal"/>
    <w:link w:val="CommentTextChar"/>
    <w:rsid w:val="002E7F3C"/>
    <w:rPr>
      <w:sz w:val="20"/>
      <w:szCs w:val="20"/>
    </w:rPr>
  </w:style>
  <w:style w:type="character" w:customStyle="1" w:styleId="CommentTextChar">
    <w:name w:val="Comment Text Char"/>
    <w:basedOn w:val="DefaultParagraphFont"/>
    <w:link w:val="CommentText"/>
    <w:rsid w:val="002E7F3C"/>
  </w:style>
  <w:style w:type="paragraph" w:styleId="CommentSubject">
    <w:name w:val="annotation subject"/>
    <w:basedOn w:val="CommentText"/>
    <w:next w:val="CommentText"/>
    <w:link w:val="CommentSubjectChar"/>
    <w:rsid w:val="002E7F3C"/>
    <w:rPr>
      <w:b/>
      <w:bCs/>
    </w:rPr>
  </w:style>
  <w:style w:type="character" w:customStyle="1" w:styleId="CommentSubjectChar">
    <w:name w:val="Comment Subject Char"/>
    <w:basedOn w:val="CommentTextChar"/>
    <w:link w:val="CommentSubject"/>
    <w:rsid w:val="002E7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5b27324c01f33687d675e6bffe6acef6&amp;_xfercite=%3ccite%20cc%3d%22USA%22%3e%3c%21%5bCDATA%5b2015%20Pa.%20PUC%20LEXIS%20414%5d%5d%3e%3c%2fcite%3e&amp;_butType=3&amp;_butStat=2&amp;_butNum=6&amp;_butInline=1&amp;_butinfo=%3ccite%20cc%3d%22USA%22%3e%3c%21%5bCDATA%5b602%20A.2d%20863%5d%5d%3e%3c%2fcite%3e&amp;_fmtstr=FULL&amp;docnum=6&amp;_startdoc=1&amp;wchp=dGLzVzk-zSkAz&amp;_md5=0a7784f8f26ce5dba6c6f8b36373e157" TargetMode="External"/><Relationship Id="rId18" Type="http://schemas.openxmlformats.org/officeDocument/2006/relationships/hyperlink" Target="http://www.lexis.com/research/buttonTFLink?_m=f380f269a2a3e199c101fcf115190722&amp;_xfercite=%3ccite%20cc%3d%22USA%22%3e%3c%21%5bCDATA%5b138%20A.3d%20119%5d%5d%3e%3c%2fcite%3e&amp;_butType=3&amp;_butStat=2&amp;_butNum=78&amp;_butInline=1&amp;_butinfo=%3ccite%20cc%3d%22USA%22%3e%3c%21%5bCDATA%5b82%20A.3d%201098%2c%201109%5d%5d%3e%3c%2fcite%3e&amp;_fmtstr=FULL&amp;docnum=2&amp;_startdoc=1&amp;wchp=dGLzVzB-zSkAb&amp;_md5=f9d45cdbcaae6ad015755515105a0baa" TargetMode="External"/><Relationship Id="rId26" Type="http://schemas.openxmlformats.org/officeDocument/2006/relationships/hyperlink" Target="http://www.lexis.com/research/buttonTFLink?_m=5b27324c01f33687d675e6bffe6acef6&amp;_xfercite=%3ccite%20cc%3d%22USA%22%3e%3c%21%5bCDATA%5b2015%20Pa.%20PUC%20LEXIS%20414%5d%5d%3e%3c%2fcite%3e&amp;_butType=3&amp;_butStat=2&amp;_butNum=20&amp;_butInline=1&amp;_butinfo=%3ccite%20cc%3d%22USA%22%3e%3c%21%5bCDATA%5b159%20Pa.%20Commw.%20583%5d%5d%3e%3c%2fcite%3e&amp;_fmtstr=FULL&amp;docnum=6&amp;_startdoc=1&amp;wchp=dGLzVzk-zSkAz&amp;_md5=5a15490b9415e431f4e4090e785a9ef1" TargetMode="External"/><Relationship Id="rId3" Type="http://schemas.openxmlformats.org/officeDocument/2006/relationships/styles" Target="styles.xml"/><Relationship Id="rId21" Type="http://schemas.openxmlformats.org/officeDocument/2006/relationships/hyperlink" Target="http://www.lexis.com/research/buttonTFLink?_m=5b27324c01f33687d675e6bffe6acef6&amp;_xfercite=%3ccite%20cc%3d%22USA%22%3e%3c%21%5bCDATA%5b2015%20Pa.%20PUC%20LEXIS%20414%5d%5d%3e%3c%2fcite%3e&amp;_butType=3&amp;_butStat=2&amp;_butNum=13&amp;_butInline=1&amp;_butinfo=%3ccite%20cc%3d%22USA%22%3e%3c%21%5bCDATA%5b480%20A.2d%20382%5d%5d%3e%3c%2fcite%3e&amp;_fmtstr=FULL&amp;docnum=6&amp;_startdoc=1&amp;wchp=dGLzVzk-zSkAz&amp;_md5=babe630d350d0c6a6ed2604cd7775dc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exis.com/research/buttonTFLink?_m=5b27324c01f33687d675e6bffe6acef6&amp;_xfercite=%3ccite%20cc%3d%22USA%22%3e%3c%21%5bCDATA%5b2015%20Pa.%20PUC%20LEXIS%20414%5d%5d%3e%3c%2fcite%3e&amp;_butType=3&amp;_butStat=2&amp;_butNum=5&amp;_butInline=1&amp;_butinfo=%3ccite%20cc%3d%22USA%22%3e%3c%21%5bCDATA%5b578%20A.2d%20600%5d%5d%3e%3c%2fcite%3e&amp;_fmtstr=FULL&amp;docnum=6&amp;_startdoc=1&amp;wchp=dGLzVzk-zSkAz&amp;_md5=991d86502b4b9e0782b7e7da84afcb9c" TargetMode="External"/><Relationship Id="rId17" Type="http://schemas.openxmlformats.org/officeDocument/2006/relationships/hyperlink" Target="http://www.lexis.com/research/buttonTFLink?_m=5b27324c01f33687d675e6bffe6acef6&amp;_xfercite=%3ccite%20cc%3d%22USA%22%3e%3c%21%5bCDATA%5b2015%20Pa.%20PUC%20LEXIS%20414%5d%5d%3e%3c%2fcite%3e&amp;_butType=4&amp;_butStat=0&amp;_butNum=10&amp;_butInline=1&amp;_butinfo=2%20PACS%20704&amp;_fmtstr=FULL&amp;docnum=6&amp;_startdoc=1&amp;wchp=dGLzVzk-zSkAz&amp;_md5=173c5edc74951ae2fd02927efdd781cb" TargetMode="External"/><Relationship Id="rId25" Type="http://schemas.openxmlformats.org/officeDocument/2006/relationships/hyperlink" Target="http://www.lexis.com/research/buttonTFLink?_m=26bbd905ee485af470094aed9e76ec25&amp;_xfercite=%3ccite%20cc%3d%22USA%22%3e%3c%21%5bCDATA%5b2015%20Pa.%20PUC%20LEXIS%20586%5d%5d%3e%3c%2fcite%3e&amp;_butType=3&amp;_butStat=2&amp;_butNum=15&amp;_butInline=1&amp;_butinfo=%3ccite%20cc%3d%22USA%22%3e%3c%21%5bCDATA%5b501%20Pa.%20443%5d%5d%3e%3c%2fcite%3e&amp;_fmtstr=FULL&amp;docnum=3&amp;_startdoc=1&amp;wchp=dGLbVzt-zSkAA&amp;_md5=6f3e1807207986c0663ba3d305bf7f6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xis.com/research/buttonTFLink?_m=5b27324c01f33687d675e6bffe6acef6&amp;_xfercite=%3ccite%20cc%3d%22USA%22%3e%3c%21%5bCDATA%5b2015%20Pa.%20PUC%20LEXIS%20414%5d%5d%3e%3c%2fcite%3e&amp;_butType=3&amp;_butStat=2&amp;_butNum=9&amp;_butInline=1&amp;_butinfo=%3ccite%20cc%3d%22USA%22%3e%3c%21%5bCDATA%5b623%20A.2d%206%5d%5d%3e%3c%2fcite%3e&amp;_fmtstr=FULL&amp;docnum=6&amp;_startdoc=1&amp;wchp=dGLzVzk-zSkAz&amp;_md5=fc2e0ed2e76c55df884b84e1bc8a3649" TargetMode="External"/><Relationship Id="rId20" Type="http://schemas.openxmlformats.org/officeDocument/2006/relationships/hyperlink" Target="http://www.lexis.com/research/buttonTFLink?_m=5b27324c01f33687d675e6bffe6acef6&amp;_xfercite=%3ccite%20cc%3d%22USA%22%3e%3c%21%5bCDATA%5b2015%20Pa.%20PUC%20LEXIS%20414%5d%5d%3e%3c%2fcite%3e&amp;_butType=3&amp;_butStat=2&amp;_butNum=12&amp;_butInline=1&amp;_butinfo=%3ccite%20cc%3d%22USA%22%3e%3c%21%5bCDATA%5b166%20A.2d%2096%5d%5d%3e%3c%2fcite%3e&amp;_fmtstr=FULL&amp;docnum=6&amp;_startdoc=1&amp;wchp=dGLzVzk-zSkAz&amp;_md5=616e959b2e40bb52643c6dc4203a4420" TargetMode="External"/><Relationship Id="rId29" Type="http://schemas.openxmlformats.org/officeDocument/2006/relationships/hyperlink" Target="http://www.lexis.com/research/buttonTFLink?_m=93b39b7a5efcb212bfd3ff17e25d4218&amp;_xfercite=%3ccite%20cc%3d%22USA%22%3e%3c%21%5bCDATA%5b2014%20Pa.%20PUC%20LEXIS%20672%5d%5d%3e%3c%2fcite%3e&amp;_butType=3&amp;_butStat=2&amp;_butNum=21&amp;_butInline=1&amp;_butinfo=%3ccite%20cc%3d%22USA%22%3e%3c%21%5bCDATA%5b146%20A.2d%20657%5d%5d%3e%3c%2fcite%3e&amp;_fmtstr=FULL&amp;docnum=14&amp;_startdoc=11&amp;wchp=dGLzVzk-zSkAz&amp;_md5=5a8c17df2333c77138ca0798b4483a4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5b27324c01f33687d675e6bffe6acef6&amp;_xfercite=%3ccite%20cc%3d%22USA%22%3e%3c%21%5bCDATA%5b2015%20Pa.%20PUC%20LEXIS%20414%5d%5d%3e%3c%2fcite%3e&amp;_butType=3&amp;_butStat=2&amp;_butNum=4&amp;_butInline=1&amp;_butinfo=%3ccite%20cc%3d%22USA%22%3e%3c%21%5bCDATA%5b50%20Pa.%20PUC%20300%5d%5d%3e%3c%2fcite%3e&amp;_fmtstr=FULL&amp;docnum=6&amp;_startdoc=1&amp;wchp=dGLzVzk-zSkAz&amp;_md5=965c7cf79435c98942a779f2b29472d9" TargetMode="External"/><Relationship Id="rId24" Type="http://schemas.openxmlformats.org/officeDocument/2006/relationships/hyperlink" Target="http://www.lexis.com/research/buttonTFLink?_m=26bbd905ee485af470094aed9e76ec25&amp;_xfercite=%3ccite%20cc%3d%22USA%22%3e%3c%21%5bCDATA%5b2015%20Pa.%20PUC%20LEXIS%20586%5d%5d%3e%3c%2fcite%3e&amp;_butType=3&amp;_butStat=2&amp;_butNum=14&amp;_butInline=1&amp;_butinfo=%3ccite%20cc%3d%22USA%22%3e%3c%21%5bCDATA%5b443%20A.2d%201373%5d%5d%3e%3c%2fcite%3e&amp;_fmtstr=FULL&amp;docnum=3&amp;_startdoc=1&amp;wchp=dGLbVzt-zSkAA&amp;_md5=5215323be188c5e566c0c1a1bdf1f8c8"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exis.com/research/buttonTFLink?_m=5b27324c01f33687d675e6bffe6acef6&amp;_xfercite=%3ccite%20cc%3d%22USA%22%3e%3c%21%5bCDATA%5b2015%20Pa.%20PUC%20LEXIS%20414%5d%5d%3e%3c%2fcite%3e&amp;_butType=3&amp;_butStat=2&amp;_butNum=8&amp;_butInline=1&amp;_butinfo=%3ccite%20cc%3d%22USA%22%3e%3c%21%5bCDATA%5b447%20A.2d%201100%5d%5d%3e%3c%2fcite%3e&amp;_fmtstr=FULL&amp;docnum=6&amp;_startdoc=1&amp;wchp=dGLzVzk-zSkAz&amp;_md5=8c451d1fac9ded6135f2fc11a9c10abe" TargetMode="External"/><Relationship Id="rId23" Type="http://schemas.openxmlformats.org/officeDocument/2006/relationships/hyperlink" Target="http://www.lexis.com/research/buttonTFLink?_m=26bbd905ee485af470094aed9e76ec25&amp;_xfercite=%3ccite%20cc%3d%22USA%22%3e%3c%21%5bCDATA%5b2015%20Pa.%20PUC%20LEXIS%20586%5d%5d%3e%3c%2fcite%3e&amp;_butType=3&amp;_butStat=2&amp;_butNum=13&amp;_butInline=1&amp;_butinfo=%3ccite%20cc%3d%22USA%22%3e%3c%21%5bCDATA%5b424%20Pa.%2087%5d%5d%3e%3c%2fcite%3e&amp;_fmtstr=FULL&amp;docnum=3&amp;_startdoc=1&amp;wchp=dGLbVzt-zSkAA&amp;_md5=f467d9e18154d1e1a7ac4088bc4e7966" TargetMode="External"/><Relationship Id="rId28" Type="http://schemas.openxmlformats.org/officeDocument/2006/relationships/hyperlink" Target="http://www.lexis.com/research/buttonTFLink?_m=c715d53d5fec6760c47037b521aae449&amp;_xfercite=%3ccite%20cc%3d%22USA%22%3e%3c%21%5bCDATA%5b2016%20Pa.%20PUC%20LEXIS%20229%5d%5d%3e%3c%2fcite%3e&amp;_butType=3&amp;_butStat=2&amp;_butNum=7&amp;_butInline=1&amp;_butinfo=%3ccite%20cc%3d%22USA%22%3e%3c%21%5bCDATA%5b80%20Pa.%20PUC%20663%2cat%20672%5d%5d%3e%3c%2fcite%3e&amp;_fmtstr=FULL&amp;docnum=1&amp;_startdoc=1&amp;wchp=dGLzVzk-zSkAz&amp;_md5=0e2030a3df3154d9544e30809bb68200" TargetMode="External"/><Relationship Id="rId10" Type="http://schemas.openxmlformats.org/officeDocument/2006/relationships/hyperlink" Target="http://www.lexis.com/research/buttonTFLink?_m=5b27324c01f33687d675e6bffe6acef6&amp;_xfercite=%3ccite%20cc%3d%22USA%22%3e%3c%21%5bCDATA%5b2015%20Pa.%20PUC%20LEXIS%20414%5d%5d%3e%3c%2fcite%3e&amp;_butType=3&amp;_butStat=2&amp;_butNum=3&amp;_butInline=1&amp;_butinfo=%3ccite%20cc%3d%22USA%22%3e%3c%21%5bCDATA%5b72%20Pa.%20PUC%20196%5d%5d%3e%3c%2fcite%3e&amp;_fmtstr=FULL&amp;docnum=6&amp;_startdoc=1&amp;wchp=dGLzVzk-zSkAz&amp;_md5=9ba2c3b3e33c3948bad855f62c247fa3" TargetMode="External"/><Relationship Id="rId19" Type="http://schemas.openxmlformats.org/officeDocument/2006/relationships/hyperlink" Target="http://www.lexis.com/research/buttonTFLink?_m=5b27324c01f33687d675e6bffe6acef6&amp;_xfercite=%3ccite%20cc%3d%22USA%22%3e%3c%21%5bCDATA%5b2015%20Pa.%20PUC%20LEXIS%20414%5d%5d%3e%3c%2fcite%3e&amp;_butType=3&amp;_butStat=2&amp;_butNum=11&amp;_butInline=1&amp;_butinfo=%3ccite%20cc%3d%22USA%22%3e%3c%21%5bCDATA%5b489%20Pa.%20109%5d%5d%3e%3c%2fcite%3e&amp;_fmtstr=FULL&amp;docnum=6&amp;_startdoc=1&amp;wchp=dGLzVzk-zSkAz&amp;_md5=421edb29ae1d016172c27a279ed5a107"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xis.com/research/buttonTFLink?_m=5b27324c01f33687d675e6bffe6acef6&amp;_xfercite=%3ccite%20cc%3d%22USA%22%3e%3c%21%5bCDATA%5b2015%20Pa.%20PUC%20LEXIS%20414%5d%5d%3e%3c%2fcite%3e&amp;_butType=4&amp;_butStat=0&amp;_butNum=2&amp;_butInline=1&amp;_butinfo=66%20PACS%20332&amp;_fmtstr=FULL&amp;docnum=6&amp;_startdoc=1&amp;wchp=dGLzVzk-zSkAz&amp;_md5=1d7d498c6807390cc1becb332963a177" TargetMode="External"/><Relationship Id="rId14" Type="http://schemas.openxmlformats.org/officeDocument/2006/relationships/hyperlink" Target="http://www.lexis.com/research/buttonTFLink?_m=5b27324c01f33687d675e6bffe6acef6&amp;_xfercite=%3ccite%20cc%3d%22USA%22%3e%3c%21%5bCDATA%5b2015%20Pa.%20PUC%20LEXIS%20414%5d%5d%3e%3c%2fcite%3e&amp;_butType=3&amp;_butStat=2&amp;_butNum=7&amp;_butInline=1&amp;_butinfo=%3ccite%20cc%3d%22USA%22%3e%3c%21%5bCDATA%5b364%20Pa.%2045%5d%5d%3e%3c%2fcite%3e&amp;_fmtstr=FULL&amp;docnum=6&amp;_startdoc=1&amp;wchp=dGLzVzk-zSkAz&amp;_md5=410e9564f412d6f1373b0383f2a9c2ed" TargetMode="External"/><Relationship Id="rId22" Type="http://schemas.openxmlformats.org/officeDocument/2006/relationships/hyperlink" Target="http://www.lexis.com/research/buttonTFLink?_m=5b27324c01f33687d675e6bffe6acef6&amp;_xfercite=%3ccite%20cc%3d%22USA%22%3e%3c%21%5bCDATA%5b2015%20Pa.%20PUC%20LEXIS%20414%5d%5d%3e%3c%2fcite%3e&amp;_butType=3&amp;_butStat=2&amp;_butNum=16&amp;_butInline=1&amp;_butinfo=%3ccite%20cc%3d%22USA%22%3e%3c%21%5bCDATA%5b2000%20PA%20Super%20178%5d%5d%3e%3c%2fcite%3e&amp;_fmtstr=FULL&amp;docnum=6&amp;_startdoc=1&amp;wchp=dGLzVzk-zSkAz&amp;_md5=b689723844e45056e123b08f75af79dc" TargetMode="External"/><Relationship Id="rId27" Type="http://schemas.openxmlformats.org/officeDocument/2006/relationships/hyperlink" Target="http://www.lexis.com/research/buttonTFLink?_m=5b27324c01f33687d675e6bffe6acef6&amp;_xfercite=%3ccite%20cc%3d%22USA%22%3e%3c%21%5bCDATA%5b2015%20Pa.%20PUC%20LEXIS%20414%5d%5d%3e%3c%2fcite%3e&amp;_butType=3&amp;_butStat=2&amp;_butNum=21&amp;_butInline=1&amp;_butinfo=%3ccite%20cc%3d%22USA%22%3e%3c%21%5bCDATA%5b633%20A.2d%201325%5d%5d%3e%3c%2fcite%3e&amp;_fmtstr=FULL&amp;docnum=6&amp;_startdoc=1&amp;wchp=dGLzVzk-zSkAz&amp;_md5=c23670d07d7552e49cd6c88eb928e766" TargetMode="External"/><Relationship Id="rId30"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lexis.com/research/buttonTFLink?_m=113c65595eb1deac11c729b8eb039d09&amp;_xfercite=%3ccite%20cc%3d%22USA%22%3e%3c%21%5bCDATA%5b995%20A.2d%20465%5d%5d%3e%3c%2fcite%3e&amp;_butType=4&amp;_butStat=0&amp;_butNum=143&amp;_butInline=1&amp;_butinfo=66%20PA.C.S.%20335&amp;_fmtstr=FULL&amp;docnum=1&amp;_startdoc=1&amp;wchp=dGLbVzt-zSkAA&amp;_md5=7243ddaba1d14896818fcab1fdec3fdd" TargetMode="External"/><Relationship Id="rId2" Type="http://schemas.openxmlformats.org/officeDocument/2006/relationships/hyperlink" Target="http://www.lexis.com/research/buttonTFLink?_m=f380f269a2a3e199c101fcf115190722&amp;_xfercite=%3ccite%20cc%3d%22USA%22%3e%3c%21%5bCDATA%5b138%20A.3d%20119%5d%5d%3e%3c%2fcite%3e&amp;_butType=3&amp;_butStat=2&amp;_butNum=77&amp;_butInline=1&amp;_butinfo=%3ccite%20cc%3d%22USA%22%3e%3c%21%5bCDATA%5b440%20A.2d%201267%2c%201272%5d%5d%3e%3c%2fcite%3e&amp;_fmtstr=FULL&amp;docnum=2&amp;_startdoc=1&amp;wchp=dGLzVzB-zSkAb&amp;_md5=813708f21ece2a5ecca4c3ec90f6b81c" TargetMode="External"/><Relationship Id="rId1" Type="http://schemas.openxmlformats.org/officeDocument/2006/relationships/hyperlink" Target="http://www.lexis.com/research/buttonTFLink?_m=f380f269a2a3e199c101fcf115190722&amp;_xfercite=%3ccite%20cc%3d%22USA%22%3e%3c%21%5bCDATA%5b138%20A.3d%20119%5d%5d%3e%3c%2fcite%3e&amp;_butType=3&amp;_butStat=2&amp;_butNum=76&amp;_butInline=1&amp;_butinfo=%3ccite%20cc%3d%22USA%22%3e%3c%21%5bCDATA%5b17%20A.3d%20425%2c%20429%5d%5d%3e%3c%2fcite%3e&amp;_fmtstr=FULL&amp;docnum=2&amp;_startdoc=1&amp;wchp=dGLzVzB-zSkAb&amp;_md5=43887ef28c3d07e769d657421dd2f8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849A5-43F5-41AA-99B4-0EEBAE37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9571</Words>
  <Characters>54558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Farner, Joyce</cp:lastModifiedBy>
  <cp:revision>6</cp:revision>
  <cp:lastPrinted>2017-01-26T17:09:00Z</cp:lastPrinted>
  <dcterms:created xsi:type="dcterms:W3CDTF">2017-01-12T21:49:00Z</dcterms:created>
  <dcterms:modified xsi:type="dcterms:W3CDTF">2017-01-26T17:09:00Z</dcterms:modified>
</cp:coreProperties>
</file>