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173893" w:rsidRPr="00BF09A6" w:rsidTr="001E69A1">
        <w:trPr>
          <w:cantSplit/>
          <w:trHeight w:hRule="exact" w:val="1296"/>
          <w:jc w:val="center"/>
        </w:trPr>
        <w:tc>
          <w:tcPr>
            <w:tcW w:w="1610" w:type="dxa"/>
          </w:tcPr>
          <w:p w:rsidR="00173893" w:rsidRPr="00BF09A6" w:rsidRDefault="00173893" w:rsidP="001E69A1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BF09A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7F82B66C" wp14:editId="549D41D2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173893" w:rsidRPr="00BF09A6" w:rsidRDefault="00173893" w:rsidP="001E69A1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BF09A6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BF09A6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  <w:r w:rsidRPr="00BF09A6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</w:tc>
        <w:tc>
          <w:tcPr>
            <w:tcW w:w="1609" w:type="dxa"/>
            <w:vAlign w:val="center"/>
          </w:tcPr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2"/>
              </w:rPr>
            </w:pPr>
          </w:p>
          <w:p w:rsidR="00173893" w:rsidRPr="00BF09A6" w:rsidRDefault="00173893" w:rsidP="001E69A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BF09A6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262756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January 27, 2017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Docket No</w:t>
      </w:r>
      <w:r w:rsidR="009762B6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43103D">
        <w:rPr>
          <w:sz w:val="21"/>
          <w:szCs w:val="21"/>
        </w:rPr>
        <w:t>R-</w:t>
      </w:r>
      <w:r w:rsidR="009762B6">
        <w:rPr>
          <w:sz w:val="21"/>
          <w:szCs w:val="21"/>
        </w:rPr>
        <w:t>2016-2537349</w:t>
      </w:r>
    </w:p>
    <w:p w:rsidR="009762B6" w:rsidRDefault="009762B6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R-2016-2537352</w:t>
      </w:r>
    </w:p>
    <w:p w:rsidR="009762B6" w:rsidRDefault="009762B6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R-2016-2537355</w:t>
      </w:r>
    </w:p>
    <w:p w:rsidR="009762B6" w:rsidRDefault="009762B6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R-2016-2537359</w:t>
      </w:r>
    </w:p>
    <w:p w:rsidR="009762B6" w:rsidRDefault="009762B6" w:rsidP="009762B6">
      <w:pPr>
        <w:rPr>
          <w:sz w:val="21"/>
          <w:szCs w:val="21"/>
        </w:rPr>
      </w:pPr>
      <w:r>
        <w:rPr>
          <w:sz w:val="21"/>
          <w:szCs w:val="21"/>
        </w:rPr>
        <w:t>CHARLES V FULLEM</w:t>
      </w:r>
    </w:p>
    <w:p w:rsidR="009762B6" w:rsidRDefault="009762B6" w:rsidP="009762B6">
      <w:pPr>
        <w:rPr>
          <w:sz w:val="21"/>
          <w:szCs w:val="21"/>
        </w:rPr>
      </w:pPr>
      <w:r>
        <w:rPr>
          <w:sz w:val="21"/>
          <w:szCs w:val="21"/>
        </w:rPr>
        <w:t>2800 POTTSVILLE PIKE</w:t>
      </w:r>
    </w:p>
    <w:p w:rsidR="009762B6" w:rsidRDefault="009762B6" w:rsidP="009762B6">
      <w:pPr>
        <w:rPr>
          <w:sz w:val="21"/>
          <w:szCs w:val="21"/>
        </w:rPr>
      </w:pPr>
      <w:r>
        <w:rPr>
          <w:sz w:val="21"/>
          <w:szCs w:val="21"/>
        </w:rPr>
        <w:t>PO BOX 16001</w:t>
      </w:r>
    </w:p>
    <w:p w:rsidR="009762B6" w:rsidRDefault="009762B6" w:rsidP="009762B6">
      <w:pPr>
        <w:rPr>
          <w:sz w:val="21"/>
          <w:szCs w:val="21"/>
        </w:rPr>
      </w:pPr>
      <w:r>
        <w:rPr>
          <w:sz w:val="21"/>
          <w:szCs w:val="21"/>
        </w:rPr>
        <w:t>READING PA  19612-6001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9762B6">
        <w:rPr>
          <w:sz w:val="21"/>
          <w:szCs w:val="21"/>
        </w:rPr>
        <w:t xml:space="preserve">First Energy General Base Rate Case Compliance Filings 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9762B6">
        <w:rPr>
          <w:sz w:val="21"/>
          <w:szCs w:val="21"/>
        </w:rPr>
        <w:t>Mr. Fullem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8A13CE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9762B6">
        <w:rPr>
          <w:sz w:val="21"/>
          <w:szCs w:val="21"/>
        </w:rPr>
        <w:t>January 19, 2017</w:t>
      </w:r>
      <w:r w:rsidR="004C741D">
        <w:rPr>
          <w:sz w:val="21"/>
          <w:szCs w:val="21"/>
        </w:rPr>
        <w:t xml:space="preserve">, the Commission </w:t>
      </w:r>
      <w:r w:rsidR="006861B6">
        <w:rPr>
          <w:sz w:val="21"/>
          <w:szCs w:val="21"/>
        </w:rPr>
        <w:t xml:space="preserve">authorized </w:t>
      </w:r>
      <w:r w:rsidR="009762B6">
        <w:rPr>
          <w:sz w:val="21"/>
          <w:szCs w:val="21"/>
        </w:rPr>
        <w:t xml:space="preserve">the First Energy Companies </w:t>
      </w:r>
      <w:r w:rsidR="006861B6">
        <w:rPr>
          <w:sz w:val="21"/>
          <w:szCs w:val="21"/>
        </w:rPr>
        <w:t xml:space="preserve">to file </w:t>
      </w:r>
      <w:r w:rsidR="00130671">
        <w:rPr>
          <w:sz w:val="21"/>
          <w:szCs w:val="21"/>
        </w:rPr>
        <w:t>tariff supplement</w:t>
      </w:r>
      <w:r w:rsidR="004F03EC">
        <w:rPr>
          <w:sz w:val="21"/>
          <w:szCs w:val="21"/>
        </w:rPr>
        <w:t>s</w:t>
      </w:r>
      <w:r w:rsidR="00130671">
        <w:rPr>
          <w:sz w:val="21"/>
          <w:szCs w:val="21"/>
        </w:rPr>
        <w:t xml:space="preserve"> </w:t>
      </w:r>
      <w:r w:rsidR="00255B27">
        <w:rPr>
          <w:sz w:val="21"/>
          <w:szCs w:val="21"/>
        </w:rPr>
        <w:t>in</w:t>
      </w:r>
      <w:r w:rsidR="009762B6">
        <w:rPr>
          <w:sz w:val="21"/>
          <w:szCs w:val="21"/>
        </w:rPr>
        <w:t>corporating the terms of</w:t>
      </w:r>
      <w:r w:rsidR="00255B27">
        <w:rPr>
          <w:sz w:val="21"/>
          <w:szCs w:val="21"/>
        </w:rPr>
        <w:t xml:space="preserve"> the Joint</w:t>
      </w:r>
      <w:r w:rsidR="009762B6">
        <w:rPr>
          <w:sz w:val="21"/>
          <w:szCs w:val="21"/>
        </w:rPr>
        <w:t xml:space="preserve"> Petition for Partial</w:t>
      </w:r>
      <w:r w:rsidR="00255B27">
        <w:rPr>
          <w:sz w:val="21"/>
          <w:szCs w:val="21"/>
        </w:rPr>
        <w:t xml:space="preserve"> Settlement</w:t>
      </w:r>
      <w:r w:rsidR="009762B6">
        <w:rPr>
          <w:sz w:val="21"/>
          <w:szCs w:val="21"/>
        </w:rPr>
        <w:t xml:space="preserve"> and changes to rates, rules and regulations as set forth in Exhibit 1 of the Joint Petition for Partial Settlement </w:t>
      </w:r>
      <w:r w:rsidR="00255B27">
        <w:rPr>
          <w:sz w:val="21"/>
          <w:szCs w:val="21"/>
        </w:rPr>
        <w:t>filed in the above docketed rate investigation</w:t>
      </w:r>
      <w:r w:rsidR="008A13CE">
        <w:rPr>
          <w:sz w:val="21"/>
          <w:szCs w:val="21"/>
        </w:rPr>
        <w:t>s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8A13CE">
        <w:rPr>
          <w:sz w:val="21"/>
          <w:szCs w:val="21"/>
        </w:rPr>
        <w:t>January 25, 2017</w:t>
      </w:r>
      <w:r w:rsidR="006861B6">
        <w:rPr>
          <w:sz w:val="21"/>
          <w:szCs w:val="21"/>
        </w:rPr>
        <w:t xml:space="preserve">, </w:t>
      </w:r>
      <w:r w:rsidR="008A13CE">
        <w:rPr>
          <w:sz w:val="21"/>
          <w:szCs w:val="21"/>
        </w:rPr>
        <w:t>the First Energy Companies filed the following tariff supplements, each to become effective on January 27, 2017, in</w:t>
      </w:r>
      <w:r w:rsidR="004F03EC">
        <w:rPr>
          <w:sz w:val="21"/>
          <w:szCs w:val="21"/>
        </w:rPr>
        <w:t xml:space="preserve"> </w:t>
      </w:r>
      <w:r w:rsidR="008A13CE">
        <w:rPr>
          <w:sz w:val="21"/>
          <w:szCs w:val="21"/>
        </w:rPr>
        <w:t>compliance with the Order:</w:t>
      </w:r>
    </w:p>
    <w:p w:rsidR="008A13CE" w:rsidRDefault="008A13CE" w:rsidP="00DD2FE2">
      <w:pPr>
        <w:rPr>
          <w:sz w:val="21"/>
          <w:szCs w:val="21"/>
        </w:rPr>
      </w:pPr>
    </w:p>
    <w:p w:rsidR="008A13CE" w:rsidRDefault="008A13CE" w:rsidP="008A13CE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8A13CE">
        <w:rPr>
          <w:sz w:val="21"/>
          <w:szCs w:val="21"/>
        </w:rPr>
        <w:t>Metropolitan Edison Company</w:t>
      </w:r>
      <w:r w:rsidR="004F5F75" w:rsidRPr="008A13CE">
        <w:rPr>
          <w:sz w:val="21"/>
          <w:szCs w:val="21"/>
        </w:rPr>
        <w:t xml:space="preserve"> filed Supplement No. </w:t>
      </w:r>
      <w:r w:rsidRPr="008A13CE">
        <w:rPr>
          <w:sz w:val="21"/>
          <w:szCs w:val="21"/>
        </w:rPr>
        <w:t>35</w:t>
      </w:r>
      <w:r w:rsidR="004F5F75" w:rsidRPr="008A13CE">
        <w:rPr>
          <w:sz w:val="21"/>
          <w:szCs w:val="21"/>
        </w:rPr>
        <w:t xml:space="preserve"> to </w:t>
      </w:r>
      <w:r w:rsidRPr="008A13CE">
        <w:rPr>
          <w:sz w:val="21"/>
          <w:szCs w:val="21"/>
        </w:rPr>
        <w:t xml:space="preserve">Electric </w:t>
      </w:r>
      <w:r w:rsidR="005056CA" w:rsidRPr="008A13CE">
        <w:rPr>
          <w:sz w:val="21"/>
          <w:szCs w:val="21"/>
        </w:rPr>
        <w:t>-</w:t>
      </w:r>
      <w:r w:rsidRPr="008A13CE">
        <w:rPr>
          <w:sz w:val="21"/>
          <w:szCs w:val="21"/>
        </w:rPr>
        <w:t xml:space="preserve"> </w:t>
      </w:r>
      <w:r w:rsidR="004F5F75" w:rsidRPr="008A13CE">
        <w:rPr>
          <w:sz w:val="21"/>
          <w:szCs w:val="21"/>
        </w:rPr>
        <w:t xml:space="preserve">Pa. P.U.C. No. </w:t>
      </w:r>
      <w:r>
        <w:rPr>
          <w:sz w:val="21"/>
          <w:szCs w:val="21"/>
        </w:rPr>
        <w:t>5</w:t>
      </w:r>
      <w:r w:rsidRPr="008A13CE">
        <w:rPr>
          <w:sz w:val="21"/>
          <w:szCs w:val="21"/>
        </w:rPr>
        <w:t>2</w:t>
      </w:r>
      <w:r>
        <w:rPr>
          <w:sz w:val="21"/>
          <w:szCs w:val="21"/>
        </w:rPr>
        <w:t>,</w:t>
      </w:r>
      <w:r w:rsidR="00E8069B" w:rsidRPr="008A13CE">
        <w:rPr>
          <w:sz w:val="21"/>
          <w:szCs w:val="21"/>
        </w:rPr>
        <w:t xml:space="preserve"> </w:t>
      </w:r>
      <w:r>
        <w:rPr>
          <w:sz w:val="21"/>
          <w:szCs w:val="21"/>
        </w:rPr>
        <w:t>designed to produce an annual increase in base rate operating revenues of not more than $90.5 million</w:t>
      </w:r>
    </w:p>
    <w:p w:rsidR="00E8069B" w:rsidRDefault="008A13CE" w:rsidP="008A13CE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Pennsylvania Electric Company </w:t>
      </w:r>
      <w:r w:rsidRPr="008A13CE">
        <w:rPr>
          <w:sz w:val="21"/>
          <w:szCs w:val="21"/>
        </w:rPr>
        <w:t xml:space="preserve">filed Supplement No. 35 to Electric - Pa. P.U.C. No. </w:t>
      </w:r>
      <w:r>
        <w:rPr>
          <w:sz w:val="21"/>
          <w:szCs w:val="21"/>
        </w:rPr>
        <w:t>81,</w:t>
      </w:r>
      <w:r w:rsidRPr="008A13CE">
        <w:rPr>
          <w:sz w:val="21"/>
          <w:szCs w:val="21"/>
        </w:rPr>
        <w:t xml:space="preserve"> </w:t>
      </w:r>
      <w:r>
        <w:rPr>
          <w:sz w:val="21"/>
          <w:szCs w:val="21"/>
        </w:rPr>
        <w:t>designed to produce an annual increase in base rate operating revenues of not more than $94.6 million</w:t>
      </w:r>
      <w:r w:rsidR="00E8069B" w:rsidRPr="008A13CE">
        <w:rPr>
          <w:sz w:val="21"/>
          <w:szCs w:val="21"/>
        </w:rPr>
        <w:t xml:space="preserve">  </w:t>
      </w:r>
    </w:p>
    <w:p w:rsidR="00063823" w:rsidRDefault="00063823" w:rsidP="008A13CE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Pennsylvania Power Company </w:t>
      </w:r>
      <w:r w:rsidRPr="008A13CE">
        <w:rPr>
          <w:sz w:val="21"/>
          <w:szCs w:val="21"/>
        </w:rPr>
        <w:t xml:space="preserve">filed Supplement No. </w:t>
      </w:r>
      <w:r>
        <w:rPr>
          <w:sz w:val="21"/>
          <w:szCs w:val="21"/>
        </w:rPr>
        <w:t>27</w:t>
      </w:r>
      <w:r w:rsidRPr="008A13CE">
        <w:rPr>
          <w:sz w:val="21"/>
          <w:szCs w:val="21"/>
        </w:rPr>
        <w:t xml:space="preserve"> to Electric - Pa. P.U.C. No. </w:t>
      </w:r>
      <w:r>
        <w:rPr>
          <w:sz w:val="21"/>
          <w:szCs w:val="21"/>
        </w:rPr>
        <w:t>36,</w:t>
      </w:r>
      <w:r w:rsidRPr="008A13C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designed to produce an annual increase in base rate operating revenues of not more than $27.5 million </w:t>
      </w:r>
    </w:p>
    <w:p w:rsidR="00063823" w:rsidRPr="008A13CE" w:rsidRDefault="00063823" w:rsidP="008A13CE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West Penn Power Company </w:t>
      </w:r>
      <w:r w:rsidRPr="008A13CE">
        <w:rPr>
          <w:sz w:val="21"/>
          <w:szCs w:val="21"/>
        </w:rPr>
        <w:t xml:space="preserve">filed Supplement No. </w:t>
      </w:r>
      <w:r>
        <w:rPr>
          <w:sz w:val="21"/>
          <w:szCs w:val="21"/>
        </w:rPr>
        <w:t>1</w:t>
      </w:r>
      <w:r w:rsidRPr="008A13CE">
        <w:rPr>
          <w:sz w:val="21"/>
          <w:szCs w:val="21"/>
        </w:rPr>
        <w:t xml:space="preserve">5 to Electric - Pa. P.U.C. No. </w:t>
      </w:r>
      <w:r>
        <w:rPr>
          <w:sz w:val="21"/>
          <w:szCs w:val="21"/>
        </w:rPr>
        <w:t xml:space="preserve">38 and </w:t>
      </w:r>
      <w:r w:rsidRPr="008A13CE">
        <w:rPr>
          <w:sz w:val="21"/>
          <w:szCs w:val="21"/>
        </w:rPr>
        <w:t xml:space="preserve">Supplement No. </w:t>
      </w:r>
      <w:r>
        <w:rPr>
          <w:sz w:val="21"/>
          <w:szCs w:val="21"/>
        </w:rPr>
        <w:t>26</w:t>
      </w:r>
      <w:r w:rsidRPr="008A13CE">
        <w:rPr>
          <w:sz w:val="21"/>
          <w:szCs w:val="21"/>
        </w:rPr>
        <w:t xml:space="preserve"> to Electric - Pa. P.U.C. No. </w:t>
      </w:r>
      <w:r>
        <w:rPr>
          <w:sz w:val="21"/>
          <w:szCs w:val="21"/>
        </w:rPr>
        <w:t>40,</w:t>
      </w:r>
      <w:r w:rsidRPr="008A13CE">
        <w:rPr>
          <w:sz w:val="21"/>
          <w:szCs w:val="21"/>
        </w:rPr>
        <w:t xml:space="preserve"> </w:t>
      </w:r>
      <w:r>
        <w:rPr>
          <w:sz w:val="21"/>
          <w:szCs w:val="21"/>
        </w:rPr>
        <w:t>designed to produce an annual increase in base rate operating revenues of not more than $60.6 million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FE6910">
        <w:rPr>
          <w:sz w:val="21"/>
          <w:szCs w:val="21"/>
        </w:rPr>
        <w:t xml:space="preserve">the supplements are </w:t>
      </w:r>
      <w:r w:rsidR="00A4155F">
        <w:rPr>
          <w:sz w:val="21"/>
          <w:szCs w:val="21"/>
        </w:rPr>
        <w:t>effective by operation of law according to the effect</w:t>
      </w:r>
      <w:r w:rsidR="00FE6910">
        <w:rPr>
          <w:sz w:val="21"/>
          <w:szCs w:val="21"/>
        </w:rPr>
        <w:t>ive dates contained on each page</w:t>
      </w:r>
      <w:r w:rsidR="00A4155F">
        <w:rPr>
          <w:sz w:val="21"/>
          <w:szCs w:val="21"/>
        </w:rPr>
        <w:t>.  However, this is without prejudice to any formal complaints timely filed against said tariff revision</w:t>
      </w:r>
      <w:r w:rsidR="00FE6910">
        <w:rPr>
          <w:sz w:val="21"/>
          <w:szCs w:val="21"/>
        </w:rPr>
        <w:t>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9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262756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1DCF79" wp14:editId="36AD3DEF">
            <wp:simplePos x="0" y="0"/>
            <wp:positionH relativeFrom="column">
              <wp:posOffset>3535680</wp:posOffset>
            </wp:positionH>
            <wp:positionV relativeFrom="paragraph">
              <wp:posOffset>2540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bookmarkStart w:id="0" w:name="_GoBack"/>
    </w:p>
    <w:bookmarkEnd w:id="0"/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FE6910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48" w:rsidRDefault="00795848">
      <w:r>
        <w:separator/>
      </w:r>
    </w:p>
  </w:endnote>
  <w:endnote w:type="continuationSeparator" w:id="0">
    <w:p w:rsidR="00795848" w:rsidRDefault="007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48" w:rsidRDefault="00795848">
      <w:r>
        <w:separator/>
      </w:r>
    </w:p>
  </w:footnote>
  <w:footnote w:type="continuationSeparator" w:id="0">
    <w:p w:rsidR="00795848" w:rsidRDefault="0079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2660D"/>
    <w:multiLevelType w:val="hybridMultilevel"/>
    <w:tmpl w:val="7DF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63823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55B27"/>
    <w:rsid w:val="00260FC4"/>
    <w:rsid w:val="00262756"/>
    <w:rsid w:val="002824E7"/>
    <w:rsid w:val="003461CD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03EC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95848"/>
    <w:rsid w:val="007C2FEA"/>
    <w:rsid w:val="00826337"/>
    <w:rsid w:val="00873C66"/>
    <w:rsid w:val="008A13CE"/>
    <w:rsid w:val="008A40F2"/>
    <w:rsid w:val="008A4C7A"/>
    <w:rsid w:val="008C4062"/>
    <w:rsid w:val="008D31D7"/>
    <w:rsid w:val="00920579"/>
    <w:rsid w:val="00926F9A"/>
    <w:rsid w:val="00946C8F"/>
    <w:rsid w:val="009527F2"/>
    <w:rsid w:val="00953D93"/>
    <w:rsid w:val="009762B6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D4CAA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E6910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5</cp:revision>
  <cp:lastPrinted>2011-11-22T19:37:00Z</cp:lastPrinted>
  <dcterms:created xsi:type="dcterms:W3CDTF">2017-01-27T16:40:00Z</dcterms:created>
  <dcterms:modified xsi:type="dcterms:W3CDTF">2017-01-27T18:16:00Z</dcterms:modified>
</cp:coreProperties>
</file>