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bookmarkStart w:id="0" w:name="_GoBack"/>
      <w:bookmarkEnd w:id="0"/>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104CA1" w:rsidP="00A86F10">
      <w:r>
        <w:t>Eric Mayo</w:t>
      </w:r>
      <w:r>
        <w:tab/>
      </w:r>
      <w:r>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104CA1">
        <w:t>C</w:t>
      </w:r>
      <w:r w:rsidRPr="00206E57">
        <w:t>-201</w:t>
      </w:r>
      <w:r w:rsidR="007869B9">
        <w:t>6</w:t>
      </w:r>
      <w:r w:rsidRPr="00206E57">
        <w:t>-2</w:t>
      </w:r>
      <w:r w:rsidR="007869B9">
        <w:t>5</w:t>
      </w:r>
      <w:r w:rsidR="006A6289">
        <w:t>5</w:t>
      </w:r>
      <w:r w:rsidR="00104CA1">
        <w:t>2370</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924ECE">
        <w:t>hiladelphia Gas Works</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9654E7" w:rsidRPr="00206E57" w:rsidRDefault="009654E7" w:rsidP="009654E7"/>
    <w:p w:rsidR="009654E7" w:rsidRPr="00206E57" w:rsidRDefault="009654E7" w:rsidP="009654E7"/>
    <w:p w:rsidR="009654E7" w:rsidRPr="00206E57" w:rsidRDefault="009654E7" w:rsidP="009654E7">
      <w:pPr>
        <w:jc w:val="center"/>
        <w:rPr>
          <w:b/>
          <w:u w:val="single"/>
        </w:rPr>
      </w:pPr>
      <w:r w:rsidRPr="00206E57">
        <w:rPr>
          <w:b/>
          <w:u w:val="single"/>
        </w:rPr>
        <w:t>INITIAL DECISION</w:t>
      </w:r>
    </w:p>
    <w:p w:rsidR="009654E7" w:rsidRPr="00206E57" w:rsidRDefault="009654E7" w:rsidP="009654E7">
      <w:pPr>
        <w:jc w:val="center"/>
        <w:rPr>
          <w:b/>
          <w:u w:val="single"/>
        </w:rPr>
      </w:pPr>
    </w:p>
    <w:p w:rsidR="009654E7" w:rsidRPr="00206E57" w:rsidRDefault="009654E7" w:rsidP="009654E7">
      <w:pPr>
        <w:jc w:val="center"/>
        <w:rPr>
          <w:b/>
          <w:u w:val="single"/>
        </w:rPr>
      </w:pPr>
    </w:p>
    <w:p w:rsidR="009654E7" w:rsidRPr="00206E57" w:rsidRDefault="009654E7" w:rsidP="009654E7">
      <w:pPr>
        <w:jc w:val="center"/>
      </w:pPr>
      <w:r w:rsidRPr="00206E57">
        <w:t>Before</w:t>
      </w:r>
    </w:p>
    <w:p w:rsidR="009654E7" w:rsidRPr="00206E57" w:rsidRDefault="009654E7" w:rsidP="009654E7">
      <w:pPr>
        <w:jc w:val="center"/>
      </w:pPr>
      <w:r w:rsidRPr="00206E57">
        <w:t>Angela T. Jones</w:t>
      </w:r>
    </w:p>
    <w:p w:rsidR="009654E7" w:rsidRPr="00206E57" w:rsidRDefault="009654E7" w:rsidP="009654E7">
      <w:pPr>
        <w:jc w:val="center"/>
      </w:pPr>
      <w:r w:rsidRPr="00206E57">
        <w:t>Administrative Law Judge</w:t>
      </w:r>
    </w:p>
    <w:p w:rsidR="009654E7" w:rsidRPr="00206E57" w:rsidRDefault="009654E7" w:rsidP="009654E7">
      <w:pPr>
        <w:jc w:val="center"/>
      </w:pPr>
    </w:p>
    <w:p w:rsidR="009654E7" w:rsidRPr="00206E57" w:rsidRDefault="009654E7" w:rsidP="009654E7">
      <w:pPr>
        <w:jc w:val="center"/>
        <w:rPr>
          <w:u w:val="single"/>
        </w:rPr>
      </w:pPr>
    </w:p>
    <w:p w:rsidR="009654E7" w:rsidRPr="00206E57" w:rsidRDefault="009654E7" w:rsidP="009654E7">
      <w:pPr>
        <w:jc w:val="center"/>
        <w:rPr>
          <w:u w:val="single"/>
        </w:rPr>
      </w:pPr>
      <w:r w:rsidRPr="00206E57">
        <w:rPr>
          <w:u w:val="single"/>
        </w:rPr>
        <w:t>INTRODUCTION</w:t>
      </w:r>
    </w:p>
    <w:p w:rsidR="009654E7" w:rsidRPr="00206E57" w:rsidRDefault="009654E7" w:rsidP="009654E7">
      <w:pPr>
        <w:jc w:val="center"/>
        <w:rPr>
          <w:u w:val="single"/>
        </w:rPr>
      </w:pPr>
    </w:p>
    <w:p w:rsidR="009654E7" w:rsidRPr="00206E57" w:rsidRDefault="009654E7" w:rsidP="009654E7">
      <w:pPr>
        <w:jc w:val="center"/>
        <w:rPr>
          <w:u w:val="single"/>
        </w:rPr>
      </w:pPr>
    </w:p>
    <w:p w:rsidR="009654E7" w:rsidRDefault="009654E7" w:rsidP="009654E7">
      <w:pPr>
        <w:spacing w:line="360" w:lineRule="auto"/>
        <w:ind w:firstLine="1440"/>
      </w:pPr>
      <w:r>
        <w:t>The undersigned through t</w:t>
      </w:r>
      <w:r w:rsidRPr="00206E57">
        <w:t xml:space="preserve">his </w:t>
      </w:r>
      <w:r>
        <w:t xml:space="preserve">decision dismisses the </w:t>
      </w:r>
      <w:r w:rsidRPr="00206E57">
        <w:t xml:space="preserve">formal </w:t>
      </w:r>
      <w:r>
        <w:t xml:space="preserve">complaint (Complaint) filed in this matter </w:t>
      </w:r>
      <w:r w:rsidR="00FF446A">
        <w:t>because the Complainant</w:t>
      </w:r>
      <w:r>
        <w:t xml:space="preserve"> fail</w:t>
      </w:r>
      <w:r w:rsidR="00FF446A">
        <w:t>ed</w:t>
      </w:r>
      <w:r>
        <w:t xml:space="preserve"> to appear for the hearing and prosecute the Complaint.</w:t>
      </w:r>
    </w:p>
    <w:p w:rsidR="009654E7" w:rsidRPr="00206E57" w:rsidRDefault="009654E7" w:rsidP="009654E7">
      <w:pPr>
        <w:spacing w:line="360" w:lineRule="auto"/>
        <w:ind w:firstLine="1440"/>
      </w:pPr>
      <w:r w:rsidRPr="00206E57">
        <w:t xml:space="preserve"> </w:t>
      </w: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787A80" w:rsidRDefault="00F11D5B" w:rsidP="00A86F10">
      <w:pPr>
        <w:spacing w:line="360" w:lineRule="auto"/>
        <w:ind w:firstLine="1440"/>
      </w:pPr>
      <w:r w:rsidRPr="00206E57">
        <w:t xml:space="preserve">On </w:t>
      </w:r>
      <w:r w:rsidR="00096198">
        <w:t>Ju</w:t>
      </w:r>
      <w:r w:rsidR="00095DB6">
        <w:t>ne 2</w:t>
      </w:r>
      <w:r w:rsidR="008315E2">
        <w:t>0</w:t>
      </w:r>
      <w:r w:rsidR="00DA1854" w:rsidRPr="00206E57">
        <w:t xml:space="preserve">, </w:t>
      </w:r>
      <w:r w:rsidRPr="00206E57">
        <w:t>201</w:t>
      </w:r>
      <w:r w:rsidR="00752029">
        <w:t>6</w:t>
      </w:r>
      <w:r w:rsidRPr="00206E57">
        <w:t>, Complainant</w:t>
      </w:r>
      <w:r w:rsidR="009B6A6A" w:rsidRPr="00206E57">
        <w:t xml:space="preserve">, </w:t>
      </w:r>
      <w:r w:rsidR="00095DB6">
        <w:t>Eric Mayo</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752029">
        <w:t>hiladelphia Gas Works</w:t>
      </w:r>
      <w:r w:rsidR="007F1B21" w:rsidRPr="00206E57">
        <w:t xml:space="preserve"> (P</w:t>
      </w:r>
      <w:r w:rsidR="00752029">
        <w:t>GW</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095DB6">
        <w:t>gas</w:t>
      </w:r>
      <w:r w:rsidR="00584D91">
        <w:t xml:space="preserve"> was</w:t>
      </w:r>
      <w:r w:rsidR="00095DB6">
        <w:t xml:space="preserve"> fraudulently obtained using his name.  The Complainant indicated that the utility is either threatening to shut off his gas or has already shut off his gas service.  Complainant reques</w:t>
      </w:r>
      <w:r w:rsidR="00584D91">
        <w:t>ted</w:t>
      </w:r>
      <w:r w:rsidR="00095DB6">
        <w:t xml:space="preserve"> that this matter be resolved because his identity has been compromised.  </w:t>
      </w:r>
    </w:p>
    <w:p w:rsidR="00787A80" w:rsidRDefault="00787A80" w:rsidP="00A86F10">
      <w:pPr>
        <w:spacing w:line="360" w:lineRule="auto"/>
        <w:ind w:firstLine="1440"/>
      </w:pPr>
    </w:p>
    <w:p w:rsidR="00AE5FFC" w:rsidRDefault="00AE5FFC" w:rsidP="00A86F10">
      <w:pPr>
        <w:spacing w:line="360" w:lineRule="auto"/>
        <w:ind w:firstLine="1440"/>
      </w:pPr>
      <w:r w:rsidRPr="00206E57">
        <w:t xml:space="preserve">The Complaint was served electronically (eService) by the Commission’s Secretary on </w:t>
      </w:r>
      <w:r w:rsidR="00E26E02">
        <w:t xml:space="preserve">June </w:t>
      </w:r>
      <w:r w:rsidR="00473AE3">
        <w:t>22</w:t>
      </w:r>
      <w:r w:rsidRPr="00206E57">
        <w:t>, 201</w:t>
      </w:r>
      <w:r w:rsidR="00A7261C">
        <w:t>6</w:t>
      </w:r>
      <w:r w:rsidRPr="00206E57">
        <w:t xml:space="preserve">, according to the audit history of the docket.  The eService is pursuant to the </w:t>
      </w:r>
      <w:r w:rsidRPr="00206E57">
        <w:lastRenderedPageBreak/>
        <w:t>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8315E2">
        <w:t xml:space="preserve">July </w:t>
      </w:r>
      <w:r w:rsidR="00473AE3">
        <w:t>12</w:t>
      </w:r>
      <w:r w:rsidRPr="00206E57">
        <w:t>, 201</w:t>
      </w:r>
      <w:r w:rsidR="00A7261C">
        <w:t>6</w:t>
      </w:r>
      <w:r w:rsidRPr="00206E57">
        <w:t xml:space="preserve">, </w:t>
      </w:r>
      <w:r w:rsidR="00473AE3">
        <w:t>Laureto Farinas</w:t>
      </w:r>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473AE3" w:rsidRDefault="0031638A" w:rsidP="003B10D4">
      <w:pPr>
        <w:spacing w:line="360" w:lineRule="auto"/>
        <w:ind w:firstLine="1440"/>
      </w:pPr>
      <w:r>
        <w:t>Specifically, t</w:t>
      </w:r>
      <w:r w:rsidR="00AE5FFC" w:rsidRPr="00AE5FFC">
        <w:t xml:space="preserve">he Respondent </w:t>
      </w:r>
      <w:r w:rsidR="00473AE3">
        <w:t xml:space="preserve">admitted </w:t>
      </w:r>
      <w:r w:rsidR="009A3F91">
        <w:t>that</w:t>
      </w:r>
      <w:r w:rsidR="00473AE3">
        <w:t xml:space="preserve"> on July 29, 2011,</w:t>
      </w:r>
      <w:r w:rsidR="004E350B">
        <w:t xml:space="preserve"> </w:t>
      </w:r>
      <w:r w:rsidR="00473AE3">
        <w:t xml:space="preserve">gas service was terminated at 5942 Chester Avenue, </w:t>
      </w:r>
      <w:r w:rsidR="00FF1AAB">
        <w:t>Philadelphia, Pennsylvania (service address)</w:t>
      </w:r>
      <w:r w:rsidR="005D2692">
        <w:t>.</w:t>
      </w:r>
      <w:r w:rsidR="00FF1AAB">
        <w:t xml:space="preserve"> </w:t>
      </w:r>
      <w:r w:rsidR="005D2692">
        <w:t xml:space="preserve"> </w:t>
      </w:r>
      <w:r w:rsidR="00473AE3">
        <w:t xml:space="preserve">The Respondent stated in the Answer that the </w:t>
      </w:r>
      <w:r w:rsidR="00FF1AAB">
        <w:t xml:space="preserve">Complainant </w:t>
      </w:r>
      <w:r w:rsidR="00473AE3">
        <w:t xml:space="preserve">established service at the service address on July 27, 2010.  The Complainant obtained gas service from July 27, 2010 to July 29, 2011, when the Company disconnected service at the curb for non-payment after proper notification was given.  The Respondent stated that a closing bill in the amount of $2,287.77 was generated on August 29, 2011, which went into “write-off’ status on December 19, 2011.  </w:t>
      </w:r>
    </w:p>
    <w:p w:rsidR="00473AE3" w:rsidRDefault="00473AE3" w:rsidP="003B10D4">
      <w:pPr>
        <w:spacing w:line="360" w:lineRule="auto"/>
        <w:ind w:firstLine="1440"/>
      </w:pPr>
    </w:p>
    <w:p w:rsidR="00E13646" w:rsidRDefault="00473AE3" w:rsidP="003B10D4">
      <w:pPr>
        <w:spacing w:line="360" w:lineRule="auto"/>
        <w:ind w:firstLine="1440"/>
      </w:pPr>
      <w:r>
        <w:t>In the Respondent’s Answer</w:t>
      </w:r>
      <w:r w:rsidR="005D2692">
        <w:t>,</w:t>
      </w:r>
      <w:r>
        <w:t xml:space="preserve"> the Company stated the Complainant initiated gas service at 1228 N. 25</w:t>
      </w:r>
      <w:r w:rsidRPr="00473AE3">
        <w:rPr>
          <w:vertAlign w:val="superscript"/>
        </w:rPr>
        <w:t>th</w:t>
      </w:r>
      <w:r>
        <w:t xml:space="preserve"> Street, #5, Philadelphia</w:t>
      </w:r>
      <w:r w:rsidR="00357D5B">
        <w:t>, Pennsylvania on July 28, 2015.  T</w:t>
      </w:r>
      <w:r>
        <w:t>he Complainant stated that he lived in Delaware during the time the unpaid balance accrued</w:t>
      </w:r>
      <w:r w:rsidR="00357D5B">
        <w:t xml:space="preserve"> at the service address</w:t>
      </w:r>
      <w:r>
        <w:t>.</w:t>
      </w:r>
      <w:r w:rsidR="00E13646">
        <w:t xml:space="preserve">  The Complainant alleged that his identity was stolen.  On September 21, 2015, the Respondent determined that the Complainant needed to provide more information to absolve the Complainant of any responsibility of the balance due at the service address.  </w:t>
      </w:r>
    </w:p>
    <w:p w:rsidR="00E13646" w:rsidRDefault="00E13646" w:rsidP="003B10D4">
      <w:pPr>
        <w:spacing w:line="360" w:lineRule="auto"/>
        <w:ind w:firstLine="1440"/>
      </w:pPr>
    </w:p>
    <w:p w:rsidR="00377946" w:rsidRPr="00206E57" w:rsidRDefault="00E13646" w:rsidP="003B10D4">
      <w:pPr>
        <w:spacing w:line="360" w:lineRule="auto"/>
        <w:ind w:firstLine="1440"/>
      </w:pPr>
      <w:r>
        <w:t xml:space="preserve">The Complainant filed an informal </w:t>
      </w:r>
      <w:r w:rsidR="00FF1AAB">
        <w:t>complaint with the Commission’s</w:t>
      </w:r>
      <w:r w:rsidR="00B9626D">
        <w:t xml:space="preserve"> Bureau of Consumer Services (BCS)</w:t>
      </w:r>
      <w:r w:rsidR="00FF1AAB">
        <w:t xml:space="preserve"> at Case No. 33</w:t>
      </w:r>
      <w:r>
        <w:t>8</w:t>
      </w:r>
      <w:r w:rsidR="00FF1AAB">
        <w:t>9</w:t>
      </w:r>
      <w:r>
        <w:t>144</w:t>
      </w:r>
      <w:r w:rsidR="00B9626D">
        <w:t>.</w:t>
      </w:r>
      <w:r w:rsidR="006466AD">
        <w:t xml:space="preserve">  </w:t>
      </w:r>
      <w:r w:rsidR="00B9626D">
        <w:t>The BCS decision</w:t>
      </w:r>
      <w:r w:rsidR="00FF1AAB">
        <w:t xml:space="preserve"> dated April </w:t>
      </w:r>
      <w:r>
        <w:t>1</w:t>
      </w:r>
      <w:r w:rsidR="00FF1AAB">
        <w:t>2, 2016,</w:t>
      </w:r>
      <w:r w:rsidR="00B9626D">
        <w:t xml:space="preserve"> </w:t>
      </w:r>
      <w:r w:rsidR="006466AD">
        <w:t xml:space="preserve">found that the </w:t>
      </w:r>
      <w:r>
        <w:t>Company may hold the Complainant responsible for the balance due at the service address because the Complainant did not provide sufficient information that the service was fraudulently in his name.  The Respondent requested that the Commission dismiss the Complaint.</w:t>
      </w:r>
      <w:r w:rsidR="00BA647C">
        <w:t xml:space="preserve">  </w:t>
      </w:r>
      <w:r w:rsidR="00F81B32">
        <w:t>This Complaint is a timely appeal of the BCS decision at Case No. 3</w:t>
      </w:r>
      <w:r w:rsidR="00AE0A1D">
        <w:t>3</w:t>
      </w:r>
      <w:r>
        <w:t>8</w:t>
      </w:r>
      <w:r w:rsidR="00AE0A1D">
        <w:t>9</w:t>
      </w:r>
      <w:r>
        <w:t>144</w:t>
      </w:r>
      <w:r w:rsidR="00F81B32">
        <w:t>.</w:t>
      </w:r>
      <w:r w:rsidR="003B10D4">
        <w:t xml:space="preserve">                                                                               </w:t>
      </w:r>
    </w:p>
    <w:p w:rsidR="000216E6" w:rsidRPr="00206E57" w:rsidRDefault="00377946" w:rsidP="00A86F10">
      <w:pPr>
        <w:spacing w:line="360" w:lineRule="auto"/>
        <w:ind w:firstLine="1440"/>
      </w:pPr>
      <w:r w:rsidRPr="00206E57">
        <w:t xml:space="preserve"> </w:t>
      </w:r>
      <w:r w:rsidR="00CA2B7F" w:rsidRPr="00206E57">
        <w:t xml:space="preserve">  </w:t>
      </w:r>
      <w:r w:rsidR="00826741" w:rsidRPr="00206E57">
        <w:t xml:space="preserve">  </w:t>
      </w:r>
      <w:r w:rsidR="001058FB" w:rsidRPr="00206E57">
        <w:t xml:space="preserve"> </w:t>
      </w:r>
    </w:p>
    <w:p w:rsidR="00830B12" w:rsidRPr="00206E57" w:rsidRDefault="00830B12" w:rsidP="00A86F10">
      <w:pPr>
        <w:spacing w:line="360" w:lineRule="auto"/>
        <w:ind w:firstLine="1440"/>
      </w:pPr>
      <w:r w:rsidRPr="00206E57">
        <w:t xml:space="preserve">A Hearing Notice dated </w:t>
      </w:r>
      <w:r w:rsidR="00D36C36">
        <w:t>August</w:t>
      </w:r>
      <w:r w:rsidR="00AE0A1D">
        <w:t xml:space="preserve"> </w:t>
      </w:r>
      <w:r w:rsidR="00D36C36">
        <w:t>11</w:t>
      </w:r>
      <w:r w:rsidR="00192050" w:rsidRPr="00206E57">
        <w:t>, 201</w:t>
      </w:r>
      <w:r w:rsidR="002104EF">
        <w:t>6</w:t>
      </w:r>
      <w:r w:rsidR="00192050" w:rsidRPr="00206E57">
        <w:t xml:space="preserve">, </w:t>
      </w:r>
      <w:r w:rsidRPr="00206E57">
        <w:t xml:space="preserve">notified the parties that an </w:t>
      </w:r>
      <w:r w:rsidR="00A3129D">
        <w:t>i</w:t>
      </w:r>
      <w:r w:rsidRPr="00206E57">
        <w:t>nitial</w:t>
      </w:r>
      <w:r w:rsidR="006466AD">
        <w:t xml:space="preserve"> </w:t>
      </w:r>
      <w:r w:rsidR="00AE0A1D">
        <w:t xml:space="preserve">in-person </w:t>
      </w:r>
      <w:r w:rsidR="00A3129D">
        <w:t>h</w:t>
      </w:r>
      <w:r w:rsidRPr="00206E57">
        <w:t xml:space="preserve">earing was scheduled for </w:t>
      </w:r>
      <w:r w:rsidR="00D36C36">
        <w:t>Fri</w:t>
      </w:r>
      <w:r w:rsidR="00AE0A1D">
        <w:t>d</w:t>
      </w:r>
      <w:r w:rsidRPr="00206E57">
        <w:t xml:space="preserve">ay, </w:t>
      </w:r>
      <w:r w:rsidR="00AE0A1D">
        <w:t>Sept</w:t>
      </w:r>
      <w:r w:rsidR="00BC31D0">
        <w:t xml:space="preserve">ember </w:t>
      </w:r>
      <w:r w:rsidR="00D36C36">
        <w:t>1</w:t>
      </w:r>
      <w:r w:rsidR="00AE0A1D">
        <w:t>6</w:t>
      </w:r>
      <w:r w:rsidRPr="00206E57">
        <w:t>, 201</w:t>
      </w:r>
      <w:r w:rsidR="002104EF">
        <w:t>6</w:t>
      </w:r>
      <w:r w:rsidRPr="00206E57">
        <w:t xml:space="preserve">, at </w:t>
      </w:r>
      <w:r w:rsidR="0031638A">
        <w:t>10</w:t>
      </w:r>
      <w:r w:rsidRPr="00206E57">
        <w:t>:</w:t>
      </w:r>
      <w:r w:rsidR="0031638A">
        <w:t>0</w:t>
      </w:r>
      <w:r w:rsidRPr="00206E57">
        <w:t xml:space="preserve">0 </w:t>
      </w:r>
      <w:r w:rsidR="003C7C86" w:rsidRPr="00206E57">
        <w:t>a</w:t>
      </w:r>
      <w:r w:rsidRPr="00206E57">
        <w:t xml:space="preserve">.m.  This Notice indicated </w:t>
      </w:r>
      <w:r w:rsidRPr="00206E57">
        <w:lastRenderedPageBreak/>
        <w:t>that the case was assigned to</w:t>
      </w:r>
      <w:r w:rsidR="00AE0A1D">
        <w:t xml:space="preserve"> the undersigned</w:t>
      </w:r>
      <w:r w:rsidRPr="00206E57">
        <w:t xml:space="preserve"> A</w:t>
      </w:r>
      <w:r w:rsidR="003C7C86" w:rsidRPr="00206E57">
        <w:t xml:space="preserve">dministrative </w:t>
      </w:r>
      <w:r w:rsidRPr="00206E57">
        <w:t>L</w:t>
      </w:r>
      <w:r w:rsidR="003C7C86" w:rsidRPr="00206E57">
        <w:t xml:space="preserve">aw </w:t>
      </w:r>
      <w:r w:rsidRPr="00206E57">
        <w:t>J</w:t>
      </w:r>
      <w:r w:rsidR="003C7C86" w:rsidRPr="00206E57">
        <w:t>udge</w:t>
      </w:r>
      <w:r w:rsidR="006466AD">
        <w:t xml:space="preserve"> (ALJ)</w:t>
      </w:r>
      <w:r w:rsidRPr="00206E57">
        <w:t xml:space="preserve"> </w:t>
      </w:r>
      <w:r w:rsidR="009E33BD" w:rsidRPr="00206E57">
        <w:t>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D36C36">
        <w:t>August 23</w:t>
      </w:r>
      <w:r w:rsidRPr="00206E57">
        <w:t>, 201</w:t>
      </w:r>
      <w:r w:rsidR="002104EF">
        <w:t>6</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(3) a caution that Complainant may lose the case if</w:t>
      </w:r>
      <w:r w:rsidR="00BC31D0">
        <w:t xml:space="preserve">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F275E9" w:rsidRDefault="00D36C36" w:rsidP="00A86F10">
      <w:pPr>
        <w:tabs>
          <w:tab w:val="left" w:pos="-90"/>
        </w:tabs>
        <w:spacing w:line="360" w:lineRule="auto"/>
        <w:ind w:firstLine="1440"/>
        <w:rPr>
          <w:spacing w:val="-3"/>
        </w:rPr>
      </w:pPr>
      <w:r>
        <w:rPr>
          <w:spacing w:val="-3"/>
        </w:rPr>
        <w:t xml:space="preserve">By telephone on September 15, 2016, </w:t>
      </w:r>
      <w:r w:rsidR="00AE0A1D">
        <w:rPr>
          <w:spacing w:val="-3"/>
        </w:rPr>
        <w:t>the Complainant requested that the scheduled in</w:t>
      </w:r>
      <w:r w:rsidR="00F275E9">
        <w:rPr>
          <w:spacing w:val="-3"/>
        </w:rPr>
        <w:t xml:space="preserve">-person hearing on </w:t>
      </w:r>
      <w:r>
        <w:rPr>
          <w:spacing w:val="-3"/>
        </w:rPr>
        <w:t>Fri</w:t>
      </w:r>
      <w:r w:rsidR="00F275E9">
        <w:rPr>
          <w:spacing w:val="-3"/>
        </w:rPr>
        <w:t xml:space="preserve">day, </w:t>
      </w:r>
      <w:r w:rsidR="00AE0A1D">
        <w:rPr>
          <w:spacing w:val="-3"/>
        </w:rPr>
        <w:t>September</w:t>
      </w:r>
      <w:r>
        <w:rPr>
          <w:spacing w:val="-3"/>
        </w:rPr>
        <w:t xml:space="preserve"> 1</w:t>
      </w:r>
      <w:r w:rsidR="00AE0A1D">
        <w:rPr>
          <w:spacing w:val="-3"/>
        </w:rPr>
        <w:t>6</w:t>
      </w:r>
      <w:r w:rsidR="00F275E9">
        <w:rPr>
          <w:spacing w:val="-3"/>
        </w:rPr>
        <w:t>, 201</w:t>
      </w:r>
      <w:r w:rsidR="00AE0A1D">
        <w:rPr>
          <w:spacing w:val="-3"/>
        </w:rPr>
        <w:t>6</w:t>
      </w:r>
      <w:r w:rsidR="00F275E9">
        <w:rPr>
          <w:spacing w:val="-3"/>
        </w:rPr>
        <w:t xml:space="preserve">, </w:t>
      </w:r>
      <w:r w:rsidR="00AE0A1D">
        <w:rPr>
          <w:spacing w:val="-3"/>
        </w:rPr>
        <w:t xml:space="preserve">be rescheduled </w:t>
      </w:r>
      <w:r>
        <w:rPr>
          <w:spacing w:val="-3"/>
        </w:rPr>
        <w:t>because he was waiting for document</w:t>
      </w:r>
      <w:r w:rsidR="007468ED">
        <w:rPr>
          <w:spacing w:val="-3"/>
        </w:rPr>
        <w:t>s</w:t>
      </w:r>
      <w:r>
        <w:rPr>
          <w:spacing w:val="-3"/>
        </w:rPr>
        <w:t xml:space="preserve"> to help advocate his case.</w:t>
      </w:r>
      <w:r w:rsidR="00AE0A1D">
        <w:rPr>
          <w:spacing w:val="-3"/>
        </w:rPr>
        <w:t xml:space="preserve">  </w:t>
      </w:r>
      <w:r>
        <w:rPr>
          <w:spacing w:val="-3"/>
        </w:rPr>
        <w:t>The Complainant also communicated that the Respondent did not oppose the continuance request.</w:t>
      </w:r>
      <w:r w:rsidR="00AE0A1D">
        <w:rPr>
          <w:spacing w:val="-3"/>
        </w:rPr>
        <w:t xml:space="preserve">  </w:t>
      </w:r>
    </w:p>
    <w:p w:rsidR="00AE0A1D" w:rsidRDefault="00AE0A1D" w:rsidP="00A86F10">
      <w:pPr>
        <w:tabs>
          <w:tab w:val="left" w:pos="-90"/>
        </w:tabs>
        <w:spacing w:line="360" w:lineRule="auto"/>
        <w:ind w:firstLine="1440"/>
        <w:rPr>
          <w:spacing w:val="-3"/>
        </w:rPr>
      </w:pPr>
    </w:p>
    <w:p w:rsidR="00926115" w:rsidRDefault="00AE0A1D" w:rsidP="00A86F10">
      <w:pPr>
        <w:tabs>
          <w:tab w:val="left" w:pos="-90"/>
        </w:tabs>
        <w:spacing w:line="360" w:lineRule="auto"/>
        <w:ind w:firstLine="1440"/>
        <w:rPr>
          <w:spacing w:val="-3"/>
        </w:rPr>
      </w:pPr>
      <w:r>
        <w:rPr>
          <w:spacing w:val="-3"/>
        </w:rPr>
        <w:t xml:space="preserve">By Order dated </w:t>
      </w:r>
      <w:r w:rsidR="00D36C36">
        <w:rPr>
          <w:spacing w:val="-3"/>
        </w:rPr>
        <w:t xml:space="preserve">September </w:t>
      </w:r>
      <w:r>
        <w:rPr>
          <w:spacing w:val="-3"/>
        </w:rPr>
        <w:t>1</w:t>
      </w:r>
      <w:r w:rsidR="00D36C36">
        <w:rPr>
          <w:spacing w:val="-3"/>
        </w:rPr>
        <w:t>6</w:t>
      </w:r>
      <w:r>
        <w:rPr>
          <w:spacing w:val="-3"/>
        </w:rPr>
        <w:t>, 2016, the undersigned granted the requested continuance</w:t>
      </w:r>
      <w:r w:rsidR="00926115">
        <w:rPr>
          <w:spacing w:val="-3"/>
        </w:rPr>
        <w:t>.</w:t>
      </w:r>
    </w:p>
    <w:p w:rsidR="00926115" w:rsidRDefault="00926115" w:rsidP="00A86F10">
      <w:pPr>
        <w:tabs>
          <w:tab w:val="left" w:pos="-90"/>
        </w:tabs>
        <w:spacing w:line="360" w:lineRule="auto"/>
        <w:ind w:firstLine="1440"/>
        <w:rPr>
          <w:spacing w:val="-3"/>
        </w:rPr>
      </w:pPr>
    </w:p>
    <w:p w:rsidR="00926115" w:rsidRDefault="00926115" w:rsidP="00A86F10">
      <w:pPr>
        <w:tabs>
          <w:tab w:val="left" w:pos="-90"/>
        </w:tabs>
        <w:spacing w:line="360" w:lineRule="auto"/>
        <w:ind w:firstLine="1440"/>
        <w:rPr>
          <w:spacing w:val="-3"/>
        </w:rPr>
      </w:pPr>
      <w:r>
        <w:rPr>
          <w:spacing w:val="-3"/>
        </w:rPr>
        <w:t xml:space="preserve">By Hearing Notice dated </w:t>
      </w:r>
      <w:r w:rsidR="00D36C36">
        <w:rPr>
          <w:spacing w:val="-3"/>
        </w:rPr>
        <w:t>Dec</w:t>
      </w:r>
      <w:r>
        <w:rPr>
          <w:spacing w:val="-3"/>
        </w:rPr>
        <w:t>ember 1, 2016, th</w:t>
      </w:r>
      <w:r w:rsidR="00D36C36">
        <w:rPr>
          <w:spacing w:val="-3"/>
        </w:rPr>
        <w:t xml:space="preserve">is matter was scheduled for an </w:t>
      </w:r>
      <w:r>
        <w:rPr>
          <w:spacing w:val="-3"/>
        </w:rPr>
        <w:t>in</w:t>
      </w:r>
      <w:r w:rsidR="00D36C36">
        <w:rPr>
          <w:spacing w:val="-3"/>
        </w:rPr>
        <w:t>itial in</w:t>
      </w:r>
      <w:r>
        <w:rPr>
          <w:spacing w:val="-3"/>
        </w:rPr>
        <w:t xml:space="preserve">-person hearing </w:t>
      </w:r>
      <w:r w:rsidR="00D36C36">
        <w:rPr>
          <w:spacing w:val="-3"/>
        </w:rPr>
        <w:t>on</w:t>
      </w:r>
      <w:r>
        <w:rPr>
          <w:spacing w:val="-3"/>
        </w:rPr>
        <w:t xml:space="preserve"> </w:t>
      </w:r>
      <w:r w:rsidR="00D36C36">
        <w:rPr>
          <w:spacing w:val="-3"/>
        </w:rPr>
        <w:t>Fri</w:t>
      </w:r>
      <w:r>
        <w:rPr>
          <w:spacing w:val="-3"/>
        </w:rPr>
        <w:t xml:space="preserve">day, </w:t>
      </w:r>
      <w:r w:rsidR="00D36C36">
        <w:rPr>
          <w:spacing w:val="-3"/>
        </w:rPr>
        <w:t xml:space="preserve">January </w:t>
      </w:r>
      <w:r>
        <w:rPr>
          <w:spacing w:val="-3"/>
        </w:rPr>
        <w:t>1</w:t>
      </w:r>
      <w:r w:rsidR="00D36C36">
        <w:rPr>
          <w:spacing w:val="-3"/>
        </w:rPr>
        <w:t>3</w:t>
      </w:r>
      <w:r>
        <w:rPr>
          <w:spacing w:val="-3"/>
        </w:rPr>
        <w:t>, 201</w:t>
      </w:r>
      <w:r w:rsidR="00D36C36">
        <w:rPr>
          <w:spacing w:val="-3"/>
        </w:rPr>
        <w:t>7</w:t>
      </w:r>
      <w:r>
        <w:rPr>
          <w:spacing w:val="-3"/>
        </w:rPr>
        <w:t xml:space="preserve">.  </w:t>
      </w:r>
    </w:p>
    <w:p w:rsidR="00926115" w:rsidRDefault="00926115" w:rsidP="00A86F10">
      <w:pPr>
        <w:tabs>
          <w:tab w:val="left" w:pos="-90"/>
        </w:tabs>
        <w:spacing w:line="360" w:lineRule="auto"/>
        <w:ind w:firstLine="1440"/>
        <w:rPr>
          <w:spacing w:val="-3"/>
        </w:rPr>
      </w:pPr>
    </w:p>
    <w:p w:rsidR="0024721A" w:rsidRDefault="00926115" w:rsidP="002C5578">
      <w:pPr>
        <w:tabs>
          <w:tab w:val="left" w:pos="-90"/>
        </w:tabs>
        <w:spacing w:line="360" w:lineRule="auto"/>
        <w:ind w:firstLine="1440"/>
        <w:rPr>
          <w:spacing w:val="-3"/>
        </w:rPr>
      </w:pPr>
      <w:r>
        <w:rPr>
          <w:spacing w:val="-3"/>
        </w:rPr>
        <w:t xml:space="preserve">The evidentiary hearing convened as scheduled.  </w:t>
      </w:r>
      <w:r w:rsidR="00D66858">
        <w:rPr>
          <w:spacing w:val="-3"/>
        </w:rPr>
        <w:t>Mr. Farinas appeared accompanied by one potential witness representing the Respondent.</w:t>
      </w:r>
      <w:r w:rsidR="00D36C36">
        <w:rPr>
          <w:spacing w:val="-3"/>
        </w:rPr>
        <w:t xml:space="preserve">  </w:t>
      </w:r>
      <w:r w:rsidR="00DC54C7">
        <w:rPr>
          <w:spacing w:val="-3"/>
        </w:rPr>
        <w:t>The Complainant was not in attendance.   The undersigned recessed to allow time for the Complainant to appear or to communicate a reasonable explanation as to why he could not be pres</w:t>
      </w:r>
      <w:r w:rsidR="00692DDA">
        <w:rPr>
          <w:spacing w:val="-3"/>
        </w:rPr>
        <w:t xml:space="preserve">ent at the scheduled hearing.  </w:t>
      </w:r>
      <w:r w:rsidR="00DC54C7">
        <w:rPr>
          <w:spacing w:val="-3"/>
        </w:rPr>
        <w:t xml:space="preserve">The </w:t>
      </w:r>
      <w:r w:rsidR="00DE3DCC">
        <w:rPr>
          <w:spacing w:val="-3"/>
        </w:rPr>
        <w:t>undersigned reconvened at approximately 10:2</w:t>
      </w:r>
      <w:r w:rsidR="00F275E9">
        <w:rPr>
          <w:spacing w:val="-3"/>
        </w:rPr>
        <w:t>5</w:t>
      </w:r>
      <w:r w:rsidR="00DE3DCC">
        <w:rPr>
          <w:spacing w:val="-3"/>
        </w:rPr>
        <w:t xml:space="preserve"> a.m. and the Complainant remained absent from the evidentiary hearing</w:t>
      </w:r>
      <w:r w:rsidR="00DC54C7">
        <w:rPr>
          <w:spacing w:val="-3"/>
        </w:rPr>
        <w:t xml:space="preserve"> without communicating why he failed to appear at the hearing</w:t>
      </w:r>
      <w:r w:rsidR="00DE3DCC">
        <w:rPr>
          <w:spacing w:val="-3"/>
        </w:rPr>
        <w:t xml:space="preserve">.  </w:t>
      </w:r>
    </w:p>
    <w:p w:rsidR="0024721A" w:rsidRDefault="0024721A" w:rsidP="002C5578">
      <w:pPr>
        <w:tabs>
          <w:tab w:val="left" w:pos="-90"/>
        </w:tabs>
        <w:spacing w:line="360" w:lineRule="auto"/>
        <w:ind w:firstLine="1440"/>
        <w:rPr>
          <w:spacing w:val="-3"/>
        </w:rPr>
      </w:pPr>
    </w:p>
    <w:p w:rsidR="00A713B1" w:rsidRDefault="00E55D54" w:rsidP="002C5578">
      <w:pPr>
        <w:tabs>
          <w:tab w:val="left" w:pos="-90"/>
        </w:tabs>
        <w:spacing w:line="360" w:lineRule="auto"/>
        <w:ind w:firstLine="1440"/>
        <w:rPr>
          <w:spacing w:val="-3"/>
        </w:rPr>
      </w:pPr>
      <w:r>
        <w:rPr>
          <w:spacing w:val="-3"/>
        </w:rPr>
        <w:t xml:space="preserve">Counsel for the Respondent moved to dismiss the Complaint with prejudice for lack of prosecution. </w:t>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w:t>
      </w:r>
      <w:r w:rsidR="00D11BDA" w:rsidRPr="00206E57">
        <w:rPr>
          <w:spacing w:val="-3"/>
        </w:rPr>
        <w:lastRenderedPageBreak/>
        <w:t>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AA7B98">
        <w:rPr>
          <w:spacing w:val="-3"/>
        </w:rPr>
        <w:t>January 1</w:t>
      </w:r>
      <w:r w:rsidR="0024721A">
        <w:rPr>
          <w:spacing w:val="-3"/>
        </w:rPr>
        <w:t>3</w:t>
      </w:r>
      <w:r w:rsidR="00C81232" w:rsidRPr="00206E57">
        <w:rPr>
          <w:spacing w:val="-3"/>
        </w:rPr>
        <w:t>, 201</w:t>
      </w:r>
      <w:r w:rsidR="00AA7B98">
        <w:rPr>
          <w:spacing w:val="-3"/>
        </w:rPr>
        <w:t>7</w:t>
      </w:r>
      <w:r w:rsidR="00855E15" w:rsidRPr="00206E57">
        <w:rPr>
          <w:spacing w:val="-3"/>
        </w:rPr>
        <w:t>,</w:t>
      </w:r>
      <w:r w:rsidR="00C81232" w:rsidRPr="00206E57">
        <w:rPr>
          <w:spacing w:val="-3"/>
        </w:rPr>
        <w:t xml:space="preserve"> when the evidentiary hearing adjourned</w:t>
      </w:r>
      <w:r w:rsidR="00BF144E" w:rsidRPr="00206E57">
        <w:rPr>
          <w:spacing w:val="-3"/>
        </w:rPr>
        <w:t>.</w:t>
      </w:r>
      <w:r w:rsidR="002C5578">
        <w:rPr>
          <w:spacing w:val="-3"/>
        </w:rPr>
        <w:t xml:space="preserve">  </w:t>
      </w:r>
    </w:p>
    <w:p w:rsidR="00A713B1" w:rsidRDefault="00A713B1" w:rsidP="002C5578">
      <w:pPr>
        <w:tabs>
          <w:tab w:val="left" w:pos="-90"/>
        </w:tabs>
        <w:spacing w:line="360" w:lineRule="auto"/>
        <w:ind w:firstLine="1440"/>
        <w:rPr>
          <w:spacing w:val="-3"/>
        </w:rPr>
      </w:pPr>
    </w:p>
    <w:p w:rsidR="00AA7B98" w:rsidRDefault="00975607" w:rsidP="002C5578">
      <w:pPr>
        <w:tabs>
          <w:tab w:val="left" w:pos="-90"/>
        </w:tabs>
        <w:spacing w:line="360" w:lineRule="auto"/>
        <w:ind w:firstLine="1440"/>
        <w:rPr>
          <w:spacing w:val="-3"/>
        </w:rPr>
      </w:pPr>
      <w:r w:rsidRPr="00206E57">
        <w:rPr>
          <w:spacing w:val="-3"/>
        </w:rPr>
        <w:t xml:space="preserve">This matter is ripe for </w:t>
      </w:r>
      <w:r w:rsidR="00FF446A">
        <w:rPr>
          <w:spacing w:val="-3"/>
        </w:rPr>
        <w:t>decision</w:t>
      </w:r>
      <w:r w:rsidRPr="00206E57">
        <w:rPr>
          <w:spacing w:val="-3"/>
        </w:rPr>
        <w:t xml:space="preserve">. </w:t>
      </w:r>
    </w:p>
    <w:p w:rsidR="00A713B1" w:rsidRDefault="00A713B1" w:rsidP="002C5578">
      <w:pPr>
        <w:tabs>
          <w:tab w:val="left" w:pos="-90"/>
        </w:tabs>
        <w:spacing w:line="360" w:lineRule="auto"/>
        <w:ind w:firstLine="1440"/>
        <w:rPr>
          <w:spacing w:val="-3"/>
        </w:rPr>
      </w:pPr>
    </w:p>
    <w:p w:rsidR="00A713B1" w:rsidRPr="00206E57" w:rsidRDefault="00A713B1" w:rsidP="00A713B1">
      <w:pPr>
        <w:tabs>
          <w:tab w:val="left" w:pos="-720"/>
        </w:tabs>
        <w:suppressAutoHyphens/>
        <w:spacing w:line="360" w:lineRule="auto"/>
        <w:jc w:val="center"/>
      </w:pPr>
      <w:r w:rsidRPr="00206E57">
        <w:rPr>
          <w:u w:val="single"/>
        </w:rPr>
        <w:t>FINDINGS OF FACT</w:t>
      </w:r>
    </w:p>
    <w:p w:rsidR="00A713B1" w:rsidRPr="00206E57" w:rsidRDefault="00A713B1" w:rsidP="00A713B1">
      <w:pPr>
        <w:tabs>
          <w:tab w:val="left" w:pos="2160"/>
        </w:tabs>
        <w:spacing w:line="360" w:lineRule="auto"/>
        <w:rPr>
          <w:u w:val="single"/>
        </w:rPr>
      </w:pPr>
    </w:p>
    <w:p w:rsidR="00A713B1" w:rsidRPr="00206E57" w:rsidRDefault="00A713B1" w:rsidP="004F686A">
      <w:pPr>
        <w:numPr>
          <w:ilvl w:val="0"/>
          <w:numId w:val="12"/>
        </w:numPr>
        <w:tabs>
          <w:tab w:val="left" w:pos="2160"/>
        </w:tabs>
        <w:spacing w:line="360" w:lineRule="auto"/>
        <w:ind w:left="0" w:firstLine="1440"/>
      </w:pPr>
      <w:r>
        <w:t xml:space="preserve">The </w:t>
      </w:r>
      <w:r w:rsidRPr="00206E57">
        <w:t xml:space="preserve">Complainant is </w:t>
      </w:r>
      <w:r>
        <w:t>Eric Mayo</w:t>
      </w:r>
      <w:r w:rsidRPr="00206E57">
        <w:t xml:space="preserve">, who </w:t>
      </w:r>
      <w:r>
        <w:t xml:space="preserve">is seeking to not be held responsible for charges for gas service </w:t>
      </w:r>
      <w:r w:rsidRPr="00206E57">
        <w:t>from the Respondent</w:t>
      </w:r>
      <w:r>
        <w:t xml:space="preserve"> at 5942 Chester Avenue, Philadelphia Pennsylvania (service address).</w:t>
      </w:r>
    </w:p>
    <w:p w:rsidR="00A713B1" w:rsidRPr="00206E57" w:rsidRDefault="00A713B1" w:rsidP="004F686A">
      <w:pPr>
        <w:tabs>
          <w:tab w:val="left" w:pos="2160"/>
        </w:tabs>
        <w:spacing w:line="360" w:lineRule="auto"/>
        <w:ind w:left="1440"/>
      </w:pPr>
    </w:p>
    <w:p w:rsidR="00A713B1" w:rsidRPr="00206E57" w:rsidRDefault="00A713B1" w:rsidP="004F686A">
      <w:pPr>
        <w:numPr>
          <w:ilvl w:val="0"/>
          <w:numId w:val="12"/>
        </w:numPr>
        <w:tabs>
          <w:tab w:val="left" w:pos="2160"/>
        </w:tabs>
        <w:spacing w:line="360" w:lineRule="auto"/>
        <w:ind w:left="0" w:firstLine="1440"/>
      </w:pPr>
      <w:r>
        <w:t xml:space="preserve">The </w:t>
      </w:r>
      <w:r w:rsidRPr="00206E57">
        <w:t>Respondent is P</w:t>
      </w:r>
      <w:r>
        <w:t>hiladelphia Gas Works</w:t>
      </w:r>
      <w:r w:rsidRPr="00206E57">
        <w:t xml:space="preserve">, a jurisdictional public utility </w:t>
      </w:r>
      <w:r>
        <w:t>that provides</w:t>
      </w:r>
      <w:r w:rsidRPr="00206E57">
        <w:t xml:space="preserve"> </w:t>
      </w:r>
      <w:r>
        <w:t>gas</w:t>
      </w:r>
      <w:r w:rsidRPr="00206E57">
        <w:t xml:space="preserve"> distribution service in the Commonwealth of Pennsylvania.</w:t>
      </w:r>
    </w:p>
    <w:p w:rsidR="00A713B1" w:rsidRPr="00206E57" w:rsidRDefault="00A713B1" w:rsidP="004F686A">
      <w:pPr>
        <w:tabs>
          <w:tab w:val="left" w:pos="2160"/>
        </w:tabs>
        <w:spacing w:line="360" w:lineRule="auto"/>
        <w:ind w:left="1440"/>
      </w:pPr>
    </w:p>
    <w:p w:rsidR="00A713B1" w:rsidRPr="00206E57" w:rsidRDefault="00A713B1" w:rsidP="004F686A">
      <w:pPr>
        <w:numPr>
          <w:ilvl w:val="0"/>
          <w:numId w:val="12"/>
        </w:numPr>
        <w:tabs>
          <w:tab w:val="left" w:pos="2160"/>
        </w:tabs>
        <w:spacing w:line="360" w:lineRule="auto"/>
        <w:ind w:left="0" w:firstLine="1440"/>
      </w:pPr>
      <w:r w:rsidRPr="00206E57">
        <w:t xml:space="preserve">On </w:t>
      </w:r>
      <w:r>
        <w:t>June 20</w:t>
      </w:r>
      <w:r w:rsidRPr="00206E57">
        <w:t>, 201</w:t>
      </w:r>
      <w:r>
        <w:t>6</w:t>
      </w:r>
      <w:r w:rsidRPr="00206E57">
        <w:t>, Complainant filed a Complaint with the Commission against the Respondent</w:t>
      </w:r>
      <w:r>
        <w:t>.</w:t>
      </w:r>
    </w:p>
    <w:p w:rsidR="00A713B1" w:rsidRPr="00206E57" w:rsidRDefault="00A713B1" w:rsidP="004F686A">
      <w:pPr>
        <w:tabs>
          <w:tab w:val="left" w:pos="2160"/>
        </w:tabs>
        <w:spacing w:line="360" w:lineRule="auto"/>
        <w:ind w:left="1440"/>
      </w:pPr>
    </w:p>
    <w:p w:rsidR="00A713B1" w:rsidRPr="00206E57" w:rsidRDefault="00A713B1" w:rsidP="004F686A">
      <w:pPr>
        <w:numPr>
          <w:ilvl w:val="0"/>
          <w:numId w:val="12"/>
        </w:numPr>
        <w:tabs>
          <w:tab w:val="left" w:pos="2160"/>
        </w:tabs>
        <w:spacing w:line="360" w:lineRule="auto"/>
        <w:ind w:left="0" w:firstLine="1440"/>
      </w:pPr>
      <w:r>
        <w:t xml:space="preserve">The </w:t>
      </w:r>
      <w:r w:rsidRPr="00206E57">
        <w:t xml:space="preserve">Respondent filed its Answer on </w:t>
      </w:r>
      <w:r>
        <w:t>July 12</w:t>
      </w:r>
      <w:r w:rsidRPr="00206E57">
        <w:t>, 201</w:t>
      </w:r>
      <w:r>
        <w:t>6</w:t>
      </w:r>
      <w:r w:rsidRPr="00206E57">
        <w:t>, denying any wrongdoing.</w:t>
      </w:r>
    </w:p>
    <w:p w:rsidR="00A713B1" w:rsidRPr="00206E57" w:rsidRDefault="00A713B1" w:rsidP="004F686A">
      <w:pPr>
        <w:pStyle w:val="ListParagraph"/>
        <w:spacing w:line="360" w:lineRule="auto"/>
      </w:pPr>
    </w:p>
    <w:p w:rsidR="00A713B1" w:rsidRDefault="00A713B1" w:rsidP="004F686A">
      <w:pPr>
        <w:numPr>
          <w:ilvl w:val="0"/>
          <w:numId w:val="12"/>
        </w:numPr>
        <w:tabs>
          <w:tab w:val="left" w:pos="2160"/>
        </w:tabs>
        <w:spacing w:line="360" w:lineRule="auto"/>
        <w:ind w:left="0" w:firstLine="1440"/>
      </w:pPr>
      <w:r w:rsidRPr="00206E57">
        <w:t xml:space="preserve">A Hearing Notice dated </w:t>
      </w:r>
      <w:r>
        <w:t>August 11, 2016,</w:t>
      </w:r>
      <w:r w:rsidRPr="00206E57">
        <w:t xml:space="preserve"> w</w:t>
      </w:r>
      <w:r>
        <w:t>as</w:t>
      </w:r>
      <w:r w:rsidRPr="00206E57">
        <w:t xml:space="preserve"> </w:t>
      </w:r>
      <w:r>
        <w:t xml:space="preserve">sent by regular first-class </w:t>
      </w:r>
      <w:r w:rsidRPr="00206E57">
        <w:t>mail to the Complainant and scheduled a</w:t>
      </w:r>
      <w:r>
        <w:t>n evidentiary h</w:t>
      </w:r>
      <w:r w:rsidRPr="00206E57">
        <w:t>earing for</w:t>
      </w:r>
      <w:r>
        <w:t xml:space="preserve"> Friday,</w:t>
      </w:r>
      <w:r w:rsidRPr="00206E57">
        <w:t xml:space="preserve"> </w:t>
      </w:r>
      <w:r>
        <w:t>September 16</w:t>
      </w:r>
      <w:r w:rsidRPr="00206E57">
        <w:t>, 201</w:t>
      </w:r>
      <w:r w:rsidR="004F686A">
        <w:t>6, at </w:t>
      </w:r>
      <w:r>
        <w:t>10 a.m.</w:t>
      </w:r>
      <w:r w:rsidRPr="00206E57">
        <w:t xml:space="preserve"> </w:t>
      </w:r>
    </w:p>
    <w:p w:rsidR="00A713B1" w:rsidRDefault="00A713B1" w:rsidP="004F686A">
      <w:pPr>
        <w:pStyle w:val="ListParagraph"/>
        <w:spacing w:line="360" w:lineRule="auto"/>
      </w:pPr>
    </w:p>
    <w:p w:rsidR="00A713B1" w:rsidRDefault="00A713B1" w:rsidP="004F686A">
      <w:pPr>
        <w:numPr>
          <w:ilvl w:val="0"/>
          <w:numId w:val="12"/>
        </w:numPr>
        <w:tabs>
          <w:tab w:val="left" w:pos="2160"/>
        </w:tabs>
        <w:spacing w:line="360" w:lineRule="auto"/>
        <w:ind w:left="0" w:firstLine="1440"/>
      </w:pPr>
      <w:r w:rsidRPr="00206E57">
        <w:t xml:space="preserve">A Prehearing Order, dated </w:t>
      </w:r>
      <w:r>
        <w:t>August 23</w:t>
      </w:r>
      <w:r w:rsidRPr="00206E57">
        <w:t>, 201</w:t>
      </w:r>
      <w:r>
        <w:t>6,</w:t>
      </w:r>
      <w:r w:rsidRPr="00206E57">
        <w:t xml:space="preserve"> advised the Complainant of the proper procedure to obtain a continuance to reschedule the hearing date.</w:t>
      </w:r>
    </w:p>
    <w:p w:rsidR="00A713B1" w:rsidRDefault="00A713B1" w:rsidP="004F686A">
      <w:pPr>
        <w:pStyle w:val="ListParagraph"/>
        <w:spacing w:line="360" w:lineRule="auto"/>
      </w:pPr>
    </w:p>
    <w:p w:rsidR="00A713B1" w:rsidRDefault="00A713B1" w:rsidP="004F686A">
      <w:pPr>
        <w:numPr>
          <w:ilvl w:val="0"/>
          <w:numId w:val="12"/>
        </w:numPr>
        <w:tabs>
          <w:tab w:val="left" w:pos="2160"/>
        </w:tabs>
        <w:spacing w:line="360" w:lineRule="auto"/>
        <w:ind w:left="0" w:firstLine="1440"/>
      </w:pPr>
      <w:r>
        <w:t>By telephone message on September 15, 2016, the Complainant used the procedure to obtain a continuance.</w:t>
      </w:r>
    </w:p>
    <w:p w:rsidR="00A713B1" w:rsidRDefault="00A713B1" w:rsidP="004F686A">
      <w:pPr>
        <w:pStyle w:val="ListParagraph"/>
        <w:spacing w:line="360" w:lineRule="auto"/>
      </w:pPr>
    </w:p>
    <w:p w:rsidR="00A713B1" w:rsidRDefault="00A713B1" w:rsidP="004F686A">
      <w:pPr>
        <w:numPr>
          <w:ilvl w:val="0"/>
          <w:numId w:val="12"/>
        </w:numPr>
        <w:tabs>
          <w:tab w:val="left" w:pos="2160"/>
        </w:tabs>
        <w:spacing w:line="360" w:lineRule="auto"/>
        <w:ind w:left="0" w:firstLine="1440"/>
      </w:pPr>
      <w:r>
        <w:lastRenderedPageBreak/>
        <w:t xml:space="preserve">A Hearing Notice dated December 1, 2016, was sent by regular first-class mail to the Complainant, which rescheduled the evidentiary hearing for Friday, January 13, 2017, at 10 a.m. </w:t>
      </w:r>
    </w:p>
    <w:p w:rsidR="00A713B1" w:rsidRDefault="00A713B1" w:rsidP="004F686A">
      <w:pPr>
        <w:pStyle w:val="ListParagraph"/>
        <w:spacing w:line="360" w:lineRule="auto"/>
      </w:pPr>
    </w:p>
    <w:p w:rsidR="00A713B1" w:rsidRPr="00206E57" w:rsidRDefault="00A713B1" w:rsidP="004F686A">
      <w:pPr>
        <w:numPr>
          <w:ilvl w:val="0"/>
          <w:numId w:val="12"/>
        </w:numPr>
        <w:tabs>
          <w:tab w:val="num" w:pos="2160"/>
        </w:tabs>
        <w:spacing w:line="360" w:lineRule="auto"/>
        <w:ind w:left="0" w:firstLine="1440"/>
        <w:rPr>
          <w:spacing w:val="-3"/>
        </w:rPr>
      </w:pPr>
      <w:r w:rsidRPr="00206E57">
        <w:rPr>
          <w:spacing w:val="-3"/>
        </w:rPr>
        <w:t>None of the documents mailed to Complainant was returned to the Commission by the United States post office as undeliverable.</w:t>
      </w:r>
    </w:p>
    <w:p w:rsidR="00A713B1" w:rsidRPr="00206E57" w:rsidRDefault="00A713B1" w:rsidP="004F686A">
      <w:pPr>
        <w:pStyle w:val="ListParagraph"/>
        <w:spacing w:line="360" w:lineRule="auto"/>
        <w:rPr>
          <w:spacing w:val="-3"/>
        </w:rPr>
      </w:pPr>
    </w:p>
    <w:p w:rsidR="00A713B1" w:rsidRPr="00206E57" w:rsidRDefault="00A713B1" w:rsidP="004F686A">
      <w:pPr>
        <w:numPr>
          <w:ilvl w:val="0"/>
          <w:numId w:val="12"/>
        </w:numPr>
        <w:tabs>
          <w:tab w:val="num" w:pos="2160"/>
        </w:tabs>
        <w:spacing w:line="360" w:lineRule="auto"/>
        <w:ind w:left="0" w:firstLine="1440"/>
        <w:rPr>
          <w:spacing w:val="-3"/>
        </w:rPr>
      </w:pPr>
      <w:r w:rsidRPr="00206E57">
        <w:rPr>
          <w:spacing w:val="-3"/>
        </w:rPr>
        <w:t xml:space="preserve">Neither Complainant nor any counsel representing Complainant timely appeared at the scheduled </w:t>
      </w:r>
      <w:r>
        <w:rPr>
          <w:spacing w:val="-3"/>
        </w:rPr>
        <w:t>h</w:t>
      </w:r>
      <w:r w:rsidRPr="00206E57">
        <w:rPr>
          <w:spacing w:val="-3"/>
        </w:rPr>
        <w:t xml:space="preserve">earing on </w:t>
      </w:r>
      <w:r>
        <w:rPr>
          <w:spacing w:val="-3"/>
        </w:rPr>
        <w:t>January 13</w:t>
      </w:r>
      <w:r w:rsidRPr="00206E57">
        <w:rPr>
          <w:spacing w:val="-3"/>
        </w:rPr>
        <w:t>, 201</w:t>
      </w:r>
      <w:r>
        <w:rPr>
          <w:spacing w:val="-3"/>
        </w:rPr>
        <w:t>7</w:t>
      </w:r>
      <w:r w:rsidRPr="00206E57">
        <w:rPr>
          <w:spacing w:val="-3"/>
        </w:rPr>
        <w:t>.</w:t>
      </w:r>
    </w:p>
    <w:p w:rsidR="00A713B1" w:rsidRPr="00206E57" w:rsidRDefault="00A713B1" w:rsidP="004F686A">
      <w:pPr>
        <w:pStyle w:val="ListParagraph"/>
        <w:spacing w:line="360" w:lineRule="auto"/>
        <w:rPr>
          <w:spacing w:val="-3"/>
        </w:rPr>
      </w:pPr>
    </w:p>
    <w:p w:rsidR="00A713B1" w:rsidRDefault="00A713B1" w:rsidP="004F686A">
      <w:pPr>
        <w:numPr>
          <w:ilvl w:val="0"/>
          <w:numId w:val="12"/>
        </w:numPr>
        <w:tabs>
          <w:tab w:val="num" w:pos="2160"/>
        </w:tabs>
        <w:spacing w:line="360" w:lineRule="auto"/>
        <w:ind w:left="0" w:firstLine="1440"/>
        <w:rPr>
          <w:spacing w:val="-3"/>
        </w:rPr>
      </w:pPr>
      <w:r w:rsidRPr="00206E57">
        <w:rPr>
          <w:spacing w:val="-3"/>
        </w:rPr>
        <w:t>Complainant did not settle or withdraw the Complaint.</w:t>
      </w:r>
    </w:p>
    <w:p w:rsidR="00A713B1" w:rsidRDefault="00A713B1" w:rsidP="004F686A">
      <w:pPr>
        <w:tabs>
          <w:tab w:val="left" w:pos="-90"/>
        </w:tabs>
        <w:spacing w:line="360" w:lineRule="auto"/>
        <w:ind w:firstLine="1440"/>
        <w:rPr>
          <w:spacing w:val="-3"/>
        </w:rPr>
      </w:pPr>
    </w:p>
    <w:p w:rsidR="003A388C" w:rsidRPr="00206E57" w:rsidRDefault="003A388C" w:rsidP="004F686A">
      <w:pPr>
        <w:spacing w:line="360" w:lineRule="auto"/>
        <w:jc w:val="center"/>
        <w:rPr>
          <w:u w:val="single"/>
        </w:rPr>
      </w:pPr>
      <w:r w:rsidRPr="00206E57">
        <w:rPr>
          <w:u w:val="single"/>
        </w:rPr>
        <w:t>DISCUSSION</w:t>
      </w:r>
    </w:p>
    <w:p w:rsidR="003A388C" w:rsidRPr="00206E57" w:rsidRDefault="003A388C" w:rsidP="004F686A">
      <w:pPr>
        <w:tabs>
          <w:tab w:val="left" w:pos="2160"/>
        </w:tabs>
        <w:spacing w:line="360" w:lineRule="auto"/>
        <w:jc w:val="center"/>
        <w:rPr>
          <w:u w:val="single"/>
        </w:rPr>
      </w:pPr>
    </w:p>
    <w:p w:rsidR="00FF446A" w:rsidRDefault="00FF446A" w:rsidP="00FF446A">
      <w:pPr>
        <w:spacing w:line="360" w:lineRule="auto"/>
        <w:ind w:firstLine="1440"/>
      </w:pPr>
      <w:r w:rsidRPr="00206E57">
        <w:t>In this Complaint,</w:t>
      </w:r>
      <w:r>
        <w:t xml:space="preserve"> the</w:t>
      </w:r>
      <w:r w:rsidRPr="00206E57">
        <w:t xml:space="preserve"> Complainant </w:t>
      </w:r>
      <w:r>
        <w:t xml:space="preserve">alleged that he is not responsible for the arrears attributed to gas service at the service address because the gas service was fraudulently obtained </w:t>
      </w:r>
      <w:r w:rsidR="007468ED">
        <w:t xml:space="preserve">by someone else </w:t>
      </w:r>
      <w:r>
        <w:t xml:space="preserve">using his name.  </w:t>
      </w:r>
      <w:r w:rsidRPr="00206E57">
        <w:t>The issue in this proceeding is determined by whether the Complainant sustained h</w:t>
      </w:r>
      <w:r>
        <w:t>is</w:t>
      </w:r>
      <w:r w:rsidRPr="00206E57">
        <w:t xml:space="preserve"> burden of proof.  By failing to participate in the hearing, </w:t>
      </w:r>
      <w:r>
        <w:t xml:space="preserve">the </w:t>
      </w:r>
      <w:r w:rsidRPr="00206E57">
        <w:t>Complainant was unable to meet this burden.</w:t>
      </w:r>
    </w:p>
    <w:p w:rsidR="00FF446A" w:rsidRPr="00206E57" w:rsidRDefault="00FF446A" w:rsidP="00FF446A">
      <w:pPr>
        <w:spacing w:line="360" w:lineRule="auto"/>
        <w:ind w:firstLine="1440"/>
      </w:pPr>
    </w:p>
    <w:p w:rsidR="00FF446A" w:rsidRDefault="00FF446A" w:rsidP="00FF446A">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602 A.2d 863 (</w:t>
      </w:r>
      <w:r>
        <w:t xml:space="preserve">Pa. </w:t>
      </w:r>
      <w:r w:rsidRPr="00206E57">
        <w:t xml:space="preserve">1992).  A preponderance of the evidence is that which is more convincing, by even the smallest amount, than that presented by the other party.  </w:t>
      </w:r>
      <w:proofErr w:type="gramStart"/>
      <w:r w:rsidRPr="00206E57">
        <w:rPr>
          <w:i/>
        </w:rPr>
        <w:t xml:space="preserve">Se-Ling Hosiery v. Margulies, </w:t>
      </w:r>
      <w:r w:rsidRPr="00206E57">
        <w:t>70 A.2d 854 (</w:t>
      </w:r>
      <w:r>
        <w:t xml:space="preserve">Pa. </w:t>
      </w:r>
      <w:r w:rsidRPr="00206E57">
        <w:t>1950).</w:t>
      </w:r>
      <w:proofErr w:type="gramEnd"/>
    </w:p>
    <w:p w:rsidR="001D2538" w:rsidRPr="00206E57" w:rsidRDefault="001D2538" w:rsidP="00FF446A">
      <w:pPr>
        <w:spacing w:line="360" w:lineRule="auto"/>
        <w:ind w:firstLine="1440"/>
      </w:pPr>
    </w:p>
    <w:p w:rsidR="00FF446A" w:rsidRPr="00206E57" w:rsidRDefault="00FF446A" w:rsidP="00FF446A">
      <w:pPr>
        <w:spacing w:line="360" w:lineRule="auto"/>
        <w:ind w:firstLine="1440"/>
      </w:pPr>
      <w:r w:rsidRPr="00206E57">
        <w:lastRenderedPageBreak/>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Pub. Util. Comm’n</w:t>
      </w:r>
      <w:r w:rsidRPr="00206E57">
        <w:t>, 479 A.2d 10 (</w:t>
      </w:r>
      <w:r>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t xml:space="preserve">Pa.Cmwlth. </w:t>
      </w:r>
      <w:r w:rsidRPr="00206E57">
        <w:t>1994).</w:t>
      </w:r>
    </w:p>
    <w:p w:rsidR="00FF446A" w:rsidRPr="00206E57" w:rsidRDefault="00FF446A" w:rsidP="00FF446A">
      <w:pPr>
        <w:spacing w:line="360" w:lineRule="auto"/>
        <w:ind w:firstLine="1440"/>
      </w:pPr>
    </w:p>
    <w:p w:rsidR="00FF446A" w:rsidRDefault="00FF446A" w:rsidP="00FF446A">
      <w:pPr>
        <w:spacing w:line="360" w:lineRule="auto"/>
        <w:ind w:firstLine="1440"/>
      </w:pPr>
      <w:r>
        <w:t>The Commission sent a</w:t>
      </w:r>
      <w:r w:rsidRPr="00206E57">
        <w:t xml:space="preserve"> Hearing Notice dated </w:t>
      </w:r>
      <w:r w:rsidR="00A713B1">
        <w:t>August 11,</w:t>
      </w:r>
      <w:r w:rsidRPr="00206E57">
        <w:t xml:space="preserve"> 201</w:t>
      </w:r>
      <w:r>
        <w:t>6</w:t>
      </w:r>
      <w:r w:rsidRPr="00206E57">
        <w:t xml:space="preserve">, to </w:t>
      </w:r>
      <w:r>
        <w:t xml:space="preserve">the </w:t>
      </w:r>
      <w:r w:rsidRPr="00206E57">
        <w:t xml:space="preserve">Complainant </w:t>
      </w:r>
      <w:r>
        <w:t>by regular first class mail to</w:t>
      </w:r>
      <w:r w:rsidRPr="00206E57">
        <w:t xml:space="preserve"> the address listed on the Complaint</w:t>
      </w:r>
      <w:r>
        <w:t>.  This document was never returned to the sender, the scheduling staff of the Office of Administrative Law Judge (OALJ) in Harrisburg.</w:t>
      </w:r>
    </w:p>
    <w:p w:rsidR="00FF446A" w:rsidRDefault="00FF446A" w:rsidP="00FF446A">
      <w:pPr>
        <w:spacing w:line="360" w:lineRule="auto"/>
        <w:ind w:firstLine="1440"/>
      </w:pPr>
    </w:p>
    <w:p w:rsidR="00FF446A" w:rsidRDefault="00077F0E" w:rsidP="00FF446A">
      <w:pPr>
        <w:spacing w:line="360" w:lineRule="auto"/>
        <w:ind w:firstLine="1440"/>
      </w:pPr>
      <w:r>
        <w:t>T</w:t>
      </w:r>
      <w:r w:rsidR="00FF446A">
        <w:t xml:space="preserve">he undersigned issued a Prehearing Order dated </w:t>
      </w:r>
      <w:r w:rsidR="00A713B1">
        <w:t>August 23</w:t>
      </w:r>
      <w:r w:rsidR="00FF446A">
        <w:t xml:space="preserve">, 2016, which </w:t>
      </w:r>
      <w:r w:rsidR="00FF446A" w:rsidRPr="000C19DC">
        <w:rPr>
          <w:i/>
        </w:rPr>
        <w:t>inter alia</w:t>
      </w:r>
      <w:r w:rsidR="00FF446A">
        <w:t xml:space="preserve">, instructed the parties that any request to change the scheduled hearing date should state the agreement or opposition of the other party and be submitted in writing no later than five days prior to the hearing.  The Prehearing Order, which was mailed to the Complainant at the address shown in the Complaint, was never returned </w:t>
      </w:r>
      <w:r w:rsidR="00FF446A" w:rsidRPr="00206E57">
        <w:t>by the U.S. post office as undeliverable</w:t>
      </w:r>
      <w:r w:rsidR="00FF446A">
        <w:t xml:space="preserve">. </w:t>
      </w:r>
      <w:r w:rsidR="009F61D5">
        <w:t xml:space="preserve"> </w:t>
      </w:r>
      <w:r>
        <w:t>Furthermore, the Complainant used the procedure in the Prehearing Order to request a continuance for the scheduled September 16, 2016</w:t>
      </w:r>
      <w:r w:rsidR="00FF0B24">
        <w:t>,</w:t>
      </w:r>
      <w:r>
        <w:t xml:space="preserve"> hearing. </w:t>
      </w:r>
      <w:r w:rsidR="00FF446A">
        <w:t xml:space="preserve"> Accordingly, it is presumed that this mailing, which was done through the ordinary course of business, was received by the Complainant.  </w:t>
      </w:r>
      <w:r w:rsidR="00FF446A">
        <w:rPr>
          <w:i/>
        </w:rPr>
        <w:t xml:space="preserve">Berkowitz v. Mayflower Securities, Inc., </w:t>
      </w:r>
      <w:r w:rsidR="00FF446A">
        <w:t xml:space="preserve">317 A.2d 584 (Pa. 1974); </w:t>
      </w:r>
      <w:r w:rsidR="00FF446A">
        <w:rPr>
          <w:i/>
        </w:rPr>
        <w:t xml:space="preserve">Meirerdierck v. Miller, </w:t>
      </w:r>
      <w:r w:rsidR="00FF446A">
        <w:t xml:space="preserve">147 A.2d 406 (Pa. 1959); </w:t>
      </w:r>
      <w:r w:rsidR="00FF446A">
        <w:rPr>
          <w:i/>
        </w:rPr>
        <w:t xml:space="preserve">Samaras v. Hartwick, </w:t>
      </w:r>
      <w:r w:rsidR="00FF446A">
        <w:t xml:space="preserve">698 A.2d 71 (Pa.Super. 1997); </w:t>
      </w:r>
      <w:r w:rsidR="00FF446A">
        <w:rPr>
          <w:i/>
        </w:rPr>
        <w:t>Judge v. Celina Mutual Insurance Co.,</w:t>
      </w:r>
      <w:r w:rsidR="00FF446A">
        <w:t xml:space="preserve"> 444 A.2d 658 (Pa.Super. 1982).</w:t>
      </w:r>
      <w:r>
        <w:t xml:space="preserve">  </w:t>
      </w:r>
      <w:r w:rsidR="00FF446A">
        <w:t xml:space="preserve">  </w:t>
      </w:r>
    </w:p>
    <w:p w:rsidR="00077F0E" w:rsidRDefault="00077F0E" w:rsidP="00FF446A">
      <w:pPr>
        <w:spacing w:line="360" w:lineRule="auto"/>
        <w:ind w:firstLine="1440"/>
      </w:pPr>
    </w:p>
    <w:p w:rsidR="00077F0E" w:rsidRDefault="00077F0E" w:rsidP="00077F0E">
      <w:pPr>
        <w:spacing w:line="360" w:lineRule="auto"/>
        <w:ind w:firstLine="1440"/>
      </w:pPr>
      <w:r>
        <w:t xml:space="preserve">  The Commission sent a</w:t>
      </w:r>
      <w:r w:rsidRPr="00206E57">
        <w:t xml:space="preserve"> </w:t>
      </w:r>
      <w:r>
        <w:t xml:space="preserve">second </w:t>
      </w:r>
      <w:r w:rsidRPr="00206E57">
        <w:t xml:space="preserve">Hearing Notice dated </w:t>
      </w:r>
      <w:r>
        <w:t>December 1,</w:t>
      </w:r>
      <w:r w:rsidRPr="00206E57">
        <w:t xml:space="preserve"> 201</w:t>
      </w:r>
      <w:r>
        <w:t>6</w:t>
      </w:r>
      <w:r w:rsidRPr="00206E57">
        <w:t xml:space="preserve">, to </w:t>
      </w:r>
      <w:r>
        <w:t xml:space="preserve">the </w:t>
      </w:r>
      <w:r w:rsidRPr="00206E57">
        <w:t xml:space="preserve">Complainant </w:t>
      </w:r>
      <w:r>
        <w:t>by regular first class mail to</w:t>
      </w:r>
      <w:r w:rsidRPr="00206E57">
        <w:t xml:space="preserve"> the </w:t>
      </w:r>
      <w:r>
        <w:t xml:space="preserve">same </w:t>
      </w:r>
      <w:r w:rsidRPr="00206E57">
        <w:t xml:space="preserve">address </w:t>
      </w:r>
      <w:r>
        <w:t>used f</w:t>
      </w:r>
      <w:r w:rsidR="008849A0">
        <w:t>or the previous Hearing Notice.</w:t>
      </w:r>
      <w:r>
        <w:t xml:space="preserve">  This document rescheduled the evidentiary hearing for Friday, January 13, 2017.  This document was never returned to the sender, the scheduling staff of the Office of Administrative Law Judge (OALJ) in Harrisburg.</w:t>
      </w:r>
    </w:p>
    <w:p w:rsidR="00077F0E" w:rsidRDefault="00077F0E" w:rsidP="00FF446A">
      <w:pPr>
        <w:spacing w:line="360" w:lineRule="auto"/>
        <w:ind w:firstLine="1440"/>
      </w:pPr>
    </w:p>
    <w:p w:rsidR="00077F0E" w:rsidRDefault="00FF446A" w:rsidP="00FF446A">
      <w:pPr>
        <w:spacing w:line="360" w:lineRule="auto"/>
        <w:ind w:firstLine="1440"/>
      </w:pPr>
      <w:r>
        <w:lastRenderedPageBreak/>
        <w:t xml:space="preserve">The </w:t>
      </w:r>
      <w:r w:rsidRPr="00206E57">
        <w:t xml:space="preserve">Complainant is deemed to have received </w:t>
      </w:r>
      <w:r>
        <w:t>all</w:t>
      </w:r>
      <w:r w:rsidRPr="00206E57">
        <w:t xml:space="preserve"> of these documents and had sufficient notice of the day, date and time of the scheduled hearing.</w:t>
      </w:r>
      <w:r>
        <w:t xml:space="preserve">  The Complainant was notified of the scheduled hearing date and time, as well as how to contact the OALJ for the hearing.  </w:t>
      </w:r>
      <w:r w:rsidR="00077F0E">
        <w:t xml:space="preserve">The Complainant demonstrated that he understood </w:t>
      </w:r>
      <w:r w:rsidR="00AF5C45">
        <w:t>the appropriate</w:t>
      </w:r>
      <w:r w:rsidR="00077F0E">
        <w:t xml:space="preserve"> circumstances to contact the OALJ because he had done so by telephone on September 15, 2016, to request that the hearing scheduled for September 16, 2</w:t>
      </w:r>
      <w:r w:rsidR="002A4D3D">
        <w:t xml:space="preserve">016, be rescheduled. (FOF 7).  </w:t>
      </w:r>
      <w:r>
        <w:t>Despite th</w:t>
      </w:r>
      <w:r w:rsidR="00077F0E">
        <w:t xml:space="preserve">ese actions by </w:t>
      </w:r>
      <w:r>
        <w:t>the Complainant</w:t>
      </w:r>
      <w:r w:rsidR="00077F0E">
        <w:t>, he</w:t>
      </w:r>
      <w:r>
        <w:t xml:space="preserve"> made no attempt whatsoever to notify the presiding officer that he did not plan to participate in the </w:t>
      </w:r>
      <w:r w:rsidR="00077F0E">
        <w:t xml:space="preserve">scheduled January 13, 2017 </w:t>
      </w:r>
      <w:r>
        <w:t xml:space="preserve">hearing.  </w:t>
      </w:r>
    </w:p>
    <w:p w:rsidR="00077F0E" w:rsidRDefault="00077F0E" w:rsidP="00FF446A">
      <w:pPr>
        <w:spacing w:line="360" w:lineRule="auto"/>
        <w:ind w:firstLine="1440"/>
      </w:pPr>
    </w:p>
    <w:p w:rsidR="00FF446A" w:rsidRPr="00206E57" w:rsidRDefault="00FF446A" w:rsidP="00FF446A">
      <w:pPr>
        <w:spacing w:line="360" w:lineRule="auto"/>
        <w:ind w:firstLine="1440"/>
      </w:pPr>
      <w:r>
        <w:t>Under these circumstances, the Complainant had ample opportunity to appear and be heard in this proceeding, but chose not to do so.</w:t>
      </w:r>
      <w:r w:rsidRPr="00206E57">
        <w:t xml:space="preserve">  Once notice of a hearing and the opportunity to be heard has been provided to the parties, it is the responsibility of both parties to appear and participate in the hearing. </w:t>
      </w:r>
      <w:r>
        <w:t xml:space="preserve"> The due process rights of the Complainant have been fully protected.  </w:t>
      </w:r>
      <w:r w:rsidRPr="00206E57">
        <w:rPr>
          <w:i/>
        </w:rPr>
        <w:t>Sentner v. Bell Tel. Co. of P</w:t>
      </w:r>
      <w:r>
        <w:rPr>
          <w:i/>
        </w:rPr>
        <w:t>a.</w:t>
      </w:r>
      <w:r w:rsidRPr="00206E57">
        <w:rPr>
          <w:i/>
        </w:rPr>
        <w:t xml:space="preserve">, </w:t>
      </w:r>
      <w:r w:rsidRPr="00206E57">
        <w:t>Docket No. F-00161106</w:t>
      </w:r>
      <w:r>
        <w:t xml:space="preserve"> (</w:t>
      </w:r>
      <w:r w:rsidRPr="00206E57">
        <w:t xml:space="preserve">Opinion and Order entered October 25, </w:t>
      </w:r>
      <w:r>
        <w:t>199</w:t>
      </w:r>
      <w:r w:rsidRPr="00206E57">
        <w:t>3</w:t>
      </w:r>
      <w:r>
        <w:t>); 52 Pa.Code § 5.245(a)</w:t>
      </w:r>
      <w:r w:rsidRPr="00206E57">
        <w:t xml:space="preserve">.   </w:t>
      </w:r>
    </w:p>
    <w:p w:rsidR="00FF446A" w:rsidRPr="00206E57" w:rsidRDefault="00FF446A" w:rsidP="00FF446A">
      <w:pPr>
        <w:spacing w:line="360" w:lineRule="auto"/>
        <w:ind w:firstLine="1440"/>
      </w:pPr>
    </w:p>
    <w:p w:rsidR="00FF446A" w:rsidRDefault="00FF446A" w:rsidP="00FF446A">
      <w:pPr>
        <w:spacing w:line="360" w:lineRule="auto"/>
        <w:ind w:firstLine="1440"/>
      </w:pPr>
      <w:r>
        <w:t>Section 332(a) of the Public Utility Code (Code), 66 Pa.C.S. § 332(a), places the burden of proof upon the proponent of any request for relief.  As the party bringing this Complaint, the Complainant bears the burden of proving by a prepond</w:t>
      </w:r>
      <w:r w:rsidR="00D16D24">
        <w:t>erance of the evidence that he is</w:t>
      </w:r>
      <w:r>
        <w:t xml:space="preserve"> entitled to relief.  By choosing not to appear and proffer any evidence to support the Complaint, the Complainant has failed to meet this burden.</w:t>
      </w:r>
    </w:p>
    <w:p w:rsidR="00FF446A" w:rsidRDefault="00FF446A" w:rsidP="00FF446A">
      <w:pPr>
        <w:spacing w:line="360" w:lineRule="auto"/>
        <w:ind w:firstLine="1440"/>
      </w:pPr>
    </w:p>
    <w:p w:rsidR="00FF446A" w:rsidRDefault="00FF446A" w:rsidP="00FF446A">
      <w:pPr>
        <w:spacing w:line="360" w:lineRule="auto"/>
        <w:ind w:firstLine="1440"/>
      </w:pPr>
      <w:r w:rsidRPr="0070483F">
        <w:t>The failure of the Complainant to appear at this scheduled hearing is unexcused.  By h</w:t>
      </w:r>
      <w:r>
        <w:t>is</w:t>
      </w:r>
      <w:r w:rsidRPr="0070483F">
        <w:t xml:space="preserve"> failure to attend the hearing and present evidence on the issue raised, the Complainant failed to sustain h</w:t>
      </w:r>
      <w:r>
        <w:t>is</w:t>
      </w:r>
      <w:r w:rsidRPr="0070483F">
        <w:t xml:space="preserve"> burden of proof.</w:t>
      </w:r>
    </w:p>
    <w:p w:rsidR="00FF446A" w:rsidRDefault="00FF446A" w:rsidP="00FF446A">
      <w:pPr>
        <w:spacing w:line="360" w:lineRule="auto"/>
        <w:ind w:firstLine="1440"/>
      </w:pPr>
    </w:p>
    <w:p w:rsidR="00FF446A" w:rsidRDefault="00FF446A" w:rsidP="00FF446A">
      <w:pPr>
        <w:spacing w:line="360" w:lineRule="auto"/>
        <w:ind w:firstLine="1440"/>
      </w:pPr>
      <w:r>
        <w:t xml:space="preserve">As the Commission stated in </w:t>
      </w:r>
      <w:r w:rsidRPr="00B818EE">
        <w:rPr>
          <w:i/>
        </w:rPr>
        <w:t>Mumma v. PPL Electric Utilities Corp.,</w:t>
      </w:r>
      <w:r>
        <w:t xml:space="preserve"> Docket No. C-00014869 (Opinion and Order entered January 24, 2002), “It is well-established law that once timely notice of a hearing and the opportunity to be heard have been provided, it is the responsibility of the parties to be present and participate in the hearing.”  See, </w:t>
      </w:r>
      <w:r w:rsidRPr="00B818EE">
        <w:rPr>
          <w:i/>
        </w:rPr>
        <w:t>Schneider v. Pa. Pub. Util. Comm’n,</w:t>
      </w:r>
      <w:r>
        <w:t xml:space="preserve"> 479 A.2d 10 (Pa.Cmwlth. 1984); </w:t>
      </w:r>
      <w:r w:rsidRPr="00B818EE">
        <w:rPr>
          <w:i/>
        </w:rPr>
        <w:t>Plummer v. Columbia Gas of Pa., Inc.,</w:t>
      </w:r>
      <w:r>
        <w:t xml:space="preserve"> </w:t>
      </w:r>
      <w:r>
        <w:lastRenderedPageBreak/>
        <w:t xml:space="preserve">Docket No. Z-00847836 (Opinion and Order entered September 27, 2001).  The Pennsylvania Commonwealth Court has made it clear that in administrative hearings, “a party’s own negligence is not sufficient good cause as a matter of law for failing to appear at a … hearing.”  </w:t>
      </w:r>
      <w:r>
        <w:rPr>
          <w:i/>
        </w:rPr>
        <w:t xml:space="preserve">Eat “N Park Hospitality Group, Inc. v. Unemployment Compensation Board of Review, </w:t>
      </w:r>
      <w:r>
        <w:t>970 A.2d 492, 494 (Pa.Cmwlth. 2008).</w:t>
      </w:r>
    </w:p>
    <w:p w:rsidR="00FF446A" w:rsidRDefault="00FF446A" w:rsidP="00FF446A">
      <w:pPr>
        <w:spacing w:line="360" w:lineRule="auto"/>
        <w:ind w:firstLine="1440"/>
      </w:pPr>
    </w:p>
    <w:p w:rsidR="00FF446A" w:rsidRPr="0070483F" w:rsidRDefault="00FF446A" w:rsidP="00FF446A">
      <w:pPr>
        <w:spacing w:line="360" w:lineRule="auto"/>
        <w:ind w:firstLine="1440"/>
      </w:pPr>
      <w:r>
        <w:t xml:space="preserve">Due to the waste of the Commission’s and Respondent’s time, money and energy occasioned by the Complainant’s failure to appear at a hearing of which he had notice, this Complaint will be dismissed with prejudice in accordance with well-established Commission precedent.  </w:t>
      </w:r>
      <w:r>
        <w:rPr>
          <w:i/>
        </w:rPr>
        <w:t xml:space="preserve">Jefferson v. UGI Utilities, Inc., </w:t>
      </w:r>
      <w:r>
        <w:t xml:space="preserve">Docket No. Z-00269892 (Opinion and Order entered December 26, 1995); </w:t>
      </w:r>
      <w:r w:rsidRPr="002E2E80">
        <w:rPr>
          <w:i/>
        </w:rPr>
        <w:t>Evans v</w:t>
      </w:r>
      <w:r>
        <w:rPr>
          <w:i/>
        </w:rPr>
        <w:t>. Bell Atlantic-Pennsylvania, Inc</w:t>
      </w:r>
      <w:r w:rsidRPr="002E2E80">
        <w:rPr>
          <w:i/>
        </w:rPr>
        <w:t>.</w:t>
      </w:r>
      <w:r>
        <w:rPr>
          <w:i/>
        </w:rPr>
        <w:t xml:space="preserve">, </w:t>
      </w:r>
      <w:r>
        <w:t xml:space="preserve">Docket No. C-00957229 (Opinion and Order entered July 12, 1996); </w:t>
      </w:r>
      <w:r>
        <w:rPr>
          <w:i/>
        </w:rPr>
        <w:t xml:space="preserve">King v. PECO Energy Co., </w:t>
      </w:r>
      <w:r>
        <w:t xml:space="preserve">Docket No. C-00967919 (Opinion and Order entered January 16, 1997); </w:t>
      </w:r>
      <w:r>
        <w:rPr>
          <w:i/>
        </w:rPr>
        <w:t xml:space="preserve">Kenny v. PPL Electric Utilities Corp., </w:t>
      </w:r>
      <w:r>
        <w:t xml:space="preserve">Docket No. C-20042399 (Final Order entered October 13, 2004); </w:t>
      </w:r>
      <w:r>
        <w:rPr>
          <w:i/>
        </w:rPr>
        <w:t xml:space="preserve">Jones v. The Peoples Natural Gas Co. d/b/a Dominion Peoples, </w:t>
      </w:r>
      <w:r>
        <w:t xml:space="preserve">Docket No. C-20054885 (Opinion and Order entered February 14, 2006); </w:t>
      </w:r>
      <w:r>
        <w:rPr>
          <w:i/>
        </w:rPr>
        <w:t xml:space="preserve">El-Ayazra v. West Penn Power Co., </w:t>
      </w:r>
      <w:r>
        <w:t xml:space="preserve">Docket No. F-2015-2509292 </w:t>
      </w:r>
      <w:r w:rsidR="00E55486">
        <w:t>(Opinion and Order entered June </w:t>
      </w:r>
      <w:r>
        <w:t>30, 2016).</w:t>
      </w:r>
      <w:r>
        <w:rPr>
          <w:i/>
        </w:rPr>
        <w:t xml:space="preserve"> </w:t>
      </w:r>
      <w:r w:rsidRPr="002E2E80">
        <w:rPr>
          <w:i/>
        </w:rPr>
        <w:t xml:space="preserve"> </w:t>
      </w:r>
      <w:r>
        <w:t xml:space="preserve"> </w:t>
      </w:r>
    </w:p>
    <w:p w:rsidR="00FF446A" w:rsidRPr="0070483F" w:rsidRDefault="00FF446A" w:rsidP="00FF446A">
      <w:pPr>
        <w:spacing w:line="360" w:lineRule="auto"/>
        <w:ind w:firstLine="1440"/>
      </w:pPr>
    </w:p>
    <w:p w:rsidR="00FF446A" w:rsidRPr="0070483F" w:rsidRDefault="00FF446A" w:rsidP="00FF446A">
      <w:pPr>
        <w:spacing w:line="360" w:lineRule="auto"/>
        <w:ind w:firstLine="1440"/>
        <w:rPr>
          <w:spacing w:val="-3"/>
        </w:rPr>
      </w:pPr>
      <w:r w:rsidRPr="0070483F">
        <w:t xml:space="preserve">The Complainant waived the opportunity to participate in the hearing by failing to appear.  This case will be dismissed.  52 Pa.Code § 5.245(a); </w:t>
      </w:r>
      <w:r w:rsidRPr="0070483F">
        <w:rPr>
          <w:i/>
          <w:spacing w:val="-3"/>
        </w:rPr>
        <w:t>Martin W. Jefferson v. UGI Utilities, Inc.</w:t>
      </w:r>
      <w:r w:rsidRPr="0070483F">
        <w:rPr>
          <w:spacing w:val="-3"/>
        </w:rPr>
        <w:t xml:space="preserve">, 1995 Pa. PUC LEXIS 159.  </w:t>
      </w:r>
    </w:p>
    <w:p w:rsidR="00FF446A" w:rsidRDefault="00FF446A" w:rsidP="00FF446A">
      <w:pPr>
        <w:spacing w:line="360" w:lineRule="auto"/>
        <w:ind w:firstLine="1440"/>
      </w:pPr>
    </w:p>
    <w:p w:rsidR="00FF446A" w:rsidRPr="00206E57" w:rsidRDefault="00FF446A" w:rsidP="00FF446A">
      <w:pPr>
        <w:spacing w:line="360" w:lineRule="auto"/>
        <w:jc w:val="center"/>
        <w:rPr>
          <w:u w:val="single"/>
        </w:rPr>
      </w:pPr>
      <w:r w:rsidRPr="00206E57">
        <w:rPr>
          <w:u w:val="single"/>
        </w:rPr>
        <w:t>CONCLUSIONS OF LAW</w:t>
      </w:r>
    </w:p>
    <w:p w:rsidR="00FF446A" w:rsidRPr="00206E57" w:rsidRDefault="00FF446A" w:rsidP="00FF446A">
      <w:pPr>
        <w:spacing w:line="360" w:lineRule="auto"/>
        <w:jc w:val="center"/>
        <w:rPr>
          <w:u w:val="single"/>
        </w:rPr>
      </w:pPr>
    </w:p>
    <w:p w:rsidR="00FF446A" w:rsidRPr="00206E57" w:rsidRDefault="00FF446A" w:rsidP="0058250C">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FF446A" w:rsidRPr="00206E57" w:rsidRDefault="00FF446A" w:rsidP="0058250C">
      <w:pPr>
        <w:spacing w:line="360" w:lineRule="auto"/>
        <w:ind w:left="1440"/>
      </w:pPr>
    </w:p>
    <w:p w:rsidR="00FF446A" w:rsidRDefault="00FF446A" w:rsidP="0058250C">
      <w:pPr>
        <w:numPr>
          <w:ilvl w:val="0"/>
          <w:numId w:val="2"/>
        </w:numPr>
        <w:tabs>
          <w:tab w:val="clear" w:pos="900"/>
          <w:tab w:val="num" w:pos="2160"/>
        </w:tabs>
        <w:spacing w:line="360" w:lineRule="auto"/>
        <w:ind w:left="0" w:firstLine="1440"/>
      </w:pPr>
      <w:r w:rsidRPr="00206E57">
        <w:t>Notice</w:t>
      </w:r>
      <w:r>
        <w:t xml:space="preserve"> properly</w:t>
      </w:r>
      <w:r w:rsidRPr="00206E57">
        <w:t xml:space="preserve"> mailed to a party’s last known address and not returned by the post office is presumed to have been received.  </w:t>
      </w:r>
      <w:r>
        <w:rPr>
          <w:i/>
        </w:rPr>
        <w:t xml:space="preserve">Berkowitz v. Mayflower Securities, Inc., </w:t>
      </w:r>
      <w:r>
        <w:t xml:space="preserve">317 A.2d 584 (Pa. 1974); </w:t>
      </w:r>
      <w:r>
        <w:rPr>
          <w:i/>
        </w:rPr>
        <w:t xml:space="preserve">Meirerdierck v. Miller, </w:t>
      </w:r>
      <w:r>
        <w:t xml:space="preserve">147 A.2d 406 (Pa. 1959); </w:t>
      </w:r>
      <w:r>
        <w:rPr>
          <w:i/>
        </w:rPr>
        <w:t xml:space="preserve">Samaras v. Hartwick, </w:t>
      </w:r>
      <w:r>
        <w:t xml:space="preserve">698 A.2d 71 (Pa.Super. 1997); </w:t>
      </w:r>
      <w:r>
        <w:rPr>
          <w:i/>
        </w:rPr>
        <w:t>Judge v. Celina Mutual Insurance Co.,</w:t>
      </w:r>
      <w:r>
        <w:t xml:space="preserve"> 444 A.2d 658 (Pa.Super. 1982).</w:t>
      </w:r>
    </w:p>
    <w:p w:rsidR="00FF446A" w:rsidRDefault="00F251BE" w:rsidP="0058250C">
      <w:pPr>
        <w:numPr>
          <w:ilvl w:val="0"/>
          <w:numId w:val="2"/>
        </w:numPr>
        <w:tabs>
          <w:tab w:val="clear" w:pos="900"/>
          <w:tab w:val="num" w:pos="2160"/>
        </w:tabs>
        <w:spacing w:line="360" w:lineRule="auto"/>
        <w:ind w:left="0" w:firstLine="1440"/>
      </w:pPr>
      <w:r>
        <w:lastRenderedPageBreak/>
        <w:t>By Hearing Notice dated December 1, 2016, t</w:t>
      </w:r>
      <w:r w:rsidR="00FF446A">
        <w:t>he Complainant had notice of the date, location and time of the scheduled hearing.</w:t>
      </w:r>
      <w:r>
        <w:t xml:space="preserve">  52 Pa.Code § 5.201(a).</w:t>
      </w:r>
    </w:p>
    <w:p w:rsidR="00FF446A" w:rsidRDefault="00FF446A" w:rsidP="0058250C">
      <w:pPr>
        <w:pStyle w:val="ListParagraph"/>
        <w:spacing w:line="360" w:lineRule="auto"/>
      </w:pPr>
    </w:p>
    <w:p w:rsidR="00FF446A" w:rsidRPr="00206E57" w:rsidRDefault="00FF446A" w:rsidP="0058250C">
      <w:pPr>
        <w:numPr>
          <w:ilvl w:val="0"/>
          <w:numId w:val="2"/>
        </w:numPr>
        <w:tabs>
          <w:tab w:val="clear" w:pos="900"/>
        </w:tabs>
        <w:spacing w:line="360" w:lineRule="auto"/>
        <w:ind w:left="0" w:firstLine="1440"/>
      </w:pPr>
      <w:r>
        <w:t xml:space="preserve">Once notice of a hearing and the opportunity to be heard has been provided, it is the responsibility of the parties to appear and participate in the hearing.  </w:t>
      </w:r>
      <w:r w:rsidRPr="00593653">
        <w:rPr>
          <w:i/>
        </w:rPr>
        <w:t>Sentner v. Bell Telephone Co. of Pennsylvania,</w:t>
      </w:r>
      <w:r>
        <w:t xml:space="preserve"> Docket No. F-00161106 (Order entered October 25, 1993).  </w:t>
      </w:r>
    </w:p>
    <w:p w:rsidR="00FF446A" w:rsidRPr="00206E57" w:rsidRDefault="00FF446A" w:rsidP="0058250C">
      <w:pPr>
        <w:pStyle w:val="ListParagraph"/>
        <w:spacing w:line="360" w:lineRule="auto"/>
        <w:rPr>
          <w:i/>
        </w:rPr>
      </w:pPr>
    </w:p>
    <w:p w:rsidR="00FF446A" w:rsidRPr="00206E57" w:rsidRDefault="00FF446A" w:rsidP="0058250C">
      <w:pPr>
        <w:numPr>
          <w:ilvl w:val="0"/>
          <w:numId w:val="2"/>
        </w:numPr>
        <w:tabs>
          <w:tab w:val="clear" w:pos="900"/>
          <w:tab w:val="num" w:pos="2160"/>
        </w:tabs>
        <w:spacing w:line="360" w:lineRule="auto"/>
        <w:ind w:left="0" w:firstLine="1440"/>
      </w:pPr>
      <w:r w:rsidRPr="00206E57">
        <w:t xml:space="preserve">As the party seeking affirmative relief from the Commission, </w:t>
      </w:r>
      <w:r>
        <w:t xml:space="preserve">the </w:t>
      </w:r>
      <w:r w:rsidRPr="00206E57">
        <w:t>Complainant bears the burden of proof.  66 Pa.C.S. § 332(a).</w:t>
      </w:r>
    </w:p>
    <w:p w:rsidR="00FF446A" w:rsidRPr="00206E57" w:rsidRDefault="00FF446A" w:rsidP="0058250C">
      <w:pPr>
        <w:pStyle w:val="ListParagraph"/>
        <w:spacing w:line="360" w:lineRule="auto"/>
        <w:rPr>
          <w:i/>
        </w:rPr>
      </w:pPr>
    </w:p>
    <w:p w:rsidR="00FF446A" w:rsidRPr="00206E57" w:rsidRDefault="00FF446A" w:rsidP="0058250C">
      <w:pPr>
        <w:numPr>
          <w:ilvl w:val="0"/>
          <w:numId w:val="2"/>
        </w:numPr>
        <w:tabs>
          <w:tab w:val="clear" w:pos="900"/>
          <w:tab w:val="num" w:pos="2160"/>
        </w:tabs>
        <w:spacing w:line="360" w:lineRule="auto"/>
        <w:ind w:left="0" w:firstLine="1440"/>
      </w:pPr>
      <w:r>
        <w:t>The d</w:t>
      </w:r>
      <w:r w:rsidRPr="00206E57">
        <w:t xml:space="preserve">ue process </w:t>
      </w:r>
      <w:r>
        <w:t>rights of the Complainant have been fully protected because the Complainant was</w:t>
      </w:r>
      <w:r w:rsidRPr="00206E57">
        <w:t xml:space="preserv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F446A" w:rsidRPr="00206E57" w:rsidRDefault="00FF446A" w:rsidP="0058250C">
      <w:pPr>
        <w:spacing w:line="360" w:lineRule="auto"/>
        <w:ind w:left="1440"/>
      </w:pPr>
    </w:p>
    <w:p w:rsidR="00FF446A" w:rsidRDefault="00FF446A" w:rsidP="0058250C">
      <w:pPr>
        <w:numPr>
          <w:ilvl w:val="0"/>
          <w:numId w:val="2"/>
        </w:numPr>
        <w:tabs>
          <w:tab w:val="clear" w:pos="900"/>
          <w:tab w:val="num" w:pos="2160"/>
        </w:tabs>
        <w:spacing w:line="360" w:lineRule="auto"/>
        <w:ind w:left="0" w:firstLine="1440"/>
      </w:pPr>
      <w:r>
        <w:t>A formal Complaint may be dismissed if, after notice and an opportunity to be heard, a</w:t>
      </w:r>
      <w:r w:rsidRPr="00206E57">
        <w:t xml:space="preserve"> Complainant</w:t>
      </w:r>
      <w:r>
        <w:t xml:space="preserve"> fails to appear and prosecute the Complaint.  </w:t>
      </w:r>
      <w:r w:rsidRPr="00C51BAA">
        <w:rPr>
          <w:i/>
        </w:rPr>
        <w:t>Mumma v. PPL Electric Utilities Corp.,</w:t>
      </w:r>
      <w:r>
        <w:t xml:space="preserve"> Docket No. C-00014869 (Opinion and Order entered January 24, 2002).</w:t>
      </w:r>
    </w:p>
    <w:p w:rsidR="00FF446A" w:rsidRDefault="00FF446A" w:rsidP="0058250C">
      <w:pPr>
        <w:pStyle w:val="ListParagraph"/>
        <w:spacing w:line="360" w:lineRule="auto"/>
      </w:pPr>
    </w:p>
    <w:p w:rsidR="00FF446A" w:rsidRDefault="00FF446A" w:rsidP="0058250C">
      <w:pPr>
        <w:numPr>
          <w:ilvl w:val="0"/>
          <w:numId w:val="2"/>
        </w:numPr>
        <w:tabs>
          <w:tab w:val="clear" w:pos="900"/>
          <w:tab w:val="num" w:pos="2160"/>
        </w:tabs>
        <w:spacing w:line="360" w:lineRule="auto"/>
        <w:ind w:left="0" w:firstLine="1440"/>
      </w:pPr>
      <w:r>
        <w:t xml:space="preserve">The Complainant, </w:t>
      </w:r>
      <w:r w:rsidR="00F251BE">
        <w:t>Eric Mayo</w:t>
      </w:r>
      <w:r>
        <w:t xml:space="preserve">, </w:t>
      </w:r>
      <w:r w:rsidRPr="00206E57">
        <w:t xml:space="preserve">failed to </w:t>
      </w:r>
      <w:r>
        <w:t>sustain his burden of proof.</w:t>
      </w:r>
      <w:r w:rsidR="003142CF">
        <w:t xml:space="preserve">  </w:t>
      </w:r>
      <w:proofErr w:type="gramStart"/>
      <w:r w:rsidR="003142CF">
        <w:t>66 </w:t>
      </w:r>
      <w:r w:rsidRPr="00206E57">
        <w:t>Pa.C.S.</w:t>
      </w:r>
      <w:proofErr w:type="gramEnd"/>
      <w:r w:rsidRPr="00206E57">
        <w:t xml:space="preserve"> § 332(a).</w:t>
      </w:r>
    </w:p>
    <w:p w:rsidR="00FF446A" w:rsidRDefault="00FF446A" w:rsidP="0058250C">
      <w:pPr>
        <w:spacing w:line="360" w:lineRule="auto"/>
      </w:pPr>
      <w:r>
        <w:br w:type="page"/>
      </w:r>
    </w:p>
    <w:p w:rsidR="00E04853" w:rsidRDefault="0058250C" w:rsidP="0058250C">
      <w:pPr>
        <w:tabs>
          <w:tab w:val="num" w:pos="2160"/>
        </w:tabs>
        <w:spacing w:line="360" w:lineRule="auto"/>
        <w:jc w:val="center"/>
        <w:rPr>
          <w:u w:val="single"/>
        </w:rPr>
      </w:pPr>
      <w:r>
        <w:rPr>
          <w:u w:val="single"/>
        </w:rPr>
        <w:lastRenderedPageBreak/>
        <w:t>ORDER</w:t>
      </w:r>
    </w:p>
    <w:p w:rsidR="0058250C" w:rsidRDefault="0058250C" w:rsidP="0058250C">
      <w:pPr>
        <w:tabs>
          <w:tab w:val="num" w:pos="2160"/>
        </w:tabs>
        <w:spacing w:line="360" w:lineRule="auto"/>
        <w:jc w:val="center"/>
        <w:rPr>
          <w:u w:val="single"/>
        </w:rPr>
      </w:pPr>
    </w:p>
    <w:p w:rsidR="0058250C" w:rsidRDefault="0058250C" w:rsidP="0058250C">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58250C">
      <w:pPr>
        <w:numPr>
          <w:ilvl w:val="0"/>
          <w:numId w:val="9"/>
        </w:numPr>
        <w:spacing w:line="360" w:lineRule="auto"/>
        <w:ind w:left="0" w:firstLine="1440"/>
      </w:pPr>
      <w:r w:rsidRPr="00206E57">
        <w:t xml:space="preserve">That the motion by </w:t>
      </w:r>
      <w:r w:rsidR="006229BB">
        <w:t>Laureto Farinas</w:t>
      </w:r>
      <w:r w:rsidRPr="00206E57">
        <w:t>, Esquire on behalf of P</w:t>
      </w:r>
      <w:r w:rsidR="00035C10">
        <w:t>hiladelphia Gas Works</w:t>
      </w:r>
      <w:r w:rsidRPr="00206E57">
        <w:t xml:space="preserve"> to dismiss the formal Complaint of </w:t>
      </w:r>
      <w:r w:rsidR="00F251BE">
        <w:t>Eric Mayo</w:t>
      </w:r>
      <w:r w:rsidR="00043F6B" w:rsidRPr="00206E57">
        <w:t xml:space="preserve"> </w:t>
      </w:r>
      <w:r w:rsidR="00765BF6" w:rsidRPr="00206E57">
        <w:t xml:space="preserve">at Docket No. </w:t>
      </w:r>
      <w:r w:rsidR="00F251BE">
        <w:t>C</w:t>
      </w:r>
      <w:r w:rsidR="00035C10" w:rsidRPr="00206E57">
        <w:t>-201</w:t>
      </w:r>
      <w:r w:rsidR="00035C10">
        <w:t>6</w:t>
      </w:r>
      <w:r w:rsidR="00035C10" w:rsidRPr="00206E57">
        <w:t>-2</w:t>
      </w:r>
      <w:r w:rsidR="00035C10">
        <w:t>5</w:t>
      </w:r>
      <w:r w:rsidR="0070483F">
        <w:t>5</w:t>
      </w:r>
      <w:r w:rsidR="00F251BE">
        <w:t>2370</w:t>
      </w:r>
      <w:r w:rsidRPr="00206E57">
        <w:t xml:space="preserve"> </w:t>
      </w:r>
      <w:r w:rsidR="002C5578">
        <w:t xml:space="preserve">for lack of prosecution </w:t>
      </w:r>
      <w:r w:rsidRPr="00206E57">
        <w:t xml:space="preserve">is </w:t>
      </w:r>
      <w:r w:rsidR="00F251BE">
        <w:t>granted</w:t>
      </w:r>
      <w:r w:rsidRPr="00206E57">
        <w:t>.</w:t>
      </w:r>
    </w:p>
    <w:p w:rsidR="00435021" w:rsidRPr="00206E57" w:rsidRDefault="00435021" w:rsidP="0058250C">
      <w:pPr>
        <w:spacing w:line="360" w:lineRule="auto"/>
        <w:ind w:left="1440"/>
      </w:pPr>
    </w:p>
    <w:p w:rsidR="009060B2" w:rsidRDefault="003A388C" w:rsidP="0058250C">
      <w:pPr>
        <w:numPr>
          <w:ilvl w:val="0"/>
          <w:numId w:val="9"/>
        </w:numPr>
        <w:spacing w:line="360" w:lineRule="auto"/>
        <w:ind w:left="0" w:firstLine="1440"/>
      </w:pPr>
      <w:r w:rsidRPr="00206E57">
        <w:t xml:space="preserve">That the </w:t>
      </w:r>
      <w:r w:rsidR="009060B2">
        <w:t xml:space="preserve">formal </w:t>
      </w:r>
      <w:r w:rsidR="009060B2" w:rsidRPr="00206E57">
        <w:t xml:space="preserve">Complaint filed by </w:t>
      </w:r>
      <w:r w:rsidR="009060B2">
        <w:t xml:space="preserve">Eric Mayo </w:t>
      </w:r>
      <w:r w:rsidR="009060B2" w:rsidRPr="00206E57">
        <w:t>against P</w:t>
      </w:r>
      <w:r w:rsidR="009060B2">
        <w:t>hiladelphia Gas Works</w:t>
      </w:r>
      <w:r w:rsidR="009060B2" w:rsidRPr="00206E57">
        <w:t xml:space="preserve"> at Docket No. </w:t>
      </w:r>
      <w:r w:rsidR="009060B2">
        <w:t>C</w:t>
      </w:r>
      <w:r w:rsidR="009060B2" w:rsidRPr="00206E57">
        <w:t>-201</w:t>
      </w:r>
      <w:r w:rsidR="009060B2">
        <w:t>6</w:t>
      </w:r>
      <w:r w:rsidR="009060B2" w:rsidRPr="00206E57">
        <w:t>-2</w:t>
      </w:r>
      <w:r w:rsidR="009060B2">
        <w:t>552370</w:t>
      </w:r>
      <w:r w:rsidR="009060B2" w:rsidRPr="00206E57">
        <w:t xml:space="preserve"> is dismissed </w:t>
      </w:r>
      <w:r w:rsidR="009060B2">
        <w:t xml:space="preserve">in its entirety </w:t>
      </w:r>
      <w:r w:rsidR="009060B2" w:rsidRPr="00206E57">
        <w:t>with prejudice.</w:t>
      </w:r>
    </w:p>
    <w:p w:rsidR="009060B2" w:rsidRDefault="009060B2" w:rsidP="0058250C">
      <w:pPr>
        <w:spacing w:line="360" w:lineRule="auto"/>
      </w:pPr>
    </w:p>
    <w:p w:rsidR="009060B2" w:rsidRDefault="009060B2" w:rsidP="0058250C">
      <w:pPr>
        <w:pStyle w:val="ListParagraph"/>
        <w:numPr>
          <w:ilvl w:val="0"/>
          <w:numId w:val="9"/>
        </w:numPr>
        <w:tabs>
          <w:tab w:val="num" w:pos="2160"/>
        </w:tabs>
        <w:spacing w:line="360" w:lineRule="auto"/>
      </w:pPr>
      <w:r w:rsidRPr="00206E57">
        <w:t>That the</w:t>
      </w:r>
      <w:r>
        <w:t xml:space="preserve"> Docket No. C</w:t>
      </w:r>
      <w:r w:rsidRPr="00206E57">
        <w:t>-201</w:t>
      </w:r>
      <w:r>
        <w:t>6</w:t>
      </w:r>
      <w:r w:rsidRPr="00206E57">
        <w:t>-2</w:t>
      </w:r>
      <w:r>
        <w:t xml:space="preserve">552370 is to be </w:t>
      </w:r>
      <w:r w:rsidRPr="00206E57">
        <w:t>mark</w:t>
      </w:r>
      <w:r>
        <w:t>ed</w:t>
      </w:r>
      <w:r w:rsidRPr="00206E57">
        <w:t xml:space="preserve"> closed.</w:t>
      </w:r>
    </w:p>
    <w:p w:rsidR="001217EB" w:rsidRDefault="001217EB" w:rsidP="001217EB">
      <w:pPr>
        <w:tabs>
          <w:tab w:val="num" w:pos="2160"/>
        </w:tabs>
        <w:spacing w:line="360" w:lineRule="auto"/>
        <w:ind w:left="1440"/>
      </w:pPr>
    </w:p>
    <w:p w:rsidR="00FC3444" w:rsidRPr="00206E57" w:rsidRDefault="00FC3444" w:rsidP="001217EB">
      <w:pPr>
        <w:tabs>
          <w:tab w:val="num" w:pos="2160"/>
        </w:tabs>
        <w:spacing w:line="360" w:lineRule="auto"/>
        <w:ind w:left="1440"/>
      </w:pPr>
    </w:p>
    <w:p w:rsidR="003A388C" w:rsidRPr="00206E57" w:rsidRDefault="003A388C" w:rsidP="00A86F10">
      <w:pPr>
        <w:tabs>
          <w:tab w:val="num" w:pos="2160"/>
          <w:tab w:val="left" w:pos="5048"/>
        </w:tabs>
      </w:pPr>
      <w:r w:rsidRPr="00206E57">
        <w:t xml:space="preserve">Dated: </w:t>
      </w:r>
      <w:r w:rsidR="0070483F">
        <w:rPr>
          <w:u w:val="single"/>
        </w:rPr>
        <w:t xml:space="preserve">January </w:t>
      </w:r>
      <w:r w:rsidR="009060B2">
        <w:rPr>
          <w:u w:val="single"/>
        </w:rPr>
        <w:t>30</w:t>
      </w:r>
      <w:r w:rsidRPr="00206E57">
        <w:rPr>
          <w:u w:val="single"/>
        </w:rPr>
        <w:t>, 201</w:t>
      </w:r>
      <w:r w:rsidR="0070483F">
        <w:rPr>
          <w:u w:val="single"/>
        </w:rPr>
        <w:t>7</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E0" w:rsidRDefault="009621E0" w:rsidP="00671B99">
      <w:r>
        <w:separator/>
      </w:r>
    </w:p>
  </w:endnote>
  <w:endnote w:type="continuationSeparator" w:id="0">
    <w:p w:rsidR="009621E0" w:rsidRDefault="009621E0"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A97BDA">
      <w:rPr>
        <w:noProof/>
        <w:sz w:val="20"/>
        <w:szCs w:val="20"/>
      </w:rPr>
      <w:t>10</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E0" w:rsidRDefault="009621E0" w:rsidP="00671B99">
      <w:r>
        <w:separator/>
      </w:r>
    </w:p>
  </w:footnote>
  <w:footnote w:type="continuationSeparator" w:id="0">
    <w:p w:rsidR="009621E0" w:rsidRDefault="009621E0"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A28838A"/>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B2B3E7C"/>
    <w:multiLevelType w:val="hybridMultilevel"/>
    <w:tmpl w:val="B93A9412"/>
    <w:lvl w:ilvl="0" w:tplc="EF1A6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7"/>
  </w:num>
  <w:num w:numId="6">
    <w:abstractNumId w:val="6"/>
  </w:num>
  <w:num w:numId="7">
    <w:abstractNumId w:val="1"/>
  </w:num>
  <w:num w:numId="8">
    <w:abstractNumId w:val="8"/>
  </w:num>
  <w:num w:numId="9">
    <w:abstractNumId w:val="3"/>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10"/>
    <w:rsid w:val="00035CA0"/>
    <w:rsid w:val="0003642E"/>
    <w:rsid w:val="00043F6B"/>
    <w:rsid w:val="00046766"/>
    <w:rsid w:val="0005378A"/>
    <w:rsid w:val="00054EBF"/>
    <w:rsid w:val="00055D94"/>
    <w:rsid w:val="000568BF"/>
    <w:rsid w:val="00056F8B"/>
    <w:rsid w:val="00061A0D"/>
    <w:rsid w:val="000649EB"/>
    <w:rsid w:val="000705AF"/>
    <w:rsid w:val="00077F0E"/>
    <w:rsid w:val="00080983"/>
    <w:rsid w:val="00085E2B"/>
    <w:rsid w:val="000933D2"/>
    <w:rsid w:val="00093933"/>
    <w:rsid w:val="00093F7C"/>
    <w:rsid w:val="00094F27"/>
    <w:rsid w:val="00095DB6"/>
    <w:rsid w:val="00096198"/>
    <w:rsid w:val="000A3F30"/>
    <w:rsid w:val="000B4031"/>
    <w:rsid w:val="000B43FE"/>
    <w:rsid w:val="000B6245"/>
    <w:rsid w:val="000B7A49"/>
    <w:rsid w:val="000C1597"/>
    <w:rsid w:val="000C19DC"/>
    <w:rsid w:val="000D03DF"/>
    <w:rsid w:val="000D5C2F"/>
    <w:rsid w:val="000D6317"/>
    <w:rsid w:val="000E1EB5"/>
    <w:rsid w:val="000E33A2"/>
    <w:rsid w:val="000E34BB"/>
    <w:rsid w:val="000F478A"/>
    <w:rsid w:val="000F5C41"/>
    <w:rsid w:val="001024DF"/>
    <w:rsid w:val="00104CA1"/>
    <w:rsid w:val="001058FB"/>
    <w:rsid w:val="001151A8"/>
    <w:rsid w:val="001217EB"/>
    <w:rsid w:val="0012619E"/>
    <w:rsid w:val="00131EA5"/>
    <w:rsid w:val="001330A1"/>
    <w:rsid w:val="001363D7"/>
    <w:rsid w:val="001368BC"/>
    <w:rsid w:val="001368F9"/>
    <w:rsid w:val="00140257"/>
    <w:rsid w:val="00145DC8"/>
    <w:rsid w:val="001527E7"/>
    <w:rsid w:val="0015294E"/>
    <w:rsid w:val="00155EAF"/>
    <w:rsid w:val="00156C11"/>
    <w:rsid w:val="00157D81"/>
    <w:rsid w:val="00165950"/>
    <w:rsid w:val="00171144"/>
    <w:rsid w:val="0017167F"/>
    <w:rsid w:val="00172118"/>
    <w:rsid w:val="00172B39"/>
    <w:rsid w:val="00173ED1"/>
    <w:rsid w:val="00180B9F"/>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2538"/>
    <w:rsid w:val="001D711E"/>
    <w:rsid w:val="001E21D4"/>
    <w:rsid w:val="001E2A34"/>
    <w:rsid w:val="001E4400"/>
    <w:rsid w:val="001F3031"/>
    <w:rsid w:val="001F3110"/>
    <w:rsid w:val="001F5588"/>
    <w:rsid w:val="0020029F"/>
    <w:rsid w:val="002007A1"/>
    <w:rsid w:val="00200C4D"/>
    <w:rsid w:val="00200D75"/>
    <w:rsid w:val="00202C99"/>
    <w:rsid w:val="00204101"/>
    <w:rsid w:val="002054DA"/>
    <w:rsid w:val="00206E57"/>
    <w:rsid w:val="002104EF"/>
    <w:rsid w:val="00216719"/>
    <w:rsid w:val="00216CFA"/>
    <w:rsid w:val="002215F8"/>
    <w:rsid w:val="00232AF2"/>
    <w:rsid w:val="00232F90"/>
    <w:rsid w:val="0023472F"/>
    <w:rsid w:val="00245795"/>
    <w:rsid w:val="0024721A"/>
    <w:rsid w:val="00252B63"/>
    <w:rsid w:val="0025324E"/>
    <w:rsid w:val="00253904"/>
    <w:rsid w:val="00255311"/>
    <w:rsid w:val="00256CEC"/>
    <w:rsid w:val="00261F04"/>
    <w:rsid w:val="00265DB8"/>
    <w:rsid w:val="00270CCC"/>
    <w:rsid w:val="00271B22"/>
    <w:rsid w:val="00280901"/>
    <w:rsid w:val="00282451"/>
    <w:rsid w:val="00283497"/>
    <w:rsid w:val="002902FE"/>
    <w:rsid w:val="00295B12"/>
    <w:rsid w:val="002976AF"/>
    <w:rsid w:val="002A00B9"/>
    <w:rsid w:val="002A03D7"/>
    <w:rsid w:val="002A08B5"/>
    <w:rsid w:val="002A4D3D"/>
    <w:rsid w:val="002A5745"/>
    <w:rsid w:val="002B17F8"/>
    <w:rsid w:val="002B4EA0"/>
    <w:rsid w:val="002B59A2"/>
    <w:rsid w:val="002B5BF4"/>
    <w:rsid w:val="002B6321"/>
    <w:rsid w:val="002C180D"/>
    <w:rsid w:val="002C2E5F"/>
    <w:rsid w:val="002C5578"/>
    <w:rsid w:val="002D7BDD"/>
    <w:rsid w:val="002E1BE2"/>
    <w:rsid w:val="002E2E80"/>
    <w:rsid w:val="002E36F5"/>
    <w:rsid w:val="002F0110"/>
    <w:rsid w:val="002F415A"/>
    <w:rsid w:val="003048B4"/>
    <w:rsid w:val="003073A4"/>
    <w:rsid w:val="003142CF"/>
    <w:rsid w:val="0031638A"/>
    <w:rsid w:val="003208BD"/>
    <w:rsid w:val="00320D23"/>
    <w:rsid w:val="00320FDB"/>
    <w:rsid w:val="003242C4"/>
    <w:rsid w:val="0032442A"/>
    <w:rsid w:val="00325038"/>
    <w:rsid w:val="0032688F"/>
    <w:rsid w:val="00326AD7"/>
    <w:rsid w:val="0032744A"/>
    <w:rsid w:val="00333BB3"/>
    <w:rsid w:val="00337525"/>
    <w:rsid w:val="00347146"/>
    <w:rsid w:val="00352C36"/>
    <w:rsid w:val="00356F95"/>
    <w:rsid w:val="00357D5B"/>
    <w:rsid w:val="00362862"/>
    <w:rsid w:val="00363B4D"/>
    <w:rsid w:val="00363F20"/>
    <w:rsid w:val="00367ACA"/>
    <w:rsid w:val="00370CAA"/>
    <w:rsid w:val="00371633"/>
    <w:rsid w:val="003722A7"/>
    <w:rsid w:val="00372503"/>
    <w:rsid w:val="00377946"/>
    <w:rsid w:val="00386B2A"/>
    <w:rsid w:val="003903C6"/>
    <w:rsid w:val="00390B01"/>
    <w:rsid w:val="00391F41"/>
    <w:rsid w:val="003938F3"/>
    <w:rsid w:val="003965F4"/>
    <w:rsid w:val="003A02E3"/>
    <w:rsid w:val="003A388C"/>
    <w:rsid w:val="003A6B45"/>
    <w:rsid w:val="003A78A8"/>
    <w:rsid w:val="003B10D4"/>
    <w:rsid w:val="003B25CB"/>
    <w:rsid w:val="003B289A"/>
    <w:rsid w:val="003B4D11"/>
    <w:rsid w:val="003B6501"/>
    <w:rsid w:val="003C23BF"/>
    <w:rsid w:val="003C7C86"/>
    <w:rsid w:val="003D43F0"/>
    <w:rsid w:val="003E21D0"/>
    <w:rsid w:val="003E2A33"/>
    <w:rsid w:val="003E3039"/>
    <w:rsid w:val="003E6177"/>
    <w:rsid w:val="003F08DA"/>
    <w:rsid w:val="003F0E6F"/>
    <w:rsid w:val="003F3AAA"/>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365E3"/>
    <w:rsid w:val="00440F16"/>
    <w:rsid w:val="00442D53"/>
    <w:rsid w:val="00443B5F"/>
    <w:rsid w:val="004457FF"/>
    <w:rsid w:val="004462FB"/>
    <w:rsid w:val="00450543"/>
    <w:rsid w:val="00461D4F"/>
    <w:rsid w:val="00463734"/>
    <w:rsid w:val="00465820"/>
    <w:rsid w:val="004667A5"/>
    <w:rsid w:val="00473AE3"/>
    <w:rsid w:val="004751A5"/>
    <w:rsid w:val="00480F23"/>
    <w:rsid w:val="004829DE"/>
    <w:rsid w:val="004838F1"/>
    <w:rsid w:val="00486506"/>
    <w:rsid w:val="00490A4C"/>
    <w:rsid w:val="004925D2"/>
    <w:rsid w:val="0049485E"/>
    <w:rsid w:val="004A0D20"/>
    <w:rsid w:val="004A4985"/>
    <w:rsid w:val="004A5BB7"/>
    <w:rsid w:val="004B45C1"/>
    <w:rsid w:val="004C0007"/>
    <w:rsid w:val="004C0200"/>
    <w:rsid w:val="004C5F40"/>
    <w:rsid w:val="004C777A"/>
    <w:rsid w:val="004C7818"/>
    <w:rsid w:val="004D1411"/>
    <w:rsid w:val="004D6863"/>
    <w:rsid w:val="004E350B"/>
    <w:rsid w:val="004E45FC"/>
    <w:rsid w:val="004E6FA4"/>
    <w:rsid w:val="004E7B3C"/>
    <w:rsid w:val="004F3826"/>
    <w:rsid w:val="004F686A"/>
    <w:rsid w:val="00503F63"/>
    <w:rsid w:val="0050520B"/>
    <w:rsid w:val="00507314"/>
    <w:rsid w:val="00511193"/>
    <w:rsid w:val="00512898"/>
    <w:rsid w:val="0051375C"/>
    <w:rsid w:val="00513A96"/>
    <w:rsid w:val="00515A5C"/>
    <w:rsid w:val="00516B8F"/>
    <w:rsid w:val="00523119"/>
    <w:rsid w:val="00523358"/>
    <w:rsid w:val="00531602"/>
    <w:rsid w:val="00532B54"/>
    <w:rsid w:val="0053692B"/>
    <w:rsid w:val="00551501"/>
    <w:rsid w:val="00554842"/>
    <w:rsid w:val="00564F32"/>
    <w:rsid w:val="0056503E"/>
    <w:rsid w:val="005675E2"/>
    <w:rsid w:val="005722C5"/>
    <w:rsid w:val="00577282"/>
    <w:rsid w:val="00577F9A"/>
    <w:rsid w:val="00580676"/>
    <w:rsid w:val="00580D3D"/>
    <w:rsid w:val="00581698"/>
    <w:rsid w:val="00581DDF"/>
    <w:rsid w:val="0058250C"/>
    <w:rsid w:val="00584D91"/>
    <w:rsid w:val="0058591F"/>
    <w:rsid w:val="00586206"/>
    <w:rsid w:val="00590314"/>
    <w:rsid w:val="00592164"/>
    <w:rsid w:val="00593653"/>
    <w:rsid w:val="005A281B"/>
    <w:rsid w:val="005A4F21"/>
    <w:rsid w:val="005A6B32"/>
    <w:rsid w:val="005B03C7"/>
    <w:rsid w:val="005B0964"/>
    <w:rsid w:val="005B1419"/>
    <w:rsid w:val="005B2F06"/>
    <w:rsid w:val="005B3455"/>
    <w:rsid w:val="005B702D"/>
    <w:rsid w:val="005B793B"/>
    <w:rsid w:val="005C1C86"/>
    <w:rsid w:val="005C3E08"/>
    <w:rsid w:val="005C7C22"/>
    <w:rsid w:val="005D2692"/>
    <w:rsid w:val="005E27C7"/>
    <w:rsid w:val="005F3CFB"/>
    <w:rsid w:val="005F5254"/>
    <w:rsid w:val="00612394"/>
    <w:rsid w:val="00613898"/>
    <w:rsid w:val="006177F2"/>
    <w:rsid w:val="006229AC"/>
    <w:rsid w:val="006229BB"/>
    <w:rsid w:val="00625522"/>
    <w:rsid w:val="00625A54"/>
    <w:rsid w:val="00631A1C"/>
    <w:rsid w:val="006342AE"/>
    <w:rsid w:val="006427E7"/>
    <w:rsid w:val="00642A55"/>
    <w:rsid w:val="00645BF8"/>
    <w:rsid w:val="006466AD"/>
    <w:rsid w:val="00647FEF"/>
    <w:rsid w:val="00654DBB"/>
    <w:rsid w:val="00655B0A"/>
    <w:rsid w:val="00656ED6"/>
    <w:rsid w:val="00671B99"/>
    <w:rsid w:val="00672BAC"/>
    <w:rsid w:val="00680FAC"/>
    <w:rsid w:val="0068373A"/>
    <w:rsid w:val="006840CF"/>
    <w:rsid w:val="00684D0B"/>
    <w:rsid w:val="00692DDA"/>
    <w:rsid w:val="006A3112"/>
    <w:rsid w:val="006A6289"/>
    <w:rsid w:val="006A69B7"/>
    <w:rsid w:val="006B1D44"/>
    <w:rsid w:val="006B5879"/>
    <w:rsid w:val="006C01FD"/>
    <w:rsid w:val="006C23BD"/>
    <w:rsid w:val="006C4D40"/>
    <w:rsid w:val="006D25DA"/>
    <w:rsid w:val="006E10BA"/>
    <w:rsid w:val="006E1386"/>
    <w:rsid w:val="006E73B9"/>
    <w:rsid w:val="00703CE7"/>
    <w:rsid w:val="0070483F"/>
    <w:rsid w:val="00705D82"/>
    <w:rsid w:val="0070620F"/>
    <w:rsid w:val="0071018F"/>
    <w:rsid w:val="00711B9A"/>
    <w:rsid w:val="00713031"/>
    <w:rsid w:val="00717D4B"/>
    <w:rsid w:val="007206AD"/>
    <w:rsid w:val="00724E68"/>
    <w:rsid w:val="00727FBF"/>
    <w:rsid w:val="00734514"/>
    <w:rsid w:val="00734995"/>
    <w:rsid w:val="00735808"/>
    <w:rsid w:val="00746258"/>
    <w:rsid w:val="007468ED"/>
    <w:rsid w:val="00747F0F"/>
    <w:rsid w:val="00752029"/>
    <w:rsid w:val="00753BCE"/>
    <w:rsid w:val="00756172"/>
    <w:rsid w:val="00756526"/>
    <w:rsid w:val="00756B0B"/>
    <w:rsid w:val="007578AE"/>
    <w:rsid w:val="0076000A"/>
    <w:rsid w:val="00761B3E"/>
    <w:rsid w:val="00762BAE"/>
    <w:rsid w:val="00765BF6"/>
    <w:rsid w:val="00767248"/>
    <w:rsid w:val="00767D96"/>
    <w:rsid w:val="00777B3A"/>
    <w:rsid w:val="0078081C"/>
    <w:rsid w:val="007845A8"/>
    <w:rsid w:val="007869B9"/>
    <w:rsid w:val="00787A80"/>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15E2"/>
    <w:rsid w:val="00831A50"/>
    <w:rsid w:val="0083409B"/>
    <w:rsid w:val="00834679"/>
    <w:rsid w:val="008362A0"/>
    <w:rsid w:val="0085568B"/>
    <w:rsid w:val="00855E15"/>
    <w:rsid w:val="008600EC"/>
    <w:rsid w:val="00860750"/>
    <w:rsid w:val="00861A42"/>
    <w:rsid w:val="00864DA7"/>
    <w:rsid w:val="00865343"/>
    <w:rsid w:val="00867508"/>
    <w:rsid w:val="008760CF"/>
    <w:rsid w:val="008804D2"/>
    <w:rsid w:val="00880B2B"/>
    <w:rsid w:val="00881669"/>
    <w:rsid w:val="00882BC9"/>
    <w:rsid w:val="00883EF7"/>
    <w:rsid w:val="008849A0"/>
    <w:rsid w:val="00884E94"/>
    <w:rsid w:val="00886309"/>
    <w:rsid w:val="00892049"/>
    <w:rsid w:val="0089437E"/>
    <w:rsid w:val="00897BBA"/>
    <w:rsid w:val="008A0025"/>
    <w:rsid w:val="008A1848"/>
    <w:rsid w:val="008A3674"/>
    <w:rsid w:val="008A6075"/>
    <w:rsid w:val="008B2B9A"/>
    <w:rsid w:val="008B653E"/>
    <w:rsid w:val="008B673C"/>
    <w:rsid w:val="008D0F62"/>
    <w:rsid w:val="008D2293"/>
    <w:rsid w:val="008E1251"/>
    <w:rsid w:val="008E6D8F"/>
    <w:rsid w:val="008E75CF"/>
    <w:rsid w:val="008F5284"/>
    <w:rsid w:val="008F6CC1"/>
    <w:rsid w:val="00901DFF"/>
    <w:rsid w:val="00902059"/>
    <w:rsid w:val="009060B2"/>
    <w:rsid w:val="009134C8"/>
    <w:rsid w:val="00915DE5"/>
    <w:rsid w:val="00921F7D"/>
    <w:rsid w:val="00924ECE"/>
    <w:rsid w:val="00926115"/>
    <w:rsid w:val="00927C48"/>
    <w:rsid w:val="00933192"/>
    <w:rsid w:val="00937A4B"/>
    <w:rsid w:val="00941D5A"/>
    <w:rsid w:val="00942AC4"/>
    <w:rsid w:val="00943331"/>
    <w:rsid w:val="00943D59"/>
    <w:rsid w:val="00945EFA"/>
    <w:rsid w:val="00952D55"/>
    <w:rsid w:val="009603C4"/>
    <w:rsid w:val="009621E0"/>
    <w:rsid w:val="009644E5"/>
    <w:rsid w:val="009654E7"/>
    <w:rsid w:val="009701F0"/>
    <w:rsid w:val="00971B2F"/>
    <w:rsid w:val="00973F07"/>
    <w:rsid w:val="00975607"/>
    <w:rsid w:val="00976D08"/>
    <w:rsid w:val="00985A5B"/>
    <w:rsid w:val="0098768A"/>
    <w:rsid w:val="009925A2"/>
    <w:rsid w:val="00994150"/>
    <w:rsid w:val="00994218"/>
    <w:rsid w:val="0099522F"/>
    <w:rsid w:val="00995879"/>
    <w:rsid w:val="00995ECC"/>
    <w:rsid w:val="009A0A14"/>
    <w:rsid w:val="009A2041"/>
    <w:rsid w:val="009A3F91"/>
    <w:rsid w:val="009A5DC8"/>
    <w:rsid w:val="009B0FE6"/>
    <w:rsid w:val="009B2F92"/>
    <w:rsid w:val="009B4958"/>
    <w:rsid w:val="009B6A6A"/>
    <w:rsid w:val="009C3CE3"/>
    <w:rsid w:val="009D6276"/>
    <w:rsid w:val="009D71B9"/>
    <w:rsid w:val="009E33BD"/>
    <w:rsid w:val="009F1688"/>
    <w:rsid w:val="009F3118"/>
    <w:rsid w:val="009F41A1"/>
    <w:rsid w:val="009F61D5"/>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494B"/>
    <w:rsid w:val="00A350C4"/>
    <w:rsid w:val="00A376A6"/>
    <w:rsid w:val="00A40C25"/>
    <w:rsid w:val="00A460D2"/>
    <w:rsid w:val="00A46C92"/>
    <w:rsid w:val="00A47DB2"/>
    <w:rsid w:val="00A510FA"/>
    <w:rsid w:val="00A61517"/>
    <w:rsid w:val="00A6625A"/>
    <w:rsid w:val="00A713B1"/>
    <w:rsid w:val="00A71C4C"/>
    <w:rsid w:val="00A7261C"/>
    <w:rsid w:val="00A73516"/>
    <w:rsid w:val="00A74200"/>
    <w:rsid w:val="00A77BA9"/>
    <w:rsid w:val="00A85740"/>
    <w:rsid w:val="00A86ABD"/>
    <w:rsid w:val="00A86F10"/>
    <w:rsid w:val="00A8786A"/>
    <w:rsid w:val="00A90FB6"/>
    <w:rsid w:val="00A920B1"/>
    <w:rsid w:val="00A93B36"/>
    <w:rsid w:val="00A9541D"/>
    <w:rsid w:val="00A97BDA"/>
    <w:rsid w:val="00AA3084"/>
    <w:rsid w:val="00AA7B98"/>
    <w:rsid w:val="00AB20BB"/>
    <w:rsid w:val="00AB52F0"/>
    <w:rsid w:val="00AC4EBD"/>
    <w:rsid w:val="00AC7D4E"/>
    <w:rsid w:val="00AC7EAE"/>
    <w:rsid w:val="00AD3A60"/>
    <w:rsid w:val="00AD54CA"/>
    <w:rsid w:val="00AE0A1D"/>
    <w:rsid w:val="00AE5FFC"/>
    <w:rsid w:val="00AF4047"/>
    <w:rsid w:val="00AF5C45"/>
    <w:rsid w:val="00B01A0B"/>
    <w:rsid w:val="00B0248A"/>
    <w:rsid w:val="00B065D4"/>
    <w:rsid w:val="00B113B0"/>
    <w:rsid w:val="00B11FAE"/>
    <w:rsid w:val="00B13EA4"/>
    <w:rsid w:val="00B154AD"/>
    <w:rsid w:val="00B16F58"/>
    <w:rsid w:val="00B17B33"/>
    <w:rsid w:val="00B23634"/>
    <w:rsid w:val="00B257ED"/>
    <w:rsid w:val="00B27B79"/>
    <w:rsid w:val="00B358BD"/>
    <w:rsid w:val="00B3735C"/>
    <w:rsid w:val="00B41609"/>
    <w:rsid w:val="00B4299D"/>
    <w:rsid w:val="00B462D8"/>
    <w:rsid w:val="00B60A58"/>
    <w:rsid w:val="00B63087"/>
    <w:rsid w:val="00B76C6A"/>
    <w:rsid w:val="00B818EE"/>
    <w:rsid w:val="00B82B0B"/>
    <w:rsid w:val="00B82F1D"/>
    <w:rsid w:val="00B84000"/>
    <w:rsid w:val="00B84C71"/>
    <w:rsid w:val="00B90C85"/>
    <w:rsid w:val="00B9626D"/>
    <w:rsid w:val="00BA28C9"/>
    <w:rsid w:val="00BA36EA"/>
    <w:rsid w:val="00BA647C"/>
    <w:rsid w:val="00BB430D"/>
    <w:rsid w:val="00BB7493"/>
    <w:rsid w:val="00BB7638"/>
    <w:rsid w:val="00BC31D0"/>
    <w:rsid w:val="00BC69C7"/>
    <w:rsid w:val="00BD02F4"/>
    <w:rsid w:val="00BD3460"/>
    <w:rsid w:val="00BD3EA3"/>
    <w:rsid w:val="00BD64D9"/>
    <w:rsid w:val="00BD6E2C"/>
    <w:rsid w:val="00BE053F"/>
    <w:rsid w:val="00BE4E0F"/>
    <w:rsid w:val="00BE6F63"/>
    <w:rsid w:val="00BF144E"/>
    <w:rsid w:val="00BF2095"/>
    <w:rsid w:val="00BF3C09"/>
    <w:rsid w:val="00BF5D86"/>
    <w:rsid w:val="00BF6F11"/>
    <w:rsid w:val="00C004C1"/>
    <w:rsid w:val="00C00503"/>
    <w:rsid w:val="00C009B5"/>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5F1D"/>
    <w:rsid w:val="00C51BAA"/>
    <w:rsid w:val="00C53142"/>
    <w:rsid w:val="00C55254"/>
    <w:rsid w:val="00C64238"/>
    <w:rsid w:val="00C669B9"/>
    <w:rsid w:val="00C74F76"/>
    <w:rsid w:val="00C76A1B"/>
    <w:rsid w:val="00C80495"/>
    <w:rsid w:val="00C81232"/>
    <w:rsid w:val="00C865D5"/>
    <w:rsid w:val="00C86B02"/>
    <w:rsid w:val="00C8722E"/>
    <w:rsid w:val="00C92433"/>
    <w:rsid w:val="00C9501C"/>
    <w:rsid w:val="00C974D1"/>
    <w:rsid w:val="00CA1725"/>
    <w:rsid w:val="00CA1BDD"/>
    <w:rsid w:val="00CA265E"/>
    <w:rsid w:val="00CA2B7F"/>
    <w:rsid w:val="00CA2B86"/>
    <w:rsid w:val="00CA3690"/>
    <w:rsid w:val="00CA6BA2"/>
    <w:rsid w:val="00CB20CF"/>
    <w:rsid w:val="00CB7867"/>
    <w:rsid w:val="00CC330C"/>
    <w:rsid w:val="00CE1B3F"/>
    <w:rsid w:val="00CE4B36"/>
    <w:rsid w:val="00CE675B"/>
    <w:rsid w:val="00CF1302"/>
    <w:rsid w:val="00CF4CD0"/>
    <w:rsid w:val="00CF7F0D"/>
    <w:rsid w:val="00D014C6"/>
    <w:rsid w:val="00D03591"/>
    <w:rsid w:val="00D055B4"/>
    <w:rsid w:val="00D056DA"/>
    <w:rsid w:val="00D11BDA"/>
    <w:rsid w:val="00D16D24"/>
    <w:rsid w:val="00D20565"/>
    <w:rsid w:val="00D25029"/>
    <w:rsid w:val="00D2574A"/>
    <w:rsid w:val="00D27E15"/>
    <w:rsid w:val="00D33D95"/>
    <w:rsid w:val="00D36C36"/>
    <w:rsid w:val="00D4030A"/>
    <w:rsid w:val="00D40DDD"/>
    <w:rsid w:val="00D45626"/>
    <w:rsid w:val="00D54FCA"/>
    <w:rsid w:val="00D5664A"/>
    <w:rsid w:val="00D65395"/>
    <w:rsid w:val="00D66858"/>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54C7"/>
    <w:rsid w:val="00DC7A93"/>
    <w:rsid w:val="00DD39BD"/>
    <w:rsid w:val="00DD64B6"/>
    <w:rsid w:val="00DE11E3"/>
    <w:rsid w:val="00DE2973"/>
    <w:rsid w:val="00DE3DCC"/>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3646"/>
    <w:rsid w:val="00E15861"/>
    <w:rsid w:val="00E15B9B"/>
    <w:rsid w:val="00E163D8"/>
    <w:rsid w:val="00E24151"/>
    <w:rsid w:val="00E2440F"/>
    <w:rsid w:val="00E255DB"/>
    <w:rsid w:val="00E26E02"/>
    <w:rsid w:val="00E31E92"/>
    <w:rsid w:val="00E326C7"/>
    <w:rsid w:val="00E34320"/>
    <w:rsid w:val="00E347A1"/>
    <w:rsid w:val="00E353F5"/>
    <w:rsid w:val="00E40F2D"/>
    <w:rsid w:val="00E41011"/>
    <w:rsid w:val="00E420E9"/>
    <w:rsid w:val="00E4213F"/>
    <w:rsid w:val="00E43A42"/>
    <w:rsid w:val="00E5336B"/>
    <w:rsid w:val="00E55486"/>
    <w:rsid w:val="00E55D54"/>
    <w:rsid w:val="00E62548"/>
    <w:rsid w:val="00E63B78"/>
    <w:rsid w:val="00E654B2"/>
    <w:rsid w:val="00E663B4"/>
    <w:rsid w:val="00E66403"/>
    <w:rsid w:val="00E66FBB"/>
    <w:rsid w:val="00E72034"/>
    <w:rsid w:val="00E73CF6"/>
    <w:rsid w:val="00E7704C"/>
    <w:rsid w:val="00E806C4"/>
    <w:rsid w:val="00E82474"/>
    <w:rsid w:val="00E82FB4"/>
    <w:rsid w:val="00E91117"/>
    <w:rsid w:val="00E93294"/>
    <w:rsid w:val="00E93A16"/>
    <w:rsid w:val="00E9617E"/>
    <w:rsid w:val="00E97FF2"/>
    <w:rsid w:val="00EA2249"/>
    <w:rsid w:val="00EA301D"/>
    <w:rsid w:val="00EA5FB5"/>
    <w:rsid w:val="00EB1BB7"/>
    <w:rsid w:val="00EB7D37"/>
    <w:rsid w:val="00EC02A0"/>
    <w:rsid w:val="00EC1AC1"/>
    <w:rsid w:val="00EC5BF6"/>
    <w:rsid w:val="00EC6C6C"/>
    <w:rsid w:val="00EC7459"/>
    <w:rsid w:val="00EC7A8A"/>
    <w:rsid w:val="00ED158F"/>
    <w:rsid w:val="00ED5432"/>
    <w:rsid w:val="00ED6B90"/>
    <w:rsid w:val="00ED6BE4"/>
    <w:rsid w:val="00ED6EF5"/>
    <w:rsid w:val="00EE0D94"/>
    <w:rsid w:val="00EE1812"/>
    <w:rsid w:val="00EE24EB"/>
    <w:rsid w:val="00EE4639"/>
    <w:rsid w:val="00EE52AB"/>
    <w:rsid w:val="00EE554D"/>
    <w:rsid w:val="00EE741F"/>
    <w:rsid w:val="00EF1507"/>
    <w:rsid w:val="00EF39C2"/>
    <w:rsid w:val="00EF5AEA"/>
    <w:rsid w:val="00EF63EF"/>
    <w:rsid w:val="00F00B15"/>
    <w:rsid w:val="00F0167A"/>
    <w:rsid w:val="00F02DBC"/>
    <w:rsid w:val="00F03844"/>
    <w:rsid w:val="00F042A3"/>
    <w:rsid w:val="00F0486D"/>
    <w:rsid w:val="00F11D5B"/>
    <w:rsid w:val="00F15002"/>
    <w:rsid w:val="00F251BE"/>
    <w:rsid w:val="00F25936"/>
    <w:rsid w:val="00F275E9"/>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1B32"/>
    <w:rsid w:val="00F82DFD"/>
    <w:rsid w:val="00F836FD"/>
    <w:rsid w:val="00F8636E"/>
    <w:rsid w:val="00F86983"/>
    <w:rsid w:val="00F8750F"/>
    <w:rsid w:val="00F941B8"/>
    <w:rsid w:val="00FA5D3F"/>
    <w:rsid w:val="00FA6001"/>
    <w:rsid w:val="00FA6D36"/>
    <w:rsid w:val="00FA6D7E"/>
    <w:rsid w:val="00FC24B7"/>
    <w:rsid w:val="00FC3154"/>
    <w:rsid w:val="00FC3444"/>
    <w:rsid w:val="00FC563D"/>
    <w:rsid w:val="00FC5B6C"/>
    <w:rsid w:val="00FC704A"/>
    <w:rsid w:val="00FD0AB9"/>
    <w:rsid w:val="00FD48B6"/>
    <w:rsid w:val="00FD57EE"/>
    <w:rsid w:val="00FE26E0"/>
    <w:rsid w:val="00FE3C72"/>
    <w:rsid w:val="00FE69B7"/>
    <w:rsid w:val="00FF0B24"/>
    <w:rsid w:val="00FF1AAB"/>
    <w:rsid w:val="00FF446A"/>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93"/>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93"/>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806632875">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3C64-8C33-4FD3-BC39-291D479D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2</cp:revision>
  <cp:lastPrinted>2017-01-30T16:31:00Z</cp:lastPrinted>
  <dcterms:created xsi:type="dcterms:W3CDTF">2017-01-31T18:20:00Z</dcterms:created>
  <dcterms:modified xsi:type="dcterms:W3CDTF">2017-01-31T18:20:00Z</dcterms:modified>
</cp:coreProperties>
</file>