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40"/>
        <w:tblW w:w="10890" w:type="dxa"/>
        <w:tblLayout w:type="fixed"/>
        <w:tblLook w:val="0000" w:firstRow="0" w:lastRow="0" w:firstColumn="0" w:lastColumn="0" w:noHBand="0" w:noVBand="0"/>
      </w:tblPr>
      <w:tblGrid>
        <w:gridCol w:w="1363"/>
        <w:gridCol w:w="8075"/>
        <w:gridCol w:w="1452"/>
      </w:tblGrid>
      <w:tr w:rsidR="007E0CDC" w:rsidTr="00DB5215">
        <w:tc>
          <w:tcPr>
            <w:tcW w:w="1363" w:type="dxa"/>
          </w:tcPr>
          <w:p w:rsidR="007E0CDC" w:rsidRDefault="007E0CDC" w:rsidP="00DB5215">
            <w:pPr>
              <w:rPr>
                <w:sz w:val="24"/>
              </w:rPr>
            </w:pPr>
            <w:r>
              <w:rPr>
                <w:noProof/>
                <w:spacing w:val="-2"/>
              </w:rPr>
              <w:drawing>
                <wp:inline distT="0" distB="0" distL="0" distR="0" wp14:anchorId="744C7A85" wp14:editId="35052B17">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tcPr>
          <w:p w:rsidR="007E0CDC" w:rsidRDefault="007E0CDC" w:rsidP="00DB5215">
            <w:pPr>
              <w:suppressAutoHyphens/>
              <w:spacing w:line="204" w:lineRule="auto"/>
              <w:jc w:val="center"/>
              <w:rPr>
                <w:rFonts w:ascii="Arial" w:hAnsi="Arial"/>
                <w:spacing w:val="-3"/>
                <w:sz w:val="26"/>
              </w:rPr>
            </w:pPr>
            <w:r>
              <w:rPr>
                <w:rFonts w:ascii="Arial" w:hAnsi="Arial"/>
                <w:spacing w:val="-3"/>
                <w:sz w:val="26"/>
              </w:rPr>
              <w:t>COMMONWEALTH OF PENNSYLVANIA</w:t>
            </w:r>
          </w:p>
          <w:p w:rsidR="007E0CDC" w:rsidRDefault="007E0CDC" w:rsidP="00DB5215">
            <w:pPr>
              <w:suppressAutoHyphens/>
              <w:spacing w:line="204" w:lineRule="auto"/>
              <w:jc w:val="center"/>
              <w:rPr>
                <w:rFonts w:ascii="Arial" w:hAnsi="Arial"/>
                <w:spacing w:val="-3"/>
                <w:sz w:val="26"/>
              </w:rPr>
            </w:pPr>
            <w:r>
              <w:rPr>
                <w:rFonts w:ascii="Arial" w:hAnsi="Arial"/>
                <w:spacing w:val="-3"/>
                <w:sz w:val="26"/>
              </w:rPr>
              <w:t>PENNSYLVANIA PUBLIC UTILITY COMMISSION</w:t>
            </w:r>
          </w:p>
          <w:p w:rsidR="007E0CDC" w:rsidRDefault="007E0CDC" w:rsidP="00DB5215">
            <w:pPr>
              <w:jc w:val="center"/>
              <w:rPr>
                <w:rFonts w:ascii="Arial" w:hAnsi="Arial"/>
                <w:sz w:val="12"/>
              </w:rPr>
            </w:pPr>
            <w:r>
              <w:rPr>
                <w:rFonts w:ascii="Arial" w:hAnsi="Arial"/>
                <w:spacing w:val="-3"/>
                <w:sz w:val="26"/>
              </w:rPr>
              <w:t>400 NORTH STREET, HARRISBURG, PA 17120</w:t>
            </w:r>
          </w:p>
        </w:tc>
        <w:tc>
          <w:tcPr>
            <w:tcW w:w="1452" w:type="dxa"/>
          </w:tcPr>
          <w:p w:rsidR="007E0CDC" w:rsidRDefault="007E0CDC" w:rsidP="00DB5215">
            <w:pPr>
              <w:rPr>
                <w:rFonts w:ascii="Arial" w:hAnsi="Arial"/>
                <w:sz w:val="12"/>
              </w:rPr>
            </w:pPr>
          </w:p>
          <w:p w:rsidR="007E0CDC" w:rsidRDefault="007E0CDC" w:rsidP="00DB5215">
            <w:pPr>
              <w:rPr>
                <w:rFonts w:ascii="Arial" w:hAnsi="Arial"/>
                <w:sz w:val="12"/>
              </w:rPr>
            </w:pPr>
          </w:p>
          <w:p w:rsidR="007E0CDC" w:rsidRDefault="007E0CDC" w:rsidP="00DB5215">
            <w:pPr>
              <w:rPr>
                <w:rFonts w:ascii="Arial" w:hAnsi="Arial"/>
                <w:sz w:val="12"/>
              </w:rPr>
            </w:pPr>
          </w:p>
          <w:p w:rsidR="007E0CDC" w:rsidRDefault="007E0CDC" w:rsidP="00DB5215">
            <w:pPr>
              <w:rPr>
                <w:rFonts w:ascii="Arial" w:hAnsi="Arial"/>
                <w:sz w:val="12"/>
              </w:rPr>
            </w:pPr>
          </w:p>
          <w:p w:rsidR="007E0CDC" w:rsidRDefault="007E0CDC" w:rsidP="00DB5215">
            <w:pPr>
              <w:rPr>
                <w:rFonts w:ascii="Arial" w:hAnsi="Arial"/>
                <w:sz w:val="12"/>
              </w:rPr>
            </w:pPr>
          </w:p>
          <w:p w:rsidR="007E0CDC" w:rsidRDefault="007E0CDC" w:rsidP="00DB5215">
            <w:pPr>
              <w:rPr>
                <w:rFonts w:ascii="Arial" w:hAnsi="Arial"/>
                <w:sz w:val="12"/>
              </w:rPr>
            </w:pPr>
          </w:p>
          <w:p w:rsidR="007E0CDC" w:rsidRDefault="007E0CDC" w:rsidP="00DB5215">
            <w:pPr>
              <w:jc w:val="right"/>
              <w:rPr>
                <w:rFonts w:ascii="Arial" w:hAnsi="Arial"/>
                <w:sz w:val="12"/>
              </w:rPr>
            </w:pPr>
            <w:r>
              <w:rPr>
                <w:rFonts w:ascii="Arial" w:hAnsi="Arial"/>
                <w:b/>
                <w:spacing w:val="-1"/>
                <w:sz w:val="12"/>
              </w:rPr>
              <w:t>IN REPLY PLEASE REFER TO OUR FILE</w:t>
            </w:r>
          </w:p>
        </w:tc>
      </w:tr>
    </w:tbl>
    <w:p w:rsidR="00DB5215" w:rsidRDefault="00C65EFD" w:rsidP="00C65EFD">
      <w:pPr>
        <w:pStyle w:val="Heading1"/>
        <w:ind w:right="-720"/>
        <w:jc w:val="center"/>
        <w:rPr>
          <w:color w:val="000000"/>
          <w:szCs w:val="24"/>
        </w:rPr>
      </w:pPr>
      <w:bookmarkStart w:id="0" w:name="_GoBack"/>
      <w:bookmarkEnd w:id="0"/>
      <w:r>
        <w:rPr>
          <w:color w:val="000000"/>
          <w:szCs w:val="24"/>
        </w:rPr>
        <w:t>February 3, 2017</w:t>
      </w:r>
    </w:p>
    <w:p w:rsidR="00DB5215" w:rsidRDefault="00DB5215" w:rsidP="007E0CDC">
      <w:pPr>
        <w:pStyle w:val="Heading1"/>
        <w:ind w:left="6480" w:right="-720" w:firstLine="720"/>
        <w:rPr>
          <w:color w:val="000000"/>
          <w:szCs w:val="24"/>
        </w:rPr>
      </w:pPr>
    </w:p>
    <w:p w:rsidR="007E0CDC" w:rsidRPr="00DB5215" w:rsidRDefault="007E0CDC" w:rsidP="007E0CDC">
      <w:pPr>
        <w:pStyle w:val="Heading1"/>
        <w:ind w:left="6480" w:right="-720" w:firstLine="720"/>
        <w:rPr>
          <w:color w:val="000000"/>
          <w:szCs w:val="24"/>
        </w:rPr>
      </w:pPr>
      <w:r w:rsidRPr="00DB5215">
        <w:rPr>
          <w:color w:val="000000"/>
          <w:szCs w:val="24"/>
        </w:rPr>
        <w:t xml:space="preserve">License No. </w:t>
      </w:r>
      <w:r w:rsidRPr="00DB5215">
        <w:rPr>
          <w:noProof/>
          <w:color w:val="000000"/>
          <w:szCs w:val="24"/>
        </w:rPr>
        <w:t>A-2015-2516622</w:t>
      </w:r>
    </w:p>
    <w:p w:rsidR="00DB5215" w:rsidRPr="00DB5215" w:rsidRDefault="00DB5215" w:rsidP="007E0CDC">
      <w:pPr>
        <w:rPr>
          <w:b/>
          <w:caps/>
          <w:noProof/>
          <w:sz w:val="24"/>
          <w:szCs w:val="24"/>
          <w:u w:val="single"/>
        </w:rPr>
      </w:pPr>
    </w:p>
    <w:p w:rsidR="007E0CDC" w:rsidRPr="00DB5215" w:rsidRDefault="007E0CDC" w:rsidP="007E0CDC">
      <w:pPr>
        <w:rPr>
          <w:b/>
          <w:caps/>
          <w:noProof/>
          <w:sz w:val="24"/>
          <w:szCs w:val="24"/>
          <w:u w:val="single"/>
        </w:rPr>
      </w:pPr>
      <w:r w:rsidRPr="00DB5215">
        <w:rPr>
          <w:b/>
          <w:caps/>
          <w:noProof/>
          <w:sz w:val="24"/>
          <w:szCs w:val="24"/>
          <w:u w:val="single"/>
        </w:rPr>
        <w:t>CERTIFIED</w:t>
      </w:r>
    </w:p>
    <w:p w:rsidR="007E0CDC" w:rsidRPr="00DB5215" w:rsidRDefault="005A0D6F" w:rsidP="007E0CDC">
      <w:pPr>
        <w:rPr>
          <w:caps/>
          <w:noProof/>
          <w:sz w:val="24"/>
          <w:szCs w:val="24"/>
        </w:rPr>
      </w:pPr>
      <w:r w:rsidRPr="00DB5215">
        <w:rPr>
          <w:caps/>
          <w:noProof/>
          <w:sz w:val="24"/>
          <w:szCs w:val="24"/>
        </w:rPr>
        <w:t>CASSANDRA GarC</w:t>
      </w:r>
      <w:r w:rsidR="007E0CDC" w:rsidRPr="00DB5215">
        <w:rPr>
          <w:caps/>
          <w:noProof/>
          <w:sz w:val="24"/>
          <w:szCs w:val="24"/>
        </w:rPr>
        <w:t>ia</w:t>
      </w:r>
    </w:p>
    <w:p w:rsidR="007E0CDC" w:rsidRPr="00DB5215" w:rsidRDefault="007E0CDC" w:rsidP="007E0CDC">
      <w:pPr>
        <w:rPr>
          <w:caps/>
          <w:noProof/>
          <w:sz w:val="24"/>
          <w:szCs w:val="24"/>
        </w:rPr>
      </w:pPr>
      <w:r w:rsidRPr="00DB5215">
        <w:rPr>
          <w:caps/>
          <w:noProof/>
          <w:sz w:val="24"/>
          <w:szCs w:val="24"/>
        </w:rPr>
        <w:t>PROGRESSIVE ENERGY GROUP LLC</w:t>
      </w:r>
    </w:p>
    <w:p w:rsidR="007E0CDC" w:rsidRPr="00DB5215" w:rsidRDefault="007E0CDC" w:rsidP="007E0CDC">
      <w:pPr>
        <w:rPr>
          <w:caps/>
          <w:noProof/>
          <w:sz w:val="24"/>
          <w:szCs w:val="24"/>
        </w:rPr>
      </w:pPr>
      <w:r w:rsidRPr="00DB5215">
        <w:rPr>
          <w:caps/>
          <w:noProof/>
          <w:sz w:val="24"/>
          <w:szCs w:val="24"/>
        </w:rPr>
        <w:t>2112 W GALENA BLVD 8210</w:t>
      </w:r>
    </w:p>
    <w:p w:rsidR="007E0CDC" w:rsidRPr="00DB5215" w:rsidRDefault="007E0CDC" w:rsidP="007E0CDC">
      <w:pPr>
        <w:rPr>
          <w:caps/>
          <w:sz w:val="24"/>
          <w:szCs w:val="24"/>
        </w:rPr>
      </w:pPr>
      <w:r w:rsidRPr="00DB5215">
        <w:rPr>
          <w:caps/>
          <w:noProof/>
          <w:sz w:val="24"/>
          <w:szCs w:val="24"/>
        </w:rPr>
        <w:t>AURORA IL 60506</w:t>
      </w:r>
    </w:p>
    <w:p w:rsidR="007E0CDC" w:rsidRDefault="007E0CDC" w:rsidP="007E0CDC">
      <w:pPr>
        <w:outlineLvl w:val="0"/>
        <w:rPr>
          <w:sz w:val="24"/>
          <w:szCs w:val="24"/>
        </w:rPr>
      </w:pPr>
    </w:p>
    <w:p w:rsidR="00DB5215" w:rsidRPr="00DB5215" w:rsidRDefault="00DB5215" w:rsidP="007E0CDC">
      <w:pPr>
        <w:outlineLvl w:val="0"/>
        <w:rPr>
          <w:sz w:val="24"/>
          <w:szCs w:val="24"/>
        </w:rPr>
      </w:pPr>
    </w:p>
    <w:p w:rsidR="007E0CDC" w:rsidRPr="00DB5215" w:rsidRDefault="007E0CDC" w:rsidP="007E0CDC">
      <w:pPr>
        <w:jc w:val="center"/>
        <w:rPr>
          <w:sz w:val="24"/>
          <w:szCs w:val="24"/>
        </w:rPr>
      </w:pPr>
      <w:r w:rsidRPr="00DB5215">
        <w:rPr>
          <w:sz w:val="24"/>
          <w:szCs w:val="24"/>
        </w:rPr>
        <w:t>RE:  License Bond or Other Financial Security Renewal Notice</w:t>
      </w:r>
    </w:p>
    <w:p w:rsidR="007E0CDC" w:rsidRPr="00DB5215" w:rsidRDefault="007E0CDC" w:rsidP="007E0CDC">
      <w:pPr>
        <w:jc w:val="center"/>
        <w:rPr>
          <w:sz w:val="24"/>
          <w:szCs w:val="24"/>
        </w:rPr>
      </w:pPr>
    </w:p>
    <w:p w:rsidR="007E0CDC" w:rsidRPr="00DB5215" w:rsidRDefault="005A0D6F" w:rsidP="007E0CDC">
      <w:pPr>
        <w:rPr>
          <w:sz w:val="24"/>
          <w:szCs w:val="24"/>
        </w:rPr>
      </w:pPr>
      <w:r w:rsidRPr="00DB5215">
        <w:rPr>
          <w:noProof/>
          <w:sz w:val="24"/>
          <w:szCs w:val="24"/>
        </w:rPr>
        <w:t>Dear Ms. Garc</w:t>
      </w:r>
      <w:r w:rsidR="005C2D72" w:rsidRPr="00DB5215">
        <w:rPr>
          <w:noProof/>
          <w:sz w:val="24"/>
          <w:szCs w:val="24"/>
        </w:rPr>
        <w:t>ia:</w:t>
      </w:r>
    </w:p>
    <w:p w:rsidR="007E0CDC" w:rsidRPr="00DB5215" w:rsidRDefault="007E0CDC" w:rsidP="007E0CDC">
      <w:pPr>
        <w:rPr>
          <w:sz w:val="24"/>
          <w:szCs w:val="24"/>
        </w:rPr>
      </w:pPr>
    </w:p>
    <w:p w:rsidR="007E0CDC" w:rsidRPr="00DB5215" w:rsidRDefault="007E0CDC" w:rsidP="007E0CDC">
      <w:pPr>
        <w:rPr>
          <w:sz w:val="24"/>
          <w:szCs w:val="24"/>
        </w:rPr>
      </w:pPr>
      <w:r w:rsidRPr="00DB5215">
        <w:rPr>
          <w:sz w:val="24"/>
          <w:szCs w:val="24"/>
        </w:rPr>
        <w:tab/>
        <w:t xml:space="preserve">On </w:t>
      </w:r>
      <w:r w:rsidRPr="00DB5215">
        <w:rPr>
          <w:noProof/>
          <w:sz w:val="24"/>
          <w:szCs w:val="24"/>
        </w:rPr>
        <w:t>March 3, 2016</w:t>
      </w:r>
      <w:r w:rsidRPr="00DB5215">
        <w:rPr>
          <w:sz w:val="24"/>
          <w:szCs w:val="24"/>
        </w:rPr>
        <w:t xml:space="preserve">, </w:t>
      </w:r>
      <w:r w:rsidRPr="00DB5215">
        <w:rPr>
          <w:noProof/>
          <w:sz w:val="24"/>
          <w:szCs w:val="24"/>
        </w:rPr>
        <w:t>Progressive Energy Group LLC</w:t>
      </w:r>
      <w:r w:rsidRPr="00DB5215">
        <w:rPr>
          <w:sz w:val="24"/>
          <w:szCs w:val="24"/>
        </w:rPr>
        <w:t xml:space="preserve"> obtained a license from the Public Utility Commission (Commission) to provide electric generation supplier (EGS) services in the Commonwealth of Pennsylvania.  </w:t>
      </w:r>
      <w:r w:rsidRPr="00DB5215">
        <w:rPr>
          <w:rFonts w:eastAsiaTheme="minorHAnsi"/>
          <w:sz w:val="24"/>
          <w:szCs w:val="24"/>
        </w:rPr>
        <w:t xml:space="preserve">The Commission requires an EGS to file an </w:t>
      </w:r>
      <w:r w:rsidRPr="00DB5215">
        <w:rPr>
          <w:rFonts w:eastAsiaTheme="minorHAnsi"/>
          <w:b/>
          <w:sz w:val="24"/>
          <w:szCs w:val="24"/>
          <w:u w:val="single"/>
        </w:rPr>
        <w:t>original</w:t>
      </w:r>
      <w:r w:rsidRPr="00DB5215">
        <w:rPr>
          <w:rFonts w:eastAsiaTheme="minorHAnsi"/>
          <w:sz w:val="24"/>
          <w:szCs w:val="24"/>
        </w:rPr>
        <w:t xml:space="preserve"> bond, or other security, approved by the Commission, to ensure the EGS’s financial responsibility under Section 2809(c) of the Public Utility Code.  </w:t>
      </w:r>
      <w:r w:rsidRPr="00DB5215">
        <w:rPr>
          <w:sz w:val="24"/>
          <w:szCs w:val="24"/>
        </w:rPr>
        <w:t xml:space="preserve">The Commission’s records indicate that the expiration or anniversary date of your company’s approved security occurred on November 3, 2016.  </w:t>
      </w:r>
    </w:p>
    <w:p w:rsidR="007E0CDC" w:rsidRPr="00DB5215" w:rsidRDefault="007E0CDC" w:rsidP="007E0CDC">
      <w:pPr>
        <w:rPr>
          <w:sz w:val="24"/>
          <w:szCs w:val="24"/>
        </w:rPr>
      </w:pPr>
    </w:p>
    <w:p w:rsidR="007E0CDC" w:rsidRPr="00DB5215" w:rsidRDefault="007E0CDC" w:rsidP="007E0CDC">
      <w:pPr>
        <w:rPr>
          <w:sz w:val="24"/>
          <w:szCs w:val="24"/>
        </w:rPr>
      </w:pPr>
      <w:r w:rsidRPr="00DB5215">
        <w:rPr>
          <w:sz w:val="24"/>
          <w:szCs w:val="24"/>
        </w:rPr>
        <w:tab/>
        <w:t>You are required to file the renewal of your current approved security at least thirty (30) days prior to its expiration date in order to maintain your electric supplier license in Pennsylvania, along with these other requirements:</w:t>
      </w:r>
    </w:p>
    <w:p w:rsidR="007E0CDC" w:rsidRPr="00DB5215" w:rsidRDefault="007E0CDC" w:rsidP="007E0CDC">
      <w:pPr>
        <w:rPr>
          <w:sz w:val="24"/>
          <w:szCs w:val="24"/>
        </w:rPr>
      </w:pPr>
    </w:p>
    <w:p w:rsidR="007E0CDC" w:rsidRPr="00DB5215" w:rsidRDefault="007E0CDC" w:rsidP="007E0CDC">
      <w:pPr>
        <w:pStyle w:val="ListParagraph"/>
        <w:numPr>
          <w:ilvl w:val="0"/>
          <w:numId w:val="1"/>
        </w:numPr>
        <w:rPr>
          <w:sz w:val="24"/>
          <w:szCs w:val="24"/>
        </w:rPr>
      </w:pPr>
      <w:r w:rsidRPr="00DB5215">
        <w:rPr>
          <w:sz w:val="24"/>
          <w:szCs w:val="24"/>
        </w:rPr>
        <w:t xml:space="preserve">File an </w:t>
      </w:r>
      <w:r w:rsidRPr="00DB5215">
        <w:rPr>
          <w:b/>
          <w:sz w:val="24"/>
          <w:szCs w:val="24"/>
          <w:u w:val="single"/>
        </w:rPr>
        <w:t>original</w:t>
      </w:r>
      <w:r w:rsidRPr="00DB5215">
        <w:rPr>
          <w:sz w:val="24"/>
          <w:szCs w:val="24"/>
        </w:rPr>
        <w:t xml:space="preserve"> bond, </w:t>
      </w:r>
      <w:r w:rsidRPr="00DB5215">
        <w:rPr>
          <w:rFonts w:eastAsiaTheme="minorHAnsi"/>
          <w:sz w:val="24"/>
          <w:szCs w:val="24"/>
        </w:rPr>
        <w:t xml:space="preserve">letter of credit, continuation certificate, amendment, or other financial instrument using the most recent template on the Commission’s website.  Original financial instruments must display “wet” signatures or digital signatures, preferably in blue ink, and display a “raised seal” or original notary stamp.  </w:t>
      </w:r>
      <w:r w:rsidRPr="00DB5215">
        <w:rPr>
          <w:sz w:val="24"/>
          <w:szCs w:val="24"/>
        </w:rPr>
        <w:t>If the documentation filed is not an original, it will be rejected and returned.</w:t>
      </w:r>
    </w:p>
    <w:p w:rsidR="007E0CDC" w:rsidRPr="00DB5215" w:rsidRDefault="007E0CDC" w:rsidP="007E0CDC">
      <w:pPr>
        <w:pStyle w:val="ListParagraph"/>
        <w:rPr>
          <w:sz w:val="24"/>
          <w:szCs w:val="24"/>
        </w:rPr>
      </w:pPr>
      <w:r w:rsidRPr="00DB5215">
        <w:rPr>
          <w:sz w:val="24"/>
          <w:szCs w:val="24"/>
        </w:rPr>
        <w:t xml:space="preserve">  </w:t>
      </w:r>
    </w:p>
    <w:p w:rsidR="007E0CDC" w:rsidRPr="00DB5215" w:rsidRDefault="007E0CDC" w:rsidP="007E0CDC">
      <w:pPr>
        <w:pStyle w:val="ListParagraph"/>
        <w:numPr>
          <w:ilvl w:val="0"/>
          <w:numId w:val="1"/>
        </w:numPr>
        <w:rPr>
          <w:sz w:val="24"/>
          <w:szCs w:val="24"/>
        </w:rPr>
      </w:pPr>
      <w:r w:rsidRPr="00DB5215">
        <w:rPr>
          <w:rFonts w:eastAsiaTheme="minorHAnsi"/>
          <w:sz w:val="24"/>
          <w:szCs w:val="24"/>
        </w:rPr>
        <w:t xml:space="preserve">The name of the principal on the original financial instrument must </w:t>
      </w:r>
      <w:r w:rsidRPr="00DB5215">
        <w:rPr>
          <w:rFonts w:eastAsiaTheme="minorHAnsi"/>
          <w:b/>
          <w:sz w:val="24"/>
          <w:szCs w:val="24"/>
          <w:u w:val="single"/>
        </w:rPr>
        <w:t>match exactly</w:t>
      </w:r>
      <w:r w:rsidRPr="00DB5215">
        <w:rPr>
          <w:rFonts w:eastAsiaTheme="minorHAnsi"/>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7" w:history="1">
        <w:r w:rsidRPr="00DB5215">
          <w:rPr>
            <w:rStyle w:val="Hyperlink"/>
            <w:rFonts w:eastAsiaTheme="minorHAnsi"/>
            <w:sz w:val="24"/>
            <w:szCs w:val="24"/>
          </w:rPr>
          <w:t>www.puc.pa.gov</w:t>
        </w:r>
      </w:hyperlink>
      <w:r w:rsidRPr="00DB5215">
        <w:rPr>
          <w:rFonts w:eastAsiaTheme="minorHAnsi"/>
          <w:sz w:val="24"/>
          <w:szCs w:val="24"/>
        </w:rPr>
        <w:t xml:space="preserve">) by searching under your A docket number.  If your company has changed its name, you are required to notify the Commission in writing, and obtain the necessary approvals prior to the submission of the financial instrument. </w:t>
      </w:r>
    </w:p>
    <w:p w:rsidR="007E0CDC" w:rsidRPr="00DB5215" w:rsidRDefault="007E0CDC" w:rsidP="007E0CDC">
      <w:pPr>
        <w:pStyle w:val="ListParagraph"/>
        <w:rPr>
          <w:rFonts w:eastAsiaTheme="minorHAnsi"/>
          <w:sz w:val="24"/>
          <w:szCs w:val="24"/>
        </w:rPr>
      </w:pPr>
    </w:p>
    <w:p w:rsidR="007E0CDC" w:rsidRPr="00DB5215" w:rsidRDefault="007E0CDC" w:rsidP="007E0CDC">
      <w:pPr>
        <w:pStyle w:val="ListParagraph"/>
        <w:numPr>
          <w:ilvl w:val="0"/>
          <w:numId w:val="1"/>
        </w:numPr>
        <w:rPr>
          <w:sz w:val="24"/>
          <w:szCs w:val="24"/>
        </w:rPr>
      </w:pPr>
      <w:r w:rsidRPr="00DB5215">
        <w:rPr>
          <w:sz w:val="24"/>
          <w:szCs w:val="24"/>
        </w:rPr>
        <w:t xml:space="preserve">The Commission's regulations at 52 Pa. Code §54.40(d) require the security level, or bond amount, for each licensee to be 10% of the licensee's most recent reported 4 quarters of gross receipts.  The minimum security level provided may not be less than the </w:t>
      </w:r>
      <w:r w:rsidRPr="00DB5215">
        <w:rPr>
          <w:sz w:val="24"/>
          <w:szCs w:val="24"/>
        </w:rPr>
        <w:lastRenderedPageBreak/>
        <w:t>initial security level provided when the license was granted.  Unless approved by the Commission, the initial security level is $250,000.</w:t>
      </w:r>
    </w:p>
    <w:p w:rsidR="007E0CDC" w:rsidRPr="00DB5215" w:rsidRDefault="007E0CDC" w:rsidP="007E0CDC">
      <w:pPr>
        <w:pStyle w:val="ListParagraph"/>
        <w:rPr>
          <w:sz w:val="24"/>
          <w:szCs w:val="24"/>
        </w:rPr>
      </w:pPr>
    </w:p>
    <w:p w:rsidR="007E0CDC" w:rsidRPr="00DB5215" w:rsidRDefault="007E0CDC" w:rsidP="007E0CDC">
      <w:pPr>
        <w:pStyle w:val="ListParagraph"/>
        <w:numPr>
          <w:ilvl w:val="0"/>
          <w:numId w:val="1"/>
        </w:numPr>
        <w:rPr>
          <w:sz w:val="24"/>
          <w:szCs w:val="24"/>
        </w:rPr>
      </w:pPr>
      <w:r w:rsidRPr="00DB5215">
        <w:rPr>
          <w:sz w:val="24"/>
          <w:szCs w:val="24"/>
        </w:rPr>
        <w:t>Unless ordered by the Commission, an EGS Broker licensee is required to maintain a security level of $10,000.</w:t>
      </w:r>
    </w:p>
    <w:p w:rsidR="007E0CDC" w:rsidRPr="00DB5215" w:rsidRDefault="007E0CDC" w:rsidP="007E0CDC">
      <w:pPr>
        <w:pStyle w:val="ListParagraph"/>
        <w:rPr>
          <w:sz w:val="24"/>
          <w:szCs w:val="24"/>
        </w:rPr>
      </w:pPr>
    </w:p>
    <w:p w:rsidR="007E0CDC" w:rsidRPr="00DB5215" w:rsidRDefault="007E0CDC" w:rsidP="007E0CDC">
      <w:pPr>
        <w:pStyle w:val="ListParagraph"/>
        <w:numPr>
          <w:ilvl w:val="0"/>
          <w:numId w:val="1"/>
        </w:numPr>
        <w:rPr>
          <w:snapToGrid w:val="0"/>
          <w:sz w:val="24"/>
          <w:szCs w:val="24"/>
        </w:rPr>
      </w:pPr>
      <w:r w:rsidRPr="00DB5215">
        <w:rPr>
          <w:snapToGrid w:val="0"/>
          <w:sz w:val="24"/>
          <w:szCs w:val="24"/>
        </w:rPr>
        <w:t>It is your responsibility to update the Commission with any changes in your current contact information or the structure of your company.</w:t>
      </w:r>
    </w:p>
    <w:p w:rsidR="007E0CDC" w:rsidRPr="00DB5215" w:rsidRDefault="007E0CDC" w:rsidP="007E0CDC">
      <w:pPr>
        <w:pStyle w:val="ListParagraph"/>
        <w:rPr>
          <w:snapToGrid w:val="0"/>
          <w:sz w:val="24"/>
          <w:szCs w:val="24"/>
        </w:rPr>
      </w:pPr>
    </w:p>
    <w:p w:rsidR="007E0CDC" w:rsidRPr="00DB5215" w:rsidRDefault="007E0CDC" w:rsidP="007E0CDC">
      <w:pPr>
        <w:tabs>
          <w:tab w:val="left" w:pos="720"/>
        </w:tabs>
        <w:rPr>
          <w:sz w:val="24"/>
          <w:szCs w:val="24"/>
        </w:rPr>
      </w:pPr>
      <w:r w:rsidRPr="00DB5215">
        <w:rPr>
          <w:sz w:val="24"/>
          <w:szCs w:val="24"/>
        </w:rPr>
        <w:tab/>
        <w:t>Please be advised that if your company received approval for a bond/security reduction from 10% to 5%, the security reduction is only effective for one year.  It may be renewed annually by the Commission. As a reminder, to be eligible for the renewal, your company should have provided annual documentation of its eligibility for a bond reduction at least (90) days prior to the security’s expiration date.  In the event your company does not provide such documentation to the Commission, its bond reduction will cease and the bonding requirement will revert to 10% of gross receipts. This is pursuant to 52 Pa.Code Section 54.40(d).</w:t>
      </w:r>
    </w:p>
    <w:p w:rsidR="007E0CDC" w:rsidRPr="00DB5215" w:rsidRDefault="007E0CDC" w:rsidP="007E0CDC">
      <w:pPr>
        <w:tabs>
          <w:tab w:val="left" w:pos="720"/>
        </w:tabs>
        <w:rPr>
          <w:sz w:val="24"/>
          <w:szCs w:val="24"/>
        </w:rPr>
      </w:pPr>
      <w:r w:rsidRPr="00DB5215">
        <w:rPr>
          <w:sz w:val="24"/>
          <w:szCs w:val="24"/>
        </w:rPr>
        <w:tab/>
      </w:r>
    </w:p>
    <w:p w:rsidR="007E0CDC" w:rsidRPr="00DB5215" w:rsidRDefault="007E0CDC" w:rsidP="007E0CDC">
      <w:pPr>
        <w:tabs>
          <w:tab w:val="left" w:pos="720"/>
        </w:tabs>
        <w:rPr>
          <w:sz w:val="24"/>
          <w:szCs w:val="24"/>
        </w:rPr>
      </w:pPr>
      <w:r w:rsidRPr="00DB5215">
        <w:rPr>
          <w:sz w:val="24"/>
          <w:szCs w:val="24"/>
        </w:rPr>
        <w:tab/>
        <w:t xml:space="preserve">Failure to file the requested documentation at least </w:t>
      </w:r>
      <w:r w:rsidRPr="00DB5215">
        <w:rPr>
          <w:b/>
          <w:sz w:val="24"/>
          <w:szCs w:val="24"/>
        </w:rPr>
        <w:t>thirty (30) days prior to the expiration date</w:t>
      </w:r>
      <w:r w:rsidRPr="00DB5215">
        <w:rPr>
          <w:sz w:val="24"/>
          <w:szCs w:val="24"/>
        </w:rPr>
        <w:t xml:space="preserve"> of the financial security may cause Commission staff to initiate a formal proceeding, that may lead to cancellation of </w:t>
      </w:r>
      <w:r w:rsidRPr="00DB5215">
        <w:rPr>
          <w:noProof/>
          <w:sz w:val="24"/>
          <w:szCs w:val="24"/>
        </w:rPr>
        <w:t>Progressive Energy Group LLC</w:t>
      </w:r>
      <w:r w:rsidRPr="00DB5215">
        <w:rPr>
          <w:sz w:val="24"/>
          <w:szCs w:val="24"/>
        </w:rPr>
        <w:t xml:space="preserve">’s electric supplier license, fines and penalties, removal of the company’s information from the Commission’s website and notification to all electric distribution companies, in which </w:t>
      </w:r>
      <w:r w:rsidRPr="00DB5215">
        <w:rPr>
          <w:noProof/>
          <w:sz w:val="24"/>
          <w:szCs w:val="24"/>
        </w:rPr>
        <w:t>Progressive Energy Group LLC</w:t>
      </w:r>
      <w:r w:rsidRPr="00DB5215">
        <w:rPr>
          <w:sz w:val="24"/>
          <w:szCs w:val="24"/>
        </w:rPr>
        <w:t xml:space="preserve"> is licensed to do business.  If </w:t>
      </w:r>
      <w:r w:rsidRPr="00DB5215">
        <w:rPr>
          <w:noProof/>
          <w:sz w:val="24"/>
          <w:szCs w:val="24"/>
        </w:rPr>
        <w:t>Progressive Energy Group LLC</w:t>
      </w:r>
      <w:r w:rsidRPr="00DB5215">
        <w:rPr>
          <w:sz w:val="24"/>
          <w:szCs w:val="24"/>
        </w:rPr>
        <w:t xml:space="preserve"> has decided to abandon its license, please notify the Commission of such decision.  </w:t>
      </w:r>
    </w:p>
    <w:p w:rsidR="007E0CDC" w:rsidRPr="00DB5215" w:rsidRDefault="007E0CDC" w:rsidP="007E0CDC">
      <w:pPr>
        <w:tabs>
          <w:tab w:val="left" w:pos="720"/>
        </w:tabs>
        <w:rPr>
          <w:sz w:val="24"/>
          <w:szCs w:val="24"/>
        </w:rPr>
      </w:pPr>
    </w:p>
    <w:p w:rsidR="007E0CDC" w:rsidRPr="00DB5215" w:rsidRDefault="007E0CDC" w:rsidP="007E0CDC">
      <w:pPr>
        <w:tabs>
          <w:tab w:val="left" w:pos="720"/>
        </w:tabs>
        <w:rPr>
          <w:sz w:val="24"/>
          <w:szCs w:val="24"/>
        </w:rPr>
      </w:pPr>
      <w:r w:rsidRPr="00DB5215">
        <w:rPr>
          <w:sz w:val="24"/>
          <w:szCs w:val="24"/>
        </w:rPr>
        <w:tab/>
        <w:t>All original documentation must be sent to the Secretary of the Commission at:</w:t>
      </w:r>
    </w:p>
    <w:p w:rsidR="007E0CDC" w:rsidRPr="00DB5215" w:rsidRDefault="007E0CDC" w:rsidP="007E0CDC">
      <w:pPr>
        <w:tabs>
          <w:tab w:val="left" w:pos="720"/>
        </w:tabs>
        <w:rPr>
          <w:sz w:val="24"/>
          <w:szCs w:val="24"/>
        </w:rPr>
      </w:pPr>
    </w:p>
    <w:p w:rsidR="007E0CDC" w:rsidRPr="00DB5215" w:rsidRDefault="007E0CDC" w:rsidP="007E0CDC">
      <w:pPr>
        <w:tabs>
          <w:tab w:val="left" w:pos="720"/>
        </w:tabs>
        <w:jc w:val="center"/>
        <w:rPr>
          <w:sz w:val="24"/>
          <w:szCs w:val="24"/>
        </w:rPr>
      </w:pPr>
      <w:r w:rsidRPr="00DB5215">
        <w:rPr>
          <w:sz w:val="24"/>
          <w:szCs w:val="24"/>
        </w:rPr>
        <w:t xml:space="preserve">Rosemary Chiavetta, Secretary </w:t>
      </w:r>
    </w:p>
    <w:p w:rsidR="007E0CDC" w:rsidRPr="00DB5215" w:rsidRDefault="007E0CDC" w:rsidP="007E0CDC">
      <w:pPr>
        <w:tabs>
          <w:tab w:val="left" w:pos="720"/>
        </w:tabs>
        <w:jc w:val="center"/>
        <w:rPr>
          <w:sz w:val="24"/>
          <w:szCs w:val="24"/>
        </w:rPr>
      </w:pPr>
      <w:r w:rsidRPr="00DB5215">
        <w:rPr>
          <w:sz w:val="24"/>
          <w:szCs w:val="24"/>
        </w:rPr>
        <w:t xml:space="preserve">Pennsylvania Public Utility Commission </w:t>
      </w:r>
    </w:p>
    <w:p w:rsidR="007E0CDC" w:rsidRPr="00DB5215" w:rsidRDefault="007E0CDC" w:rsidP="007E0CDC">
      <w:pPr>
        <w:tabs>
          <w:tab w:val="left" w:pos="720"/>
        </w:tabs>
        <w:jc w:val="center"/>
        <w:rPr>
          <w:sz w:val="24"/>
          <w:szCs w:val="24"/>
        </w:rPr>
      </w:pPr>
      <w:r w:rsidRPr="00DB5215">
        <w:rPr>
          <w:sz w:val="24"/>
          <w:szCs w:val="24"/>
        </w:rPr>
        <w:t xml:space="preserve">400 North Street </w:t>
      </w:r>
    </w:p>
    <w:p w:rsidR="007E0CDC" w:rsidRPr="00DB5215" w:rsidRDefault="007E0CDC" w:rsidP="007E0CDC">
      <w:pPr>
        <w:tabs>
          <w:tab w:val="left" w:pos="720"/>
        </w:tabs>
        <w:jc w:val="center"/>
        <w:rPr>
          <w:sz w:val="24"/>
          <w:szCs w:val="24"/>
        </w:rPr>
      </w:pPr>
      <w:r w:rsidRPr="00DB5215">
        <w:rPr>
          <w:sz w:val="24"/>
          <w:szCs w:val="24"/>
        </w:rPr>
        <w:t xml:space="preserve">Harrisburg, Pennsylvania 17120 </w:t>
      </w:r>
    </w:p>
    <w:p w:rsidR="007E0CDC" w:rsidRPr="00DB5215" w:rsidRDefault="007E0CDC" w:rsidP="007E0CDC">
      <w:pPr>
        <w:tabs>
          <w:tab w:val="left" w:pos="720"/>
        </w:tabs>
        <w:rPr>
          <w:sz w:val="24"/>
          <w:szCs w:val="24"/>
        </w:rPr>
      </w:pPr>
    </w:p>
    <w:p w:rsidR="007E0CDC" w:rsidRPr="00DB5215" w:rsidRDefault="007E0CDC" w:rsidP="007E0CDC">
      <w:pPr>
        <w:tabs>
          <w:tab w:val="left" w:pos="720"/>
        </w:tabs>
        <w:rPr>
          <w:sz w:val="24"/>
          <w:szCs w:val="24"/>
        </w:rPr>
      </w:pPr>
      <w:r w:rsidRPr="00DB5215">
        <w:rPr>
          <w:sz w:val="24"/>
          <w:szCs w:val="24"/>
        </w:rPr>
        <w:tab/>
        <w:t xml:space="preserve">Please respond to Stephen Jakab of the Commission’s Bureau of Technical Utility Services within fifteen (15) days of the date of this letter with your intent to renew and to confirm the required financial security amount. You may email </w:t>
      </w:r>
      <w:hyperlink r:id="rId8" w:history="1">
        <w:r w:rsidRPr="00DB5215">
          <w:rPr>
            <w:rStyle w:val="Hyperlink"/>
            <w:sz w:val="24"/>
            <w:szCs w:val="24"/>
          </w:rPr>
          <w:t>sjakab@pa.gov</w:t>
        </w:r>
      </w:hyperlink>
      <w:r w:rsidRPr="00DB5215">
        <w:rPr>
          <w:sz w:val="24"/>
          <w:szCs w:val="24"/>
        </w:rPr>
        <w:t xml:space="preserve"> (preferred) or call (717) 783-6174 with any questions.</w:t>
      </w:r>
    </w:p>
    <w:p w:rsidR="007E0CDC" w:rsidRPr="00DB5215" w:rsidRDefault="007E0CDC" w:rsidP="007E0CDC">
      <w:pPr>
        <w:tabs>
          <w:tab w:val="left" w:pos="720"/>
        </w:tabs>
        <w:rPr>
          <w:sz w:val="24"/>
          <w:szCs w:val="24"/>
        </w:rPr>
      </w:pPr>
    </w:p>
    <w:p w:rsidR="007E0CDC" w:rsidRPr="00DB5215" w:rsidRDefault="00C65EFD" w:rsidP="007E0CDC">
      <w:pPr>
        <w:tabs>
          <w:tab w:val="left" w:pos="720"/>
          <w:tab w:val="left" w:pos="5040"/>
        </w:tabs>
        <w:rPr>
          <w:sz w:val="24"/>
          <w:szCs w:val="24"/>
        </w:rPr>
      </w:pPr>
      <w:r>
        <w:rPr>
          <w:noProof/>
        </w:rPr>
        <w:drawing>
          <wp:anchor distT="0" distB="0" distL="114300" distR="114300" simplePos="0" relativeHeight="251659264" behindDoc="1" locked="0" layoutInCell="1" allowOverlap="1" wp14:anchorId="6A6CD709" wp14:editId="6C826E07">
            <wp:simplePos x="0" y="0"/>
            <wp:positionH relativeFrom="column">
              <wp:posOffset>3114675</wp:posOffset>
            </wp:positionH>
            <wp:positionV relativeFrom="paragraph">
              <wp:posOffset>18415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7E0CDC" w:rsidRPr="00DB5215">
        <w:rPr>
          <w:sz w:val="24"/>
          <w:szCs w:val="24"/>
        </w:rPr>
        <w:tab/>
      </w:r>
      <w:r w:rsidR="007E0CDC" w:rsidRPr="00DB5215">
        <w:rPr>
          <w:sz w:val="24"/>
          <w:szCs w:val="24"/>
        </w:rPr>
        <w:tab/>
        <w:t>Sincerely,</w:t>
      </w:r>
    </w:p>
    <w:p w:rsidR="007E0CDC" w:rsidRPr="00DB5215" w:rsidRDefault="007E0CDC" w:rsidP="007E0CDC">
      <w:pPr>
        <w:tabs>
          <w:tab w:val="left" w:pos="720"/>
        </w:tabs>
        <w:jc w:val="center"/>
        <w:rPr>
          <w:sz w:val="24"/>
          <w:szCs w:val="24"/>
        </w:rPr>
      </w:pPr>
      <w:r w:rsidRPr="00DB5215">
        <w:rPr>
          <w:sz w:val="24"/>
          <w:szCs w:val="24"/>
        </w:rPr>
        <w:t xml:space="preserve">              </w:t>
      </w:r>
    </w:p>
    <w:p w:rsidR="007E0CDC" w:rsidRPr="00DB5215" w:rsidRDefault="007E0CDC" w:rsidP="007E0CDC">
      <w:pPr>
        <w:tabs>
          <w:tab w:val="left" w:pos="720"/>
        </w:tabs>
        <w:jc w:val="center"/>
        <w:rPr>
          <w:sz w:val="24"/>
          <w:szCs w:val="24"/>
        </w:rPr>
      </w:pPr>
      <w:r w:rsidRPr="00DB5215">
        <w:rPr>
          <w:sz w:val="24"/>
          <w:szCs w:val="24"/>
        </w:rPr>
        <w:t xml:space="preserve">                 </w:t>
      </w:r>
    </w:p>
    <w:p w:rsidR="007E0CDC" w:rsidRPr="00DB5215" w:rsidRDefault="007E0CDC" w:rsidP="007E0CDC">
      <w:pPr>
        <w:tabs>
          <w:tab w:val="left" w:pos="720"/>
        </w:tabs>
        <w:jc w:val="center"/>
        <w:rPr>
          <w:noProof/>
          <w:sz w:val="24"/>
          <w:szCs w:val="24"/>
        </w:rPr>
      </w:pPr>
      <w:r w:rsidRPr="00DB5215">
        <w:rPr>
          <w:sz w:val="24"/>
          <w:szCs w:val="24"/>
        </w:rPr>
        <w:t xml:space="preserve">                 </w:t>
      </w:r>
    </w:p>
    <w:p w:rsidR="007E0CDC" w:rsidRPr="00DB5215" w:rsidRDefault="007E0CDC" w:rsidP="007E0CDC">
      <w:pPr>
        <w:tabs>
          <w:tab w:val="left" w:pos="5040"/>
        </w:tabs>
        <w:rPr>
          <w:color w:val="000000"/>
          <w:sz w:val="24"/>
          <w:szCs w:val="24"/>
        </w:rPr>
      </w:pPr>
      <w:r w:rsidRPr="00DB5215">
        <w:rPr>
          <w:sz w:val="24"/>
          <w:szCs w:val="24"/>
        </w:rPr>
        <w:tab/>
      </w:r>
      <w:r w:rsidRPr="00DB5215">
        <w:rPr>
          <w:color w:val="000000"/>
          <w:sz w:val="24"/>
          <w:szCs w:val="24"/>
        </w:rPr>
        <w:t>Rosemary Chiavetta</w:t>
      </w:r>
    </w:p>
    <w:p w:rsidR="007E0CDC" w:rsidRPr="00DB5215" w:rsidRDefault="007E0CDC" w:rsidP="007E0CDC">
      <w:pPr>
        <w:tabs>
          <w:tab w:val="left" w:pos="720"/>
          <w:tab w:val="left" w:pos="5040"/>
        </w:tabs>
        <w:outlineLvl w:val="0"/>
        <w:rPr>
          <w:sz w:val="24"/>
          <w:szCs w:val="24"/>
        </w:rPr>
      </w:pPr>
      <w:r w:rsidRPr="00DB5215">
        <w:rPr>
          <w:color w:val="000000"/>
          <w:sz w:val="24"/>
          <w:szCs w:val="24"/>
        </w:rPr>
        <w:tab/>
      </w:r>
      <w:r w:rsidRPr="00DB5215">
        <w:rPr>
          <w:color w:val="000000"/>
          <w:sz w:val="24"/>
          <w:szCs w:val="24"/>
        </w:rPr>
        <w:tab/>
        <w:t>Secretary</w:t>
      </w:r>
    </w:p>
    <w:p w:rsidR="00F129A8" w:rsidRPr="00DB5215" w:rsidRDefault="00F129A8">
      <w:pPr>
        <w:rPr>
          <w:sz w:val="24"/>
          <w:szCs w:val="24"/>
        </w:rPr>
      </w:pPr>
    </w:p>
    <w:sectPr w:rsidR="00F129A8" w:rsidRPr="00DB52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CDC"/>
    <w:rsid w:val="005A0D6F"/>
    <w:rsid w:val="005C2D72"/>
    <w:rsid w:val="007E0CDC"/>
    <w:rsid w:val="00C65EFD"/>
    <w:rsid w:val="00DB5215"/>
    <w:rsid w:val="00F12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CD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E0CDC"/>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CDC"/>
    <w:rPr>
      <w:rFonts w:ascii="Times New Roman" w:eastAsia="Times New Roman" w:hAnsi="Times New Roman" w:cs="Times New Roman"/>
      <w:sz w:val="24"/>
      <w:szCs w:val="20"/>
    </w:rPr>
  </w:style>
  <w:style w:type="character" w:styleId="Hyperlink">
    <w:name w:val="Hyperlink"/>
    <w:basedOn w:val="DefaultParagraphFont"/>
    <w:rsid w:val="007E0CDC"/>
    <w:rPr>
      <w:color w:val="0000FF"/>
      <w:u w:val="single"/>
    </w:rPr>
  </w:style>
  <w:style w:type="paragraph" w:styleId="ListParagraph">
    <w:name w:val="List Paragraph"/>
    <w:basedOn w:val="Normal"/>
    <w:uiPriority w:val="34"/>
    <w:qFormat/>
    <w:rsid w:val="007E0CDC"/>
    <w:pPr>
      <w:ind w:left="720"/>
      <w:contextualSpacing/>
    </w:pPr>
  </w:style>
  <w:style w:type="paragraph" w:styleId="BalloonText">
    <w:name w:val="Balloon Text"/>
    <w:basedOn w:val="Normal"/>
    <w:link w:val="BalloonTextChar"/>
    <w:uiPriority w:val="99"/>
    <w:semiHidden/>
    <w:unhideWhenUsed/>
    <w:rsid w:val="007E0CDC"/>
    <w:rPr>
      <w:rFonts w:ascii="Tahoma" w:hAnsi="Tahoma" w:cs="Tahoma"/>
      <w:sz w:val="16"/>
      <w:szCs w:val="16"/>
    </w:rPr>
  </w:style>
  <w:style w:type="character" w:customStyle="1" w:styleId="BalloonTextChar">
    <w:name w:val="Balloon Text Char"/>
    <w:basedOn w:val="DefaultParagraphFont"/>
    <w:link w:val="BalloonText"/>
    <w:uiPriority w:val="99"/>
    <w:semiHidden/>
    <w:rsid w:val="007E0CD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CDC"/>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7E0CDC"/>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0CDC"/>
    <w:rPr>
      <w:rFonts w:ascii="Times New Roman" w:eastAsia="Times New Roman" w:hAnsi="Times New Roman" w:cs="Times New Roman"/>
      <w:sz w:val="24"/>
      <w:szCs w:val="20"/>
    </w:rPr>
  </w:style>
  <w:style w:type="character" w:styleId="Hyperlink">
    <w:name w:val="Hyperlink"/>
    <w:basedOn w:val="DefaultParagraphFont"/>
    <w:rsid w:val="007E0CDC"/>
    <w:rPr>
      <w:color w:val="0000FF"/>
      <w:u w:val="single"/>
    </w:rPr>
  </w:style>
  <w:style w:type="paragraph" w:styleId="ListParagraph">
    <w:name w:val="List Paragraph"/>
    <w:basedOn w:val="Normal"/>
    <w:uiPriority w:val="34"/>
    <w:qFormat/>
    <w:rsid w:val="007E0CDC"/>
    <w:pPr>
      <w:ind w:left="720"/>
      <w:contextualSpacing/>
    </w:pPr>
  </w:style>
  <w:style w:type="paragraph" w:styleId="BalloonText">
    <w:name w:val="Balloon Text"/>
    <w:basedOn w:val="Normal"/>
    <w:link w:val="BalloonTextChar"/>
    <w:uiPriority w:val="99"/>
    <w:semiHidden/>
    <w:unhideWhenUsed/>
    <w:rsid w:val="007E0CDC"/>
    <w:rPr>
      <w:rFonts w:ascii="Tahoma" w:hAnsi="Tahoma" w:cs="Tahoma"/>
      <w:sz w:val="16"/>
      <w:szCs w:val="16"/>
    </w:rPr>
  </w:style>
  <w:style w:type="character" w:customStyle="1" w:styleId="BalloonTextChar">
    <w:name w:val="Balloon Text Char"/>
    <w:basedOn w:val="DefaultParagraphFont"/>
    <w:link w:val="BalloonText"/>
    <w:uiPriority w:val="99"/>
    <w:semiHidden/>
    <w:rsid w:val="007E0CD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akab@pa.gov" TargetMode="External"/><Relationship Id="rId3" Type="http://schemas.microsoft.com/office/2007/relationships/stylesWithEffects" Target="stylesWithEffects.xml"/><Relationship Id="rId7" Type="http://schemas.openxmlformats.org/officeDocument/2006/relationships/hyperlink" Target="http://www.puc.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700</Words>
  <Characters>3994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Jakab, Stephen</dc:creator>
  <cp:lastModifiedBy>Wagner, Nathan R</cp:lastModifiedBy>
  <cp:revision>5</cp:revision>
  <dcterms:created xsi:type="dcterms:W3CDTF">2017-02-02T18:46:00Z</dcterms:created>
  <dcterms:modified xsi:type="dcterms:W3CDTF">2017-02-03T15:54:00Z</dcterms:modified>
</cp:coreProperties>
</file>