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A89" w:rsidRDefault="001B5A89" w:rsidP="00E56A5F">
      <w:pPr>
        <w:jc w:val="center"/>
        <w:rPr>
          <w:b/>
          <w:bCs/>
        </w:rPr>
      </w:pPr>
      <w:r>
        <w:rPr>
          <w:b/>
          <w:bCs/>
        </w:rPr>
        <w:t>BEFORE THE</w:t>
      </w:r>
    </w:p>
    <w:p w:rsidR="001B5A89" w:rsidRDefault="001B5A89" w:rsidP="00E56A5F">
      <w:pPr>
        <w:jc w:val="center"/>
        <w:rPr>
          <w:b/>
          <w:bCs/>
        </w:rPr>
      </w:pPr>
      <w:r>
        <w:rPr>
          <w:b/>
          <w:bCs/>
        </w:rPr>
        <w:t>PENNSYLVANIA PUBLIC UTILITY COMMISSION</w:t>
      </w:r>
    </w:p>
    <w:p w:rsidR="001B5A89" w:rsidRDefault="001B5A89" w:rsidP="00E56A5F"/>
    <w:p w:rsidR="001B5A89" w:rsidRDefault="001B5A89" w:rsidP="00E56A5F"/>
    <w:p w:rsidR="001B5A89" w:rsidRDefault="001B5A89" w:rsidP="00E56A5F"/>
    <w:p w:rsidR="001B5A89" w:rsidRDefault="001B5A89" w:rsidP="00E56A5F">
      <w:r>
        <w:t>Kevin Wilson</w:t>
      </w:r>
      <w:r>
        <w:tab/>
      </w:r>
      <w:r>
        <w:tab/>
      </w:r>
      <w:r>
        <w:tab/>
      </w:r>
      <w:r>
        <w:tab/>
      </w:r>
      <w:r>
        <w:tab/>
      </w:r>
      <w:r>
        <w:tab/>
      </w:r>
      <w:r>
        <w:fldChar w:fldCharType="begin"/>
      </w:r>
      <w:r>
        <w:instrText>fillin "Complainant's name" \d ""</w:instrText>
      </w:r>
      <w:r>
        <w:fldChar w:fldCharType="end"/>
      </w:r>
      <w:r>
        <w:t>:</w:t>
      </w:r>
    </w:p>
    <w:p w:rsidR="001B5A89" w:rsidRDefault="001B5A89" w:rsidP="00E56A5F">
      <w:r>
        <w:tab/>
      </w:r>
      <w:r>
        <w:tab/>
      </w:r>
      <w:r>
        <w:tab/>
      </w:r>
      <w:r>
        <w:tab/>
      </w:r>
      <w:r>
        <w:tab/>
      </w:r>
      <w:r>
        <w:tab/>
      </w:r>
      <w:r>
        <w:tab/>
        <w:t>:</w:t>
      </w:r>
    </w:p>
    <w:p w:rsidR="001B5A89" w:rsidRDefault="001B5A89" w:rsidP="00E56A5F">
      <w:r>
        <w:tab/>
        <w:t>v.</w:t>
      </w:r>
      <w:r>
        <w:tab/>
      </w:r>
      <w:r>
        <w:tab/>
      </w:r>
      <w:r>
        <w:tab/>
      </w:r>
      <w:r>
        <w:tab/>
      </w:r>
      <w:r>
        <w:tab/>
      </w:r>
      <w:r>
        <w:tab/>
        <w:t>:</w:t>
      </w:r>
      <w:r>
        <w:tab/>
      </w:r>
      <w:r>
        <w:tab/>
        <w:t>C-2016-2571197</w:t>
      </w:r>
    </w:p>
    <w:p w:rsidR="001B5A89" w:rsidRDefault="001B5A89" w:rsidP="00E56A5F">
      <w:r>
        <w:tab/>
      </w:r>
      <w:r>
        <w:tab/>
      </w:r>
      <w:r>
        <w:tab/>
      </w:r>
      <w:r>
        <w:tab/>
      </w:r>
      <w:r>
        <w:tab/>
      </w:r>
      <w:r>
        <w:tab/>
      </w:r>
      <w:r>
        <w:tab/>
        <w:t>:</w:t>
      </w:r>
      <w:r>
        <w:tab/>
      </w:r>
      <w:r>
        <w:tab/>
      </w:r>
      <w:r>
        <w:fldChar w:fldCharType="begin"/>
      </w:r>
      <w:r>
        <w:instrText>fillin "Docket No." \d ""</w:instrText>
      </w:r>
      <w:r>
        <w:fldChar w:fldCharType="end"/>
      </w:r>
    </w:p>
    <w:p w:rsidR="001B5A89" w:rsidRDefault="001B5A89" w:rsidP="00E56A5F">
      <w:r>
        <w:t>Philadelphia Gas Works</w:t>
      </w:r>
      <w:r>
        <w:tab/>
      </w:r>
      <w:r>
        <w:tab/>
      </w:r>
      <w:r>
        <w:tab/>
      </w:r>
      <w:r>
        <w:fldChar w:fldCharType="begin"/>
      </w:r>
      <w:r>
        <w:instrText>fillin "Respondent's name" \d ""</w:instrText>
      </w:r>
      <w:r>
        <w:fldChar w:fldCharType="end"/>
      </w:r>
      <w:r>
        <w:tab/>
        <w:t>:</w:t>
      </w:r>
    </w:p>
    <w:p w:rsidR="001B5A89" w:rsidRDefault="001B5A89" w:rsidP="00E56A5F"/>
    <w:p w:rsidR="001B5A89" w:rsidRDefault="001B5A89" w:rsidP="00E56A5F"/>
    <w:p w:rsidR="001B5A89" w:rsidRDefault="001B5A89" w:rsidP="00E56A5F"/>
    <w:p w:rsidR="001B5A89" w:rsidRDefault="001B5A89" w:rsidP="00E56A5F">
      <w:pPr>
        <w:jc w:val="center"/>
        <w:rPr>
          <w:b/>
          <w:u w:val="single"/>
        </w:rPr>
      </w:pPr>
      <w:r>
        <w:rPr>
          <w:b/>
          <w:u w:val="single"/>
        </w:rPr>
        <w:t>INITIAL DECISION</w:t>
      </w:r>
    </w:p>
    <w:p w:rsidR="001B5A89" w:rsidRDefault="001B5A89" w:rsidP="00E56A5F">
      <w:pPr>
        <w:jc w:val="center"/>
        <w:rPr>
          <w:b/>
          <w:u w:val="single"/>
        </w:rPr>
      </w:pPr>
    </w:p>
    <w:p w:rsidR="001B5A89" w:rsidRDefault="001B5A89" w:rsidP="00E56A5F">
      <w:pPr>
        <w:jc w:val="center"/>
        <w:rPr>
          <w:b/>
          <w:u w:val="single"/>
        </w:rPr>
      </w:pPr>
    </w:p>
    <w:p w:rsidR="001B5A89" w:rsidRDefault="001B5A89" w:rsidP="00E56A5F">
      <w:pPr>
        <w:jc w:val="center"/>
      </w:pPr>
      <w:r>
        <w:t>Before</w:t>
      </w:r>
    </w:p>
    <w:p w:rsidR="001B5A89" w:rsidRDefault="001B5A89" w:rsidP="00E56A5F">
      <w:pPr>
        <w:jc w:val="center"/>
      </w:pPr>
      <w:r>
        <w:t>Angela T. Jones</w:t>
      </w:r>
    </w:p>
    <w:p w:rsidR="001B5A89" w:rsidRDefault="001B5A89" w:rsidP="00E56A5F">
      <w:pPr>
        <w:jc w:val="center"/>
      </w:pPr>
      <w:r>
        <w:t>Administrative Law Judge</w:t>
      </w:r>
    </w:p>
    <w:p w:rsidR="001B5A89" w:rsidRDefault="001B5A89" w:rsidP="00E56A5F">
      <w:pPr>
        <w:jc w:val="center"/>
      </w:pPr>
    </w:p>
    <w:p w:rsidR="001B5A89" w:rsidRDefault="001B5A89" w:rsidP="00E56A5F">
      <w:pPr>
        <w:jc w:val="center"/>
        <w:rPr>
          <w:u w:val="single"/>
        </w:rPr>
      </w:pPr>
    </w:p>
    <w:p w:rsidR="001B5A89" w:rsidRDefault="001B5A89" w:rsidP="00E56A5F">
      <w:pPr>
        <w:jc w:val="center"/>
        <w:rPr>
          <w:u w:val="single"/>
        </w:rPr>
      </w:pPr>
      <w:r>
        <w:rPr>
          <w:u w:val="single"/>
        </w:rPr>
        <w:t>INTRODUCTION</w:t>
      </w:r>
    </w:p>
    <w:p w:rsidR="001B5A89" w:rsidRDefault="001B5A89" w:rsidP="00E56A5F">
      <w:pPr>
        <w:jc w:val="center"/>
        <w:rPr>
          <w:u w:val="single"/>
        </w:rPr>
      </w:pPr>
    </w:p>
    <w:p w:rsidR="001B5A89" w:rsidRDefault="001B5A89" w:rsidP="00E56A5F">
      <w:pPr>
        <w:jc w:val="center"/>
        <w:rPr>
          <w:u w:val="single"/>
        </w:rPr>
      </w:pPr>
    </w:p>
    <w:p w:rsidR="001B5A89" w:rsidRDefault="001B5A89" w:rsidP="00E56A5F">
      <w:pPr>
        <w:spacing w:line="360" w:lineRule="auto"/>
        <w:ind w:firstLine="1440"/>
      </w:pPr>
      <w:r>
        <w:t>The undersigned through this decision dismisses the formal complaint (Complaint) filed in this matter for failure of the Complainant to appear for the hearing and prosecute the Complaint.</w:t>
      </w:r>
    </w:p>
    <w:p w:rsidR="001B5A89" w:rsidRDefault="001B5A89" w:rsidP="00E56A5F">
      <w:pPr>
        <w:spacing w:line="360" w:lineRule="auto"/>
        <w:ind w:firstLine="1440"/>
      </w:pPr>
      <w:r>
        <w:t xml:space="preserve"> </w:t>
      </w:r>
    </w:p>
    <w:p w:rsidR="003A388C" w:rsidRPr="00206E57" w:rsidRDefault="003A388C" w:rsidP="00E56A5F">
      <w:pPr>
        <w:jc w:val="center"/>
        <w:rPr>
          <w:u w:val="single"/>
        </w:rPr>
      </w:pPr>
      <w:r w:rsidRPr="00206E57">
        <w:rPr>
          <w:u w:val="single"/>
        </w:rPr>
        <w:t>HISTORY OF THE PROCEEDING</w:t>
      </w:r>
    </w:p>
    <w:p w:rsidR="003A388C" w:rsidRPr="00206E57" w:rsidRDefault="003A388C" w:rsidP="00E56A5F">
      <w:pPr>
        <w:spacing w:line="360" w:lineRule="auto"/>
        <w:jc w:val="center"/>
        <w:rPr>
          <w:u w:val="single"/>
        </w:rPr>
      </w:pPr>
    </w:p>
    <w:p w:rsidR="00787A80" w:rsidRDefault="00F11D5B" w:rsidP="00E56A5F">
      <w:pPr>
        <w:spacing w:line="360" w:lineRule="auto"/>
        <w:ind w:firstLine="1440"/>
      </w:pPr>
      <w:r w:rsidRPr="00206E57">
        <w:t xml:space="preserve">On </w:t>
      </w:r>
      <w:r w:rsidR="001B5A89">
        <w:t>September 29</w:t>
      </w:r>
      <w:r w:rsidR="00DA1854" w:rsidRPr="00206E57">
        <w:t xml:space="preserve">, </w:t>
      </w:r>
      <w:r w:rsidRPr="00206E57">
        <w:t>201</w:t>
      </w:r>
      <w:r w:rsidR="00752029">
        <w:t>6</w:t>
      </w:r>
      <w:r w:rsidRPr="00206E57">
        <w:t>, Complainant</w:t>
      </w:r>
      <w:r w:rsidR="009B6A6A" w:rsidRPr="00206E57">
        <w:t xml:space="preserve">, </w:t>
      </w:r>
      <w:r w:rsidR="001B5A89">
        <w:t>Kevin Wilson</w:t>
      </w:r>
      <w:r w:rsidR="009B6A6A" w:rsidRPr="00206E57">
        <w:t>,</w:t>
      </w:r>
      <w:r w:rsidRPr="00206E57">
        <w:t xml:space="preserve"> filed a </w:t>
      </w:r>
      <w:r w:rsidR="00A313CE" w:rsidRPr="00206E57">
        <w:t xml:space="preserve">Complaint </w:t>
      </w:r>
      <w:r w:rsidR="00752029" w:rsidRPr="00206E57">
        <w:t>with the Pennsylvania Public Utility Commission (Commission or PUC)</w:t>
      </w:r>
      <w:r w:rsidR="00752029">
        <w:t xml:space="preserve"> </w:t>
      </w:r>
      <w:r w:rsidR="00A313CE" w:rsidRPr="00206E57">
        <w:t>against</w:t>
      </w:r>
      <w:r w:rsidRPr="00206E57">
        <w:t xml:space="preserve"> P</w:t>
      </w:r>
      <w:r w:rsidR="00752029">
        <w:t>hiladelphia Gas Works</w:t>
      </w:r>
      <w:r w:rsidR="007F1B21" w:rsidRPr="00206E57">
        <w:t xml:space="preserve"> (P</w:t>
      </w:r>
      <w:r w:rsidR="00752029">
        <w:t>GW</w:t>
      </w:r>
      <w:r w:rsidR="007F1B21" w:rsidRPr="00206E57">
        <w:t xml:space="preserve"> or Company or Respondent)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1B5A89">
        <w:t>requested a payment arrangement</w:t>
      </w:r>
      <w:r w:rsidR="00095DB6">
        <w:t xml:space="preserve">.  The Complainant </w:t>
      </w:r>
      <w:r w:rsidR="00AB3404">
        <w:t xml:space="preserve">also </w:t>
      </w:r>
      <w:r w:rsidR="001B5A89">
        <w:t>requested documentation of a leak to take to the landlord</w:t>
      </w:r>
      <w:r w:rsidR="00AB3404">
        <w:t>.</w:t>
      </w:r>
      <w:r w:rsidR="001B5A89">
        <w:t xml:space="preserve"> </w:t>
      </w:r>
    </w:p>
    <w:p w:rsidR="00AB3404" w:rsidRDefault="00AB3404" w:rsidP="00E56A5F">
      <w:pPr>
        <w:spacing w:line="360" w:lineRule="auto"/>
        <w:ind w:firstLine="1440"/>
      </w:pPr>
    </w:p>
    <w:p w:rsidR="00AE5FFC" w:rsidRDefault="00AE5FFC" w:rsidP="00E56A5F">
      <w:pPr>
        <w:spacing w:line="360" w:lineRule="auto"/>
        <w:ind w:firstLine="1440"/>
      </w:pPr>
      <w:r w:rsidRPr="00206E57">
        <w:t xml:space="preserve">The Complaint was served electronically (eService) by the Commission’s Secretary on </w:t>
      </w:r>
      <w:r w:rsidR="009B4AE6">
        <w:t>October 13</w:t>
      </w:r>
      <w:r w:rsidRPr="00206E57">
        <w:t>, 201</w:t>
      </w:r>
      <w:r w:rsidR="00A7261C">
        <w:t>6</w:t>
      </w:r>
      <w:r w:rsidRPr="00206E57">
        <w:t>, according to the audit history of the docket.  The eService is pursuant to the Waiver of Section 702 program,</w:t>
      </w:r>
      <w:r>
        <w:t xml:space="preserve"> under</w:t>
      </w:r>
      <w:r w:rsidRPr="00206E57">
        <w:t xml:space="preserve"> which the Respondent waives</w:t>
      </w:r>
      <w:r>
        <w:t xml:space="preserve"> the service requirements in 66 </w:t>
      </w:r>
      <w:r w:rsidRPr="00206E57">
        <w:t>Pa.C.S. § 702.</w:t>
      </w:r>
      <w:r>
        <w:t xml:space="preserve"> </w:t>
      </w:r>
    </w:p>
    <w:p w:rsidR="0031638A" w:rsidRDefault="0031638A" w:rsidP="00E56A5F">
      <w:pPr>
        <w:spacing w:line="360" w:lineRule="auto"/>
        <w:ind w:firstLine="1440"/>
      </w:pPr>
      <w:r w:rsidRPr="00206E57">
        <w:lastRenderedPageBreak/>
        <w:t>On</w:t>
      </w:r>
      <w:r>
        <w:t xml:space="preserve"> </w:t>
      </w:r>
      <w:r w:rsidR="009B4AE6">
        <w:t>November 2</w:t>
      </w:r>
      <w:r w:rsidRPr="00206E57">
        <w:t>, 201</w:t>
      </w:r>
      <w:r w:rsidR="00A7261C">
        <w:t>6</w:t>
      </w:r>
      <w:r w:rsidRPr="00206E57">
        <w:t xml:space="preserve">, </w:t>
      </w:r>
      <w:r w:rsidR="00473AE3">
        <w:t>Laureto Farinas</w:t>
      </w:r>
      <w:r w:rsidRPr="00206E57">
        <w:t xml:space="preserve">, Esquire, counsel for </w:t>
      </w:r>
      <w:r w:rsidR="002104EF">
        <w:t>the Respondent</w:t>
      </w:r>
      <w:r w:rsidRPr="00206E57">
        <w:t>, filed an Answer to the Complaint.  The Answer denied that the action</w:t>
      </w:r>
      <w:r>
        <w:t>s</w:t>
      </w:r>
      <w:r w:rsidRPr="00206E57">
        <w:t xml:space="preserve"> of the Respondent were improper.</w:t>
      </w:r>
      <w:r>
        <w:t xml:space="preserve">  </w:t>
      </w:r>
    </w:p>
    <w:p w:rsidR="0031638A" w:rsidRDefault="0031638A" w:rsidP="00E56A5F">
      <w:pPr>
        <w:spacing w:line="360" w:lineRule="auto"/>
        <w:ind w:firstLine="1440"/>
      </w:pPr>
    </w:p>
    <w:p w:rsidR="00990721" w:rsidRDefault="0031638A" w:rsidP="00E56A5F">
      <w:pPr>
        <w:spacing w:line="360" w:lineRule="auto"/>
        <w:ind w:firstLine="1440"/>
      </w:pPr>
      <w:r>
        <w:t>Specifically, t</w:t>
      </w:r>
      <w:r w:rsidR="00AE5FFC" w:rsidRPr="00AE5FFC">
        <w:t xml:space="preserve">he Respondent </w:t>
      </w:r>
      <w:r w:rsidR="00473AE3">
        <w:t xml:space="preserve">admitted </w:t>
      </w:r>
      <w:r w:rsidR="009A3F91">
        <w:t>that</w:t>
      </w:r>
      <w:r w:rsidR="00990721">
        <w:t xml:space="preserve"> the Complainant seeks a payment arrangement for gas service at 1815 W. Godfrey Avenue, Philadelphia, Pennsylvania (service address).</w:t>
      </w:r>
      <w:r w:rsidR="00FF1AAB">
        <w:t xml:space="preserve"> </w:t>
      </w:r>
      <w:r w:rsidR="005D2692">
        <w:t xml:space="preserve"> </w:t>
      </w:r>
      <w:r w:rsidR="00473AE3">
        <w:t xml:space="preserve">The Respondent stated in the Answer that </w:t>
      </w:r>
      <w:r w:rsidR="00990721">
        <w:t>on November 22, 2013, the Respondent completed a meter exchange and installed a new meter at the service address.  On December 14, 2013, the Respondent generated a bill in the amount of $9,198.68 and determined on January 14, 2014, that the old meter that had been removed from the service address was faulty.  The Respondent corrected the $9,198.68 amount due and replaced it w</w:t>
      </w:r>
      <w:r w:rsidR="0019503C">
        <w:t xml:space="preserve">ith </w:t>
      </w:r>
      <w:r w:rsidR="00990721">
        <w:t xml:space="preserve">a balance of $964.03. </w:t>
      </w:r>
    </w:p>
    <w:p w:rsidR="00990721" w:rsidRDefault="00990721" w:rsidP="00E56A5F">
      <w:pPr>
        <w:spacing w:line="360" w:lineRule="auto"/>
        <w:ind w:firstLine="1440"/>
      </w:pPr>
    </w:p>
    <w:p w:rsidR="00990721" w:rsidRDefault="00990721" w:rsidP="00E56A5F">
      <w:pPr>
        <w:spacing w:line="360" w:lineRule="auto"/>
        <w:ind w:firstLine="1440"/>
      </w:pPr>
      <w:r>
        <w:t>Th</w:t>
      </w:r>
      <w:r w:rsidR="00473AE3">
        <w:t xml:space="preserve">e </w:t>
      </w:r>
      <w:r>
        <w:t xml:space="preserve">Respondent stated in its Answer that the </w:t>
      </w:r>
      <w:r w:rsidR="00FF1AAB">
        <w:t>Complainant</w:t>
      </w:r>
      <w:r>
        <w:t xml:space="preserve"> entered a Company</w:t>
      </w:r>
      <w:r w:rsidR="00425CC7">
        <w:t>-issued</w:t>
      </w:r>
      <w:r>
        <w:t xml:space="preserve"> payment arrangement on May 22, 2014.  The Complainant broke the payment arrangement on May 30, 2014, because he never satisfied the down payment for the payment arrangement.</w:t>
      </w:r>
    </w:p>
    <w:p w:rsidR="00990721" w:rsidRDefault="00990721" w:rsidP="00E56A5F">
      <w:pPr>
        <w:spacing w:line="360" w:lineRule="auto"/>
        <w:ind w:firstLine="1440"/>
      </w:pPr>
    </w:p>
    <w:p w:rsidR="000F6F04" w:rsidRDefault="00990721" w:rsidP="00E56A5F">
      <w:pPr>
        <w:spacing w:line="360" w:lineRule="auto"/>
        <w:ind w:firstLine="1440"/>
      </w:pPr>
      <w:r>
        <w:t xml:space="preserve">The Respondent stated in its Answer that the Complainant has had three medical certification holds on his </w:t>
      </w:r>
      <w:r w:rsidR="000F6F04">
        <w:t>service a</w:t>
      </w:r>
      <w:r w:rsidR="00AB3404">
        <w:t>ccount for the following 30 day period</w:t>
      </w:r>
      <w:r w:rsidR="00B3648C">
        <w:t>s</w:t>
      </w:r>
      <w:r w:rsidR="000F6F04">
        <w:t>:</w:t>
      </w:r>
    </w:p>
    <w:p w:rsidR="00AF60F4" w:rsidRDefault="00AF60F4" w:rsidP="00E56A5F">
      <w:pPr>
        <w:spacing w:line="360" w:lineRule="auto"/>
        <w:ind w:firstLine="1440"/>
      </w:pPr>
    </w:p>
    <w:p w:rsidR="000F6F04" w:rsidRDefault="000F6F04" w:rsidP="00E56A5F">
      <w:pPr>
        <w:pStyle w:val="ListParagraph"/>
        <w:numPr>
          <w:ilvl w:val="0"/>
          <w:numId w:val="13"/>
        </w:numPr>
      </w:pPr>
      <w:r>
        <w:t>June 26, 2014 to July 26, 2014;</w:t>
      </w:r>
    </w:p>
    <w:p w:rsidR="000F6F04" w:rsidRDefault="000F6F04" w:rsidP="00E56A5F">
      <w:pPr>
        <w:pStyle w:val="ListParagraph"/>
        <w:numPr>
          <w:ilvl w:val="0"/>
          <w:numId w:val="13"/>
        </w:numPr>
      </w:pPr>
      <w:r>
        <w:t>August 7, 2015 to September 6, 2015; and</w:t>
      </w:r>
    </w:p>
    <w:p w:rsidR="000F6F04" w:rsidRDefault="000F6F04" w:rsidP="00E56A5F">
      <w:pPr>
        <w:pStyle w:val="ListParagraph"/>
        <w:numPr>
          <w:ilvl w:val="0"/>
          <w:numId w:val="13"/>
        </w:numPr>
      </w:pPr>
      <w:r>
        <w:t>September 29, 2015 to October 28, 2015.</w:t>
      </w:r>
    </w:p>
    <w:p w:rsidR="000F6F04" w:rsidRDefault="000F6F04" w:rsidP="00E56A5F">
      <w:pPr>
        <w:spacing w:line="360" w:lineRule="auto"/>
        <w:ind w:left="1440"/>
      </w:pPr>
    </w:p>
    <w:p w:rsidR="00473AE3" w:rsidRDefault="000F6F04" w:rsidP="00E56A5F">
      <w:pPr>
        <w:spacing w:line="360" w:lineRule="auto"/>
        <w:ind w:firstLine="1440"/>
      </w:pPr>
      <w:r>
        <w:t>The Answer of the Respondent further stated that the Complainant received a Commission</w:t>
      </w:r>
      <w:r w:rsidR="000339C0">
        <w:t>-</w:t>
      </w:r>
      <w:r w:rsidR="005605A1">
        <w:t>issued</w:t>
      </w:r>
      <w:r>
        <w:t xml:space="preserve"> payment arrangement on March 2, 2016.  The Complainant broke the Commission-issued payment arrangement on May 13, 2016, due to failure to make timely, full payments. </w:t>
      </w:r>
      <w:r w:rsidR="00425CC7">
        <w:t xml:space="preserve"> The Respondent requested that the Commission find against the Complainant and dismiss the Complaint. </w:t>
      </w:r>
      <w:r w:rsidR="00990721">
        <w:t xml:space="preserve"> </w:t>
      </w:r>
    </w:p>
    <w:p w:rsidR="00E13646" w:rsidRDefault="00E13646" w:rsidP="00E56A5F">
      <w:pPr>
        <w:spacing w:line="360" w:lineRule="auto"/>
      </w:pPr>
    </w:p>
    <w:p w:rsidR="00425CC7" w:rsidRDefault="00E13646" w:rsidP="00E56A5F">
      <w:pPr>
        <w:spacing w:line="360" w:lineRule="auto"/>
        <w:ind w:firstLine="1440"/>
      </w:pPr>
      <w:r>
        <w:t xml:space="preserve">The Complainant filed an informal </w:t>
      </w:r>
      <w:r w:rsidR="00FF1AAB">
        <w:t>complaint with the Commission’s</w:t>
      </w:r>
      <w:r w:rsidR="00B9626D">
        <w:t xml:space="preserve"> Bureau of Consumer Services (BCS)</w:t>
      </w:r>
      <w:r w:rsidR="00FF1AAB">
        <w:t xml:space="preserve"> at Case No. 33</w:t>
      </w:r>
      <w:r>
        <w:t>8</w:t>
      </w:r>
      <w:r w:rsidR="00FF1AAB">
        <w:t>9</w:t>
      </w:r>
      <w:r>
        <w:t>144</w:t>
      </w:r>
      <w:r w:rsidR="00422E46">
        <w:t xml:space="preserve"> on June 29, 2016</w:t>
      </w:r>
      <w:r w:rsidR="00B9626D">
        <w:t>.</w:t>
      </w:r>
      <w:r w:rsidR="006466AD">
        <w:t xml:space="preserve">  </w:t>
      </w:r>
      <w:r w:rsidR="00425CC7">
        <w:t xml:space="preserve">66 Pa.C.S. § 1405(d) states, in relevant part, “Absent a change in income, the commission shall not establish or order a public </w:t>
      </w:r>
      <w:r w:rsidR="00425CC7">
        <w:lastRenderedPageBreak/>
        <w:t xml:space="preserve">utility to establish a second or subsequent payment arrangement if a customer has defaulted on a previous payment arrangement established by a commission order or decision.”  </w:t>
      </w:r>
      <w:r w:rsidR="00B9626D">
        <w:t xml:space="preserve">The BCS </w:t>
      </w:r>
      <w:r w:rsidR="00422E46">
        <w:t>dismissed the informal complaint on July 6, 2016</w:t>
      </w:r>
      <w:r w:rsidR="00FF1AAB">
        <w:t>,</w:t>
      </w:r>
      <w:r w:rsidR="00B9626D">
        <w:t xml:space="preserve"> </w:t>
      </w:r>
      <w:r w:rsidR="00422E46">
        <w:t xml:space="preserve">because the </w:t>
      </w:r>
      <w:r>
        <w:t xml:space="preserve">Complainant </w:t>
      </w:r>
      <w:r w:rsidR="001751A4">
        <w:t xml:space="preserve">defaulted on a Commission </w:t>
      </w:r>
      <w:r w:rsidR="00422E46">
        <w:t xml:space="preserve">issued payment arrangement, which by statute </w:t>
      </w:r>
      <w:r w:rsidR="00C02538">
        <w:t>above</w:t>
      </w:r>
      <w:r w:rsidR="00830F33">
        <w:t xml:space="preserve">mentioned at 66. Pa.C.S. § 1405(d), </w:t>
      </w:r>
      <w:r w:rsidR="00422E46">
        <w:t xml:space="preserve">prohibits the Commission from issuing another payment arrangement. </w:t>
      </w:r>
    </w:p>
    <w:p w:rsidR="00425CC7" w:rsidRDefault="00425CC7" w:rsidP="00E56A5F">
      <w:pPr>
        <w:spacing w:line="360" w:lineRule="auto"/>
        <w:ind w:firstLine="1440"/>
      </w:pPr>
    </w:p>
    <w:p w:rsidR="00830B12" w:rsidRPr="00206E57" w:rsidRDefault="00830B12" w:rsidP="00E56A5F">
      <w:pPr>
        <w:spacing w:line="360" w:lineRule="auto"/>
        <w:ind w:firstLine="1440"/>
      </w:pPr>
      <w:r w:rsidRPr="00206E57">
        <w:t xml:space="preserve">A Hearing Notice dated </w:t>
      </w:r>
      <w:r w:rsidR="00425CC7">
        <w:t>November 30</w:t>
      </w:r>
      <w:r w:rsidR="00192050" w:rsidRPr="00206E57">
        <w:t>, 201</w:t>
      </w:r>
      <w:r w:rsidR="002104EF">
        <w:t>6</w:t>
      </w:r>
      <w:r w:rsidR="00192050" w:rsidRPr="00206E57">
        <w:t xml:space="preserve">, </w:t>
      </w:r>
      <w:r w:rsidRPr="00206E57">
        <w:t xml:space="preserve">notified the parties that an </w:t>
      </w:r>
      <w:r w:rsidR="00A3129D">
        <w:t>i</w:t>
      </w:r>
      <w:r w:rsidRPr="00206E57">
        <w:t>nitial</w:t>
      </w:r>
      <w:r w:rsidR="006466AD">
        <w:t xml:space="preserve"> </w:t>
      </w:r>
      <w:r w:rsidR="00AE0A1D">
        <w:t xml:space="preserve">in-person </w:t>
      </w:r>
      <w:r w:rsidR="00A3129D">
        <w:t>h</w:t>
      </w:r>
      <w:r w:rsidRPr="00206E57">
        <w:t xml:space="preserve">earing was scheduled for </w:t>
      </w:r>
      <w:r w:rsidR="00425CC7">
        <w:t>Tues</w:t>
      </w:r>
      <w:r w:rsidR="00AE0A1D">
        <w:t>d</w:t>
      </w:r>
      <w:r w:rsidRPr="00206E57">
        <w:t xml:space="preserve">ay, </w:t>
      </w:r>
      <w:r w:rsidR="00425CC7">
        <w:t>January 24</w:t>
      </w:r>
      <w:r w:rsidRPr="00206E57">
        <w:t>, 201</w:t>
      </w:r>
      <w:r w:rsidR="00425CC7">
        <w:t>7</w:t>
      </w:r>
      <w:r w:rsidRPr="00206E57">
        <w:t xml:space="preserve">, at </w:t>
      </w:r>
      <w:r w:rsidR="0031638A">
        <w:t>10</w:t>
      </w:r>
      <w:r w:rsidRPr="00206E57">
        <w:t>:</w:t>
      </w:r>
      <w:r w:rsidR="0031638A">
        <w:t>0</w:t>
      </w:r>
      <w:r w:rsidRPr="00206E57">
        <w:t xml:space="preserve">0 </w:t>
      </w:r>
      <w:r w:rsidR="003C7C86" w:rsidRPr="00206E57">
        <w:t>a</w:t>
      </w:r>
      <w:r w:rsidRPr="00206E57">
        <w:t>.m.  This Notice indicated that the case was assigned to</w:t>
      </w:r>
      <w:r w:rsidR="00AE0A1D">
        <w:t xml:space="preserve"> the undersigned</w:t>
      </w:r>
      <w:r w:rsidRPr="00206E57">
        <w:t xml:space="preserve"> A</w:t>
      </w:r>
      <w:r w:rsidR="003C7C86" w:rsidRPr="00206E57">
        <w:t xml:space="preserve">dministrative </w:t>
      </w:r>
      <w:r w:rsidRPr="00206E57">
        <w:t>L</w:t>
      </w:r>
      <w:r w:rsidR="003C7C86" w:rsidRPr="00206E57">
        <w:t xml:space="preserve">aw </w:t>
      </w:r>
      <w:r w:rsidRPr="00206E57">
        <w:t>J</w:t>
      </w:r>
      <w:r w:rsidR="003C7C86" w:rsidRPr="00206E57">
        <w:t>udge</w:t>
      </w:r>
      <w:r w:rsidR="006466AD">
        <w:t xml:space="preserve"> (ALJ)</w:t>
      </w:r>
      <w:r w:rsidRPr="00206E57">
        <w:t xml:space="preserve"> </w:t>
      </w:r>
      <w:r w:rsidR="009E33BD" w:rsidRPr="00206E57">
        <w:t>as</w:t>
      </w:r>
      <w:r w:rsidR="004A5BB7" w:rsidRPr="00206E57">
        <w:t xml:space="preserve"> the presiding officer.</w:t>
      </w:r>
      <w:r w:rsidRPr="00206E57">
        <w:t xml:space="preserve"> </w:t>
      </w:r>
      <w:r w:rsidR="00202C99" w:rsidRPr="00206E57">
        <w:t xml:space="preserve"> </w:t>
      </w:r>
    </w:p>
    <w:p w:rsidR="00333BB3" w:rsidRPr="00206E57" w:rsidRDefault="00333BB3" w:rsidP="00E56A5F">
      <w:pPr>
        <w:tabs>
          <w:tab w:val="left" w:pos="2160"/>
        </w:tabs>
        <w:spacing w:line="360" w:lineRule="auto"/>
        <w:ind w:firstLine="1440"/>
      </w:pPr>
    </w:p>
    <w:p w:rsidR="00830B12" w:rsidRPr="00206E57" w:rsidRDefault="00830B12" w:rsidP="00E56A5F">
      <w:pPr>
        <w:tabs>
          <w:tab w:val="left" w:pos="2160"/>
        </w:tabs>
        <w:spacing w:line="360" w:lineRule="auto"/>
        <w:ind w:firstLine="1440"/>
      </w:pPr>
      <w:r w:rsidRPr="00206E57">
        <w:rPr>
          <w:spacing w:val="-3"/>
        </w:rPr>
        <w:t xml:space="preserve">A </w:t>
      </w:r>
      <w:r w:rsidRPr="00206E57">
        <w:t xml:space="preserve">Prehearing Order dated </w:t>
      </w:r>
      <w:r w:rsidR="00425CC7">
        <w:t>December 8</w:t>
      </w:r>
      <w:r w:rsidRPr="00206E57">
        <w:t>, 201</w:t>
      </w:r>
      <w:r w:rsidR="002104EF">
        <w:t>6</w:t>
      </w:r>
      <w:r w:rsidRPr="00206E57">
        <w:t>, provided procedural rules and guidelines for the proceeding and emphasized the following:</w:t>
      </w:r>
    </w:p>
    <w:p w:rsidR="000C1597" w:rsidRPr="00206E57" w:rsidRDefault="000C1597" w:rsidP="00E56A5F">
      <w:pPr>
        <w:tabs>
          <w:tab w:val="left" w:pos="2160"/>
        </w:tabs>
        <w:spacing w:line="360" w:lineRule="auto"/>
        <w:ind w:firstLine="1440"/>
      </w:pPr>
    </w:p>
    <w:p w:rsidR="00830B12" w:rsidRPr="00206E57" w:rsidRDefault="00830B12" w:rsidP="00E56A5F">
      <w:pPr>
        <w:tabs>
          <w:tab w:val="left" w:pos="2160"/>
        </w:tabs>
        <w:ind w:left="1440" w:right="1440"/>
      </w:pPr>
      <w:r w:rsidRPr="00206E57">
        <w:t>(1) a request to change the scheduled hearing should be sent at least five days prior to the hearing date;</w:t>
      </w:r>
    </w:p>
    <w:p w:rsidR="00830B12" w:rsidRPr="00206E57" w:rsidRDefault="00830B12" w:rsidP="00E56A5F">
      <w:pPr>
        <w:tabs>
          <w:tab w:val="left" w:pos="2160"/>
        </w:tabs>
        <w:ind w:left="1440" w:right="1440"/>
      </w:pPr>
      <w:r w:rsidRPr="00206E57">
        <w:t xml:space="preserve">(2) the request for a hearing change is to be in writing and sent to all parties of record; </w:t>
      </w:r>
      <w:r w:rsidR="004A5BB7" w:rsidRPr="00206E57">
        <w:t>and</w:t>
      </w:r>
    </w:p>
    <w:p w:rsidR="00830B12" w:rsidRPr="00206E57" w:rsidRDefault="00830B12" w:rsidP="00E56A5F">
      <w:pPr>
        <w:tabs>
          <w:tab w:val="left" w:pos="2160"/>
        </w:tabs>
        <w:ind w:left="1440" w:right="1440"/>
      </w:pPr>
      <w:r w:rsidRPr="00206E57">
        <w:t>(3) a caution that Complainant may lose the case if</w:t>
      </w:r>
      <w:r w:rsidR="00BC31D0">
        <w:t xml:space="preserve"> </w:t>
      </w:r>
      <w:r w:rsidR="00C81232" w:rsidRPr="00206E57">
        <w:t>he</w:t>
      </w:r>
      <w:r w:rsidRPr="00206E57">
        <w:t xml:space="preserve"> does not take part in the hearing and present evidence on the issues raised</w:t>
      </w:r>
      <w:r w:rsidR="004A5BB7" w:rsidRPr="00206E57">
        <w:t>.</w:t>
      </w:r>
      <w:r w:rsidRPr="00206E57">
        <w:t xml:space="preserve"> </w:t>
      </w:r>
    </w:p>
    <w:p w:rsidR="000C1597" w:rsidRPr="00206E57" w:rsidRDefault="000C1597" w:rsidP="00E56A5F">
      <w:pPr>
        <w:tabs>
          <w:tab w:val="left" w:pos="2160"/>
        </w:tabs>
        <w:spacing w:line="360" w:lineRule="auto"/>
        <w:ind w:left="1440" w:right="1440"/>
      </w:pPr>
    </w:p>
    <w:p w:rsidR="0024721A" w:rsidRDefault="00926115" w:rsidP="00E56A5F">
      <w:pPr>
        <w:tabs>
          <w:tab w:val="left" w:pos="-90"/>
        </w:tabs>
        <w:spacing w:line="360" w:lineRule="auto"/>
        <w:ind w:firstLine="1440"/>
        <w:rPr>
          <w:spacing w:val="-3"/>
        </w:rPr>
      </w:pPr>
      <w:r>
        <w:rPr>
          <w:spacing w:val="-3"/>
        </w:rPr>
        <w:t xml:space="preserve">The evidentiary hearing convened as scheduled.  </w:t>
      </w:r>
      <w:r w:rsidR="00D66858">
        <w:rPr>
          <w:spacing w:val="-3"/>
        </w:rPr>
        <w:t>Mr. Farinas appeared accompanied by one potential witness representing the Respondent.</w:t>
      </w:r>
      <w:r w:rsidR="00D36C36">
        <w:rPr>
          <w:spacing w:val="-3"/>
        </w:rPr>
        <w:t xml:space="preserve">  </w:t>
      </w:r>
      <w:r w:rsidR="00DC54C7">
        <w:rPr>
          <w:spacing w:val="-3"/>
        </w:rPr>
        <w:t>The Compl</w:t>
      </w:r>
      <w:r w:rsidR="00AF60F4">
        <w:rPr>
          <w:spacing w:val="-3"/>
        </w:rPr>
        <w:t xml:space="preserve">ainant was not in attendance.  </w:t>
      </w:r>
      <w:r w:rsidR="00DC54C7">
        <w:rPr>
          <w:spacing w:val="-3"/>
        </w:rPr>
        <w:t>The undersigned recessed to allow time for the Complainant to appear or to communicate a reasonable explanation as to why he could not be pres</w:t>
      </w:r>
      <w:r w:rsidR="00692DDA">
        <w:rPr>
          <w:spacing w:val="-3"/>
        </w:rPr>
        <w:t xml:space="preserve">ent at the scheduled hearing.  </w:t>
      </w:r>
      <w:r w:rsidR="00DC54C7">
        <w:rPr>
          <w:spacing w:val="-3"/>
        </w:rPr>
        <w:t xml:space="preserve">The </w:t>
      </w:r>
      <w:r w:rsidR="00DE3DCC">
        <w:rPr>
          <w:spacing w:val="-3"/>
        </w:rPr>
        <w:t>undersigned reconvened at approximately 10:</w:t>
      </w:r>
      <w:r w:rsidR="00635300">
        <w:rPr>
          <w:spacing w:val="-3"/>
        </w:rPr>
        <w:t>3</w:t>
      </w:r>
      <w:r w:rsidR="00F275E9">
        <w:rPr>
          <w:spacing w:val="-3"/>
        </w:rPr>
        <w:t>5</w:t>
      </w:r>
      <w:r w:rsidR="00DE3DCC">
        <w:rPr>
          <w:spacing w:val="-3"/>
        </w:rPr>
        <w:t xml:space="preserve"> a.m. and the Complainant remained absent from the evidentiary hearing</w:t>
      </w:r>
      <w:r w:rsidR="00DC54C7">
        <w:rPr>
          <w:spacing w:val="-3"/>
        </w:rPr>
        <w:t xml:space="preserve"> without communicating why he</w:t>
      </w:r>
      <w:r w:rsidR="001E72BD">
        <w:rPr>
          <w:spacing w:val="-3"/>
        </w:rPr>
        <w:t xml:space="preserve"> failed to appear</w:t>
      </w:r>
      <w:r w:rsidR="00DE3DCC">
        <w:rPr>
          <w:spacing w:val="-3"/>
        </w:rPr>
        <w:t xml:space="preserve">.  </w:t>
      </w:r>
    </w:p>
    <w:p w:rsidR="0024721A" w:rsidRDefault="0024721A" w:rsidP="00E56A5F">
      <w:pPr>
        <w:tabs>
          <w:tab w:val="left" w:pos="-90"/>
        </w:tabs>
        <w:spacing w:line="360" w:lineRule="auto"/>
        <w:ind w:firstLine="1440"/>
        <w:rPr>
          <w:spacing w:val="-3"/>
        </w:rPr>
      </w:pPr>
    </w:p>
    <w:p w:rsidR="00A713B1" w:rsidRDefault="00E55D54" w:rsidP="00E56A5F">
      <w:pPr>
        <w:tabs>
          <w:tab w:val="left" w:pos="-90"/>
        </w:tabs>
        <w:spacing w:line="360" w:lineRule="auto"/>
        <w:ind w:firstLine="1440"/>
        <w:rPr>
          <w:spacing w:val="-3"/>
        </w:rPr>
      </w:pPr>
      <w:r>
        <w:rPr>
          <w:spacing w:val="-3"/>
        </w:rPr>
        <w:t xml:space="preserve">Counsel for the Respondent moved to dismiss the Complaint with prejudice for lack of prosecution. </w:t>
      </w:r>
      <w:r w:rsidR="00CE1B3F">
        <w:rPr>
          <w:spacing w:val="-3"/>
        </w:rPr>
        <w:t xml:space="preserve"> </w:t>
      </w:r>
      <w:r w:rsidR="00367ACA" w:rsidRPr="00206E57">
        <w:rPr>
          <w:spacing w:val="-3"/>
        </w:rPr>
        <w:t>Th</w:t>
      </w:r>
      <w:r w:rsidR="007B35F5" w:rsidRPr="00206E57">
        <w:rPr>
          <w:spacing w:val="-3"/>
        </w:rPr>
        <w:t xml:space="preserve">e undersigned stated that the </w:t>
      </w:r>
      <w:r w:rsidR="00192050" w:rsidRPr="00206E57">
        <w:rPr>
          <w:spacing w:val="-3"/>
        </w:rPr>
        <w:t xml:space="preserve">Respondent’s </w:t>
      </w:r>
      <w:r w:rsidR="007B35F5" w:rsidRPr="00206E57">
        <w:rPr>
          <w:spacing w:val="-3"/>
        </w:rPr>
        <w:t>motion would be considered</w:t>
      </w:r>
      <w:r w:rsidR="00D11BDA" w:rsidRPr="00206E57">
        <w:rPr>
          <w:spacing w:val="-3"/>
        </w:rPr>
        <w:t xml:space="preserve"> and ruled upon in writing</w:t>
      </w:r>
      <w:r w:rsidR="007B35F5" w:rsidRPr="00206E57">
        <w:rPr>
          <w:spacing w:val="-3"/>
        </w:rPr>
        <w:t xml:space="preserve"> and adjourned.</w:t>
      </w:r>
      <w:r w:rsidR="00BF144E" w:rsidRPr="00206E57">
        <w:rPr>
          <w:spacing w:val="-3"/>
        </w:rPr>
        <w:t xml:space="preserve">  </w:t>
      </w:r>
      <w:r w:rsidR="00C81232" w:rsidRPr="00206E57">
        <w:rPr>
          <w:spacing w:val="-3"/>
        </w:rPr>
        <w:t>T</w:t>
      </w:r>
      <w:r w:rsidR="00BF144E" w:rsidRPr="00206E57">
        <w:rPr>
          <w:spacing w:val="-3"/>
        </w:rPr>
        <w:t>he record closed</w:t>
      </w:r>
      <w:r w:rsidR="00C81232" w:rsidRPr="00206E57">
        <w:rPr>
          <w:spacing w:val="-3"/>
        </w:rPr>
        <w:t xml:space="preserve"> on </w:t>
      </w:r>
      <w:r w:rsidR="00AA7B98">
        <w:rPr>
          <w:spacing w:val="-3"/>
        </w:rPr>
        <w:t xml:space="preserve">January </w:t>
      </w:r>
      <w:r w:rsidR="00635300">
        <w:rPr>
          <w:spacing w:val="-3"/>
        </w:rPr>
        <w:t>24</w:t>
      </w:r>
      <w:r w:rsidR="00C81232" w:rsidRPr="00206E57">
        <w:rPr>
          <w:spacing w:val="-3"/>
        </w:rPr>
        <w:t>, 201</w:t>
      </w:r>
      <w:r w:rsidR="00AA7B98">
        <w:rPr>
          <w:spacing w:val="-3"/>
        </w:rPr>
        <w:t>7</w:t>
      </w:r>
      <w:r w:rsidR="00855E15" w:rsidRPr="00206E57">
        <w:rPr>
          <w:spacing w:val="-3"/>
        </w:rPr>
        <w:t>,</w:t>
      </w:r>
      <w:r w:rsidR="00C81232" w:rsidRPr="00206E57">
        <w:rPr>
          <w:spacing w:val="-3"/>
        </w:rPr>
        <w:t xml:space="preserve"> when the evidentiary hearing adjourned</w:t>
      </w:r>
      <w:r w:rsidR="00BF144E" w:rsidRPr="00206E57">
        <w:rPr>
          <w:spacing w:val="-3"/>
        </w:rPr>
        <w:t>.</w:t>
      </w:r>
      <w:r w:rsidR="002C5578">
        <w:rPr>
          <w:spacing w:val="-3"/>
        </w:rPr>
        <w:t xml:space="preserve">  </w:t>
      </w:r>
    </w:p>
    <w:p w:rsidR="00A713B1" w:rsidRDefault="00A713B1" w:rsidP="00E56A5F">
      <w:pPr>
        <w:tabs>
          <w:tab w:val="left" w:pos="-90"/>
        </w:tabs>
        <w:spacing w:line="360" w:lineRule="auto"/>
        <w:ind w:firstLine="1440"/>
        <w:rPr>
          <w:spacing w:val="-3"/>
        </w:rPr>
      </w:pPr>
    </w:p>
    <w:p w:rsidR="00AA7B98" w:rsidRDefault="00975607" w:rsidP="00E56A5F">
      <w:pPr>
        <w:tabs>
          <w:tab w:val="left" w:pos="-90"/>
        </w:tabs>
        <w:spacing w:line="360" w:lineRule="auto"/>
        <w:ind w:firstLine="1440"/>
        <w:rPr>
          <w:spacing w:val="-3"/>
        </w:rPr>
      </w:pPr>
      <w:r w:rsidRPr="00206E57">
        <w:rPr>
          <w:spacing w:val="-3"/>
        </w:rPr>
        <w:lastRenderedPageBreak/>
        <w:t xml:space="preserve">This matter is ripe for </w:t>
      </w:r>
      <w:r w:rsidR="00FF446A">
        <w:rPr>
          <w:spacing w:val="-3"/>
        </w:rPr>
        <w:t>decision</w:t>
      </w:r>
      <w:r w:rsidRPr="00206E57">
        <w:rPr>
          <w:spacing w:val="-3"/>
        </w:rPr>
        <w:t xml:space="preserve">. </w:t>
      </w:r>
    </w:p>
    <w:p w:rsidR="00A713B1" w:rsidRDefault="00A713B1" w:rsidP="00E56A5F">
      <w:pPr>
        <w:tabs>
          <w:tab w:val="left" w:pos="-90"/>
        </w:tabs>
        <w:spacing w:line="360" w:lineRule="auto"/>
        <w:ind w:firstLine="1440"/>
        <w:rPr>
          <w:spacing w:val="-3"/>
        </w:rPr>
      </w:pPr>
    </w:p>
    <w:p w:rsidR="00A713B1" w:rsidRPr="00206E57" w:rsidRDefault="00A713B1" w:rsidP="00E56A5F">
      <w:pPr>
        <w:tabs>
          <w:tab w:val="left" w:pos="-720"/>
        </w:tabs>
        <w:suppressAutoHyphens/>
        <w:spacing w:line="360" w:lineRule="auto"/>
        <w:jc w:val="center"/>
      </w:pPr>
      <w:r w:rsidRPr="00206E57">
        <w:rPr>
          <w:u w:val="single"/>
        </w:rPr>
        <w:t>FINDINGS OF FACT</w:t>
      </w:r>
    </w:p>
    <w:p w:rsidR="00A713B1" w:rsidRPr="00206E57" w:rsidRDefault="00A713B1" w:rsidP="00E56A5F">
      <w:pPr>
        <w:tabs>
          <w:tab w:val="left" w:pos="2160"/>
        </w:tabs>
        <w:spacing w:line="360" w:lineRule="auto"/>
        <w:rPr>
          <w:u w:val="single"/>
        </w:rPr>
      </w:pPr>
    </w:p>
    <w:p w:rsidR="00A713B1" w:rsidRPr="00206E57" w:rsidRDefault="00A713B1" w:rsidP="00E56A5F">
      <w:pPr>
        <w:numPr>
          <w:ilvl w:val="0"/>
          <w:numId w:val="12"/>
        </w:numPr>
        <w:tabs>
          <w:tab w:val="left" w:pos="2160"/>
        </w:tabs>
        <w:spacing w:line="360" w:lineRule="auto"/>
        <w:ind w:left="0" w:firstLine="1440"/>
      </w:pPr>
      <w:r>
        <w:t xml:space="preserve">The </w:t>
      </w:r>
      <w:r w:rsidRPr="00206E57">
        <w:t xml:space="preserve">Complainant is </w:t>
      </w:r>
      <w:r w:rsidR="00635300">
        <w:t>Kevin Wilson</w:t>
      </w:r>
      <w:r w:rsidRPr="00206E57">
        <w:t xml:space="preserve">, who </w:t>
      </w:r>
      <w:r>
        <w:t xml:space="preserve">is seeking </w:t>
      </w:r>
      <w:r w:rsidR="00635300">
        <w:t xml:space="preserve">a payment arrangement </w:t>
      </w:r>
      <w:r>
        <w:t xml:space="preserve">for gas service </w:t>
      </w:r>
      <w:r w:rsidRPr="00206E57">
        <w:t>from the Respondent</w:t>
      </w:r>
      <w:r>
        <w:t xml:space="preserve"> at </w:t>
      </w:r>
      <w:r w:rsidR="00635300">
        <w:t>1815 W. Godfrey Avenue</w:t>
      </w:r>
      <w:r>
        <w:t>, Philadelphia Pennsylvania (service address).</w:t>
      </w:r>
    </w:p>
    <w:p w:rsidR="00A713B1" w:rsidRPr="00206E57" w:rsidRDefault="00A713B1" w:rsidP="00E56A5F">
      <w:pPr>
        <w:tabs>
          <w:tab w:val="left" w:pos="2160"/>
        </w:tabs>
        <w:spacing w:line="360" w:lineRule="auto"/>
        <w:ind w:left="1440"/>
      </w:pPr>
    </w:p>
    <w:p w:rsidR="00A713B1" w:rsidRPr="00206E57" w:rsidRDefault="00A713B1" w:rsidP="00E56A5F">
      <w:pPr>
        <w:numPr>
          <w:ilvl w:val="0"/>
          <w:numId w:val="12"/>
        </w:numPr>
        <w:tabs>
          <w:tab w:val="left" w:pos="2160"/>
        </w:tabs>
        <w:spacing w:line="360" w:lineRule="auto"/>
        <w:ind w:left="0" w:firstLine="1440"/>
      </w:pPr>
      <w:r>
        <w:t xml:space="preserve">The </w:t>
      </w:r>
      <w:r w:rsidRPr="00206E57">
        <w:t>Respondent is P</w:t>
      </w:r>
      <w:r>
        <w:t>hiladelphia Gas Works</w:t>
      </w:r>
      <w:r w:rsidRPr="00206E57">
        <w:t xml:space="preserve">, a jurisdictional public utility </w:t>
      </w:r>
      <w:r>
        <w:t>that provides</w:t>
      </w:r>
      <w:r w:rsidRPr="00206E57">
        <w:t xml:space="preserve"> </w:t>
      </w:r>
      <w:r>
        <w:t>gas</w:t>
      </w:r>
      <w:r w:rsidRPr="00206E57">
        <w:t xml:space="preserve"> distribution service in the Commonwealth of Pennsylvania.</w:t>
      </w:r>
    </w:p>
    <w:p w:rsidR="00A713B1" w:rsidRPr="00206E57" w:rsidRDefault="00A713B1" w:rsidP="00E56A5F">
      <w:pPr>
        <w:tabs>
          <w:tab w:val="left" w:pos="2160"/>
        </w:tabs>
        <w:spacing w:line="360" w:lineRule="auto"/>
        <w:ind w:left="1440"/>
      </w:pPr>
    </w:p>
    <w:p w:rsidR="00A713B1" w:rsidRPr="00206E57" w:rsidRDefault="00A713B1" w:rsidP="00E56A5F">
      <w:pPr>
        <w:numPr>
          <w:ilvl w:val="0"/>
          <w:numId w:val="12"/>
        </w:numPr>
        <w:tabs>
          <w:tab w:val="left" w:pos="2160"/>
        </w:tabs>
        <w:spacing w:line="360" w:lineRule="auto"/>
        <w:ind w:left="0" w:firstLine="1440"/>
      </w:pPr>
      <w:r w:rsidRPr="00206E57">
        <w:t xml:space="preserve">On </w:t>
      </w:r>
      <w:r w:rsidR="0019503C">
        <w:t>September 29</w:t>
      </w:r>
      <w:r w:rsidRPr="00206E57">
        <w:t>, 201</w:t>
      </w:r>
      <w:r>
        <w:t>6</w:t>
      </w:r>
      <w:r w:rsidRPr="00206E57">
        <w:t>, Complainant filed a Complaint with the Commission against the Respondent</w:t>
      </w:r>
      <w:r>
        <w:t>.</w:t>
      </w:r>
    </w:p>
    <w:p w:rsidR="00A713B1" w:rsidRPr="00206E57" w:rsidRDefault="00A713B1" w:rsidP="00E56A5F">
      <w:pPr>
        <w:tabs>
          <w:tab w:val="left" w:pos="2160"/>
        </w:tabs>
        <w:spacing w:line="360" w:lineRule="auto"/>
        <w:ind w:left="1440"/>
      </w:pPr>
    </w:p>
    <w:p w:rsidR="00A713B1" w:rsidRPr="00206E57" w:rsidRDefault="00A713B1" w:rsidP="00E56A5F">
      <w:pPr>
        <w:numPr>
          <w:ilvl w:val="0"/>
          <w:numId w:val="12"/>
        </w:numPr>
        <w:tabs>
          <w:tab w:val="left" w:pos="2160"/>
        </w:tabs>
        <w:spacing w:line="360" w:lineRule="auto"/>
        <w:ind w:left="0" w:firstLine="1440"/>
      </w:pPr>
      <w:r>
        <w:t xml:space="preserve">The </w:t>
      </w:r>
      <w:r w:rsidRPr="00206E57">
        <w:t xml:space="preserve">Respondent filed its Answer on </w:t>
      </w:r>
      <w:r w:rsidR="0019503C">
        <w:t>November 2</w:t>
      </w:r>
      <w:r w:rsidRPr="00206E57">
        <w:t>, 201</w:t>
      </w:r>
      <w:r>
        <w:t>6</w:t>
      </w:r>
      <w:r w:rsidRPr="00206E57">
        <w:t>, denying any wrongdoing.</w:t>
      </w:r>
    </w:p>
    <w:p w:rsidR="00A713B1" w:rsidRPr="00206E57" w:rsidRDefault="00A713B1" w:rsidP="00E56A5F">
      <w:pPr>
        <w:pStyle w:val="ListParagraph"/>
        <w:spacing w:line="360" w:lineRule="auto"/>
      </w:pPr>
    </w:p>
    <w:p w:rsidR="00A713B1" w:rsidRDefault="00A713B1" w:rsidP="00E56A5F">
      <w:pPr>
        <w:numPr>
          <w:ilvl w:val="0"/>
          <w:numId w:val="12"/>
        </w:numPr>
        <w:tabs>
          <w:tab w:val="left" w:pos="2160"/>
        </w:tabs>
        <w:spacing w:line="360" w:lineRule="auto"/>
        <w:ind w:left="0" w:firstLine="1440"/>
      </w:pPr>
      <w:r w:rsidRPr="00206E57">
        <w:t xml:space="preserve">A Hearing Notice dated </w:t>
      </w:r>
      <w:r w:rsidR="0019503C">
        <w:t>November 30</w:t>
      </w:r>
      <w:r>
        <w:t>, 2016,</w:t>
      </w:r>
      <w:r w:rsidRPr="00206E57">
        <w:t xml:space="preserve"> w</w:t>
      </w:r>
      <w:r>
        <w:t>as</w:t>
      </w:r>
      <w:r w:rsidRPr="00206E57">
        <w:t xml:space="preserve"> </w:t>
      </w:r>
      <w:r>
        <w:t xml:space="preserve">sent by regular first-class </w:t>
      </w:r>
      <w:r w:rsidRPr="00206E57">
        <w:t>mail to the Complainant and scheduled a</w:t>
      </w:r>
      <w:r>
        <w:t>n evidentiary h</w:t>
      </w:r>
      <w:r w:rsidRPr="00206E57">
        <w:t>earing for</w:t>
      </w:r>
      <w:r>
        <w:t xml:space="preserve"> </w:t>
      </w:r>
      <w:r w:rsidR="0019503C">
        <w:t>Tues</w:t>
      </w:r>
      <w:r>
        <w:t>day,</w:t>
      </w:r>
      <w:r w:rsidRPr="00206E57">
        <w:t xml:space="preserve"> </w:t>
      </w:r>
      <w:r w:rsidR="0019503C">
        <w:t>January 24</w:t>
      </w:r>
      <w:r w:rsidRPr="00206E57">
        <w:t>, 201</w:t>
      </w:r>
      <w:r w:rsidR="004F686A">
        <w:t>6, at </w:t>
      </w:r>
      <w:r w:rsidR="00AF60F4">
        <w:t>10 </w:t>
      </w:r>
      <w:r>
        <w:t>a.m.</w:t>
      </w:r>
      <w:r w:rsidRPr="00206E57">
        <w:t xml:space="preserve"> </w:t>
      </w:r>
    </w:p>
    <w:p w:rsidR="00A713B1" w:rsidRDefault="00A713B1" w:rsidP="00E56A5F">
      <w:pPr>
        <w:pStyle w:val="ListParagraph"/>
        <w:spacing w:line="360" w:lineRule="auto"/>
      </w:pPr>
    </w:p>
    <w:p w:rsidR="00A713B1" w:rsidRDefault="00A713B1" w:rsidP="00E56A5F">
      <w:pPr>
        <w:numPr>
          <w:ilvl w:val="0"/>
          <w:numId w:val="12"/>
        </w:numPr>
        <w:tabs>
          <w:tab w:val="left" w:pos="2160"/>
        </w:tabs>
        <w:spacing w:line="360" w:lineRule="auto"/>
        <w:ind w:left="0" w:firstLine="1440"/>
      </w:pPr>
      <w:r w:rsidRPr="00206E57">
        <w:t xml:space="preserve">A Prehearing Order, dated </w:t>
      </w:r>
      <w:r w:rsidR="0019503C">
        <w:t>December 8</w:t>
      </w:r>
      <w:r w:rsidRPr="00206E57">
        <w:t>, 201</w:t>
      </w:r>
      <w:r>
        <w:t>6,</w:t>
      </w:r>
      <w:r w:rsidRPr="00206E57">
        <w:t xml:space="preserve"> advised the Complainant of the proper procedure to obtain a continuance to reschedule the hearing date.</w:t>
      </w:r>
    </w:p>
    <w:p w:rsidR="00A713B1" w:rsidRDefault="00A713B1" w:rsidP="00E56A5F">
      <w:pPr>
        <w:pStyle w:val="ListParagraph"/>
        <w:spacing w:line="360" w:lineRule="auto"/>
      </w:pPr>
    </w:p>
    <w:p w:rsidR="00A713B1" w:rsidRPr="00206E57" w:rsidRDefault="00A713B1" w:rsidP="00E56A5F">
      <w:pPr>
        <w:numPr>
          <w:ilvl w:val="0"/>
          <w:numId w:val="12"/>
        </w:numPr>
        <w:tabs>
          <w:tab w:val="num" w:pos="2160"/>
        </w:tabs>
        <w:spacing w:line="360" w:lineRule="auto"/>
        <w:ind w:left="0" w:firstLine="1440"/>
        <w:rPr>
          <w:spacing w:val="-3"/>
        </w:rPr>
      </w:pPr>
      <w:r w:rsidRPr="00206E57">
        <w:rPr>
          <w:spacing w:val="-3"/>
        </w:rPr>
        <w:t>None of the documents mailed to Complainant was returned to the Commission by the United States post office as undeliverable.</w:t>
      </w:r>
    </w:p>
    <w:p w:rsidR="00A713B1" w:rsidRPr="00206E57" w:rsidRDefault="00A713B1" w:rsidP="00E56A5F">
      <w:pPr>
        <w:pStyle w:val="ListParagraph"/>
        <w:spacing w:line="360" w:lineRule="auto"/>
        <w:rPr>
          <w:spacing w:val="-3"/>
        </w:rPr>
      </w:pPr>
    </w:p>
    <w:p w:rsidR="00A713B1" w:rsidRPr="00206E57" w:rsidRDefault="00A713B1" w:rsidP="00E56A5F">
      <w:pPr>
        <w:numPr>
          <w:ilvl w:val="0"/>
          <w:numId w:val="12"/>
        </w:numPr>
        <w:tabs>
          <w:tab w:val="num" w:pos="2160"/>
        </w:tabs>
        <w:spacing w:line="360" w:lineRule="auto"/>
        <w:ind w:left="0" w:firstLine="1440"/>
        <w:rPr>
          <w:spacing w:val="-3"/>
        </w:rPr>
      </w:pPr>
      <w:r w:rsidRPr="00206E57">
        <w:rPr>
          <w:spacing w:val="-3"/>
        </w:rPr>
        <w:t xml:space="preserve">Neither Complainant nor any counsel representing Complainant timely appeared at the scheduled </w:t>
      </w:r>
      <w:r>
        <w:rPr>
          <w:spacing w:val="-3"/>
        </w:rPr>
        <w:t>h</w:t>
      </w:r>
      <w:r w:rsidRPr="00206E57">
        <w:rPr>
          <w:spacing w:val="-3"/>
        </w:rPr>
        <w:t xml:space="preserve">earing on </w:t>
      </w:r>
      <w:r>
        <w:rPr>
          <w:spacing w:val="-3"/>
        </w:rPr>
        <w:t xml:space="preserve">January </w:t>
      </w:r>
      <w:r w:rsidR="0019503C">
        <w:rPr>
          <w:spacing w:val="-3"/>
        </w:rPr>
        <w:t>24</w:t>
      </w:r>
      <w:r w:rsidRPr="00206E57">
        <w:rPr>
          <w:spacing w:val="-3"/>
        </w:rPr>
        <w:t>, 201</w:t>
      </w:r>
      <w:r>
        <w:rPr>
          <w:spacing w:val="-3"/>
        </w:rPr>
        <w:t>7</w:t>
      </w:r>
      <w:r w:rsidRPr="00206E57">
        <w:rPr>
          <w:spacing w:val="-3"/>
        </w:rPr>
        <w:t>.</w:t>
      </w:r>
    </w:p>
    <w:p w:rsidR="00A713B1" w:rsidRPr="00206E57" w:rsidRDefault="00A713B1" w:rsidP="00E56A5F">
      <w:pPr>
        <w:pStyle w:val="ListParagraph"/>
        <w:spacing w:line="360" w:lineRule="auto"/>
        <w:rPr>
          <w:spacing w:val="-3"/>
        </w:rPr>
      </w:pPr>
    </w:p>
    <w:p w:rsidR="00A713B1" w:rsidRDefault="00A713B1" w:rsidP="00E56A5F">
      <w:pPr>
        <w:numPr>
          <w:ilvl w:val="0"/>
          <w:numId w:val="12"/>
        </w:numPr>
        <w:tabs>
          <w:tab w:val="num" w:pos="2160"/>
        </w:tabs>
        <w:spacing w:line="360" w:lineRule="auto"/>
        <w:ind w:left="0" w:firstLine="1440"/>
        <w:rPr>
          <w:spacing w:val="-3"/>
        </w:rPr>
      </w:pPr>
      <w:r w:rsidRPr="00206E57">
        <w:rPr>
          <w:spacing w:val="-3"/>
        </w:rPr>
        <w:t>Complainant did not settle or withdraw the Complaint.</w:t>
      </w:r>
    </w:p>
    <w:p w:rsidR="003A388C" w:rsidRPr="00206E57" w:rsidRDefault="003A388C" w:rsidP="00E56A5F">
      <w:pPr>
        <w:spacing w:line="360" w:lineRule="auto"/>
        <w:jc w:val="center"/>
        <w:rPr>
          <w:u w:val="single"/>
        </w:rPr>
      </w:pPr>
      <w:r w:rsidRPr="00206E57">
        <w:rPr>
          <w:u w:val="single"/>
        </w:rPr>
        <w:lastRenderedPageBreak/>
        <w:t>DISCUSSION</w:t>
      </w:r>
    </w:p>
    <w:p w:rsidR="003A388C" w:rsidRPr="00206E57" w:rsidRDefault="003A388C" w:rsidP="00E56A5F">
      <w:pPr>
        <w:tabs>
          <w:tab w:val="left" w:pos="2160"/>
        </w:tabs>
        <w:spacing w:line="360" w:lineRule="auto"/>
        <w:jc w:val="center"/>
        <w:rPr>
          <w:u w:val="single"/>
        </w:rPr>
      </w:pPr>
    </w:p>
    <w:p w:rsidR="00FF446A" w:rsidRDefault="00FF446A" w:rsidP="00E56A5F">
      <w:pPr>
        <w:spacing w:line="360" w:lineRule="auto"/>
        <w:ind w:firstLine="1440"/>
      </w:pPr>
      <w:r w:rsidRPr="00206E57">
        <w:t>In this Complaint,</w:t>
      </w:r>
      <w:r>
        <w:t xml:space="preserve"> the</w:t>
      </w:r>
      <w:r w:rsidRPr="00206E57">
        <w:t xml:space="preserve"> Complainant </w:t>
      </w:r>
      <w:r w:rsidR="001A4713">
        <w:t>requested a payment arrangement</w:t>
      </w:r>
      <w:r>
        <w:t xml:space="preserve">.  </w:t>
      </w:r>
      <w:r w:rsidRPr="00206E57">
        <w:t>The issue in this proceeding is determined by whether the Complainant sustained h</w:t>
      </w:r>
      <w:r>
        <w:t>is</w:t>
      </w:r>
      <w:r w:rsidRPr="00206E57">
        <w:t xml:space="preserve"> burden of proof.  By failing to participate in the hearing, </w:t>
      </w:r>
      <w:r>
        <w:t xml:space="preserve">the </w:t>
      </w:r>
      <w:r w:rsidRPr="00206E57">
        <w:t>Complainant was unable to meet this burden.</w:t>
      </w:r>
    </w:p>
    <w:p w:rsidR="00FF446A" w:rsidRPr="00206E57" w:rsidRDefault="00FF446A" w:rsidP="00E56A5F">
      <w:pPr>
        <w:spacing w:line="360" w:lineRule="auto"/>
        <w:ind w:firstLine="1440"/>
      </w:pPr>
    </w:p>
    <w:p w:rsidR="00FF446A" w:rsidRDefault="00FF446A" w:rsidP="00E56A5F">
      <w:pPr>
        <w:spacing w:line="360" w:lineRule="auto"/>
        <w:ind w:firstLine="1440"/>
      </w:pPr>
      <w:r w:rsidRPr="00206E57">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206E57">
        <w:rPr>
          <w:i/>
        </w:rPr>
        <w:t>Patterson v. Bell Tel. Co. of P</w:t>
      </w:r>
      <w:r>
        <w:rPr>
          <w:i/>
        </w:rPr>
        <w:t>a.</w:t>
      </w:r>
      <w:r w:rsidRPr="00206E57">
        <w:rPr>
          <w:i/>
        </w:rPr>
        <w:t>,</w:t>
      </w:r>
      <w:r w:rsidRPr="00206E57">
        <w:t xml:space="preserve"> 72 Pa. PUC 196 (1990); </w:t>
      </w:r>
      <w:r w:rsidRPr="00206E57">
        <w:rPr>
          <w:i/>
        </w:rPr>
        <w:t>Feinstein v. Phila. Suburban Water Co.,</w:t>
      </w:r>
      <w:r w:rsidRPr="00206E57">
        <w:t xml:space="preserve"> 50 Pa. PUC 300 (1976).  This responsibility or accountability to the named utility must be shown by a preponderance of the evidence.  </w:t>
      </w:r>
      <w:r w:rsidRPr="00206E57">
        <w:rPr>
          <w:i/>
        </w:rPr>
        <w:t>Samuel J. Lansberry, Inc. v. Pa. Pub. Util. Comm’n,</w:t>
      </w:r>
      <w:r w:rsidRPr="00206E57">
        <w:t xml:space="preserve"> 578 A.2d 600 (Pa.Cmwlth. 1990), </w:t>
      </w:r>
      <w:r w:rsidRPr="00206E57">
        <w:rPr>
          <w:i/>
        </w:rPr>
        <w:t>alloc. denied,</w:t>
      </w:r>
      <w:r w:rsidRPr="00206E57">
        <w:t xml:space="preserve"> 602 A.2d 863 (</w:t>
      </w:r>
      <w:r>
        <w:t xml:space="preserve">Pa. </w:t>
      </w:r>
      <w:r w:rsidRPr="00206E57">
        <w:t xml:space="preserve">1992).  A preponderance of the evidence is that which is more convincing, by even the smallest amount, than that presented by the other party.  </w:t>
      </w:r>
      <w:r w:rsidRPr="00206E57">
        <w:rPr>
          <w:i/>
        </w:rPr>
        <w:t xml:space="preserve">Se-Ling Hosiery v. Margulies, </w:t>
      </w:r>
      <w:r w:rsidRPr="00206E57">
        <w:t>70 A.2d 854 (</w:t>
      </w:r>
      <w:r>
        <w:t xml:space="preserve">Pa. </w:t>
      </w:r>
      <w:r w:rsidRPr="00206E57">
        <w:t>1950).</w:t>
      </w:r>
    </w:p>
    <w:p w:rsidR="001D2538" w:rsidRPr="00206E57" w:rsidRDefault="001D2538" w:rsidP="00E56A5F">
      <w:pPr>
        <w:spacing w:line="360" w:lineRule="auto"/>
        <w:ind w:firstLine="1440"/>
      </w:pPr>
    </w:p>
    <w:p w:rsidR="00FF446A" w:rsidRPr="00206E57" w:rsidRDefault="00FF446A" w:rsidP="00E56A5F">
      <w:pPr>
        <w:spacing w:line="360" w:lineRule="auto"/>
        <w:ind w:firstLine="1440"/>
      </w:pPr>
      <w:r w:rsidRPr="00206E57">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06E57">
        <w:rPr>
          <w:i/>
        </w:rPr>
        <w:t>Schneider v. Pa. Pub. Util. Comm’n</w:t>
      </w:r>
      <w:r w:rsidRPr="00206E57">
        <w:t>, 479 A.2d 10 (</w:t>
      </w:r>
      <w:r>
        <w:t xml:space="preserve">Pa.Cmwlth. </w:t>
      </w:r>
      <w:r w:rsidRPr="00206E57">
        <w:t xml:space="preserve">1984).  </w:t>
      </w:r>
      <w:r w:rsidRPr="00206E57">
        <w:rPr>
          <w:spacing w:val="-3"/>
        </w:rPr>
        <w:t xml:space="preserve">Notice mailed to a party’s last known address and not returned by the post office is presumed to have been received.  </w:t>
      </w:r>
      <w:r w:rsidRPr="00206E57">
        <w:rPr>
          <w:i/>
        </w:rPr>
        <w:t>Chartiers Industrial and Commercial Development Authority v. Allegheny County Board of Property Assessment Appeals and Review</w:t>
      </w:r>
      <w:r w:rsidRPr="00206E57">
        <w:t>, 645 A.2d 944 (</w:t>
      </w:r>
      <w:r>
        <w:t xml:space="preserve">Pa.Cmwlth. </w:t>
      </w:r>
      <w:r w:rsidRPr="00206E57">
        <w:t>1994).</w:t>
      </w:r>
    </w:p>
    <w:p w:rsidR="00FF446A" w:rsidRPr="00206E57" w:rsidRDefault="00FF446A" w:rsidP="00E56A5F">
      <w:pPr>
        <w:spacing w:line="360" w:lineRule="auto"/>
        <w:ind w:firstLine="1440"/>
      </w:pPr>
    </w:p>
    <w:p w:rsidR="00FF446A" w:rsidRDefault="00FF446A" w:rsidP="00E56A5F">
      <w:pPr>
        <w:spacing w:line="360" w:lineRule="auto"/>
        <w:ind w:firstLine="1440"/>
      </w:pPr>
      <w:r>
        <w:t>The Commission sent a</w:t>
      </w:r>
      <w:r w:rsidRPr="00206E57">
        <w:t xml:space="preserve"> Hearing Notice dated </w:t>
      </w:r>
      <w:r w:rsidR="001A4713">
        <w:t>November 30</w:t>
      </w:r>
      <w:r w:rsidR="00A713B1">
        <w:t>,</w:t>
      </w:r>
      <w:r w:rsidRPr="00206E57">
        <w:t xml:space="preserve"> 201</w:t>
      </w:r>
      <w:r>
        <w:t>6</w:t>
      </w:r>
      <w:r w:rsidRPr="00206E57">
        <w:t xml:space="preserve">, to </w:t>
      </w:r>
      <w:r>
        <w:t xml:space="preserve">the </w:t>
      </w:r>
      <w:r w:rsidRPr="00206E57">
        <w:t xml:space="preserve">Complainant </w:t>
      </w:r>
      <w:r>
        <w:t>by regular first class mail to</w:t>
      </w:r>
      <w:r w:rsidRPr="00206E57">
        <w:t xml:space="preserve"> the address listed on the Complaint</w:t>
      </w:r>
      <w:r>
        <w:t>.  This document was never returned to the sender, the scheduling staff of the Office of Administrative Law Judge (OALJ) in Harrisburg.</w:t>
      </w:r>
    </w:p>
    <w:p w:rsidR="00FF446A" w:rsidRDefault="00FF446A" w:rsidP="00E56A5F">
      <w:pPr>
        <w:spacing w:line="360" w:lineRule="auto"/>
        <w:ind w:firstLine="1440"/>
      </w:pPr>
    </w:p>
    <w:p w:rsidR="00FF446A" w:rsidRDefault="00077F0E" w:rsidP="00E56A5F">
      <w:pPr>
        <w:spacing w:line="360" w:lineRule="auto"/>
        <w:ind w:firstLine="1440"/>
      </w:pPr>
      <w:r>
        <w:t>T</w:t>
      </w:r>
      <w:r w:rsidR="00FF446A">
        <w:t xml:space="preserve">he undersigned issued a Prehearing Order dated </w:t>
      </w:r>
      <w:r w:rsidR="001A4713">
        <w:t>December 8</w:t>
      </w:r>
      <w:r w:rsidR="00FF446A">
        <w:t xml:space="preserve">, 2016, which </w:t>
      </w:r>
      <w:r w:rsidR="00FF446A" w:rsidRPr="000C19DC">
        <w:rPr>
          <w:i/>
        </w:rPr>
        <w:t>inter alia</w:t>
      </w:r>
      <w:r w:rsidR="00FF446A">
        <w:t xml:space="preserve">, instructed the parties that any request to change the scheduled hearing date should state the </w:t>
      </w:r>
      <w:r w:rsidR="00FF446A">
        <w:lastRenderedPageBreak/>
        <w:t xml:space="preserve">agreement or opposition of the other party and be submitted in writing no later than five days prior to the hearing.  The Prehearing Order, which was mailed to the Complainant at the address shown in the Complaint, was never returned </w:t>
      </w:r>
      <w:r w:rsidR="00FF446A" w:rsidRPr="00206E57">
        <w:t>by the U.S. post office as undeliverable</w:t>
      </w:r>
      <w:r w:rsidR="00FF446A">
        <w:t xml:space="preserve">. </w:t>
      </w:r>
      <w:r w:rsidR="009F61D5">
        <w:t xml:space="preserve"> </w:t>
      </w:r>
      <w:r w:rsidR="00FF446A">
        <w:t xml:space="preserve">Accordingly, it is presumed that this mailing, which was done through the ordinary course of business, was received by the Complainant.  </w:t>
      </w:r>
      <w:r w:rsidR="00FF446A">
        <w:rPr>
          <w:i/>
        </w:rPr>
        <w:t xml:space="preserve">Berkowitz v. Mayflower Securities, Inc., </w:t>
      </w:r>
      <w:r w:rsidR="00FF446A">
        <w:t xml:space="preserve">317 A.2d 584 (Pa. 1974); </w:t>
      </w:r>
      <w:r w:rsidR="00FF446A">
        <w:rPr>
          <w:i/>
        </w:rPr>
        <w:t xml:space="preserve">Meirerdierck v. Miller, </w:t>
      </w:r>
      <w:r w:rsidR="00FF446A">
        <w:t xml:space="preserve">147 A.2d 406 (Pa. 1959); </w:t>
      </w:r>
      <w:r w:rsidR="00FF446A">
        <w:rPr>
          <w:i/>
        </w:rPr>
        <w:t xml:space="preserve">Samaras v. Hartwick, </w:t>
      </w:r>
      <w:r w:rsidR="00FF446A">
        <w:t xml:space="preserve">698 A.2d 71 (Pa.Super. 1997); </w:t>
      </w:r>
      <w:r w:rsidR="00FF446A">
        <w:rPr>
          <w:i/>
        </w:rPr>
        <w:t>Judge v. Celina Mutual Insurance Co.,</w:t>
      </w:r>
      <w:r w:rsidR="00FF446A">
        <w:t xml:space="preserve"> 444 A.2d 658 (Pa.Super. 1982).</w:t>
      </w:r>
      <w:r>
        <w:t xml:space="preserve">  </w:t>
      </w:r>
      <w:r w:rsidR="00FF446A">
        <w:t xml:space="preserve">  </w:t>
      </w:r>
    </w:p>
    <w:p w:rsidR="00077F0E" w:rsidRDefault="00077F0E" w:rsidP="00E56A5F">
      <w:pPr>
        <w:spacing w:line="360" w:lineRule="auto"/>
        <w:ind w:firstLine="1440"/>
      </w:pPr>
    </w:p>
    <w:p w:rsidR="00077F0E" w:rsidRDefault="00FF446A" w:rsidP="00E56A5F">
      <w:pPr>
        <w:spacing w:line="360" w:lineRule="auto"/>
        <w:ind w:firstLine="1440"/>
      </w:pPr>
      <w:r>
        <w:t xml:space="preserve">The </w:t>
      </w:r>
      <w:r w:rsidRPr="00206E57">
        <w:t xml:space="preserve">Complainant is deemed to have received </w:t>
      </w:r>
      <w:r>
        <w:t>all</w:t>
      </w:r>
      <w:r w:rsidRPr="00206E57">
        <w:t xml:space="preserve"> of these documents and had sufficient notice of the day, date and time of the scheduled hearing.</w:t>
      </w:r>
      <w:r>
        <w:t xml:space="preserve">  The Complainant was notified of the scheduled hearing date and time, as well as how to contact the OALJ for the hearing.  </w:t>
      </w:r>
      <w:r w:rsidR="001A4713">
        <w:t>T</w:t>
      </w:r>
      <w:r>
        <w:t xml:space="preserve">he Complainant made no attempt whatsoever to notify the presiding officer that he did not plan to participate in the </w:t>
      </w:r>
      <w:r w:rsidR="00077F0E">
        <w:t xml:space="preserve">scheduled January </w:t>
      </w:r>
      <w:r w:rsidR="001A4713">
        <w:t>24</w:t>
      </w:r>
      <w:r w:rsidR="00077F0E">
        <w:t>, 2017</w:t>
      </w:r>
      <w:r w:rsidR="002D11DF">
        <w:t xml:space="preserve"> </w:t>
      </w:r>
      <w:bookmarkStart w:id="0" w:name="_GoBack"/>
      <w:bookmarkEnd w:id="0"/>
      <w:r>
        <w:t xml:space="preserve">hearing.  </w:t>
      </w:r>
    </w:p>
    <w:p w:rsidR="00077F0E" w:rsidRDefault="00077F0E" w:rsidP="00E56A5F">
      <w:pPr>
        <w:spacing w:line="360" w:lineRule="auto"/>
        <w:ind w:firstLine="1440"/>
      </w:pPr>
    </w:p>
    <w:p w:rsidR="00FF446A" w:rsidRPr="00206E57" w:rsidRDefault="00FF446A" w:rsidP="00E56A5F">
      <w:pPr>
        <w:spacing w:line="360" w:lineRule="auto"/>
        <w:ind w:firstLine="1440"/>
      </w:pPr>
      <w:r>
        <w:t>Under these circumstances, the Complainant had ample opportunity to appear and be heard in this proceeding, but chose not to do so.</w:t>
      </w:r>
      <w:r w:rsidRPr="00206E57">
        <w:t xml:space="preserve">  Once notice of a hearing and the opportunity to be heard has been provided to the parties, it is the responsibility of both parties to appear and participate in the hearing. </w:t>
      </w:r>
      <w:r>
        <w:t xml:space="preserve"> The due process rights of the Complainant have been fully protected.  </w:t>
      </w:r>
      <w:r w:rsidRPr="00206E57">
        <w:rPr>
          <w:i/>
        </w:rPr>
        <w:t>Sentner v. Bell Tel. Co. of P</w:t>
      </w:r>
      <w:r>
        <w:rPr>
          <w:i/>
        </w:rPr>
        <w:t>a.</w:t>
      </w:r>
      <w:r w:rsidRPr="00206E57">
        <w:rPr>
          <w:i/>
        </w:rPr>
        <w:t xml:space="preserve">, </w:t>
      </w:r>
      <w:r w:rsidRPr="00206E57">
        <w:t>Docket No. F-00161106</w:t>
      </w:r>
      <w:r>
        <w:t xml:space="preserve"> (</w:t>
      </w:r>
      <w:r w:rsidRPr="00206E57">
        <w:t xml:space="preserve">Opinion and Order entered October 25, </w:t>
      </w:r>
      <w:r>
        <w:t>199</w:t>
      </w:r>
      <w:r w:rsidRPr="00206E57">
        <w:t>3</w:t>
      </w:r>
      <w:r>
        <w:t>); 52 Pa.Code § 5.245(a)</w:t>
      </w:r>
      <w:r w:rsidRPr="00206E57">
        <w:t xml:space="preserve">.   </w:t>
      </w:r>
    </w:p>
    <w:p w:rsidR="00FF446A" w:rsidRPr="00206E57" w:rsidRDefault="00FF446A" w:rsidP="00E56A5F">
      <w:pPr>
        <w:spacing w:line="360" w:lineRule="auto"/>
        <w:ind w:firstLine="1440"/>
      </w:pPr>
    </w:p>
    <w:p w:rsidR="00FF446A" w:rsidRDefault="00FF446A" w:rsidP="00E56A5F">
      <w:pPr>
        <w:spacing w:line="360" w:lineRule="auto"/>
        <w:ind w:firstLine="1440"/>
      </w:pPr>
      <w:r>
        <w:t>Section 332(a) of the Public Utility Code (Code), 66 Pa.C.S. § 332(a), places the burden of proof upon the proponent of any request for relief.  As the party bringing this Complaint, the Complainant bears the burden of proving by a prepond</w:t>
      </w:r>
      <w:r w:rsidR="00D16D24">
        <w:t>erance of the evidence that he is</w:t>
      </w:r>
      <w:r>
        <w:t xml:space="preserve"> entitled to relief.  By choosing not to appear and proffer any evidence to support the Complaint, the Complainant has failed to meet this burden.</w:t>
      </w:r>
    </w:p>
    <w:p w:rsidR="00C02538" w:rsidRDefault="00C02538" w:rsidP="00E56A5F">
      <w:pPr>
        <w:spacing w:line="360" w:lineRule="auto"/>
        <w:ind w:firstLine="1440"/>
      </w:pPr>
    </w:p>
    <w:p w:rsidR="00FF446A" w:rsidRDefault="00FF446A" w:rsidP="00E56A5F">
      <w:pPr>
        <w:spacing w:line="360" w:lineRule="auto"/>
        <w:ind w:firstLine="1440"/>
      </w:pPr>
      <w:r w:rsidRPr="0070483F">
        <w:t>The failure of the Complainant to appear at this scheduled hearing is unexcused.  By h</w:t>
      </w:r>
      <w:r>
        <w:t>is</w:t>
      </w:r>
      <w:r w:rsidRPr="0070483F">
        <w:t xml:space="preserve"> failure to attend the hearing and present evidence on the issue raised, the Complainant failed to sustain h</w:t>
      </w:r>
      <w:r>
        <w:t>is</w:t>
      </w:r>
      <w:r w:rsidRPr="0070483F">
        <w:t xml:space="preserve"> burden of proof.</w:t>
      </w:r>
    </w:p>
    <w:p w:rsidR="00FF446A" w:rsidRDefault="00FF446A" w:rsidP="00E56A5F">
      <w:pPr>
        <w:spacing w:line="360" w:lineRule="auto"/>
        <w:ind w:firstLine="1440"/>
      </w:pPr>
    </w:p>
    <w:p w:rsidR="00FF446A" w:rsidRDefault="00FF446A" w:rsidP="00E56A5F">
      <w:pPr>
        <w:spacing w:line="360" w:lineRule="auto"/>
        <w:ind w:firstLine="1440"/>
      </w:pPr>
      <w:r>
        <w:lastRenderedPageBreak/>
        <w:t xml:space="preserve">As the Commission stated in </w:t>
      </w:r>
      <w:r w:rsidRPr="00B818EE">
        <w:rPr>
          <w:i/>
        </w:rPr>
        <w:t>Mumma v. PPL Electric Utilities Corp.,</w:t>
      </w:r>
      <w:r>
        <w:t xml:space="preserve"> Docket No. C-00014869 (Opinion and Order entered January 24, 2002), “It is well-established law that once timely notice of a hearing and the opportunity to be heard have been provided, it is the responsibility of the parties to be present and participate in the hearing.”  See, </w:t>
      </w:r>
      <w:r w:rsidRPr="00B818EE">
        <w:rPr>
          <w:i/>
        </w:rPr>
        <w:t>Schneider v. Pa. Pub. Util. Comm’n,</w:t>
      </w:r>
      <w:r>
        <w:t xml:space="preserve"> 479 A.2d 10 (Pa.Cmwlth. 1984); </w:t>
      </w:r>
      <w:r w:rsidRPr="00B818EE">
        <w:rPr>
          <w:i/>
        </w:rPr>
        <w:t>Plummer v. Columbia Gas of Pa., Inc.,</w:t>
      </w:r>
      <w:r>
        <w:t xml:space="preserve"> Docket No. Z-00847836 (Opinion and Order entered September 27, 2001).  The Pennsylvania Commonwealth Court has made it clear that in administrative hearings, “a party’s own negligence is not sufficient good cause as a matter of law for failing to appear at a … hearing.”  </w:t>
      </w:r>
      <w:r>
        <w:rPr>
          <w:i/>
        </w:rPr>
        <w:t xml:space="preserve">Eat “N Park Hospitality Group, Inc. v. Unemployment Compensation Board of Review, </w:t>
      </w:r>
      <w:r>
        <w:t>970 A.2d 492, 494 (Pa.Cmwlth. 2008).</w:t>
      </w:r>
    </w:p>
    <w:p w:rsidR="00FF446A" w:rsidRDefault="00FF446A" w:rsidP="00E56A5F">
      <w:pPr>
        <w:spacing w:line="360" w:lineRule="auto"/>
        <w:ind w:firstLine="1440"/>
      </w:pPr>
    </w:p>
    <w:p w:rsidR="00FF446A" w:rsidRPr="0070483F" w:rsidRDefault="00FF446A" w:rsidP="00E56A5F">
      <w:pPr>
        <w:spacing w:line="360" w:lineRule="auto"/>
        <w:ind w:firstLine="1440"/>
      </w:pPr>
      <w:r>
        <w:t xml:space="preserve">Due to the waste of the Commission’s and Respondent’s time, money and energy occasioned by the Complainant’s failure to appear at a hearing of which he had notice, this Complaint will be dismissed with prejudice in accordance with well-established Commission precedent.  </w:t>
      </w:r>
      <w:r>
        <w:rPr>
          <w:i/>
        </w:rPr>
        <w:t xml:space="preserve">Jefferson v. UGI Utilities, Inc., </w:t>
      </w:r>
      <w:r>
        <w:t xml:space="preserve">Docket No. Z-00269892 (Opinion and Order entered December 26, 1995); </w:t>
      </w:r>
      <w:r w:rsidRPr="002E2E80">
        <w:rPr>
          <w:i/>
        </w:rPr>
        <w:t>Evans v</w:t>
      </w:r>
      <w:r>
        <w:rPr>
          <w:i/>
        </w:rPr>
        <w:t>. Bell Atlantic-Pennsylvania, Inc</w:t>
      </w:r>
      <w:r w:rsidRPr="002E2E80">
        <w:rPr>
          <w:i/>
        </w:rPr>
        <w:t>.</w:t>
      </w:r>
      <w:r>
        <w:rPr>
          <w:i/>
        </w:rPr>
        <w:t xml:space="preserve">, </w:t>
      </w:r>
      <w:r w:rsidR="00A45467">
        <w:t>Docket No. C-00957229 (Opinion </w:t>
      </w:r>
      <w:r>
        <w:t xml:space="preserve">and Order entered July 12, 1996); </w:t>
      </w:r>
      <w:r>
        <w:rPr>
          <w:i/>
        </w:rPr>
        <w:t xml:space="preserve">King v. PECO Energy Co., </w:t>
      </w:r>
      <w:r>
        <w:t xml:space="preserve">Docket No. C-00967919 (Opinion and Order entered January 16, 1997); </w:t>
      </w:r>
      <w:r>
        <w:rPr>
          <w:i/>
        </w:rPr>
        <w:t xml:space="preserve">Kenny v. PPL Electric Utilities Corp., </w:t>
      </w:r>
      <w:r w:rsidR="000A2F76">
        <w:t>Docket No. </w:t>
      </w:r>
      <w:r>
        <w:t xml:space="preserve">C-20042399 (Final Order entered October 13, 2004); </w:t>
      </w:r>
      <w:r>
        <w:rPr>
          <w:i/>
        </w:rPr>
        <w:t xml:space="preserve">Jones v. The Peoples Natural Gas Co. d/b/a Dominion Peoples, </w:t>
      </w:r>
      <w:r>
        <w:t xml:space="preserve">Docket No. C-20054885 (Opinion and Order entered February 14, 2006); </w:t>
      </w:r>
      <w:r>
        <w:rPr>
          <w:i/>
        </w:rPr>
        <w:t xml:space="preserve">El-Ayazra v. West Penn Power Co., </w:t>
      </w:r>
      <w:r>
        <w:t xml:space="preserve">Docket No. F-2015-2509292 </w:t>
      </w:r>
      <w:r w:rsidR="00E55486">
        <w:t>(Opinion and Order entered June </w:t>
      </w:r>
      <w:r>
        <w:t>30, 2016).</w:t>
      </w:r>
      <w:r>
        <w:rPr>
          <w:i/>
        </w:rPr>
        <w:t xml:space="preserve"> </w:t>
      </w:r>
      <w:r w:rsidRPr="002E2E80">
        <w:rPr>
          <w:i/>
        </w:rPr>
        <w:t xml:space="preserve"> </w:t>
      </w:r>
      <w:r>
        <w:t xml:space="preserve"> </w:t>
      </w:r>
    </w:p>
    <w:p w:rsidR="00FF446A" w:rsidRPr="0070483F" w:rsidRDefault="00FF446A" w:rsidP="00E56A5F">
      <w:pPr>
        <w:spacing w:line="360" w:lineRule="auto"/>
        <w:ind w:firstLine="1440"/>
      </w:pPr>
    </w:p>
    <w:p w:rsidR="00FF446A" w:rsidRPr="0070483F" w:rsidRDefault="00FF446A" w:rsidP="00E56A5F">
      <w:pPr>
        <w:spacing w:line="360" w:lineRule="auto"/>
        <w:ind w:firstLine="1440"/>
        <w:rPr>
          <w:spacing w:val="-3"/>
        </w:rPr>
      </w:pPr>
      <w:r w:rsidRPr="0070483F">
        <w:t xml:space="preserve">The Complainant waived the opportunity to participate in the hearing by failing to appear.  This case will be dismissed.  52 Pa.Code § 5.245(a); </w:t>
      </w:r>
      <w:r w:rsidRPr="0070483F">
        <w:rPr>
          <w:i/>
          <w:spacing w:val="-3"/>
        </w:rPr>
        <w:t>Martin W. Jefferson v. UGI Utilities, Inc.</w:t>
      </w:r>
      <w:r w:rsidRPr="0070483F">
        <w:rPr>
          <w:spacing w:val="-3"/>
        </w:rPr>
        <w:t xml:space="preserve">, 1995 Pa. PUC LEXIS 159.  </w:t>
      </w:r>
    </w:p>
    <w:p w:rsidR="00FF446A" w:rsidRDefault="00FF446A" w:rsidP="00E56A5F">
      <w:pPr>
        <w:spacing w:line="360" w:lineRule="auto"/>
        <w:ind w:firstLine="1440"/>
      </w:pPr>
    </w:p>
    <w:p w:rsidR="00EE13E6" w:rsidRDefault="00EE13E6">
      <w:pPr>
        <w:rPr>
          <w:u w:val="single"/>
        </w:rPr>
      </w:pPr>
      <w:r>
        <w:rPr>
          <w:u w:val="single"/>
        </w:rPr>
        <w:br w:type="page"/>
      </w:r>
    </w:p>
    <w:p w:rsidR="00FF446A" w:rsidRPr="00206E57" w:rsidRDefault="00FF446A" w:rsidP="00E56A5F">
      <w:pPr>
        <w:spacing w:line="360" w:lineRule="auto"/>
        <w:jc w:val="center"/>
        <w:rPr>
          <w:u w:val="single"/>
        </w:rPr>
      </w:pPr>
      <w:r w:rsidRPr="00206E57">
        <w:rPr>
          <w:u w:val="single"/>
        </w:rPr>
        <w:lastRenderedPageBreak/>
        <w:t>CONCLUSIONS OF LAW</w:t>
      </w:r>
    </w:p>
    <w:p w:rsidR="00FF446A" w:rsidRPr="00206E57" w:rsidRDefault="00FF446A" w:rsidP="00E56A5F">
      <w:pPr>
        <w:spacing w:line="360" w:lineRule="auto"/>
        <w:jc w:val="center"/>
        <w:rPr>
          <w:u w:val="single"/>
        </w:rPr>
      </w:pPr>
    </w:p>
    <w:p w:rsidR="00FF446A" w:rsidRPr="00206E57" w:rsidRDefault="00FF446A" w:rsidP="00B6283C">
      <w:pPr>
        <w:numPr>
          <w:ilvl w:val="0"/>
          <w:numId w:val="2"/>
        </w:numPr>
        <w:tabs>
          <w:tab w:val="clear" w:pos="900"/>
          <w:tab w:val="num" w:pos="2160"/>
        </w:tabs>
        <w:spacing w:line="360" w:lineRule="auto"/>
        <w:ind w:left="0" w:firstLine="1440"/>
      </w:pPr>
      <w:r w:rsidRPr="00206E57">
        <w:t>The Commission has jurisdiction over the parties and the subject matter of this proceeding.  66 Pa.C.S. § 701.</w:t>
      </w:r>
    </w:p>
    <w:p w:rsidR="00FF446A" w:rsidRPr="00206E57" w:rsidRDefault="00FF446A" w:rsidP="00B6283C">
      <w:pPr>
        <w:spacing w:line="360" w:lineRule="auto"/>
        <w:ind w:left="1440"/>
      </w:pPr>
    </w:p>
    <w:p w:rsidR="00FF446A" w:rsidRDefault="00FF446A" w:rsidP="00B6283C">
      <w:pPr>
        <w:numPr>
          <w:ilvl w:val="0"/>
          <w:numId w:val="2"/>
        </w:numPr>
        <w:tabs>
          <w:tab w:val="clear" w:pos="900"/>
          <w:tab w:val="num" w:pos="2160"/>
        </w:tabs>
        <w:spacing w:line="360" w:lineRule="auto"/>
        <w:ind w:left="0" w:firstLine="1440"/>
      </w:pPr>
      <w:r w:rsidRPr="00206E57">
        <w:t>Notice</w:t>
      </w:r>
      <w:r>
        <w:t xml:space="preserve"> properly</w:t>
      </w:r>
      <w:r w:rsidRPr="00206E57">
        <w:t xml:space="preserve"> mailed to a party’s last known address and not returned by the post office is presumed to have been received.  </w:t>
      </w:r>
      <w:r>
        <w:rPr>
          <w:i/>
        </w:rPr>
        <w:t xml:space="preserve">Berkowitz v. Mayflower Securities, Inc., </w:t>
      </w:r>
      <w:r>
        <w:t xml:space="preserve">317 A.2d 584 (Pa. 1974); </w:t>
      </w:r>
      <w:r>
        <w:rPr>
          <w:i/>
        </w:rPr>
        <w:t xml:space="preserve">Meirerdierck v. Miller, </w:t>
      </w:r>
      <w:r>
        <w:t xml:space="preserve">147 A.2d 406 (Pa. 1959); </w:t>
      </w:r>
      <w:r>
        <w:rPr>
          <w:i/>
        </w:rPr>
        <w:t xml:space="preserve">Samaras v. Hartwick, </w:t>
      </w:r>
      <w:r>
        <w:t xml:space="preserve">698 A.2d 71 (Pa.Super. 1997); </w:t>
      </w:r>
      <w:r>
        <w:rPr>
          <w:i/>
        </w:rPr>
        <w:t>Judge v. Celina Mutual Insurance Co.,</w:t>
      </w:r>
      <w:r>
        <w:t xml:space="preserve"> 444 A.2d 658 (Pa.Super. 1982).</w:t>
      </w:r>
    </w:p>
    <w:p w:rsidR="001A4713" w:rsidRDefault="001A4713" w:rsidP="00B6283C">
      <w:pPr>
        <w:pStyle w:val="ListParagraph"/>
        <w:spacing w:line="360" w:lineRule="auto"/>
      </w:pPr>
    </w:p>
    <w:p w:rsidR="00FF446A" w:rsidRDefault="00F251BE" w:rsidP="00B6283C">
      <w:pPr>
        <w:numPr>
          <w:ilvl w:val="0"/>
          <w:numId w:val="2"/>
        </w:numPr>
        <w:tabs>
          <w:tab w:val="clear" w:pos="900"/>
          <w:tab w:val="num" w:pos="2160"/>
        </w:tabs>
        <w:spacing w:line="360" w:lineRule="auto"/>
        <w:ind w:left="0" w:firstLine="1440"/>
      </w:pPr>
      <w:r>
        <w:t xml:space="preserve">By Hearing Notice dated </w:t>
      </w:r>
      <w:r w:rsidR="001A4713">
        <w:t>Nov</w:t>
      </w:r>
      <w:r>
        <w:t xml:space="preserve">ember </w:t>
      </w:r>
      <w:r w:rsidR="001A4713">
        <w:t>30</w:t>
      </w:r>
      <w:r>
        <w:t>, 2016, t</w:t>
      </w:r>
      <w:r w:rsidR="00FF446A">
        <w:t>he Complainant had notice of the date, location and time of the scheduled hearing.</w:t>
      </w:r>
      <w:r>
        <w:t xml:space="preserve">  52 Pa.Code § 5.201(a).</w:t>
      </w:r>
    </w:p>
    <w:p w:rsidR="00FF446A" w:rsidRDefault="00FF446A" w:rsidP="00B6283C">
      <w:pPr>
        <w:pStyle w:val="ListParagraph"/>
        <w:spacing w:line="360" w:lineRule="auto"/>
      </w:pPr>
    </w:p>
    <w:p w:rsidR="00FF446A" w:rsidRPr="00206E57" w:rsidRDefault="00FF446A" w:rsidP="00B6283C">
      <w:pPr>
        <w:numPr>
          <w:ilvl w:val="0"/>
          <w:numId w:val="2"/>
        </w:numPr>
        <w:tabs>
          <w:tab w:val="clear" w:pos="900"/>
        </w:tabs>
        <w:spacing w:line="360" w:lineRule="auto"/>
        <w:ind w:left="0" w:firstLine="1440"/>
      </w:pPr>
      <w:r>
        <w:t xml:space="preserve">Once notice of a hearing and the opportunity to be heard has been provided, it is the responsibility of the parties to appear and participate in the hearing.  </w:t>
      </w:r>
      <w:r w:rsidRPr="00593653">
        <w:rPr>
          <w:i/>
        </w:rPr>
        <w:t>Sentner v. Bell Telephone Co. of Pennsylvania,</w:t>
      </w:r>
      <w:r>
        <w:t xml:space="preserve"> Docket No. F-00161106 (Order entered October 25, 1993).  </w:t>
      </w:r>
    </w:p>
    <w:p w:rsidR="00FF446A" w:rsidRPr="00206E57" w:rsidRDefault="00FF446A" w:rsidP="00B6283C">
      <w:pPr>
        <w:pStyle w:val="ListParagraph"/>
        <w:spacing w:line="360" w:lineRule="auto"/>
        <w:rPr>
          <w:i/>
        </w:rPr>
      </w:pPr>
    </w:p>
    <w:p w:rsidR="00FF446A" w:rsidRPr="00206E57" w:rsidRDefault="00FF446A" w:rsidP="00B6283C">
      <w:pPr>
        <w:numPr>
          <w:ilvl w:val="0"/>
          <w:numId w:val="2"/>
        </w:numPr>
        <w:tabs>
          <w:tab w:val="clear" w:pos="900"/>
          <w:tab w:val="num" w:pos="2160"/>
        </w:tabs>
        <w:spacing w:line="360" w:lineRule="auto"/>
        <w:ind w:left="0" w:firstLine="1440"/>
      </w:pPr>
      <w:r w:rsidRPr="00206E57">
        <w:t xml:space="preserve">As the party seeking affirmative relief from the Commission, </w:t>
      </w:r>
      <w:r>
        <w:t xml:space="preserve">the </w:t>
      </w:r>
      <w:r w:rsidRPr="00206E57">
        <w:t>Complainant bears the burden of proof.  66 Pa.C.S. § 332(a).</w:t>
      </w:r>
    </w:p>
    <w:p w:rsidR="00FF446A" w:rsidRPr="00206E57" w:rsidRDefault="00FF446A" w:rsidP="00B6283C">
      <w:pPr>
        <w:pStyle w:val="ListParagraph"/>
        <w:spacing w:line="360" w:lineRule="auto"/>
        <w:rPr>
          <w:i/>
        </w:rPr>
      </w:pPr>
    </w:p>
    <w:p w:rsidR="00FF446A" w:rsidRPr="00206E57" w:rsidRDefault="00FF446A" w:rsidP="00B6283C">
      <w:pPr>
        <w:numPr>
          <w:ilvl w:val="0"/>
          <w:numId w:val="2"/>
        </w:numPr>
        <w:tabs>
          <w:tab w:val="clear" w:pos="900"/>
          <w:tab w:val="num" w:pos="2160"/>
        </w:tabs>
        <w:spacing w:line="360" w:lineRule="auto"/>
        <w:ind w:left="0" w:firstLine="1440"/>
      </w:pPr>
      <w:r>
        <w:t>The d</w:t>
      </w:r>
      <w:r w:rsidRPr="00206E57">
        <w:t xml:space="preserve">ue process </w:t>
      </w:r>
      <w:r>
        <w:t>rights of the Complainant have been fully protected because the Complainant was</w:t>
      </w:r>
      <w:r w:rsidRPr="00206E57">
        <w:t xml:space="preserve"> afforded notice and the opportunity to appear and be heard.  </w:t>
      </w:r>
      <w:r w:rsidRPr="00206E57">
        <w:rPr>
          <w:i/>
        </w:rPr>
        <w:t xml:space="preserve">Schneider v. Pa. Pub. Util. Comm’n, </w:t>
      </w:r>
      <w:r w:rsidRPr="00206E57">
        <w:t>479 A.2d 10 (Pa.Cmwlth. 1984).</w:t>
      </w:r>
      <w:r w:rsidRPr="00206E57">
        <w:rPr>
          <w:i/>
        </w:rPr>
        <w:t xml:space="preserve"> </w:t>
      </w:r>
    </w:p>
    <w:p w:rsidR="00FF446A" w:rsidRPr="00206E57" w:rsidRDefault="00FF446A" w:rsidP="00B6283C">
      <w:pPr>
        <w:spacing w:line="360" w:lineRule="auto"/>
        <w:ind w:left="1440"/>
      </w:pPr>
    </w:p>
    <w:p w:rsidR="00FF446A" w:rsidRDefault="00FF446A" w:rsidP="00B6283C">
      <w:pPr>
        <w:numPr>
          <w:ilvl w:val="0"/>
          <w:numId w:val="2"/>
        </w:numPr>
        <w:tabs>
          <w:tab w:val="clear" w:pos="900"/>
          <w:tab w:val="num" w:pos="2160"/>
        </w:tabs>
        <w:spacing w:line="360" w:lineRule="auto"/>
        <w:ind w:left="0" w:firstLine="1440"/>
      </w:pPr>
      <w:r>
        <w:t>A formal Complaint may be dismissed if, after notice and an opportunity to be heard, a</w:t>
      </w:r>
      <w:r w:rsidRPr="00206E57">
        <w:t xml:space="preserve"> Complainant</w:t>
      </w:r>
      <w:r>
        <w:t xml:space="preserve"> fails to appear and prosecute the Complaint.  </w:t>
      </w:r>
      <w:r w:rsidRPr="00C51BAA">
        <w:rPr>
          <w:i/>
        </w:rPr>
        <w:t>Mumma v. PPL Electric Utilities Corp.,</w:t>
      </w:r>
      <w:r>
        <w:t xml:space="preserve"> Docket No. C-00014869 (Opinion and Order entered January 24, 2002).</w:t>
      </w:r>
    </w:p>
    <w:p w:rsidR="00FF446A" w:rsidRDefault="00FF446A" w:rsidP="00B6283C">
      <w:pPr>
        <w:pStyle w:val="ListParagraph"/>
        <w:spacing w:line="360" w:lineRule="auto"/>
      </w:pPr>
    </w:p>
    <w:p w:rsidR="00FF446A" w:rsidRDefault="00FF446A" w:rsidP="00B6283C">
      <w:pPr>
        <w:numPr>
          <w:ilvl w:val="0"/>
          <w:numId w:val="2"/>
        </w:numPr>
        <w:tabs>
          <w:tab w:val="clear" w:pos="900"/>
          <w:tab w:val="num" w:pos="2160"/>
        </w:tabs>
        <w:spacing w:line="360" w:lineRule="auto"/>
        <w:ind w:left="0" w:firstLine="1440"/>
      </w:pPr>
      <w:r>
        <w:t xml:space="preserve">The Complainant, </w:t>
      </w:r>
      <w:r w:rsidR="001A4713">
        <w:t>Kevin Wilson</w:t>
      </w:r>
      <w:r>
        <w:t xml:space="preserve">, </w:t>
      </w:r>
      <w:r w:rsidRPr="00206E57">
        <w:t xml:space="preserve">failed to </w:t>
      </w:r>
      <w:r>
        <w:t>sustain his burden of proof.</w:t>
      </w:r>
      <w:r w:rsidR="003142CF">
        <w:t xml:space="preserve">  66 </w:t>
      </w:r>
      <w:r w:rsidRPr="00206E57">
        <w:t>Pa.C.S. § 332(a).</w:t>
      </w:r>
      <w:r>
        <w:br w:type="page"/>
      </w:r>
    </w:p>
    <w:p w:rsidR="00E04853" w:rsidRDefault="0058250C" w:rsidP="00E56A5F">
      <w:pPr>
        <w:tabs>
          <w:tab w:val="num" w:pos="2160"/>
        </w:tabs>
        <w:spacing w:line="360" w:lineRule="auto"/>
        <w:jc w:val="center"/>
        <w:rPr>
          <w:u w:val="single"/>
        </w:rPr>
      </w:pPr>
      <w:r>
        <w:rPr>
          <w:u w:val="single"/>
        </w:rPr>
        <w:lastRenderedPageBreak/>
        <w:t>ORDER</w:t>
      </w:r>
    </w:p>
    <w:p w:rsidR="0058250C" w:rsidRDefault="0058250C" w:rsidP="00E56A5F">
      <w:pPr>
        <w:tabs>
          <w:tab w:val="num" w:pos="2160"/>
        </w:tabs>
        <w:spacing w:line="360" w:lineRule="auto"/>
        <w:jc w:val="center"/>
        <w:rPr>
          <w:u w:val="single"/>
        </w:rPr>
      </w:pPr>
    </w:p>
    <w:p w:rsidR="0058250C" w:rsidRDefault="0058250C" w:rsidP="00E56A5F">
      <w:pPr>
        <w:tabs>
          <w:tab w:val="num" w:pos="2160"/>
        </w:tabs>
        <w:spacing w:line="360" w:lineRule="auto"/>
        <w:jc w:val="center"/>
        <w:rPr>
          <w:u w:val="single"/>
        </w:rPr>
      </w:pPr>
    </w:p>
    <w:p w:rsidR="003A388C" w:rsidRPr="00206E57" w:rsidRDefault="003A388C" w:rsidP="00E56A5F">
      <w:pPr>
        <w:tabs>
          <w:tab w:val="num" w:pos="2160"/>
        </w:tabs>
        <w:spacing w:line="360" w:lineRule="auto"/>
        <w:ind w:firstLine="1440"/>
      </w:pPr>
      <w:r w:rsidRPr="00206E57">
        <w:t xml:space="preserve">THEREFORE, </w:t>
      </w:r>
    </w:p>
    <w:p w:rsidR="003A388C" w:rsidRPr="00206E57" w:rsidRDefault="003A388C" w:rsidP="00E56A5F">
      <w:pPr>
        <w:tabs>
          <w:tab w:val="num" w:pos="2160"/>
        </w:tabs>
        <w:spacing w:line="360" w:lineRule="auto"/>
      </w:pPr>
    </w:p>
    <w:p w:rsidR="003A388C" w:rsidRPr="00206E57" w:rsidRDefault="003A388C" w:rsidP="00E56A5F">
      <w:pPr>
        <w:tabs>
          <w:tab w:val="num" w:pos="2160"/>
        </w:tabs>
        <w:spacing w:line="360" w:lineRule="auto"/>
        <w:ind w:firstLine="1440"/>
      </w:pPr>
      <w:r w:rsidRPr="00206E57">
        <w:t>IT IS ORDERED:</w:t>
      </w:r>
    </w:p>
    <w:p w:rsidR="003A388C" w:rsidRPr="00206E57" w:rsidRDefault="003A388C" w:rsidP="00E56A5F">
      <w:pPr>
        <w:tabs>
          <w:tab w:val="num" w:pos="2160"/>
        </w:tabs>
        <w:spacing w:line="360" w:lineRule="auto"/>
        <w:rPr>
          <w:b/>
        </w:rPr>
      </w:pPr>
    </w:p>
    <w:p w:rsidR="003A388C" w:rsidRPr="00206E57" w:rsidRDefault="003A388C" w:rsidP="00E56A5F">
      <w:pPr>
        <w:numPr>
          <w:ilvl w:val="0"/>
          <w:numId w:val="9"/>
        </w:numPr>
        <w:spacing w:line="360" w:lineRule="auto"/>
        <w:ind w:left="0" w:firstLine="1440"/>
      </w:pPr>
      <w:r w:rsidRPr="00206E57">
        <w:t xml:space="preserve">That the motion by </w:t>
      </w:r>
      <w:r w:rsidR="006229BB">
        <w:t>Laureto Farinas</w:t>
      </w:r>
      <w:r w:rsidRPr="00206E57">
        <w:t>, Esquire on behalf of P</w:t>
      </w:r>
      <w:r w:rsidR="00035C10">
        <w:t>hiladelphia Gas Works</w:t>
      </w:r>
      <w:r w:rsidRPr="00206E57">
        <w:t xml:space="preserve"> to dismiss the formal Complaint of </w:t>
      </w:r>
      <w:r w:rsidR="001A4713">
        <w:t>Kevin Wilson</w:t>
      </w:r>
      <w:r w:rsidR="00043F6B" w:rsidRPr="00206E57">
        <w:t xml:space="preserve"> </w:t>
      </w:r>
      <w:r w:rsidR="00765BF6" w:rsidRPr="00206E57">
        <w:t xml:space="preserve">at Docket No. </w:t>
      </w:r>
      <w:r w:rsidR="00F251BE">
        <w:t>C</w:t>
      </w:r>
      <w:r w:rsidR="00035C10" w:rsidRPr="00206E57">
        <w:t>-201</w:t>
      </w:r>
      <w:r w:rsidR="00035C10">
        <w:t>6</w:t>
      </w:r>
      <w:r w:rsidR="00035C10" w:rsidRPr="00206E57">
        <w:t>-2</w:t>
      </w:r>
      <w:r w:rsidR="00035C10">
        <w:t>5</w:t>
      </w:r>
      <w:r w:rsidR="001A4713">
        <w:t>71197</w:t>
      </w:r>
      <w:r w:rsidRPr="00206E57">
        <w:t xml:space="preserve"> </w:t>
      </w:r>
      <w:r w:rsidR="002C5578">
        <w:t xml:space="preserve">for lack of prosecution </w:t>
      </w:r>
      <w:r w:rsidRPr="00206E57">
        <w:t xml:space="preserve">is </w:t>
      </w:r>
      <w:r w:rsidR="00F251BE">
        <w:t>granted</w:t>
      </w:r>
      <w:r w:rsidRPr="00206E57">
        <w:t>.</w:t>
      </w:r>
    </w:p>
    <w:p w:rsidR="00435021" w:rsidRPr="00206E57" w:rsidRDefault="00435021" w:rsidP="00E56A5F">
      <w:pPr>
        <w:spacing w:line="360" w:lineRule="auto"/>
        <w:ind w:left="1440"/>
      </w:pPr>
    </w:p>
    <w:p w:rsidR="009060B2" w:rsidRDefault="003A388C" w:rsidP="00E56A5F">
      <w:pPr>
        <w:numPr>
          <w:ilvl w:val="0"/>
          <w:numId w:val="9"/>
        </w:numPr>
        <w:spacing w:line="360" w:lineRule="auto"/>
        <w:ind w:left="0" w:firstLine="1440"/>
      </w:pPr>
      <w:r w:rsidRPr="00206E57">
        <w:t xml:space="preserve">That the </w:t>
      </w:r>
      <w:r w:rsidR="009060B2">
        <w:t xml:space="preserve">formal </w:t>
      </w:r>
      <w:r w:rsidR="009060B2" w:rsidRPr="00206E57">
        <w:t xml:space="preserve">Complaint filed by </w:t>
      </w:r>
      <w:r w:rsidR="001A4713">
        <w:t>Kevin Wilson</w:t>
      </w:r>
      <w:r w:rsidR="009060B2">
        <w:t xml:space="preserve"> </w:t>
      </w:r>
      <w:r w:rsidR="009060B2" w:rsidRPr="00206E57">
        <w:t>against P</w:t>
      </w:r>
      <w:r w:rsidR="009060B2">
        <w:t>hiladelphia Gas Works</w:t>
      </w:r>
      <w:r w:rsidR="009060B2" w:rsidRPr="00206E57">
        <w:t xml:space="preserve"> at Docket No. </w:t>
      </w:r>
      <w:r w:rsidR="009060B2">
        <w:t>C</w:t>
      </w:r>
      <w:r w:rsidR="009060B2" w:rsidRPr="00206E57">
        <w:t>-201</w:t>
      </w:r>
      <w:r w:rsidR="009060B2">
        <w:t>6</w:t>
      </w:r>
      <w:r w:rsidR="009060B2" w:rsidRPr="00206E57">
        <w:t>-2</w:t>
      </w:r>
      <w:r w:rsidR="009060B2">
        <w:t>5</w:t>
      </w:r>
      <w:r w:rsidR="001A4713">
        <w:t>71197</w:t>
      </w:r>
      <w:r w:rsidR="009060B2" w:rsidRPr="00206E57">
        <w:t xml:space="preserve"> is dismissed </w:t>
      </w:r>
      <w:r w:rsidR="009060B2">
        <w:t xml:space="preserve">in its entirety </w:t>
      </w:r>
      <w:r w:rsidR="009060B2" w:rsidRPr="00206E57">
        <w:t>with prejudice.</w:t>
      </w:r>
    </w:p>
    <w:p w:rsidR="009060B2" w:rsidRDefault="009060B2" w:rsidP="00E56A5F">
      <w:pPr>
        <w:spacing w:line="360" w:lineRule="auto"/>
      </w:pPr>
    </w:p>
    <w:p w:rsidR="009060B2" w:rsidRDefault="009060B2" w:rsidP="00E56A5F">
      <w:pPr>
        <w:pStyle w:val="ListParagraph"/>
        <w:numPr>
          <w:ilvl w:val="0"/>
          <w:numId w:val="9"/>
        </w:numPr>
        <w:tabs>
          <w:tab w:val="num" w:pos="2160"/>
        </w:tabs>
        <w:spacing w:line="360" w:lineRule="auto"/>
      </w:pPr>
      <w:r w:rsidRPr="00206E57">
        <w:t>That the</w:t>
      </w:r>
      <w:r>
        <w:t xml:space="preserve"> Docket No. C</w:t>
      </w:r>
      <w:r w:rsidRPr="00206E57">
        <w:t>-201</w:t>
      </w:r>
      <w:r>
        <w:t>6</w:t>
      </w:r>
      <w:r w:rsidRPr="00206E57">
        <w:t>-2</w:t>
      </w:r>
      <w:r>
        <w:t>5</w:t>
      </w:r>
      <w:r w:rsidR="001A4713">
        <w:t>71197</w:t>
      </w:r>
      <w:r>
        <w:t xml:space="preserve"> is to be </w:t>
      </w:r>
      <w:r w:rsidRPr="00206E57">
        <w:t>mark</w:t>
      </w:r>
      <w:r>
        <w:t>ed</w:t>
      </w:r>
      <w:r w:rsidRPr="00206E57">
        <w:t xml:space="preserve"> closed.</w:t>
      </w:r>
    </w:p>
    <w:p w:rsidR="001217EB" w:rsidRDefault="001217EB" w:rsidP="00E56A5F">
      <w:pPr>
        <w:tabs>
          <w:tab w:val="num" w:pos="2160"/>
        </w:tabs>
        <w:spacing w:line="360" w:lineRule="auto"/>
        <w:ind w:left="1440"/>
      </w:pPr>
    </w:p>
    <w:p w:rsidR="00FC3444" w:rsidRPr="00206E57" w:rsidRDefault="00FC3444" w:rsidP="00E56A5F">
      <w:pPr>
        <w:tabs>
          <w:tab w:val="num" w:pos="2160"/>
        </w:tabs>
        <w:spacing w:line="360" w:lineRule="auto"/>
        <w:ind w:left="1440"/>
      </w:pPr>
    </w:p>
    <w:p w:rsidR="003A388C" w:rsidRPr="00206E57" w:rsidRDefault="003A388C" w:rsidP="00E56A5F">
      <w:pPr>
        <w:tabs>
          <w:tab w:val="num" w:pos="2160"/>
          <w:tab w:val="left" w:pos="5040"/>
        </w:tabs>
      </w:pPr>
      <w:r w:rsidRPr="00206E57">
        <w:t xml:space="preserve">Dated: </w:t>
      </w:r>
      <w:r w:rsidR="001A4713">
        <w:rPr>
          <w:u w:val="single"/>
        </w:rPr>
        <w:t>Februa</w:t>
      </w:r>
      <w:r w:rsidR="0070483F">
        <w:rPr>
          <w:u w:val="single"/>
        </w:rPr>
        <w:t xml:space="preserve">ry </w:t>
      </w:r>
      <w:r w:rsidR="009060B2">
        <w:rPr>
          <w:u w:val="single"/>
        </w:rPr>
        <w:t>3</w:t>
      </w:r>
      <w:r w:rsidRPr="00206E57">
        <w:rPr>
          <w:u w:val="single"/>
        </w:rPr>
        <w:t>, 201</w:t>
      </w:r>
      <w:r w:rsidR="0070483F">
        <w:rPr>
          <w:u w:val="single"/>
        </w:rPr>
        <w:t>7</w:t>
      </w:r>
      <w:r w:rsidR="009A2041" w:rsidRPr="00206E57">
        <w:tab/>
      </w:r>
      <w:r w:rsidR="006E1386" w:rsidRPr="00206E57">
        <w:rPr>
          <w:u w:val="single"/>
        </w:rPr>
        <w:tab/>
      </w:r>
      <w:r w:rsidR="006E1386" w:rsidRPr="00206E57">
        <w:rPr>
          <w:u w:val="single"/>
        </w:rPr>
        <w:tab/>
      </w:r>
      <w:r w:rsidR="00A71C4C" w:rsidRPr="00206E57">
        <w:rPr>
          <w:u w:val="single"/>
        </w:rPr>
        <w:t>/s/</w:t>
      </w:r>
      <w:r w:rsidR="006E1386" w:rsidRPr="00206E57">
        <w:rPr>
          <w:u w:val="single"/>
        </w:rPr>
        <w:tab/>
      </w:r>
      <w:r w:rsidR="006E1386" w:rsidRPr="00206E57">
        <w:rPr>
          <w:u w:val="single"/>
        </w:rPr>
        <w:tab/>
      </w:r>
      <w:r w:rsidR="006E1386" w:rsidRPr="00206E57">
        <w:rPr>
          <w:u w:val="single"/>
        </w:rPr>
        <w:tab/>
      </w:r>
      <w:r w:rsidR="006E1386" w:rsidRPr="00206E57">
        <w:rPr>
          <w:u w:val="single"/>
        </w:rPr>
        <w:tab/>
      </w:r>
      <w:r w:rsidRPr="00206E57">
        <w:tab/>
      </w:r>
      <w:r w:rsidRPr="00206E57">
        <w:tab/>
        <w:t>Angela T. Jones</w:t>
      </w:r>
      <w:r w:rsidR="006E1386" w:rsidRPr="00206E57">
        <w:tab/>
      </w:r>
    </w:p>
    <w:p w:rsidR="00FC24B7" w:rsidRPr="00206E57" w:rsidRDefault="003A388C" w:rsidP="00E56A5F">
      <w:pPr>
        <w:tabs>
          <w:tab w:val="num" w:pos="2160"/>
        </w:tabs>
      </w:pPr>
      <w:r w:rsidRPr="00206E57">
        <w:tab/>
      </w:r>
      <w:r w:rsidRPr="00206E57">
        <w:tab/>
      </w:r>
      <w:r w:rsidRPr="00206E57">
        <w:tab/>
      </w:r>
      <w:r w:rsidRPr="00206E57">
        <w:tab/>
      </w:r>
      <w:r w:rsidRPr="00206E57">
        <w:tab/>
        <w:t>Administrative Law Judge</w:t>
      </w: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53" w:rsidRDefault="00732E53" w:rsidP="00671B99">
      <w:r>
        <w:separator/>
      </w:r>
    </w:p>
  </w:endnote>
  <w:endnote w:type="continuationSeparator" w:id="0">
    <w:p w:rsidR="00732E53" w:rsidRDefault="00732E53"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2D11DF">
      <w:rPr>
        <w:noProof/>
        <w:sz w:val="20"/>
        <w:szCs w:val="20"/>
      </w:rPr>
      <w:t>6</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53" w:rsidRDefault="00732E53" w:rsidP="00671B99">
      <w:r>
        <w:separator/>
      </w:r>
    </w:p>
  </w:footnote>
  <w:footnote w:type="continuationSeparator" w:id="0">
    <w:p w:rsidR="00732E53" w:rsidRDefault="00732E53" w:rsidP="0067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A28838A"/>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1DC4548"/>
    <w:multiLevelType w:val="hybridMultilevel"/>
    <w:tmpl w:val="C3F40248"/>
    <w:lvl w:ilvl="0" w:tplc="59A0EA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B2B3E7C"/>
    <w:multiLevelType w:val="hybridMultilevel"/>
    <w:tmpl w:val="B93A9412"/>
    <w:lvl w:ilvl="0" w:tplc="EF1A6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8"/>
  </w:num>
  <w:num w:numId="6">
    <w:abstractNumId w:val="7"/>
  </w:num>
  <w:num w:numId="7">
    <w:abstractNumId w:val="1"/>
  </w:num>
  <w:num w:numId="8">
    <w:abstractNumId w:val="9"/>
  </w:num>
  <w:num w:numId="9">
    <w:abstractNumId w:val="3"/>
  </w:num>
  <w:num w:numId="10">
    <w:abstractNumId w:val="6"/>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238A"/>
    <w:rsid w:val="00013415"/>
    <w:rsid w:val="00013D9A"/>
    <w:rsid w:val="00015654"/>
    <w:rsid w:val="000216E6"/>
    <w:rsid w:val="000240B5"/>
    <w:rsid w:val="00024BCB"/>
    <w:rsid w:val="00024C3E"/>
    <w:rsid w:val="000339C0"/>
    <w:rsid w:val="00035A18"/>
    <w:rsid w:val="00035C10"/>
    <w:rsid w:val="00035CA0"/>
    <w:rsid w:val="0003642E"/>
    <w:rsid w:val="00043F6B"/>
    <w:rsid w:val="00046766"/>
    <w:rsid w:val="0005378A"/>
    <w:rsid w:val="00054EBF"/>
    <w:rsid w:val="00055D94"/>
    <w:rsid w:val="000568BF"/>
    <w:rsid w:val="00056F8B"/>
    <w:rsid w:val="00061A0D"/>
    <w:rsid w:val="000649EB"/>
    <w:rsid w:val="000705AF"/>
    <w:rsid w:val="00077F0E"/>
    <w:rsid w:val="00080983"/>
    <w:rsid w:val="00085E2B"/>
    <w:rsid w:val="000933D2"/>
    <w:rsid w:val="00093933"/>
    <w:rsid w:val="00093F7C"/>
    <w:rsid w:val="00094F27"/>
    <w:rsid w:val="00095DB6"/>
    <w:rsid w:val="00096198"/>
    <w:rsid w:val="000A2F76"/>
    <w:rsid w:val="000A3F30"/>
    <w:rsid w:val="000B4031"/>
    <w:rsid w:val="000B43FE"/>
    <w:rsid w:val="000B534E"/>
    <w:rsid w:val="000B6245"/>
    <w:rsid w:val="000B7A49"/>
    <w:rsid w:val="000C1597"/>
    <w:rsid w:val="000C19DC"/>
    <w:rsid w:val="000D03DF"/>
    <w:rsid w:val="000D5C2F"/>
    <w:rsid w:val="000D6317"/>
    <w:rsid w:val="000E1EB5"/>
    <w:rsid w:val="000E33A2"/>
    <w:rsid w:val="000E34BB"/>
    <w:rsid w:val="000F478A"/>
    <w:rsid w:val="000F5C41"/>
    <w:rsid w:val="000F6F04"/>
    <w:rsid w:val="001024DF"/>
    <w:rsid w:val="00104CA1"/>
    <w:rsid w:val="001058FB"/>
    <w:rsid w:val="001151A8"/>
    <w:rsid w:val="001217EB"/>
    <w:rsid w:val="0012619E"/>
    <w:rsid w:val="00131EA5"/>
    <w:rsid w:val="001330A1"/>
    <w:rsid w:val="001363D7"/>
    <w:rsid w:val="001368BC"/>
    <w:rsid w:val="001368F9"/>
    <w:rsid w:val="00140257"/>
    <w:rsid w:val="00145DC8"/>
    <w:rsid w:val="001527E7"/>
    <w:rsid w:val="0015294E"/>
    <w:rsid w:val="00155EAF"/>
    <w:rsid w:val="00156C11"/>
    <w:rsid w:val="00157D81"/>
    <w:rsid w:val="00165950"/>
    <w:rsid w:val="00171144"/>
    <w:rsid w:val="0017167F"/>
    <w:rsid w:val="00172118"/>
    <w:rsid w:val="00172B39"/>
    <w:rsid w:val="00173ED1"/>
    <w:rsid w:val="001751A4"/>
    <w:rsid w:val="00180B9F"/>
    <w:rsid w:val="00187F2D"/>
    <w:rsid w:val="00191475"/>
    <w:rsid w:val="00191915"/>
    <w:rsid w:val="00192050"/>
    <w:rsid w:val="00193AC9"/>
    <w:rsid w:val="00194014"/>
    <w:rsid w:val="0019503C"/>
    <w:rsid w:val="00195C7C"/>
    <w:rsid w:val="00197F1A"/>
    <w:rsid w:val="001A0CCE"/>
    <w:rsid w:val="001A4713"/>
    <w:rsid w:val="001A4A3D"/>
    <w:rsid w:val="001B5A89"/>
    <w:rsid w:val="001B5AF3"/>
    <w:rsid w:val="001C3393"/>
    <w:rsid w:val="001C4FA9"/>
    <w:rsid w:val="001C6D16"/>
    <w:rsid w:val="001C7916"/>
    <w:rsid w:val="001C7AA1"/>
    <w:rsid w:val="001D2538"/>
    <w:rsid w:val="001D711E"/>
    <w:rsid w:val="001E21D4"/>
    <w:rsid w:val="001E2A34"/>
    <w:rsid w:val="001E4400"/>
    <w:rsid w:val="001E72BD"/>
    <w:rsid w:val="001F3031"/>
    <w:rsid w:val="001F3110"/>
    <w:rsid w:val="001F5588"/>
    <w:rsid w:val="0020029F"/>
    <w:rsid w:val="002007A1"/>
    <w:rsid w:val="00200C4D"/>
    <w:rsid w:val="00200D75"/>
    <w:rsid w:val="00202C99"/>
    <w:rsid w:val="00204101"/>
    <w:rsid w:val="002054DA"/>
    <w:rsid w:val="00206E57"/>
    <w:rsid w:val="002104EF"/>
    <w:rsid w:val="00216719"/>
    <w:rsid w:val="00216CFA"/>
    <w:rsid w:val="002215F8"/>
    <w:rsid w:val="00232AF2"/>
    <w:rsid w:val="00232F90"/>
    <w:rsid w:val="0023472F"/>
    <w:rsid w:val="00245795"/>
    <w:rsid w:val="0024721A"/>
    <w:rsid w:val="00252B63"/>
    <w:rsid w:val="0025324E"/>
    <w:rsid w:val="00253904"/>
    <w:rsid w:val="00255311"/>
    <w:rsid w:val="00256CEC"/>
    <w:rsid w:val="00261F04"/>
    <w:rsid w:val="00265DB8"/>
    <w:rsid w:val="00266B11"/>
    <w:rsid w:val="00270CCC"/>
    <w:rsid w:val="00271B22"/>
    <w:rsid w:val="00280901"/>
    <w:rsid w:val="00282451"/>
    <w:rsid w:val="00283497"/>
    <w:rsid w:val="002902FE"/>
    <w:rsid w:val="00295B12"/>
    <w:rsid w:val="002976AF"/>
    <w:rsid w:val="002A00B9"/>
    <w:rsid w:val="002A03D7"/>
    <w:rsid w:val="002A08B5"/>
    <w:rsid w:val="002A4D3D"/>
    <w:rsid w:val="002A5745"/>
    <w:rsid w:val="002B17F8"/>
    <w:rsid w:val="002B4EA0"/>
    <w:rsid w:val="002B59A2"/>
    <w:rsid w:val="002B5BF4"/>
    <w:rsid w:val="002B6321"/>
    <w:rsid w:val="002C180D"/>
    <w:rsid w:val="002C2E5F"/>
    <w:rsid w:val="002C5578"/>
    <w:rsid w:val="002D11DF"/>
    <w:rsid w:val="002D7BDD"/>
    <w:rsid w:val="002E1BE2"/>
    <w:rsid w:val="002E2E80"/>
    <w:rsid w:val="002E36F5"/>
    <w:rsid w:val="002F0110"/>
    <w:rsid w:val="002F415A"/>
    <w:rsid w:val="003048B4"/>
    <w:rsid w:val="003073A4"/>
    <w:rsid w:val="003142CF"/>
    <w:rsid w:val="0031638A"/>
    <w:rsid w:val="003208BD"/>
    <w:rsid w:val="00320D23"/>
    <w:rsid w:val="00320FDB"/>
    <w:rsid w:val="003242C4"/>
    <w:rsid w:val="0032442A"/>
    <w:rsid w:val="00325038"/>
    <w:rsid w:val="0032688F"/>
    <w:rsid w:val="00326AD7"/>
    <w:rsid w:val="0032744A"/>
    <w:rsid w:val="00333BB3"/>
    <w:rsid w:val="00337525"/>
    <w:rsid w:val="00347146"/>
    <w:rsid w:val="00352C36"/>
    <w:rsid w:val="00356F95"/>
    <w:rsid w:val="00357D5B"/>
    <w:rsid w:val="00362862"/>
    <w:rsid w:val="00363B4D"/>
    <w:rsid w:val="00363F20"/>
    <w:rsid w:val="00367ACA"/>
    <w:rsid w:val="00370CAA"/>
    <w:rsid w:val="00371633"/>
    <w:rsid w:val="003722A7"/>
    <w:rsid w:val="00372503"/>
    <w:rsid w:val="00377946"/>
    <w:rsid w:val="00386B2A"/>
    <w:rsid w:val="003903C6"/>
    <w:rsid w:val="00390B01"/>
    <w:rsid w:val="00391F41"/>
    <w:rsid w:val="003938F3"/>
    <w:rsid w:val="003965F4"/>
    <w:rsid w:val="003A02E3"/>
    <w:rsid w:val="003A388C"/>
    <w:rsid w:val="003A68A3"/>
    <w:rsid w:val="003A6B45"/>
    <w:rsid w:val="003A78A8"/>
    <w:rsid w:val="003B10D4"/>
    <w:rsid w:val="003B25CB"/>
    <w:rsid w:val="003B289A"/>
    <w:rsid w:val="003B4D11"/>
    <w:rsid w:val="003B6501"/>
    <w:rsid w:val="003C23BF"/>
    <w:rsid w:val="003C7C86"/>
    <w:rsid w:val="003D43F0"/>
    <w:rsid w:val="003E21D0"/>
    <w:rsid w:val="003E2A33"/>
    <w:rsid w:val="003E3039"/>
    <w:rsid w:val="003E6177"/>
    <w:rsid w:val="003F08DA"/>
    <w:rsid w:val="003F0E6F"/>
    <w:rsid w:val="003F3AAA"/>
    <w:rsid w:val="003F561C"/>
    <w:rsid w:val="003F7F61"/>
    <w:rsid w:val="004007A8"/>
    <w:rsid w:val="00404AE9"/>
    <w:rsid w:val="00407C34"/>
    <w:rsid w:val="00412963"/>
    <w:rsid w:val="00414348"/>
    <w:rsid w:val="00414725"/>
    <w:rsid w:val="00415740"/>
    <w:rsid w:val="00422960"/>
    <w:rsid w:val="00422E46"/>
    <w:rsid w:val="00425CC7"/>
    <w:rsid w:val="00426901"/>
    <w:rsid w:val="0043227D"/>
    <w:rsid w:val="004329D2"/>
    <w:rsid w:val="00435021"/>
    <w:rsid w:val="0043644D"/>
    <w:rsid w:val="004365E3"/>
    <w:rsid w:val="00440F16"/>
    <w:rsid w:val="00442D53"/>
    <w:rsid w:val="00443B5F"/>
    <w:rsid w:val="004457FF"/>
    <w:rsid w:val="004462FB"/>
    <w:rsid w:val="00450543"/>
    <w:rsid w:val="00461D4F"/>
    <w:rsid w:val="00463734"/>
    <w:rsid w:val="00465820"/>
    <w:rsid w:val="004667A5"/>
    <w:rsid w:val="00473AE3"/>
    <w:rsid w:val="004751A5"/>
    <w:rsid w:val="00480F23"/>
    <w:rsid w:val="004829DE"/>
    <w:rsid w:val="00482B3E"/>
    <w:rsid w:val="004838F1"/>
    <w:rsid w:val="00486506"/>
    <w:rsid w:val="00490A4C"/>
    <w:rsid w:val="004925D2"/>
    <w:rsid w:val="0049485E"/>
    <w:rsid w:val="004A0D20"/>
    <w:rsid w:val="004A4985"/>
    <w:rsid w:val="004A5BB7"/>
    <w:rsid w:val="004B45C1"/>
    <w:rsid w:val="004C0007"/>
    <w:rsid w:val="004C0200"/>
    <w:rsid w:val="004C5F40"/>
    <w:rsid w:val="004C777A"/>
    <w:rsid w:val="004C7818"/>
    <w:rsid w:val="004D1411"/>
    <w:rsid w:val="004D6863"/>
    <w:rsid w:val="004E350B"/>
    <w:rsid w:val="004E45FC"/>
    <w:rsid w:val="004E6FA4"/>
    <w:rsid w:val="004E7B3C"/>
    <w:rsid w:val="004F3826"/>
    <w:rsid w:val="004F686A"/>
    <w:rsid w:val="00503F63"/>
    <w:rsid w:val="0050520B"/>
    <w:rsid w:val="00507314"/>
    <w:rsid w:val="00511193"/>
    <w:rsid w:val="00512898"/>
    <w:rsid w:val="0051375C"/>
    <w:rsid w:val="00513A96"/>
    <w:rsid w:val="00515A5C"/>
    <w:rsid w:val="00516B8F"/>
    <w:rsid w:val="00523119"/>
    <w:rsid w:val="00523358"/>
    <w:rsid w:val="00531602"/>
    <w:rsid w:val="00532B54"/>
    <w:rsid w:val="0053692B"/>
    <w:rsid w:val="00551501"/>
    <w:rsid w:val="00554842"/>
    <w:rsid w:val="005605A1"/>
    <w:rsid w:val="00564F32"/>
    <w:rsid w:val="0056503E"/>
    <w:rsid w:val="005675E2"/>
    <w:rsid w:val="005722C5"/>
    <w:rsid w:val="00577282"/>
    <w:rsid w:val="00577F9A"/>
    <w:rsid w:val="00580676"/>
    <w:rsid w:val="00580D3D"/>
    <w:rsid w:val="00581698"/>
    <w:rsid w:val="00581DDF"/>
    <w:rsid w:val="0058250C"/>
    <w:rsid w:val="00584D91"/>
    <w:rsid w:val="0058591F"/>
    <w:rsid w:val="00586206"/>
    <w:rsid w:val="00590314"/>
    <w:rsid w:val="00592164"/>
    <w:rsid w:val="00593653"/>
    <w:rsid w:val="005A281B"/>
    <w:rsid w:val="005A4F21"/>
    <w:rsid w:val="005A6B32"/>
    <w:rsid w:val="005B03C7"/>
    <w:rsid w:val="005B0964"/>
    <w:rsid w:val="005B1419"/>
    <w:rsid w:val="005B2F06"/>
    <w:rsid w:val="005B3455"/>
    <w:rsid w:val="005B702D"/>
    <w:rsid w:val="005B793B"/>
    <w:rsid w:val="005C1C86"/>
    <w:rsid w:val="005C3E08"/>
    <w:rsid w:val="005C7C22"/>
    <w:rsid w:val="005D2692"/>
    <w:rsid w:val="005E27C7"/>
    <w:rsid w:val="005F3CFB"/>
    <w:rsid w:val="005F5254"/>
    <w:rsid w:val="00612394"/>
    <w:rsid w:val="00613898"/>
    <w:rsid w:val="006177F2"/>
    <w:rsid w:val="006229AC"/>
    <w:rsid w:val="006229BB"/>
    <w:rsid w:val="00625522"/>
    <w:rsid w:val="00625A54"/>
    <w:rsid w:val="00631A1C"/>
    <w:rsid w:val="006342AE"/>
    <w:rsid w:val="00635300"/>
    <w:rsid w:val="006427E7"/>
    <w:rsid w:val="00642A55"/>
    <w:rsid w:val="00645BF8"/>
    <w:rsid w:val="006466AD"/>
    <w:rsid w:val="00647FEF"/>
    <w:rsid w:val="00654DBB"/>
    <w:rsid w:val="00655B0A"/>
    <w:rsid w:val="00656ED6"/>
    <w:rsid w:val="00671B99"/>
    <w:rsid w:val="00672BAC"/>
    <w:rsid w:val="00680FAC"/>
    <w:rsid w:val="0068373A"/>
    <w:rsid w:val="006840CF"/>
    <w:rsid w:val="00684D0B"/>
    <w:rsid w:val="00692DDA"/>
    <w:rsid w:val="006A3112"/>
    <w:rsid w:val="006A6289"/>
    <w:rsid w:val="006A69B7"/>
    <w:rsid w:val="006B1D44"/>
    <w:rsid w:val="006B5879"/>
    <w:rsid w:val="006C01FD"/>
    <w:rsid w:val="006C23BD"/>
    <w:rsid w:val="006C4D40"/>
    <w:rsid w:val="006D25DA"/>
    <w:rsid w:val="006E10BA"/>
    <w:rsid w:val="006E1386"/>
    <w:rsid w:val="006E73B9"/>
    <w:rsid w:val="00703CE7"/>
    <w:rsid w:val="0070483F"/>
    <w:rsid w:val="00705D82"/>
    <w:rsid w:val="0070620F"/>
    <w:rsid w:val="0071018F"/>
    <w:rsid w:val="00711B9A"/>
    <w:rsid w:val="00713031"/>
    <w:rsid w:val="00717D4B"/>
    <w:rsid w:val="007206AD"/>
    <w:rsid w:val="00724E68"/>
    <w:rsid w:val="00727FBF"/>
    <w:rsid w:val="00732E53"/>
    <w:rsid w:val="00734514"/>
    <w:rsid w:val="00734995"/>
    <w:rsid w:val="00735808"/>
    <w:rsid w:val="00746258"/>
    <w:rsid w:val="007468ED"/>
    <w:rsid w:val="00747F0F"/>
    <w:rsid w:val="00752029"/>
    <w:rsid w:val="00753BCE"/>
    <w:rsid w:val="00756172"/>
    <w:rsid w:val="00756526"/>
    <w:rsid w:val="00756B0B"/>
    <w:rsid w:val="007578AE"/>
    <w:rsid w:val="0076000A"/>
    <w:rsid w:val="00761B3E"/>
    <w:rsid w:val="00762BAE"/>
    <w:rsid w:val="00765BF6"/>
    <w:rsid w:val="00767248"/>
    <w:rsid w:val="00767D96"/>
    <w:rsid w:val="00777B3A"/>
    <w:rsid w:val="0078081C"/>
    <w:rsid w:val="007845A8"/>
    <w:rsid w:val="007869B9"/>
    <w:rsid w:val="00787A80"/>
    <w:rsid w:val="00792352"/>
    <w:rsid w:val="00796A77"/>
    <w:rsid w:val="007A3521"/>
    <w:rsid w:val="007A6113"/>
    <w:rsid w:val="007A6F67"/>
    <w:rsid w:val="007B1AA6"/>
    <w:rsid w:val="007B35F5"/>
    <w:rsid w:val="007B3B06"/>
    <w:rsid w:val="007B4BB5"/>
    <w:rsid w:val="007B5326"/>
    <w:rsid w:val="007C0BE8"/>
    <w:rsid w:val="007C2CF6"/>
    <w:rsid w:val="007C5DD5"/>
    <w:rsid w:val="007D0C18"/>
    <w:rsid w:val="007D255B"/>
    <w:rsid w:val="007D3CC0"/>
    <w:rsid w:val="007E139F"/>
    <w:rsid w:val="007E37B9"/>
    <w:rsid w:val="007F1B21"/>
    <w:rsid w:val="007F2B71"/>
    <w:rsid w:val="007F2B9B"/>
    <w:rsid w:val="007F39CC"/>
    <w:rsid w:val="007F75E5"/>
    <w:rsid w:val="00806E69"/>
    <w:rsid w:val="00810B26"/>
    <w:rsid w:val="00812A6A"/>
    <w:rsid w:val="008140F5"/>
    <w:rsid w:val="00814BF0"/>
    <w:rsid w:val="00816BAC"/>
    <w:rsid w:val="00817C1A"/>
    <w:rsid w:val="00820D1F"/>
    <w:rsid w:val="008216F3"/>
    <w:rsid w:val="00821C67"/>
    <w:rsid w:val="00821CEA"/>
    <w:rsid w:val="00821D21"/>
    <w:rsid w:val="008244CA"/>
    <w:rsid w:val="00826741"/>
    <w:rsid w:val="008269B7"/>
    <w:rsid w:val="00830B12"/>
    <w:rsid w:val="00830C8E"/>
    <w:rsid w:val="00830F33"/>
    <w:rsid w:val="008315E2"/>
    <w:rsid w:val="00831A50"/>
    <w:rsid w:val="0083409B"/>
    <w:rsid w:val="00834679"/>
    <w:rsid w:val="008362A0"/>
    <w:rsid w:val="0085568B"/>
    <w:rsid w:val="00855E15"/>
    <w:rsid w:val="008600EC"/>
    <w:rsid w:val="00860750"/>
    <w:rsid w:val="00861A42"/>
    <w:rsid w:val="00864DA7"/>
    <w:rsid w:val="00865343"/>
    <w:rsid w:val="00867508"/>
    <w:rsid w:val="008760CF"/>
    <w:rsid w:val="008804D2"/>
    <w:rsid w:val="00880B2B"/>
    <w:rsid w:val="00881669"/>
    <w:rsid w:val="00882BC9"/>
    <w:rsid w:val="00883EF7"/>
    <w:rsid w:val="008849A0"/>
    <w:rsid w:val="00884E94"/>
    <w:rsid w:val="00886309"/>
    <w:rsid w:val="00892049"/>
    <w:rsid w:val="0089437E"/>
    <w:rsid w:val="00897BBA"/>
    <w:rsid w:val="008A0025"/>
    <w:rsid w:val="008A1848"/>
    <w:rsid w:val="008A2DFC"/>
    <w:rsid w:val="008A3674"/>
    <w:rsid w:val="008A6075"/>
    <w:rsid w:val="008B2B9A"/>
    <w:rsid w:val="008B653E"/>
    <w:rsid w:val="008B673C"/>
    <w:rsid w:val="008D0F62"/>
    <w:rsid w:val="008D2293"/>
    <w:rsid w:val="008E1251"/>
    <w:rsid w:val="008E6D8F"/>
    <w:rsid w:val="008E75CF"/>
    <w:rsid w:val="008F5284"/>
    <w:rsid w:val="008F6CC1"/>
    <w:rsid w:val="00901DFF"/>
    <w:rsid w:val="00902059"/>
    <w:rsid w:val="009060B2"/>
    <w:rsid w:val="009134C8"/>
    <w:rsid w:val="00915DE5"/>
    <w:rsid w:val="00921F7D"/>
    <w:rsid w:val="00924ECE"/>
    <w:rsid w:val="00926115"/>
    <w:rsid w:val="00927C48"/>
    <w:rsid w:val="00933192"/>
    <w:rsid w:val="00937A4B"/>
    <w:rsid w:val="00941D5A"/>
    <w:rsid w:val="00942AC4"/>
    <w:rsid w:val="00943331"/>
    <w:rsid w:val="00943D59"/>
    <w:rsid w:val="00945EFA"/>
    <w:rsid w:val="00952D55"/>
    <w:rsid w:val="009603C4"/>
    <w:rsid w:val="009644E5"/>
    <w:rsid w:val="009654E7"/>
    <w:rsid w:val="009701F0"/>
    <w:rsid w:val="00971B2F"/>
    <w:rsid w:val="00973F07"/>
    <w:rsid w:val="00975607"/>
    <w:rsid w:val="00976D08"/>
    <w:rsid w:val="00985A5B"/>
    <w:rsid w:val="0098768A"/>
    <w:rsid w:val="00990721"/>
    <w:rsid w:val="009925A2"/>
    <w:rsid w:val="00994150"/>
    <w:rsid w:val="00994218"/>
    <w:rsid w:val="0099522F"/>
    <w:rsid w:val="00995879"/>
    <w:rsid w:val="00995ECC"/>
    <w:rsid w:val="009A0A14"/>
    <w:rsid w:val="009A2041"/>
    <w:rsid w:val="009A3F91"/>
    <w:rsid w:val="009A5DC8"/>
    <w:rsid w:val="009B0FE6"/>
    <w:rsid w:val="009B2F92"/>
    <w:rsid w:val="009B4958"/>
    <w:rsid w:val="009B4AE6"/>
    <w:rsid w:val="009B6A6A"/>
    <w:rsid w:val="009C3CE3"/>
    <w:rsid w:val="009D6276"/>
    <w:rsid w:val="009D71B9"/>
    <w:rsid w:val="009E33BD"/>
    <w:rsid w:val="009F1688"/>
    <w:rsid w:val="009F3118"/>
    <w:rsid w:val="009F41A1"/>
    <w:rsid w:val="009F61D5"/>
    <w:rsid w:val="00A00279"/>
    <w:rsid w:val="00A02408"/>
    <w:rsid w:val="00A028BC"/>
    <w:rsid w:val="00A02C67"/>
    <w:rsid w:val="00A05B02"/>
    <w:rsid w:val="00A11367"/>
    <w:rsid w:val="00A201AC"/>
    <w:rsid w:val="00A21F52"/>
    <w:rsid w:val="00A24CCC"/>
    <w:rsid w:val="00A30FD5"/>
    <w:rsid w:val="00A3129D"/>
    <w:rsid w:val="00A313CE"/>
    <w:rsid w:val="00A31967"/>
    <w:rsid w:val="00A3196E"/>
    <w:rsid w:val="00A3494B"/>
    <w:rsid w:val="00A350C4"/>
    <w:rsid w:val="00A376A6"/>
    <w:rsid w:val="00A40C25"/>
    <w:rsid w:val="00A45467"/>
    <w:rsid w:val="00A460D2"/>
    <w:rsid w:val="00A46C92"/>
    <w:rsid w:val="00A47DB2"/>
    <w:rsid w:val="00A510FA"/>
    <w:rsid w:val="00A61517"/>
    <w:rsid w:val="00A6625A"/>
    <w:rsid w:val="00A713B1"/>
    <w:rsid w:val="00A71C4C"/>
    <w:rsid w:val="00A7261C"/>
    <w:rsid w:val="00A73516"/>
    <w:rsid w:val="00A74200"/>
    <w:rsid w:val="00A77BA9"/>
    <w:rsid w:val="00A85740"/>
    <w:rsid w:val="00A86ABD"/>
    <w:rsid w:val="00A86F10"/>
    <w:rsid w:val="00A8786A"/>
    <w:rsid w:val="00A90FB6"/>
    <w:rsid w:val="00A920B1"/>
    <w:rsid w:val="00A93B36"/>
    <w:rsid w:val="00A9541D"/>
    <w:rsid w:val="00AA3084"/>
    <w:rsid w:val="00AA7B98"/>
    <w:rsid w:val="00AB20BB"/>
    <w:rsid w:val="00AB3404"/>
    <w:rsid w:val="00AB52F0"/>
    <w:rsid w:val="00AC4EBD"/>
    <w:rsid w:val="00AC7D4E"/>
    <w:rsid w:val="00AC7EAE"/>
    <w:rsid w:val="00AD3A60"/>
    <w:rsid w:val="00AD54CA"/>
    <w:rsid w:val="00AE0A1D"/>
    <w:rsid w:val="00AE5FFC"/>
    <w:rsid w:val="00AF4047"/>
    <w:rsid w:val="00AF5C45"/>
    <w:rsid w:val="00AF60F4"/>
    <w:rsid w:val="00B01A0B"/>
    <w:rsid w:val="00B0248A"/>
    <w:rsid w:val="00B065D4"/>
    <w:rsid w:val="00B113B0"/>
    <w:rsid w:val="00B11FAE"/>
    <w:rsid w:val="00B13EA4"/>
    <w:rsid w:val="00B154AD"/>
    <w:rsid w:val="00B16F58"/>
    <w:rsid w:val="00B17B33"/>
    <w:rsid w:val="00B23634"/>
    <w:rsid w:val="00B257ED"/>
    <w:rsid w:val="00B27B79"/>
    <w:rsid w:val="00B337F8"/>
    <w:rsid w:val="00B358BD"/>
    <w:rsid w:val="00B3648C"/>
    <w:rsid w:val="00B3735C"/>
    <w:rsid w:val="00B41609"/>
    <w:rsid w:val="00B4299D"/>
    <w:rsid w:val="00B462D8"/>
    <w:rsid w:val="00B60A58"/>
    <w:rsid w:val="00B6283C"/>
    <w:rsid w:val="00B63087"/>
    <w:rsid w:val="00B76C6A"/>
    <w:rsid w:val="00B818EE"/>
    <w:rsid w:val="00B82B0B"/>
    <w:rsid w:val="00B82F1D"/>
    <w:rsid w:val="00B84000"/>
    <w:rsid w:val="00B84C71"/>
    <w:rsid w:val="00B90C85"/>
    <w:rsid w:val="00B9626D"/>
    <w:rsid w:val="00BA28C9"/>
    <w:rsid w:val="00BA36EA"/>
    <w:rsid w:val="00BA647C"/>
    <w:rsid w:val="00BB430D"/>
    <w:rsid w:val="00BB7493"/>
    <w:rsid w:val="00BB7638"/>
    <w:rsid w:val="00BC31D0"/>
    <w:rsid w:val="00BC69C7"/>
    <w:rsid w:val="00BD02F4"/>
    <w:rsid w:val="00BD3460"/>
    <w:rsid w:val="00BD3EA3"/>
    <w:rsid w:val="00BD64D9"/>
    <w:rsid w:val="00BD6E2C"/>
    <w:rsid w:val="00BE053F"/>
    <w:rsid w:val="00BE4E0F"/>
    <w:rsid w:val="00BE6F63"/>
    <w:rsid w:val="00BF144E"/>
    <w:rsid w:val="00BF2095"/>
    <w:rsid w:val="00BF3C09"/>
    <w:rsid w:val="00BF5D86"/>
    <w:rsid w:val="00BF6F11"/>
    <w:rsid w:val="00C004C1"/>
    <w:rsid w:val="00C00503"/>
    <w:rsid w:val="00C009B5"/>
    <w:rsid w:val="00C02538"/>
    <w:rsid w:val="00C02628"/>
    <w:rsid w:val="00C03E3A"/>
    <w:rsid w:val="00C0489C"/>
    <w:rsid w:val="00C079EA"/>
    <w:rsid w:val="00C14ED0"/>
    <w:rsid w:val="00C20513"/>
    <w:rsid w:val="00C207CD"/>
    <w:rsid w:val="00C26771"/>
    <w:rsid w:val="00C27475"/>
    <w:rsid w:val="00C27948"/>
    <w:rsid w:val="00C30185"/>
    <w:rsid w:val="00C32B5E"/>
    <w:rsid w:val="00C33E29"/>
    <w:rsid w:val="00C43343"/>
    <w:rsid w:val="00C45F1D"/>
    <w:rsid w:val="00C51BAA"/>
    <w:rsid w:val="00C53142"/>
    <w:rsid w:val="00C55254"/>
    <w:rsid w:val="00C64238"/>
    <w:rsid w:val="00C669B9"/>
    <w:rsid w:val="00C74F76"/>
    <w:rsid w:val="00C76A1B"/>
    <w:rsid w:val="00C80495"/>
    <w:rsid w:val="00C81232"/>
    <w:rsid w:val="00C865D5"/>
    <w:rsid w:val="00C86B02"/>
    <w:rsid w:val="00C8722E"/>
    <w:rsid w:val="00C92433"/>
    <w:rsid w:val="00C9501C"/>
    <w:rsid w:val="00C974D1"/>
    <w:rsid w:val="00CA1725"/>
    <w:rsid w:val="00CA1BDD"/>
    <w:rsid w:val="00CA2260"/>
    <w:rsid w:val="00CA265E"/>
    <w:rsid w:val="00CA2B7F"/>
    <w:rsid w:val="00CA2B86"/>
    <w:rsid w:val="00CA3690"/>
    <w:rsid w:val="00CA6BA2"/>
    <w:rsid w:val="00CB20CF"/>
    <w:rsid w:val="00CB7867"/>
    <w:rsid w:val="00CC330C"/>
    <w:rsid w:val="00CE1B3F"/>
    <w:rsid w:val="00CE4B36"/>
    <w:rsid w:val="00CE675B"/>
    <w:rsid w:val="00CF1302"/>
    <w:rsid w:val="00CF4CD0"/>
    <w:rsid w:val="00CF7F0D"/>
    <w:rsid w:val="00D014C6"/>
    <w:rsid w:val="00D03591"/>
    <w:rsid w:val="00D055B4"/>
    <w:rsid w:val="00D056DA"/>
    <w:rsid w:val="00D11BDA"/>
    <w:rsid w:val="00D16D24"/>
    <w:rsid w:val="00D20565"/>
    <w:rsid w:val="00D25029"/>
    <w:rsid w:val="00D2574A"/>
    <w:rsid w:val="00D27E15"/>
    <w:rsid w:val="00D33D95"/>
    <w:rsid w:val="00D36C36"/>
    <w:rsid w:val="00D4030A"/>
    <w:rsid w:val="00D40DDD"/>
    <w:rsid w:val="00D45626"/>
    <w:rsid w:val="00D54FCA"/>
    <w:rsid w:val="00D5664A"/>
    <w:rsid w:val="00D65395"/>
    <w:rsid w:val="00D66858"/>
    <w:rsid w:val="00D6799E"/>
    <w:rsid w:val="00D709D1"/>
    <w:rsid w:val="00D8314A"/>
    <w:rsid w:val="00D85330"/>
    <w:rsid w:val="00D961A1"/>
    <w:rsid w:val="00D9640E"/>
    <w:rsid w:val="00D97DBF"/>
    <w:rsid w:val="00DA0FC1"/>
    <w:rsid w:val="00DA1854"/>
    <w:rsid w:val="00DA780B"/>
    <w:rsid w:val="00DB1007"/>
    <w:rsid w:val="00DB2E1C"/>
    <w:rsid w:val="00DB6896"/>
    <w:rsid w:val="00DC08D5"/>
    <w:rsid w:val="00DC54C7"/>
    <w:rsid w:val="00DC7A93"/>
    <w:rsid w:val="00DD39BD"/>
    <w:rsid w:val="00DD64B6"/>
    <w:rsid w:val="00DE11E3"/>
    <w:rsid w:val="00DE2973"/>
    <w:rsid w:val="00DE3DCC"/>
    <w:rsid w:val="00DE3FA7"/>
    <w:rsid w:val="00DE55D3"/>
    <w:rsid w:val="00DE66E9"/>
    <w:rsid w:val="00DE6B4D"/>
    <w:rsid w:val="00DF0C12"/>
    <w:rsid w:val="00DF38CA"/>
    <w:rsid w:val="00DF7410"/>
    <w:rsid w:val="00DF7D4C"/>
    <w:rsid w:val="00DF7E19"/>
    <w:rsid w:val="00E002FD"/>
    <w:rsid w:val="00E0363C"/>
    <w:rsid w:val="00E0421D"/>
    <w:rsid w:val="00E04853"/>
    <w:rsid w:val="00E06439"/>
    <w:rsid w:val="00E07C0E"/>
    <w:rsid w:val="00E07FF6"/>
    <w:rsid w:val="00E13646"/>
    <w:rsid w:val="00E15861"/>
    <w:rsid w:val="00E15B9B"/>
    <w:rsid w:val="00E163D8"/>
    <w:rsid w:val="00E24151"/>
    <w:rsid w:val="00E2440F"/>
    <w:rsid w:val="00E255DB"/>
    <w:rsid w:val="00E26E02"/>
    <w:rsid w:val="00E31E92"/>
    <w:rsid w:val="00E326C7"/>
    <w:rsid w:val="00E34320"/>
    <w:rsid w:val="00E347A1"/>
    <w:rsid w:val="00E353F5"/>
    <w:rsid w:val="00E40F2D"/>
    <w:rsid w:val="00E41011"/>
    <w:rsid w:val="00E420E9"/>
    <w:rsid w:val="00E4213F"/>
    <w:rsid w:val="00E43A42"/>
    <w:rsid w:val="00E5336B"/>
    <w:rsid w:val="00E55486"/>
    <w:rsid w:val="00E55D54"/>
    <w:rsid w:val="00E56A5F"/>
    <w:rsid w:val="00E62548"/>
    <w:rsid w:val="00E63B78"/>
    <w:rsid w:val="00E654B2"/>
    <w:rsid w:val="00E663B4"/>
    <w:rsid w:val="00E66403"/>
    <w:rsid w:val="00E66FBB"/>
    <w:rsid w:val="00E72034"/>
    <w:rsid w:val="00E73CF6"/>
    <w:rsid w:val="00E7704C"/>
    <w:rsid w:val="00E806C4"/>
    <w:rsid w:val="00E82474"/>
    <w:rsid w:val="00E82FB4"/>
    <w:rsid w:val="00E91117"/>
    <w:rsid w:val="00E93294"/>
    <w:rsid w:val="00E93A16"/>
    <w:rsid w:val="00E9617E"/>
    <w:rsid w:val="00E97FF2"/>
    <w:rsid w:val="00EA2249"/>
    <w:rsid w:val="00EA301D"/>
    <w:rsid w:val="00EA5FB5"/>
    <w:rsid w:val="00EB1BB7"/>
    <w:rsid w:val="00EB7D37"/>
    <w:rsid w:val="00EC02A0"/>
    <w:rsid w:val="00EC1AC1"/>
    <w:rsid w:val="00EC5BF6"/>
    <w:rsid w:val="00EC6C6C"/>
    <w:rsid w:val="00EC7459"/>
    <w:rsid w:val="00EC7A8A"/>
    <w:rsid w:val="00ED158F"/>
    <w:rsid w:val="00ED5432"/>
    <w:rsid w:val="00ED6B90"/>
    <w:rsid w:val="00ED6BE4"/>
    <w:rsid w:val="00ED6EF5"/>
    <w:rsid w:val="00EE0D94"/>
    <w:rsid w:val="00EE13E6"/>
    <w:rsid w:val="00EE1812"/>
    <w:rsid w:val="00EE24EB"/>
    <w:rsid w:val="00EE4639"/>
    <w:rsid w:val="00EE52AB"/>
    <w:rsid w:val="00EE554D"/>
    <w:rsid w:val="00EE741F"/>
    <w:rsid w:val="00EF1507"/>
    <w:rsid w:val="00EF39C2"/>
    <w:rsid w:val="00EF5AEA"/>
    <w:rsid w:val="00EF63EF"/>
    <w:rsid w:val="00F00B15"/>
    <w:rsid w:val="00F0167A"/>
    <w:rsid w:val="00F02DBC"/>
    <w:rsid w:val="00F03844"/>
    <w:rsid w:val="00F042A3"/>
    <w:rsid w:val="00F0486D"/>
    <w:rsid w:val="00F11D5B"/>
    <w:rsid w:val="00F15002"/>
    <w:rsid w:val="00F251BE"/>
    <w:rsid w:val="00F25936"/>
    <w:rsid w:val="00F275E9"/>
    <w:rsid w:val="00F36578"/>
    <w:rsid w:val="00F41528"/>
    <w:rsid w:val="00F45E87"/>
    <w:rsid w:val="00F468D3"/>
    <w:rsid w:val="00F51E38"/>
    <w:rsid w:val="00F51FA9"/>
    <w:rsid w:val="00F52773"/>
    <w:rsid w:val="00F60D30"/>
    <w:rsid w:val="00F617F8"/>
    <w:rsid w:val="00F6475C"/>
    <w:rsid w:val="00F64890"/>
    <w:rsid w:val="00F66C2D"/>
    <w:rsid w:val="00F66C6B"/>
    <w:rsid w:val="00F66F04"/>
    <w:rsid w:val="00F72853"/>
    <w:rsid w:val="00F74E94"/>
    <w:rsid w:val="00F75D8C"/>
    <w:rsid w:val="00F81698"/>
    <w:rsid w:val="00F81B32"/>
    <w:rsid w:val="00F82DFD"/>
    <w:rsid w:val="00F836FD"/>
    <w:rsid w:val="00F8636E"/>
    <w:rsid w:val="00F86983"/>
    <w:rsid w:val="00F8750F"/>
    <w:rsid w:val="00F941B8"/>
    <w:rsid w:val="00FA5D3F"/>
    <w:rsid w:val="00FA6001"/>
    <w:rsid w:val="00FA6D36"/>
    <w:rsid w:val="00FA6D7E"/>
    <w:rsid w:val="00FC24B7"/>
    <w:rsid w:val="00FC3154"/>
    <w:rsid w:val="00FC3444"/>
    <w:rsid w:val="00FC563D"/>
    <w:rsid w:val="00FC5B6C"/>
    <w:rsid w:val="00FC704A"/>
    <w:rsid w:val="00FD0AB9"/>
    <w:rsid w:val="00FD48B6"/>
    <w:rsid w:val="00FD57EE"/>
    <w:rsid w:val="00FE26E0"/>
    <w:rsid w:val="00FE3C72"/>
    <w:rsid w:val="00FE69B7"/>
    <w:rsid w:val="00FF0B24"/>
    <w:rsid w:val="00FF1AAB"/>
    <w:rsid w:val="00FF446A"/>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93"/>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93"/>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806632875">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540722">
      <w:bodyDiv w:val="1"/>
      <w:marLeft w:val="0"/>
      <w:marRight w:val="0"/>
      <w:marTop w:val="0"/>
      <w:marBottom w:val="0"/>
      <w:divBdr>
        <w:top w:val="none" w:sz="0" w:space="0" w:color="auto"/>
        <w:left w:val="none" w:sz="0" w:space="0" w:color="auto"/>
        <w:bottom w:val="none" w:sz="0" w:space="0" w:color="auto"/>
        <w:right w:val="none" w:sz="0" w:space="0" w:color="auto"/>
      </w:divBdr>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832524042">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76835-DE99-4E0E-B2B3-FE15FDF0E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18</cp:revision>
  <cp:lastPrinted>2017-02-03T17:43:00Z</cp:lastPrinted>
  <dcterms:created xsi:type="dcterms:W3CDTF">2017-02-02T20:53:00Z</dcterms:created>
  <dcterms:modified xsi:type="dcterms:W3CDTF">2017-02-03T18:39:00Z</dcterms:modified>
</cp:coreProperties>
</file>