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62E5" w:rsidRPr="009841D5" w:rsidRDefault="008962E5" w:rsidP="009841D5">
      <w:pPr>
        <w:tabs>
          <w:tab w:val="left" w:pos="0"/>
        </w:tabs>
        <w:spacing w:after="0" w:line="240" w:lineRule="auto"/>
        <w:jc w:val="center"/>
        <w:rPr>
          <w:b/>
          <w:szCs w:val="24"/>
        </w:rPr>
      </w:pPr>
      <w:r w:rsidRPr="009841D5">
        <w:rPr>
          <w:b/>
          <w:szCs w:val="24"/>
        </w:rPr>
        <w:t>BEFORE THE</w:t>
      </w:r>
    </w:p>
    <w:p w:rsidR="008962E5" w:rsidRPr="009841D5" w:rsidRDefault="008962E5" w:rsidP="009841D5">
      <w:pPr>
        <w:tabs>
          <w:tab w:val="left" w:pos="0"/>
        </w:tabs>
        <w:spacing w:after="0" w:line="240" w:lineRule="auto"/>
        <w:jc w:val="center"/>
        <w:rPr>
          <w:b/>
          <w:szCs w:val="24"/>
        </w:rPr>
      </w:pPr>
      <w:r w:rsidRPr="009841D5">
        <w:rPr>
          <w:b/>
          <w:szCs w:val="24"/>
        </w:rPr>
        <w:t>PENNSYLVANIA PUBLIC UTILITY COMMISSION</w:t>
      </w:r>
    </w:p>
    <w:p w:rsidR="008962E5" w:rsidRPr="009841D5" w:rsidRDefault="008962E5" w:rsidP="009841D5">
      <w:pPr>
        <w:tabs>
          <w:tab w:val="left" w:pos="0"/>
        </w:tabs>
        <w:spacing w:after="0" w:line="240" w:lineRule="auto"/>
        <w:jc w:val="both"/>
        <w:rPr>
          <w:b/>
          <w:szCs w:val="24"/>
        </w:rPr>
      </w:pPr>
    </w:p>
    <w:p w:rsidR="008962E5" w:rsidRPr="009841D5" w:rsidRDefault="008962E5" w:rsidP="009841D5">
      <w:pPr>
        <w:tabs>
          <w:tab w:val="left" w:pos="0"/>
        </w:tabs>
        <w:spacing w:after="0" w:line="240" w:lineRule="auto"/>
        <w:jc w:val="both"/>
        <w:rPr>
          <w:b/>
          <w:szCs w:val="24"/>
        </w:rPr>
      </w:pPr>
    </w:p>
    <w:p w:rsidR="009841D5" w:rsidRPr="009841D5" w:rsidRDefault="009841D5" w:rsidP="009841D5">
      <w:pPr>
        <w:tabs>
          <w:tab w:val="left" w:pos="0"/>
        </w:tabs>
        <w:spacing w:after="0" w:line="240" w:lineRule="auto"/>
        <w:jc w:val="both"/>
        <w:rPr>
          <w:b/>
          <w:szCs w:val="24"/>
        </w:rPr>
      </w:pPr>
    </w:p>
    <w:p w:rsidR="001358CE" w:rsidRPr="009841D5" w:rsidRDefault="001358CE" w:rsidP="009841D5">
      <w:pPr>
        <w:tabs>
          <w:tab w:val="left" w:pos="-720"/>
        </w:tabs>
        <w:suppressAutoHyphens/>
        <w:spacing w:after="0" w:line="240" w:lineRule="auto"/>
        <w:rPr>
          <w:spacing w:val="-3"/>
          <w:szCs w:val="24"/>
        </w:rPr>
      </w:pPr>
      <w:r w:rsidRPr="009841D5">
        <w:rPr>
          <w:spacing w:val="-3"/>
          <w:szCs w:val="24"/>
        </w:rPr>
        <w:t>Application of PPL Electric Utilities Corporation</w:t>
      </w:r>
      <w:r w:rsidRPr="009841D5">
        <w:rPr>
          <w:spacing w:val="-3"/>
          <w:szCs w:val="24"/>
        </w:rPr>
        <w:tab/>
        <w:t>:</w:t>
      </w:r>
    </w:p>
    <w:p w:rsidR="001358CE" w:rsidRPr="009841D5" w:rsidRDefault="001358CE" w:rsidP="009841D5">
      <w:pPr>
        <w:tabs>
          <w:tab w:val="left" w:pos="-720"/>
        </w:tabs>
        <w:suppressAutoHyphens/>
        <w:spacing w:after="0" w:line="240" w:lineRule="auto"/>
        <w:rPr>
          <w:spacing w:val="-3"/>
          <w:szCs w:val="24"/>
        </w:rPr>
      </w:pPr>
      <w:proofErr w:type="gramStart"/>
      <w:r w:rsidRPr="009841D5">
        <w:rPr>
          <w:spacing w:val="-3"/>
          <w:szCs w:val="24"/>
        </w:rPr>
        <w:t>under</w:t>
      </w:r>
      <w:proofErr w:type="gramEnd"/>
      <w:r w:rsidRPr="009841D5">
        <w:rPr>
          <w:spacing w:val="-3"/>
          <w:szCs w:val="24"/>
        </w:rPr>
        <w:t xml:space="preserve"> 15 Pa. C.S. §1511(c) for a finding and</w:t>
      </w:r>
      <w:r w:rsidRPr="009841D5">
        <w:rPr>
          <w:spacing w:val="-3"/>
          <w:szCs w:val="24"/>
        </w:rPr>
        <w:tab/>
      </w:r>
      <w:r w:rsidRPr="009841D5">
        <w:rPr>
          <w:spacing w:val="-3"/>
          <w:szCs w:val="24"/>
        </w:rPr>
        <w:tab/>
        <w:t>:</w:t>
      </w:r>
    </w:p>
    <w:p w:rsidR="001358CE" w:rsidRPr="009841D5" w:rsidRDefault="001358CE" w:rsidP="009841D5">
      <w:pPr>
        <w:tabs>
          <w:tab w:val="left" w:pos="-720"/>
        </w:tabs>
        <w:suppressAutoHyphens/>
        <w:spacing w:after="0" w:line="240" w:lineRule="auto"/>
        <w:rPr>
          <w:spacing w:val="-3"/>
          <w:szCs w:val="24"/>
        </w:rPr>
      </w:pPr>
      <w:proofErr w:type="gramStart"/>
      <w:r w:rsidRPr="009841D5">
        <w:rPr>
          <w:spacing w:val="-3"/>
          <w:szCs w:val="24"/>
        </w:rPr>
        <w:t>determination</w:t>
      </w:r>
      <w:proofErr w:type="gramEnd"/>
      <w:r w:rsidRPr="009841D5">
        <w:rPr>
          <w:spacing w:val="-3"/>
          <w:szCs w:val="24"/>
        </w:rPr>
        <w:t xml:space="preserve"> that the service</w:t>
      </w:r>
      <w:r w:rsidRPr="009841D5">
        <w:rPr>
          <w:spacing w:val="-3"/>
          <w:szCs w:val="24"/>
        </w:rPr>
        <w:tab/>
        <w:t>to be furnished by</w:t>
      </w:r>
      <w:r w:rsidRPr="009841D5">
        <w:rPr>
          <w:spacing w:val="-3"/>
          <w:szCs w:val="24"/>
        </w:rPr>
        <w:tab/>
        <w:t xml:space="preserve">: </w:t>
      </w:r>
    </w:p>
    <w:p w:rsidR="001358CE" w:rsidRPr="009841D5" w:rsidRDefault="001358CE" w:rsidP="009841D5">
      <w:pPr>
        <w:tabs>
          <w:tab w:val="left" w:pos="-720"/>
        </w:tabs>
        <w:suppressAutoHyphens/>
        <w:spacing w:after="0" w:line="240" w:lineRule="auto"/>
        <w:rPr>
          <w:spacing w:val="-3"/>
          <w:szCs w:val="24"/>
        </w:rPr>
      </w:pPr>
      <w:proofErr w:type="gramStart"/>
      <w:r w:rsidRPr="009841D5">
        <w:rPr>
          <w:spacing w:val="-3"/>
          <w:szCs w:val="24"/>
        </w:rPr>
        <w:t>the</w:t>
      </w:r>
      <w:proofErr w:type="gramEnd"/>
      <w:r w:rsidRPr="009841D5">
        <w:rPr>
          <w:spacing w:val="-3"/>
          <w:szCs w:val="24"/>
        </w:rPr>
        <w:t xml:space="preserve"> applicant through its proposed exercise of the</w:t>
      </w:r>
      <w:r w:rsidRPr="009841D5">
        <w:rPr>
          <w:spacing w:val="-3"/>
          <w:szCs w:val="24"/>
        </w:rPr>
        <w:tab/>
        <w:t xml:space="preserve">: </w:t>
      </w:r>
    </w:p>
    <w:p w:rsidR="001358CE" w:rsidRPr="009841D5" w:rsidRDefault="001358CE" w:rsidP="009841D5">
      <w:pPr>
        <w:tabs>
          <w:tab w:val="left" w:pos="-720"/>
        </w:tabs>
        <w:suppressAutoHyphens/>
        <w:spacing w:after="0" w:line="240" w:lineRule="auto"/>
        <w:rPr>
          <w:spacing w:val="-3"/>
          <w:szCs w:val="24"/>
        </w:rPr>
      </w:pPr>
      <w:proofErr w:type="gramStart"/>
      <w:r w:rsidRPr="009841D5">
        <w:rPr>
          <w:spacing w:val="-3"/>
          <w:szCs w:val="24"/>
        </w:rPr>
        <w:t>power</w:t>
      </w:r>
      <w:proofErr w:type="gramEnd"/>
      <w:r w:rsidRPr="009841D5">
        <w:rPr>
          <w:spacing w:val="-3"/>
          <w:szCs w:val="24"/>
        </w:rPr>
        <w:t xml:space="preserve"> of eminent domain to acquire a right of way </w:t>
      </w:r>
      <w:r w:rsidRPr="009841D5">
        <w:rPr>
          <w:spacing w:val="-3"/>
          <w:szCs w:val="24"/>
        </w:rPr>
        <w:tab/>
        <w:t>:</w:t>
      </w:r>
      <w:r w:rsidRPr="009841D5">
        <w:rPr>
          <w:spacing w:val="-3"/>
          <w:szCs w:val="24"/>
        </w:rPr>
        <w:tab/>
      </w:r>
      <w:r w:rsidRPr="009841D5">
        <w:rPr>
          <w:spacing w:val="-3"/>
          <w:szCs w:val="24"/>
        </w:rPr>
        <w:tab/>
        <w:t>A-2016-2571918</w:t>
      </w:r>
    </w:p>
    <w:p w:rsidR="001358CE" w:rsidRPr="009841D5" w:rsidRDefault="001358CE" w:rsidP="009841D5">
      <w:pPr>
        <w:tabs>
          <w:tab w:val="left" w:pos="-720"/>
        </w:tabs>
        <w:suppressAutoHyphens/>
        <w:spacing w:after="0" w:line="240" w:lineRule="auto"/>
        <w:rPr>
          <w:spacing w:val="-3"/>
          <w:szCs w:val="24"/>
        </w:rPr>
      </w:pPr>
      <w:proofErr w:type="gramStart"/>
      <w:r w:rsidRPr="009841D5">
        <w:rPr>
          <w:spacing w:val="-3"/>
          <w:szCs w:val="24"/>
        </w:rPr>
        <w:t>and</w:t>
      </w:r>
      <w:proofErr w:type="gramEnd"/>
      <w:r w:rsidRPr="009841D5">
        <w:rPr>
          <w:spacing w:val="-3"/>
          <w:szCs w:val="24"/>
        </w:rPr>
        <w:t xml:space="preserve"> easement over and a certain portion of the lands</w:t>
      </w:r>
      <w:r w:rsidRPr="009841D5">
        <w:rPr>
          <w:spacing w:val="-3"/>
          <w:szCs w:val="24"/>
        </w:rPr>
        <w:tab/>
        <w:t>:</w:t>
      </w:r>
    </w:p>
    <w:p w:rsidR="001358CE" w:rsidRPr="009841D5" w:rsidRDefault="001358CE" w:rsidP="009841D5">
      <w:pPr>
        <w:tabs>
          <w:tab w:val="left" w:pos="-720"/>
        </w:tabs>
        <w:suppressAutoHyphens/>
        <w:spacing w:after="0" w:line="240" w:lineRule="auto"/>
        <w:rPr>
          <w:spacing w:val="-3"/>
          <w:szCs w:val="24"/>
        </w:rPr>
      </w:pPr>
      <w:proofErr w:type="gramStart"/>
      <w:r w:rsidRPr="009841D5">
        <w:rPr>
          <w:spacing w:val="-3"/>
          <w:szCs w:val="24"/>
        </w:rPr>
        <w:t>of</w:t>
      </w:r>
      <w:proofErr w:type="gramEnd"/>
      <w:r w:rsidRPr="009841D5">
        <w:rPr>
          <w:spacing w:val="-3"/>
          <w:szCs w:val="24"/>
        </w:rPr>
        <w:t xml:space="preserve"> the Heirs of Davis Dean, in West Abington,</w:t>
      </w:r>
      <w:r w:rsidRPr="009841D5">
        <w:rPr>
          <w:spacing w:val="-3"/>
          <w:szCs w:val="24"/>
        </w:rPr>
        <w:tab/>
        <w:t>:</w:t>
      </w:r>
    </w:p>
    <w:p w:rsidR="001358CE" w:rsidRPr="009841D5" w:rsidRDefault="001358CE" w:rsidP="009841D5">
      <w:pPr>
        <w:tabs>
          <w:tab w:val="left" w:pos="-720"/>
        </w:tabs>
        <w:suppressAutoHyphens/>
        <w:spacing w:after="0" w:line="240" w:lineRule="auto"/>
        <w:rPr>
          <w:spacing w:val="-3"/>
          <w:szCs w:val="24"/>
        </w:rPr>
      </w:pPr>
      <w:r w:rsidRPr="009841D5">
        <w:rPr>
          <w:spacing w:val="-3"/>
          <w:szCs w:val="24"/>
        </w:rPr>
        <w:t xml:space="preserve">Lackawanna County, Pennsylvania is necessary or </w:t>
      </w:r>
      <w:r w:rsidRPr="009841D5">
        <w:rPr>
          <w:spacing w:val="-3"/>
          <w:szCs w:val="24"/>
        </w:rPr>
        <w:tab/>
        <w:t>:</w:t>
      </w:r>
    </w:p>
    <w:p w:rsidR="001358CE" w:rsidRPr="009841D5" w:rsidRDefault="001358CE" w:rsidP="009841D5">
      <w:pPr>
        <w:tabs>
          <w:tab w:val="left" w:pos="-720"/>
        </w:tabs>
        <w:suppressAutoHyphens/>
        <w:spacing w:after="0" w:line="240" w:lineRule="auto"/>
        <w:rPr>
          <w:spacing w:val="-3"/>
          <w:szCs w:val="24"/>
        </w:rPr>
      </w:pPr>
      <w:proofErr w:type="gramStart"/>
      <w:r w:rsidRPr="009841D5">
        <w:rPr>
          <w:spacing w:val="-3"/>
          <w:szCs w:val="24"/>
        </w:rPr>
        <w:t>proper</w:t>
      </w:r>
      <w:proofErr w:type="gramEnd"/>
      <w:r w:rsidRPr="009841D5">
        <w:rPr>
          <w:spacing w:val="-3"/>
          <w:szCs w:val="24"/>
        </w:rPr>
        <w:t xml:space="preserve"> for the service, accommodation, convenience</w:t>
      </w:r>
      <w:r w:rsidRPr="009841D5">
        <w:rPr>
          <w:spacing w:val="-3"/>
          <w:szCs w:val="24"/>
        </w:rPr>
        <w:tab/>
        <w:t>:</w:t>
      </w:r>
    </w:p>
    <w:p w:rsidR="001358CE" w:rsidRPr="009841D5" w:rsidRDefault="001358CE" w:rsidP="009841D5">
      <w:pPr>
        <w:tabs>
          <w:tab w:val="left" w:pos="-720"/>
        </w:tabs>
        <w:suppressAutoHyphens/>
        <w:spacing w:after="0" w:line="240" w:lineRule="auto"/>
        <w:rPr>
          <w:spacing w:val="-3"/>
          <w:szCs w:val="24"/>
        </w:rPr>
      </w:pPr>
      <w:proofErr w:type="gramStart"/>
      <w:r w:rsidRPr="009841D5">
        <w:rPr>
          <w:spacing w:val="-3"/>
          <w:szCs w:val="24"/>
        </w:rPr>
        <w:t>or</w:t>
      </w:r>
      <w:proofErr w:type="gramEnd"/>
      <w:r w:rsidRPr="009841D5">
        <w:rPr>
          <w:spacing w:val="-3"/>
          <w:szCs w:val="24"/>
        </w:rPr>
        <w:t xml:space="preserve"> safety of the public</w:t>
      </w:r>
      <w:r w:rsidRPr="009841D5">
        <w:rPr>
          <w:spacing w:val="-3"/>
          <w:szCs w:val="24"/>
        </w:rPr>
        <w:tab/>
      </w:r>
      <w:r w:rsidRPr="009841D5">
        <w:rPr>
          <w:spacing w:val="-3"/>
          <w:szCs w:val="24"/>
        </w:rPr>
        <w:tab/>
      </w:r>
      <w:r w:rsidRPr="009841D5">
        <w:rPr>
          <w:spacing w:val="-3"/>
          <w:szCs w:val="24"/>
        </w:rPr>
        <w:tab/>
      </w:r>
      <w:r w:rsidRPr="009841D5">
        <w:rPr>
          <w:spacing w:val="-3"/>
          <w:szCs w:val="24"/>
        </w:rPr>
        <w:tab/>
      </w:r>
      <w:r w:rsidRPr="009841D5">
        <w:rPr>
          <w:spacing w:val="-3"/>
          <w:szCs w:val="24"/>
        </w:rPr>
        <w:tab/>
        <w:t>:</w:t>
      </w:r>
    </w:p>
    <w:p w:rsidR="001358CE" w:rsidRPr="009841D5" w:rsidRDefault="001358CE" w:rsidP="009841D5">
      <w:pPr>
        <w:tabs>
          <w:tab w:val="left" w:pos="-720"/>
        </w:tabs>
        <w:suppressAutoHyphens/>
        <w:spacing w:after="0" w:line="240" w:lineRule="auto"/>
        <w:rPr>
          <w:spacing w:val="-3"/>
          <w:szCs w:val="24"/>
        </w:rPr>
      </w:pPr>
      <w:r w:rsidRPr="009841D5">
        <w:rPr>
          <w:spacing w:val="-3"/>
          <w:szCs w:val="24"/>
        </w:rPr>
        <w:tab/>
      </w:r>
      <w:r w:rsidRPr="009841D5">
        <w:rPr>
          <w:spacing w:val="-3"/>
          <w:szCs w:val="24"/>
        </w:rPr>
        <w:tab/>
      </w:r>
      <w:r w:rsidRPr="009841D5">
        <w:rPr>
          <w:spacing w:val="-3"/>
          <w:szCs w:val="24"/>
        </w:rPr>
        <w:tab/>
      </w:r>
      <w:r w:rsidRPr="009841D5">
        <w:rPr>
          <w:spacing w:val="-3"/>
          <w:szCs w:val="24"/>
        </w:rPr>
        <w:tab/>
      </w:r>
      <w:r w:rsidRPr="009841D5">
        <w:rPr>
          <w:spacing w:val="-3"/>
          <w:szCs w:val="24"/>
        </w:rPr>
        <w:tab/>
      </w:r>
      <w:r w:rsidRPr="009841D5">
        <w:rPr>
          <w:spacing w:val="-3"/>
          <w:szCs w:val="24"/>
        </w:rPr>
        <w:tab/>
        <w:t>:</w:t>
      </w:r>
    </w:p>
    <w:p w:rsidR="001358CE" w:rsidRPr="009841D5" w:rsidRDefault="001358CE" w:rsidP="009841D5">
      <w:pPr>
        <w:tabs>
          <w:tab w:val="left" w:pos="-720"/>
        </w:tabs>
        <w:suppressAutoHyphens/>
        <w:spacing w:after="0" w:line="240" w:lineRule="auto"/>
        <w:rPr>
          <w:spacing w:val="-3"/>
          <w:szCs w:val="24"/>
        </w:rPr>
      </w:pPr>
      <w:r w:rsidRPr="009841D5">
        <w:rPr>
          <w:spacing w:val="-3"/>
          <w:szCs w:val="24"/>
        </w:rPr>
        <w:t>Application of PPL Electric Utilities Corporation</w:t>
      </w:r>
      <w:r w:rsidRPr="009841D5">
        <w:rPr>
          <w:spacing w:val="-3"/>
          <w:szCs w:val="24"/>
        </w:rPr>
        <w:tab/>
        <w:t>:</w:t>
      </w:r>
    </w:p>
    <w:p w:rsidR="001358CE" w:rsidRPr="009841D5" w:rsidRDefault="001358CE" w:rsidP="009841D5">
      <w:pPr>
        <w:tabs>
          <w:tab w:val="left" w:pos="-720"/>
        </w:tabs>
        <w:suppressAutoHyphens/>
        <w:spacing w:after="0" w:line="240" w:lineRule="auto"/>
        <w:rPr>
          <w:spacing w:val="-3"/>
          <w:szCs w:val="24"/>
        </w:rPr>
      </w:pPr>
      <w:proofErr w:type="gramStart"/>
      <w:r w:rsidRPr="009841D5">
        <w:rPr>
          <w:spacing w:val="-3"/>
          <w:szCs w:val="24"/>
        </w:rPr>
        <w:t>under</w:t>
      </w:r>
      <w:proofErr w:type="gramEnd"/>
      <w:r w:rsidRPr="009841D5">
        <w:rPr>
          <w:spacing w:val="-3"/>
          <w:szCs w:val="24"/>
        </w:rPr>
        <w:t xml:space="preserve"> 15 Pa. C.S. §1511(c) for a finding and</w:t>
      </w:r>
      <w:r w:rsidRPr="009841D5">
        <w:rPr>
          <w:spacing w:val="-3"/>
          <w:szCs w:val="24"/>
        </w:rPr>
        <w:tab/>
      </w:r>
      <w:r w:rsidRPr="009841D5">
        <w:rPr>
          <w:spacing w:val="-3"/>
          <w:szCs w:val="24"/>
        </w:rPr>
        <w:tab/>
        <w:t>:</w:t>
      </w:r>
    </w:p>
    <w:p w:rsidR="001358CE" w:rsidRPr="009841D5" w:rsidRDefault="001358CE" w:rsidP="009841D5">
      <w:pPr>
        <w:tabs>
          <w:tab w:val="left" w:pos="-720"/>
        </w:tabs>
        <w:suppressAutoHyphens/>
        <w:spacing w:after="0" w:line="240" w:lineRule="auto"/>
        <w:rPr>
          <w:spacing w:val="-3"/>
          <w:szCs w:val="24"/>
        </w:rPr>
      </w:pPr>
      <w:proofErr w:type="gramStart"/>
      <w:r w:rsidRPr="009841D5">
        <w:rPr>
          <w:spacing w:val="-3"/>
          <w:szCs w:val="24"/>
        </w:rPr>
        <w:t>determination</w:t>
      </w:r>
      <w:proofErr w:type="gramEnd"/>
      <w:r w:rsidRPr="009841D5">
        <w:rPr>
          <w:spacing w:val="-3"/>
          <w:szCs w:val="24"/>
        </w:rPr>
        <w:t xml:space="preserve"> that the service</w:t>
      </w:r>
      <w:r w:rsidRPr="009841D5">
        <w:rPr>
          <w:spacing w:val="-3"/>
          <w:szCs w:val="24"/>
        </w:rPr>
        <w:tab/>
        <w:t>to be furnished by</w:t>
      </w:r>
      <w:r w:rsidRPr="009841D5">
        <w:rPr>
          <w:spacing w:val="-3"/>
          <w:szCs w:val="24"/>
        </w:rPr>
        <w:tab/>
        <w:t xml:space="preserve">: </w:t>
      </w:r>
      <w:r w:rsidRPr="009841D5">
        <w:rPr>
          <w:spacing w:val="-3"/>
          <w:szCs w:val="24"/>
        </w:rPr>
        <w:tab/>
      </w:r>
      <w:r w:rsidRPr="009841D5">
        <w:rPr>
          <w:spacing w:val="-3"/>
          <w:szCs w:val="24"/>
        </w:rPr>
        <w:tab/>
        <w:t>A-2016-2571923</w:t>
      </w:r>
    </w:p>
    <w:p w:rsidR="001358CE" w:rsidRPr="009841D5" w:rsidRDefault="001358CE" w:rsidP="009841D5">
      <w:pPr>
        <w:tabs>
          <w:tab w:val="left" w:pos="-720"/>
        </w:tabs>
        <w:suppressAutoHyphens/>
        <w:spacing w:after="0" w:line="240" w:lineRule="auto"/>
        <w:rPr>
          <w:spacing w:val="-3"/>
          <w:szCs w:val="24"/>
        </w:rPr>
      </w:pPr>
      <w:proofErr w:type="gramStart"/>
      <w:r w:rsidRPr="009841D5">
        <w:rPr>
          <w:spacing w:val="-3"/>
          <w:szCs w:val="24"/>
        </w:rPr>
        <w:t>the</w:t>
      </w:r>
      <w:proofErr w:type="gramEnd"/>
      <w:r w:rsidRPr="009841D5">
        <w:rPr>
          <w:spacing w:val="-3"/>
          <w:szCs w:val="24"/>
        </w:rPr>
        <w:t xml:space="preserve"> applicant through its proposed exercise of the</w:t>
      </w:r>
      <w:r w:rsidRPr="009841D5">
        <w:rPr>
          <w:spacing w:val="-3"/>
          <w:szCs w:val="24"/>
        </w:rPr>
        <w:tab/>
        <w:t xml:space="preserve">: </w:t>
      </w:r>
    </w:p>
    <w:p w:rsidR="001358CE" w:rsidRPr="009841D5" w:rsidRDefault="001358CE" w:rsidP="009841D5">
      <w:pPr>
        <w:tabs>
          <w:tab w:val="left" w:pos="-720"/>
        </w:tabs>
        <w:suppressAutoHyphens/>
        <w:spacing w:after="0" w:line="240" w:lineRule="auto"/>
        <w:rPr>
          <w:spacing w:val="-3"/>
          <w:szCs w:val="24"/>
        </w:rPr>
      </w:pPr>
      <w:proofErr w:type="gramStart"/>
      <w:r w:rsidRPr="009841D5">
        <w:rPr>
          <w:spacing w:val="-3"/>
          <w:szCs w:val="24"/>
        </w:rPr>
        <w:t>power</w:t>
      </w:r>
      <w:proofErr w:type="gramEnd"/>
      <w:r w:rsidRPr="009841D5">
        <w:rPr>
          <w:spacing w:val="-3"/>
          <w:szCs w:val="24"/>
        </w:rPr>
        <w:t xml:space="preserve"> of eminent domain to acquire a right of way </w:t>
      </w:r>
      <w:r w:rsidRPr="009841D5">
        <w:rPr>
          <w:spacing w:val="-3"/>
          <w:szCs w:val="24"/>
        </w:rPr>
        <w:tab/>
        <w:t>:</w:t>
      </w:r>
    </w:p>
    <w:p w:rsidR="001358CE" w:rsidRPr="009841D5" w:rsidRDefault="001358CE" w:rsidP="009841D5">
      <w:pPr>
        <w:tabs>
          <w:tab w:val="left" w:pos="-720"/>
        </w:tabs>
        <w:suppressAutoHyphens/>
        <w:spacing w:after="0" w:line="240" w:lineRule="auto"/>
        <w:rPr>
          <w:spacing w:val="-3"/>
          <w:szCs w:val="24"/>
        </w:rPr>
      </w:pPr>
      <w:proofErr w:type="gramStart"/>
      <w:r w:rsidRPr="009841D5">
        <w:rPr>
          <w:spacing w:val="-3"/>
          <w:szCs w:val="24"/>
        </w:rPr>
        <w:t>and</w:t>
      </w:r>
      <w:proofErr w:type="gramEnd"/>
      <w:r w:rsidRPr="009841D5">
        <w:rPr>
          <w:spacing w:val="-3"/>
          <w:szCs w:val="24"/>
        </w:rPr>
        <w:t xml:space="preserve"> easement over and a certain portion of the lands</w:t>
      </w:r>
      <w:r w:rsidRPr="009841D5">
        <w:rPr>
          <w:spacing w:val="-3"/>
          <w:szCs w:val="24"/>
        </w:rPr>
        <w:tab/>
        <w:t>:</w:t>
      </w:r>
    </w:p>
    <w:p w:rsidR="001358CE" w:rsidRPr="009841D5" w:rsidRDefault="001358CE" w:rsidP="009841D5">
      <w:pPr>
        <w:tabs>
          <w:tab w:val="left" w:pos="-720"/>
        </w:tabs>
        <w:suppressAutoHyphens/>
        <w:spacing w:after="0" w:line="240" w:lineRule="auto"/>
        <w:rPr>
          <w:spacing w:val="-3"/>
          <w:szCs w:val="24"/>
        </w:rPr>
      </w:pPr>
      <w:proofErr w:type="gramStart"/>
      <w:r w:rsidRPr="009841D5">
        <w:rPr>
          <w:spacing w:val="-3"/>
          <w:szCs w:val="24"/>
        </w:rPr>
        <w:t>of</w:t>
      </w:r>
      <w:proofErr w:type="gramEnd"/>
      <w:r w:rsidRPr="009841D5">
        <w:rPr>
          <w:spacing w:val="-3"/>
          <w:szCs w:val="24"/>
        </w:rPr>
        <w:t xml:space="preserve"> Dalton Equity, Inc., in West Abington,</w:t>
      </w:r>
      <w:r w:rsidRPr="009841D5">
        <w:rPr>
          <w:spacing w:val="-3"/>
          <w:szCs w:val="24"/>
        </w:rPr>
        <w:tab/>
      </w:r>
      <w:r w:rsidRPr="009841D5">
        <w:rPr>
          <w:spacing w:val="-3"/>
          <w:szCs w:val="24"/>
        </w:rPr>
        <w:tab/>
        <w:t>:</w:t>
      </w:r>
    </w:p>
    <w:p w:rsidR="001358CE" w:rsidRPr="009841D5" w:rsidRDefault="001358CE" w:rsidP="009841D5">
      <w:pPr>
        <w:tabs>
          <w:tab w:val="left" w:pos="-720"/>
        </w:tabs>
        <w:suppressAutoHyphens/>
        <w:spacing w:after="0" w:line="240" w:lineRule="auto"/>
        <w:rPr>
          <w:spacing w:val="-3"/>
          <w:szCs w:val="24"/>
        </w:rPr>
      </w:pPr>
      <w:r w:rsidRPr="009841D5">
        <w:rPr>
          <w:spacing w:val="-3"/>
          <w:szCs w:val="24"/>
        </w:rPr>
        <w:t xml:space="preserve">Lackawanna County, Pennsylvania is necessary or </w:t>
      </w:r>
      <w:r w:rsidRPr="009841D5">
        <w:rPr>
          <w:spacing w:val="-3"/>
          <w:szCs w:val="24"/>
        </w:rPr>
        <w:tab/>
        <w:t>:</w:t>
      </w:r>
    </w:p>
    <w:p w:rsidR="001358CE" w:rsidRPr="009841D5" w:rsidRDefault="001358CE" w:rsidP="009841D5">
      <w:pPr>
        <w:tabs>
          <w:tab w:val="left" w:pos="-720"/>
        </w:tabs>
        <w:suppressAutoHyphens/>
        <w:spacing w:after="0" w:line="240" w:lineRule="auto"/>
        <w:rPr>
          <w:spacing w:val="-3"/>
          <w:szCs w:val="24"/>
        </w:rPr>
      </w:pPr>
      <w:proofErr w:type="gramStart"/>
      <w:r w:rsidRPr="009841D5">
        <w:rPr>
          <w:spacing w:val="-3"/>
          <w:szCs w:val="24"/>
        </w:rPr>
        <w:t>proper</w:t>
      </w:r>
      <w:proofErr w:type="gramEnd"/>
      <w:r w:rsidRPr="009841D5">
        <w:rPr>
          <w:spacing w:val="-3"/>
          <w:szCs w:val="24"/>
        </w:rPr>
        <w:t xml:space="preserve"> for the service, accommodation, convenience</w:t>
      </w:r>
      <w:r w:rsidRPr="009841D5">
        <w:rPr>
          <w:spacing w:val="-3"/>
          <w:szCs w:val="24"/>
        </w:rPr>
        <w:tab/>
        <w:t>:</w:t>
      </w:r>
    </w:p>
    <w:p w:rsidR="001358CE" w:rsidRPr="009841D5" w:rsidRDefault="001358CE" w:rsidP="009841D5">
      <w:pPr>
        <w:tabs>
          <w:tab w:val="left" w:pos="-720"/>
        </w:tabs>
        <w:suppressAutoHyphens/>
        <w:spacing w:after="0" w:line="240" w:lineRule="auto"/>
        <w:rPr>
          <w:spacing w:val="-3"/>
          <w:szCs w:val="24"/>
        </w:rPr>
      </w:pPr>
      <w:proofErr w:type="gramStart"/>
      <w:r w:rsidRPr="009841D5">
        <w:rPr>
          <w:spacing w:val="-3"/>
          <w:szCs w:val="24"/>
        </w:rPr>
        <w:t>or</w:t>
      </w:r>
      <w:proofErr w:type="gramEnd"/>
      <w:r w:rsidRPr="009841D5">
        <w:rPr>
          <w:spacing w:val="-3"/>
          <w:szCs w:val="24"/>
        </w:rPr>
        <w:t xml:space="preserve"> safety of the public</w:t>
      </w:r>
      <w:r w:rsidRPr="009841D5">
        <w:rPr>
          <w:spacing w:val="-3"/>
          <w:szCs w:val="24"/>
        </w:rPr>
        <w:tab/>
      </w:r>
    </w:p>
    <w:p w:rsidR="001358CE" w:rsidRPr="009841D5" w:rsidRDefault="001358CE" w:rsidP="009841D5">
      <w:pPr>
        <w:spacing w:after="0" w:line="240" w:lineRule="auto"/>
        <w:rPr>
          <w:szCs w:val="24"/>
        </w:rPr>
      </w:pPr>
    </w:p>
    <w:p w:rsidR="003F7B6D" w:rsidRPr="009841D5" w:rsidRDefault="003F7B6D" w:rsidP="009841D5">
      <w:pPr>
        <w:spacing w:after="0" w:line="240" w:lineRule="auto"/>
        <w:rPr>
          <w:b/>
          <w:szCs w:val="24"/>
          <w:u w:val="single"/>
        </w:rPr>
      </w:pPr>
    </w:p>
    <w:p w:rsidR="001358CE" w:rsidRPr="009841D5" w:rsidRDefault="001358CE" w:rsidP="009841D5">
      <w:pPr>
        <w:spacing w:after="0"/>
        <w:jc w:val="center"/>
        <w:rPr>
          <w:b/>
          <w:szCs w:val="24"/>
          <w:u w:val="single"/>
        </w:rPr>
      </w:pPr>
      <w:r w:rsidRPr="009841D5">
        <w:rPr>
          <w:b/>
          <w:szCs w:val="24"/>
          <w:u w:val="single"/>
        </w:rPr>
        <w:t xml:space="preserve">ORDER </w:t>
      </w:r>
      <w:r w:rsidR="00DA0B63" w:rsidRPr="009841D5">
        <w:rPr>
          <w:b/>
          <w:szCs w:val="24"/>
          <w:u w:val="single"/>
        </w:rPr>
        <w:t>DENYING</w:t>
      </w:r>
      <w:r w:rsidRPr="009841D5">
        <w:rPr>
          <w:b/>
          <w:szCs w:val="24"/>
          <w:u w:val="single"/>
        </w:rPr>
        <w:t xml:space="preserve"> APPLICATION FOR ISSUANCE OF A SUBPOENA</w:t>
      </w:r>
    </w:p>
    <w:p w:rsidR="003F7B6D" w:rsidRPr="009841D5" w:rsidRDefault="003F7B6D" w:rsidP="009841D5">
      <w:pPr>
        <w:pStyle w:val="ParaTab1"/>
        <w:tabs>
          <w:tab w:val="left" w:pos="2070"/>
        </w:tabs>
        <w:spacing w:line="360" w:lineRule="auto"/>
        <w:rPr>
          <w:rFonts w:ascii="Times New Roman" w:hAnsi="Times New Roman" w:cs="Times New Roman"/>
        </w:rPr>
      </w:pPr>
    </w:p>
    <w:p w:rsidR="001358CE" w:rsidRPr="009841D5" w:rsidRDefault="001358CE" w:rsidP="009841D5">
      <w:pPr>
        <w:pStyle w:val="ParaTab1"/>
        <w:tabs>
          <w:tab w:val="left" w:pos="2070"/>
        </w:tabs>
        <w:spacing w:line="360" w:lineRule="auto"/>
        <w:rPr>
          <w:rFonts w:ascii="Times New Roman" w:hAnsi="Times New Roman" w:cs="Times New Roman"/>
        </w:rPr>
      </w:pPr>
      <w:r w:rsidRPr="009841D5">
        <w:rPr>
          <w:rFonts w:ascii="Times New Roman" w:hAnsi="Times New Roman" w:cs="Times New Roman"/>
        </w:rPr>
        <w:t xml:space="preserve">On December 13, 2016, a prehearing conference was held in the above-captioned matter.  By Procedural Order dated December 14, 2016, a hearing was scheduled for April 12, 2017. </w:t>
      </w:r>
    </w:p>
    <w:p w:rsidR="001358CE" w:rsidRPr="009841D5" w:rsidRDefault="001358CE" w:rsidP="009841D5">
      <w:pPr>
        <w:pStyle w:val="ParaTab1"/>
        <w:tabs>
          <w:tab w:val="left" w:pos="2070"/>
        </w:tabs>
        <w:spacing w:line="360" w:lineRule="auto"/>
        <w:rPr>
          <w:rFonts w:ascii="Times New Roman" w:hAnsi="Times New Roman" w:cs="Times New Roman"/>
        </w:rPr>
      </w:pPr>
    </w:p>
    <w:p w:rsidR="001358CE" w:rsidRPr="009841D5" w:rsidRDefault="001358CE" w:rsidP="009841D5">
      <w:pPr>
        <w:pStyle w:val="ParaTab1"/>
        <w:tabs>
          <w:tab w:val="left" w:pos="2070"/>
        </w:tabs>
        <w:spacing w:line="360" w:lineRule="auto"/>
        <w:rPr>
          <w:rFonts w:ascii="Times New Roman" w:hAnsi="Times New Roman" w:cs="Times New Roman"/>
        </w:rPr>
      </w:pPr>
      <w:r w:rsidRPr="009841D5">
        <w:rPr>
          <w:rFonts w:ascii="Times New Roman" w:hAnsi="Times New Roman" w:cs="Times New Roman"/>
        </w:rPr>
        <w:t xml:space="preserve">On </w:t>
      </w:r>
      <w:r w:rsidR="004A7774" w:rsidRPr="009841D5">
        <w:rPr>
          <w:rFonts w:ascii="Times New Roman" w:hAnsi="Times New Roman" w:cs="Times New Roman"/>
        </w:rPr>
        <w:t xml:space="preserve">February 1, 2017, Dalton Equity, Inc.’s Application for Issuance of a Subpoena and a Certificate of Service were </w:t>
      </w:r>
      <w:r w:rsidR="00DA0B63" w:rsidRPr="009841D5">
        <w:rPr>
          <w:rFonts w:ascii="Times New Roman" w:hAnsi="Times New Roman" w:cs="Times New Roman"/>
        </w:rPr>
        <w:t xml:space="preserve">electronically </w:t>
      </w:r>
      <w:r w:rsidR="004A7774" w:rsidRPr="009841D5">
        <w:rPr>
          <w:rFonts w:ascii="Times New Roman" w:hAnsi="Times New Roman" w:cs="Times New Roman"/>
        </w:rPr>
        <w:t xml:space="preserve">filed.  </w:t>
      </w:r>
      <w:r w:rsidR="00DA0B63" w:rsidRPr="009841D5">
        <w:rPr>
          <w:rFonts w:ascii="Times New Roman" w:hAnsi="Times New Roman" w:cs="Times New Roman"/>
        </w:rPr>
        <w:t xml:space="preserve">Although the cover letter </w:t>
      </w:r>
      <w:r w:rsidR="0099131F" w:rsidRPr="009841D5">
        <w:rPr>
          <w:rFonts w:ascii="Times New Roman" w:hAnsi="Times New Roman" w:cs="Times New Roman"/>
        </w:rPr>
        <w:t xml:space="preserve">attached to the Application </w:t>
      </w:r>
      <w:r w:rsidR="00DA0B63" w:rsidRPr="009841D5">
        <w:rPr>
          <w:rFonts w:ascii="Times New Roman" w:hAnsi="Times New Roman" w:cs="Times New Roman"/>
        </w:rPr>
        <w:t xml:space="preserve">is dated January 4, 2017, an e-confirmation of filing was not issued by the Secretary’s Bureau until February 1, 2017.  </w:t>
      </w:r>
      <w:r w:rsidR="004A7774" w:rsidRPr="009841D5">
        <w:rPr>
          <w:rFonts w:ascii="Times New Roman" w:hAnsi="Times New Roman" w:cs="Times New Roman"/>
        </w:rPr>
        <w:t xml:space="preserve">The Certificate of Service </w:t>
      </w:r>
      <w:r w:rsidR="00DA0B63" w:rsidRPr="009841D5">
        <w:rPr>
          <w:rFonts w:ascii="Times New Roman" w:hAnsi="Times New Roman" w:cs="Times New Roman"/>
        </w:rPr>
        <w:t xml:space="preserve">also e-filed on February 1, 2017, </w:t>
      </w:r>
      <w:r w:rsidR="004A7774" w:rsidRPr="009841D5">
        <w:rPr>
          <w:rFonts w:ascii="Times New Roman" w:hAnsi="Times New Roman" w:cs="Times New Roman"/>
        </w:rPr>
        <w:t xml:space="preserve">indicates that the </w:t>
      </w:r>
      <w:r w:rsidRPr="009841D5">
        <w:rPr>
          <w:rFonts w:ascii="Times New Roman" w:hAnsi="Times New Roman" w:cs="Times New Roman"/>
        </w:rPr>
        <w:t xml:space="preserve">Application for the Issuance of a Subpoena by Dalton Equity was filed and served upon the presiding officer, counsel for PPL Electric Utilities Corporation </w:t>
      </w:r>
      <w:r w:rsidRPr="009841D5">
        <w:rPr>
          <w:rFonts w:ascii="Times New Roman" w:hAnsi="Times New Roman" w:cs="Times New Roman"/>
        </w:rPr>
        <w:lastRenderedPageBreak/>
        <w:t>(PPL), and Williams Gas Pipeline – Transco</w:t>
      </w:r>
      <w:r w:rsidR="00DA0B63" w:rsidRPr="009841D5">
        <w:rPr>
          <w:rFonts w:ascii="Times New Roman" w:hAnsi="Times New Roman" w:cs="Times New Roman"/>
        </w:rPr>
        <w:t xml:space="preserve"> (Transco)</w:t>
      </w:r>
      <w:r w:rsidRPr="009841D5">
        <w:rPr>
          <w:rFonts w:ascii="Times New Roman" w:hAnsi="Times New Roman" w:cs="Times New Roman"/>
        </w:rPr>
        <w:t xml:space="preserve">, 2800 Post Oak Blvd., Houston, TX 77056.   A Notice to Plead </w:t>
      </w:r>
      <w:r w:rsidR="00DA0B63" w:rsidRPr="009841D5">
        <w:rPr>
          <w:rFonts w:ascii="Times New Roman" w:hAnsi="Times New Roman" w:cs="Times New Roman"/>
        </w:rPr>
        <w:t>notifying</w:t>
      </w:r>
      <w:r w:rsidR="004A7774" w:rsidRPr="009841D5">
        <w:rPr>
          <w:rFonts w:ascii="Times New Roman" w:hAnsi="Times New Roman" w:cs="Times New Roman"/>
        </w:rPr>
        <w:t xml:space="preserve"> </w:t>
      </w:r>
      <w:r w:rsidR="00DA0B63" w:rsidRPr="009841D5">
        <w:rPr>
          <w:rFonts w:ascii="Times New Roman" w:hAnsi="Times New Roman" w:cs="Times New Roman"/>
        </w:rPr>
        <w:t>PPL and Transco that they</w:t>
      </w:r>
      <w:r w:rsidR="004A7774" w:rsidRPr="009841D5">
        <w:rPr>
          <w:rFonts w:ascii="Times New Roman" w:hAnsi="Times New Roman" w:cs="Times New Roman"/>
        </w:rPr>
        <w:t xml:space="preserve"> had 10 days to respond was attached to the Application. To date, no objection to the Application has been filed.  The Application is ripe for a decision. </w:t>
      </w:r>
      <w:r w:rsidRPr="009841D5">
        <w:rPr>
          <w:rFonts w:ascii="Times New Roman" w:hAnsi="Times New Roman" w:cs="Times New Roman"/>
        </w:rPr>
        <w:t xml:space="preserve"> </w:t>
      </w:r>
    </w:p>
    <w:p w:rsidR="001358CE" w:rsidRPr="009841D5" w:rsidRDefault="001358CE" w:rsidP="009841D5">
      <w:pPr>
        <w:pStyle w:val="ParaTab1"/>
        <w:tabs>
          <w:tab w:val="left" w:pos="2070"/>
        </w:tabs>
        <w:spacing w:line="360" w:lineRule="auto"/>
        <w:ind w:firstLine="0"/>
        <w:rPr>
          <w:rFonts w:ascii="Times New Roman" w:hAnsi="Times New Roman" w:cs="Times New Roman"/>
        </w:rPr>
      </w:pPr>
    </w:p>
    <w:p w:rsidR="00707D4C" w:rsidRPr="009841D5" w:rsidRDefault="001D60E1" w:rsidP="009841D5">
      <w:pPr>
        <w:spacing w:after="0"/>
        <w:rPr>
          <w:szCs w:val="24"/>
          <w:u w:val="single"/>
        </w:rPr>
      </w:pPr>
      <w:r w:rsidRPr="009841D5">
        <w:rPr>
          <w:szCs w:val="24"/>
          <w:u w:val="single"/>
        </w:rPr>
        <w:t>Disposition</w:t>
      </w:r>
    </w:p>
    <w:p w:rsidR="00DA0B63" w:rsidRPr="009841D5" w:rsidRDefault="00DA0B63" w:rsidP="009841D5">
      <w:pPr>
        <w:spacing w:after="0"/>
        <w:rPr>
          <w:szCs w:val="24"/>
          <w:u w:val="single"/>
        </w:rPr>
      </w:pPr>
    </w:p>
    <w:p w:rsidR="00DA0B63" w:rsidRPr="009841D5" w:rsidRDefault="00DA0B63" w:rsidP="009841D5">
      <w:pPr>
        <w:spacing w:after="0"/>
        <w:rPr>
          <w:szCs w:val="24"/>
        </w:rPr>
      </w:pPr>
      <w:r w:rsidRPr="009841D5">
        <w:rPr>
          <w:szCs w:val="24"/>
        </w:rPr>
        <w:tab/>
        <w:t>Dalton Equity opposes a right-of-way upon its land and contends</w:t>
      </w:r>
      <w:r w:rsidR="0099131F" w:rsidRPr="009841D5">
        <w:rPr>
          <w:szCs w:val="24"/>
        </w:rPr>
        <w:t xml:space="preserve"> that </w:t>
      </w:r>
      <w:r w:rsidRPr="009841D5">
        <w:rPr>
          <w:szCs w:val="24"/>
        </w:rPr>
        <w:t xml:space="preserve">the </w:t>
      </w:r>
      <w:r w:rsidR="0099131F" w:rsidRPr="009841D5">
        <w:rPr>
          <w:szCs w:val="24"/>
        </w:rPr>
        <w:t xml:space="preserve">proposed </w:t>
      </w:r>
      <w:r w:rsidRPr="009841D5">
        <w:rPr>
          <w:szCs w:val="24"/>
        </w:rPr>
        <w:t>right of way for a 59 kV transmission line is neither necessary nor proper for the service, accommodation, convenience or safety of the public.</w:t>
      </w:r>
    </w:p>
    <w:p w:rsidR="00707D4C" w:rsidRPr="009841D5" w:rsidRDefault="00707D4C" w:rsidP="009841D5">
      <w:pPr>
        <w:spacing w:after="0"/>
        <w:rPr>
          <w:szCs w:val="24"/>
        </w:rPr>
      </w:pPr>
    </w:p>
    <w:p w:rsidR="00DA0B63" w:rsidRPr="009841D5" w:rsidRDefault="00707D4C" w:rsidP="009841D5">
      <w:pPr>
        <w:spacing w:after="0"/>
        <w:rPr>
          <w:szCs w:val="24"/>
        </w:rPr>
      </w:pPr>
      <w:r w:rsidRPr="009841D5">
        <w:rPr>
          <w:szCs w:val="24"/>
        </w:rPr>
        <w:tab/>
      </w:r>
      <w:r w:rsidR="00DA0B63" w:rsidRPr="009841D5">
        <w:rPr>
          <w:szCs w:val="24"/>
        </w:rPr>
        <w:t xml:space="preserve">Dalton Equity seeks the following documents from Transco: 1) correspondence between PPL and Transco and its affiliated companies, subsidiaries and partners concerning a proposed new natural gas compression station, Station 605, to be located in Clinton Township, Wyoming County; and 2) all contracts, agreements, proposals, letters of intent or similar documents between PPL and Transco and its affiliated companies, subsidiaries, partners, etc., concerning the proposed new natural gas compression station. </w:t>
      </w:r>
    </w:p>
    <w:p w:rsidR="00DA0B63" w:rsidRPr="009841D5" w:rsidRDefault="00DA0B63" w:rsidP="009841D5">
      <w:pPr>
        <w:spacing w:after="0"/>
        <w:rPr>
          <w:szCs w:val="24"/>
        </w:rPr>
      </w:pPr>
    </w:p>
    <w:p w:rsidR="00C90642" w:rsidRPr="009841D5" w:rsidRDefault="00DA0B63" w:rsidP="009841D5">
      <w:pPr>
        <w:spacing w:after="0"/>
        <w:rPr>
          <w:szCs w:val="24"/>
        </w:rPr>
      </w:pPr>
      <w:r w:rsidRPr="009841D5">
        <w:rPr>
          <w:szCs w:val="24"/>
        </w:rPr>
        <w:tab/>
      </w:r>
      <w:r w:rsidR="00C90642" w:rsidRPr="009841D5">
        <w:rPr>
          <w:szCs w:val="24"/>
        </w:rPr>
        <w:t xml:space="preserve">Our authority to issue a subpoena to compel the </w:t>
      </w:r>
      <w:r w:rsidRPr="009841D5">
        <w:rPr>
          <w:szCs w:val="24"/>
        </w:rPr>
        <w:t>production of documents by a non-party</w:t>
      </w:r>
      <w:r w:rsidR="00C90642" w:rsidRPr="009841D5">
        <w:rPr>
          <w:szCs w:val="24"/>
        </w:rPr>
        <w:t xml:space="preserve"> is derived from Section 309 of the Public Utility Code:</w:t>
      </w:r>
    </w:p>
    <w:p w:rsidR="009D09C2" w:rsidRPr="009841D5" w:rsidRDefault="009D09C2" w:rsidP="009841D5">
      <w:pPr>
        <w:spacing w:after="0" w:line="240" w:lineRule="auto"/>
        <w:rPr>
          <w:szCs w:val="24"/>
        </w:rPr>
      </w:pPr>
    </w:p>
    <w:p w:rsidR="00C90642" w:rsidRPr="009841D5" w:rsidRDefault="00C90642" w:rsidP="009841D5">
      <w:pPr>
        <w:spacing w:after="0" w:line="240" w:lineRule="auto"/>
        <w:ind w:left="1440" w:right="806"/>
        <w:rPr>
          <w:szCs w:val="24"/>
        </w:rPr>
      </w:pPr>
      <w:r w:rsidRPr="009841D5">
        <w:rPr>
          <w:szCs w:val="24"/>
        </w:rPr>
        <w:t>The commission, or its representative, shall have the power, in any part of this Commonwealth, to subpoena witnesses, to administer oaths, to examine witnesses, or to take such testimony, or compel the production of such books, records, papers, and documents as it may deem necessary or proper in, and pertinent to, any proceeding, investigation, or hearing, held by it, and to do all necessary and proper things and acts in the lawful exercise of its powers or the performance of those duties.</w:t>
      </w:r>
      <w:r w:rsidRPr="009841D5">
        <w:rPr>
          <w:rStyle w:val="FootnoteReference"/>
          <w:szCs w:val="24"/>
        </w:rPr>
        <w:footnoteReference w:id="1"/>
      </w:r>
    </w:p>
    <w:p w:rsidR="009D09C2" w:rsidRPr="009841D5" w:rsidRDefault="009D09C2" w:rsidP="009841D5">
      <w:pPr>
        <w:spacing w:after="0"/>
        <w:ind w:left="1440" w:right="806"/>
        <w:rPr>
          <w:szCs w:val="24"/>
        </w:rPr>
      </w:pPr>
    </w:p>
    <w:p w:rsidR="0099131F" w:rsidRPr="009841D5" w:rsidRDefault="003F7B6D" w:rsidP="009841D5">
      <w:pPr>
        <w:spacing w:after="0"/>
        <w:rPr>
          <w:szCs w:val="24"/>
        </w:rPr>
      </w:pPr>
      <w:r w:rsidRPr="009841D5">
        <w:rPr>
          <w:szCs w:val="24"/>
        </w:rPr>
        <w:tab/>
      </w:r>
      <w:r w:rsidR="00B3101C" w:rsidRPr="009841D5">
        <w:rPr>
          <w:szCs w:val="24"/>
        </w:rPr>
        <w:t>The statute</w:t>
      </w:r>
      <w:r w:rsidR="009F196E" w:rsidRPr="009841D5">
        <w:rPr>
          <w:szCs w:val="24"/>
        </w:rPr>
        <w:t xml:space="preserve"> clearly provides us with subpoena power “in any part of this Commonwealth.” </w:t>
      </w:r>
      <w:r w:rsidR="00A85951" w:rsidRPr="009841D5">
        <w:rPr>
          <w:szCs w:val="24"/>
        </w:rPr>
        <w:t xml:space="preserve"> </w:t>
      </w:r>
      <w:r w:rsidR="0014451D" w:rsidRPr="009841D5">
        <w:rPr>
          <w:szCs w:val="24"/>
        </w:rPr>
        <w:t xml:space="preserve"> </w:t>
      </w:r>
      <w:r w:rsidR="0099131F" w:rsidRPr="009841D5">
        <w:rPr>
          <w:szCs w:val="24"/>
        </w:rPr>
        <w:t xml:space="preserve">With few exceptions, Section 309 of the Public Utility Code precludes the </w:t>
      </w:r>
      <w:r w:rsidR="0099131F" w:rsidRPr="009841D5">
        <w:rPr>
          <w:szCs w:val="24"/>
        </w:rPr>
        <w:lastRenderedPageBreak/>
        <w:t xml:space="preserve">Commission from issuing a subpoena to a potential witness located outside the Commonwealth of Pennsylvania.  </w:t>
      </w:r>
      <w:r w:rsidR="0099131F" w:rsidRPr="009841D5">
        <w:rPr>
          <w:i/>
          <w:szCs w:val="24"/>
        </w:rPr>
        <w:t>See,</w:t>
      </w:r>
      <w:r w:rsidR="0099131F" w:rsidRPr="009841D5">
        <w:rPr>
          <w:szCs w:val="24"/>
        </w:rPr>
        <w:t xml:space="preserve"> </w:t>
      </w:r>
      <w:r w:rsidR="0099131F" w:rsidRPr="009841D5">
        <w:rPr>
          <w:i/>
          <w:szCs w:val="24"/>
        </w:rPr>
        <w:t xml:space="preserve">Pa. Pub. Util. Comm’n v. Uber Technologies, Inc., </w:t>
      </w:r>
      <w:r w:rsidR="0099131F" w:rsidRPr="009841D5">
        <w:rPr>
          <w:szCs w:val="24"/>
        </w:rPr>
        <w:t xml:space="preserve">C-2014-2422723, Interim Order, </w:t>
      </w:r>
      <w:proofErr w:type="gramStart"/>
      <w:r w:rsidR="0099131F" w:rsidRPr="009841D5">
        <w:rPr>
          <w:szCs w:val="24"/>
        </w:rPr>
        <w:t>January</w:t>
      </w:r>
      <w:proofErr w:type="gramEnd"/>
      <w:r w:rsidR="0099131F" w:rsidRPr="009841D5">
        <w:rPr>
          <w:szCs w:val="24"/>
        </w:rPr>
        <w:t xml:space="preserve"> 23, 2015, which interpreted Section 309 to mean the Commission had no power beyond the boundaries of Pennsylvania in the context of formal complaint proceedings.  </w:t>
      </w:r>
      <w:r w:rsidR="0099131F" w:rsidRPr="009841D5">
        <w:rPr>
          <w:i/>
          <w:szCs w:val="24"/>
        </w:rPr>
        <w:t>See also,</w:t>
      </w:r>
      <w:r w:rsidR="0099131F" w:rsidRPr="009841D5">
        <w:rPr>
          <w:szCs w:val="24"/>
        </w:rPr>
        <w:t xml:space="preserve"> </w:t>
      </w:r>
      <w:r w:rsidR="0099131F" w:rsidRPr="009841D5">
        <w:rPr>
          <w:i/>
          <w:szCs w:val="24"/>
        </w:rPr>
        <w:t xml:space="preserve">Palmerton Telephone Company v. Global NAPs South, Inc., </w:t>
      </w:r>
      <w:r w:rsidR="0099131F" w:rsidRPr="009841D5">
        <w:rPr>
          <w:szCs w:val="24"/>
        </w:rPr>
        <w:t>C-2009-2093336, Initial Decision</w:t>
      </w:r>
      <w:r w:rsidRPr="009841D5">
        <w:rPr>
          <w:szCs w:val="24"/>
        </w:rPr>
        <w:t>,</w:t>
      </w:r>
      <w:r w:rsidR="0099131F" w:rsidRPr="009841D5">
        <w:rPr>
          <w:szCs w:val="24"/>
        </w:rPr>
        <w:t xml:space="preserve"> </w:t>
      </w:r>
      <w:proofErr w:type="gramStart"/>
      <w:r w:rsidR="0099131F" w:rsidRPr="009841D5">
        <w:rPr>
          <w:szCs w:val="24"/>
        </w:rPr>
        <w:t>August</w:t>
      </w:r>
      <w:proofErr w:type="gramEnd"/>
      <w:r w:rsidR="0099131F" w:rsidRPr="009841D5">
        <w:rPr>
          <w:szCs w:val="24"/>
        </w:rPr>
        <w:t xml:space="preserve"> 11, 2009.  </w:t>
      </w:r>
    </w:p>
    <w:p w:rsidR="003F7B6D" w:rsidRPr="009841D5" w:rsidRDefault="003F7B6D" w:rsidP="009841D5">
      <w:pPr>
        <w:spacing w:after="0"/>
        <w:rPr>
          <w:szCs w:val="24"/>
        </w:rPr>
      </w:pPr>
    </w:p>
    <w:p w:rsidR="0099131F" w:rsidRPr="009841D5" w:rsidRDefault="0099131F" w:rsidP="009841D5">
      <w:pPr>
        <w:spacing w:after="0"/>
        <w:rPr>
          <w:szCs w:val="24"/>
        </w:rPr>
      </w:pPr>
      <w:r w:rsidRPr="009841D5">
        <w:rPr>
          <w:szCs w:val="24"/>
        </w:rPr>
        <w:tab/>
        <w:t xml:space="preserve">Because Dalton Equity requests documents from Transco located in Houston, Texas, and not from an officer or individual employee of Transco located in Pennsylvania, the request appears to extend beyond the geographical scope of the Commission’s subpoena power.  </w:t>
      </w:r>
    </w:p>
    <w:p w:rsidR="0099131F" w:rsidRPr="009841D5" w:rsidRDefault="0099131F" w:rsidP="009841D5">
      <w:pPr>
        <w:spacing w:after="0"/>
        <w:rPr>
          <w:szCs w:val="24"/>
        </w:rPr>
      </w:pPr>
    </w:p>
    <w:p w:rsidR="008524F3" w:rsidRPr="009841D5" w:rsidRDefault="0099131F" w:rsidP="009841D5">
      <w:pPr>
        <w:spacing w:after="0"/>
        <w:rPr>
          <w:szCs w:val="24"/>
        </w:rPr>
      </w:pPr>
      <w:r w:rsidRPr="009841D5">
        <w:rPr>
          <w:szCs w:val="24"/>
        </w:rPr>
        <w:tab/>
        <w:t xml:space="preserve">In the </w:t>
      </w:r>
      <w:r w:rsidRPr="009841D5">
        <w:rPr>
          <w:i/>
          <w:szCs w:val="24"/>
        </w:rPr>
        <w:t xml:space="preserve">Uber </w:t>
      </w:r>
      <w:r w:rsidRPr="009841D5">
        <w:rPr>
          <w:szCs w:val="24"/>
        </w:rPr>
        <w:t>case, the ALJs</w:t>
      </w:r>
      <w:r w:rsidR="00206534" w:rsidRPr="009841D5">
        <w:rPr>
          <w:szCs w:val="24"/>
        </w:rPr>
        <w:t xml:space="preserve"> found Section 309</w:t>
      </w:r>
      <w:r w:rsidR="008524F3" w:rsidRPr="009841D5">
        <w:rPr>
          <w:szCs w:val="24"/>
        </w:rPr>
        <w:t xml:space="preserve"> does not appear to grant any power beyond the boundaries of Pennsylvania in the context of formal complaint proceedings. </w:t>
      </w:r>
      <w:r w:rsidR="00D22A28" w:rsidRPr="009841D5">
        <w:rPr>
          <w:szCs w:val="24"/>
        </w:rPr>
        <w:t xml:space="preserve"> </w:t>
      </w:r>
      <w:r w:rsidR="00206534" w:rsidRPr="009841D5">
        <w:rPr>
          <w:szCs w:val="24"/>
        </w:rPr>
        <w:t xml:space="preserve">This </w:t>
      </w:r>
      <w:r w:rsidR="00520407" w:rsidRPr="009841D5">
        <w:rPr>
          <w:szCs w:val="24"/>
        </w:rPr>
        <w:t>conclusion</w:t>
      </w:r>
      <w:r w:rsidR="00206534" w:rsidRPr="009841D5">
        <w:rPr>
          <w:szCs w:val="24"/>
        </w:rPr>
        <w:t xml:space="preserve">, coupled with Uber’s identification of an alternative witness, led the ALJs to deny </w:t>
      </w:r>
      <w:proofErr w:type="gramStart"/>
      <w:r w:rsidR="00206534" w:rsidRPr="009841D5">
        <w:rPr>
          <w:szCs w:val="24"/>
        </w:rPr>
        <w:t>I&amp;E’s</w:t>
      </w:r>
      <w:proofErr w:type="gramEnd"/>
      <w:r w:rsidR="00206534" w:rsidRPr="009841D5">
        <w:rPr>
          <w:szCs w:val="24"/>
        </w:rPr>
        <w:t xml:space="preserve"> application for a subpoena of Mr. Kalanick.  However, the ALJs granted I&amp;E leave to file an application to subpoena Jonathan J. Feldman to testify because Mr. Feldman had access to and knowledge of the documents in question, and he worked at Uber’s Pennsylvania office. </w:t>
      </w:r>
      <w:r w:rsidR="007A442D" w:rsidRPr="009841D5">
        <w:rPr>
          <w:szCs w:val="24"/>
        </w:rPr>
        <w:t xml:space="preserve">  Unlike the </w:t>
      </w:r>
      <w:r w:rsidR="007A442D" w:rsidRPr="009841D5">
        <w:rPr>
          <w:i/>
          <w:szCs w:val="24"/>
        </w:rPr>
        <w:t>Uber</w:t>
      </w:r>
      <w:r w:rsidR="007A442D" w:rsidRPr="009841D5">
        <w:rPr>
          <w:szCs w:val="24"/>
        </w:rPr>
        <w:t xml:space="preserve"> case, in the instant case, </w:t>
      </w:r>
      <w:r w:rsidR="00925EFF" w:rsidRPr="009841D5">
        <w:rPr>
          <w:szCs w:val="24"/>
        </w:rPr>
        <w:t xml:space="preserve">Dalton Equity </w:t>
      </w:r>
      <w:r w:rsidR="007A442D" w:rsidRPr="009841D5">
        <w:rPr>
          <w:szCs w:val="24"/>
        </w:rPr>
        <w:t>has not specifically named an</w:t>
      </w:r>
      <w:r w:rsidR="00925EFF" w:rsidRPr="009841D5">
        <w:rPr>
          <w:szCs w:val="24"/>
        </w:rPr>
        <w:t xml:space="preserve">y individual or entity located in </w:t>
      </w:r>
      <w:r w:rsidR="007A442D" w:rsidRPr="009841D5">
        <w:rPr>
          <w:szCs w:val="24"/>
        </w:rPr>
        <w:t>the Commonwealth</w:t>
      </w:r>
      <w:r w:rsidR="00925EFF" w:rsidRPr="009841D5">
        <w:rPr>
          <w:szCs w:val="24"/>
        </w:rPr>
        <w:t xml:space="preserve">.  </w:t>
      </w:r>
    </w:p>
    <w:p w:rsidR="00925EFF" w:rsidRPr="009841D5" w:rsidRDefault="00925EFF" w:rsidP="009841D5">
      <w:pPr>
        <w:spacing w:after="0"/>
        <w:rPr>
          <w:szCs w:val="24"/>
        </w:rPr>
      </w:pPr>
    </w:p>
    <w:p w:rsidR="00FE6ACB" w:rsidRPr="009841D5" w:rsidRDefault="00206534" w:rsidP="009841D5">
      <w:pPr>
        <w:spacing w:after="0"/>
        <w:rPr>
          <w:szCs w:val="24"/>
        </w:rPr>
      </w:pPr>
      <w:r w:rsidRPr="009841D5">
        <w:rPr>
          <w:szCs w:val="24"/>
        </w:rPr>
        <w:tab/>
      </w:r>
      <w:r w:rsidR="00FE6ACB" w:rsidRPr="009841D5">
        <w:rPr>
          <w:szCs w:val="24"/>
        </w:rPr>
        <w:t>The ALJs cite</w:t>
      </w:r>
      <w:r w:rsidR="0014451D" w:rsidRPr="009841D5">
        <w:rPr>
          <w:szCs w:val="24"/>
        </w:rPr>
        <w:t>d</w:t>
      </w:r>
      <w:r w:rsidR="00FE6ACB" w:rsidRPr="009841D5">
        <w:rPr>
          <w:szCs w:val="24"/>
        </w:rPr>
        <w:t xml:space="preserve"> as precedence for their ruling </w:t>
      </w:r>
      <w:r w:rsidR="00FE6ACB" w:rsidRPr="009841D5">
        <w:rPr>
          <w:i/>
          <w:szCs w:val="24"/>
        </w:rPr>
        <w:t>Palmerton Telephone Company v. Global NAPs South Inc.</w:t>
      </w:r>
      <w:r w:rsidR="00FE6ACB" w:rsidRPr="009841D5">
        <w:rPr>
          <w:szCs w:val="24"/>
        </w:rPr>
        <w:t xml:space="preserve">, PUC Docket No. C-2009-2093336 (Initial Decision served August 11, 2009).  In </w:t>
      </w:r>
      <w:r w:rsidR="00FE6ACB" w:rsidRPr="009841D5">
        <w:rPr>
          <w:i/>
          <w:szCs w:val="24"/>
        </w:rPr>
        <w:t xml:space="preserve">Palmerton </w:t>
      </w:r>
      <w:r w:rsidR="00FE6ACB" w:rsidRPr="009841D5">
        <w:rPr>
          <w:szCs w:val="24"/>
        </w:rPr>
        <w:t xml:space="preserve">ALJ </w:t>
      </w:r>
      <w:r w:rsidR="00D9034B" w:rsidRPr="009841D5">
        <w:rPr>
          <w:szCs w:val="24"/>
        </w:rPr>
        <w:t xml:space="preserve">Weismandel </w:t>
      </w:r>
      <w:r w:rsidR="00FE6ACB" w:rsidRPr="009841D5">
        <w:rPr>
          <w:szCs w:val="24"/>
        </w:rPr>
        <w:t>held:</w:t>
      </w:r>
    </w:p>
    <w:p w:rsidR="00FE6ACB" w:rsidRPr="009841D5" w:rsidRDefault="00FE6ACB" w:rsidP="009841D5">
      <w:pPr>
        <w:spacing w:after="0"/>
        <w:rPr>
          <w:szCs w:val="24"/>
        </w:rPr>
      </w:pPr>
    </w:p>
    <w:p w:rsidR="009841D5" w:rsidRDefault="00FE6ACB" w:rsidP="009841D5">
      <w:pPr>
        <w:spacing w:after="0" w:line="240" w:lineRule="auto"/>
        <w:ind w:left="720" w:right="720"/>
        <w:rPr>
          <w:szCs w:val="24"/>
          <w:u w:val="single"/>
        </w:rPr>
      </w:pPr>
      <w:r w:rsidRPr="009841D5">
        <w:rPr>
          <w:szCs w:val="24"/>
        </w:rPr>
        <w:t xml:space="preserve">First, this case was a formal complaint case, not a Commission initiated investigation.  There were some serious repercussions from this distinction.  Perhaps of most significance was the ability, or lack thereof, of the parties to obtain evidence.  The Commission’s power to subpoena witnesses to appear and testify at a hearing does not extend beyond the boundaries of Pennsylvania.  Discovery is also made much more difficult when out-of-state witnesses must be deposed by use of written questions rather than upon oral examination.  </w:t>
      </w:r>
      <w:r w:rsidRPr="009841D5">
        <w:rPr>
          <w:szCs w:val="24"/>
          <w:u w:val="single"/>
        </w:rPr>
        <w:t xml:space="preserve">A generic </w:t>
      </w:r>
    </w:p>
    <w:p w:rsidR="009841D5" w:rsidRDefault="009841D5">
      <w:pPr>
        <w:tabs>
          <w:tab w:val="clear" w:pos="1440"/>
        </w:tabs>
        <w:spacing w:after="200" w:line="276" w:lineRule="auto"/>
        <w:rPr>
          <w:szCs w:val="24"/>
          <w:u w:val="single"/>
        </w:rPr>
      </w:pPr>
      <w:r>
        <w:rPr>
          <w:szCs w:val="24"/>
          <w:u w:val="single"/>
        </w:rPr>
        <w:br w:type="page"/>
      </w:r>
    </w:p>
    <w:p w:rsidR="00FE6ACB" w:rsidRPr="009841D5" w:rsidRDefault="00FE6ACB" w:rsidP="009841D5">
      <w:pPr>
        <w:spacing w:after="0" w:line="240" w:lineRule="auto"/>
        <w:ind w:left="720" w:right="720"/>
        <w:rPr>
          <w:szCs w:val="24"/>
          <w:u w:val="single"/>
        </w:rPr>
      </w:pPr>
      <w:r w:rsidRPr="009841D5">
        <w:rPr>
          <w:szCs w:val="24"/>
          <w:u w:val="single"/>
        </w:rPr>
        <w:lastRenderedPageBreak/>
        <w:t xml:space="preserve">Commission investigation proceeding </w:t>
      </w:r>
      <w:r w:rsidR="006E46B7" w:rsidRPr="009841D5">
        <w:rPr>
          <w:szCs w:val="24"/>
          <w:u w:val="single"/>
        </w:rPr>
        <w:t>could compel representatives of certificated public utilities to appear for examination at a hearing, even if the representative had to attend from out-of-state.</w:t>
      </w:r>
    </w:p>
    <w:p w:rsidR="00D9034B" w:rsidRPr="009841D5" w:rsidRDefault="00D9034B" w:rsidP="009841D5">
      <w:pPr>
        <w:spacing w:after="0"/>
        <w:rPr>
          <w:i/>
          <w:szCs w:val="24"/>
        </w:rPr>
      </w:pPr>
    </w:p>
    <w:p w:rsidR="00FE6ACB" w:rsidRPr="009841D5" w:rsidRDefault="00D9034B" w:rsidP="009841D5">
      <w:pPr>
        <w:spacing w:after="0"/>
        <w:rPr>
          <w:szCs w:val="24"/>
        </w:rPr>
      </w:pPr>
      <w:proofErr w:type="gramStart"/>
      <w:r w:rsidRPr="009841D5">
        <w:rPr>
          <w:i/>
          <w:szCs w:val="24"/>
        </w:rPr>
        <w:t xml:space="preserve">Id. </w:t>
      </w:r>
      <w:r w:rsidRPr="009841D5">
        <w:rPr>
          <w:szCs w:val="24"/>
        </w:rPr>
        <w:t>at 40.</w:t>
      </w:r>
      <w:proofErr w:type="gramEnd"/>
      <w:r w:rsidR="00D74E92" w:rsidRPr="009841D5">
        <w:rPr>
          <w:szCs w:val="24"/>
        </w:rPr>
        <w:t xml:space="preserve"> (Emphasis added.)</w:t>
      </w:r>
    </w:p>
    <w:p w:rsidR="00D74E92" w:rsidRPr="009841D5" w:rsidRDefault="00D74E92" w:rsidP="009841D5">
      <w:pPr>
        <w:spacing w:after="0"/>
        <w:ind w:firstLine="1440"/>
        <w:rPr>
          <w:szCs w:val="24"/>
        </w:rPr>
      </w:pPr>
    </w:p>
    <w:p w:rsidR="002C0B7C" w:rsidRPr="009841D5" w:rsidRDefault="00FE6ACB" w:rsidP="009841D5">
      <w:pPr>
        <w:spacing w:after="0"/>
        <w:ind w:firstLine="1440"/>
        <w:rPr>
          <w:szCs w:val="24"/>
        </w:rPr>
      </w:pPr>
      <w:r w:rsidRPr="009841D5">
        <w:rPr>
          <w:szCs w:val="24"/>
        </w:rPr>
        <w:t xml:space="preserve">In the </w:t>
      </w:r>
      <w:r w:rsidRPr="009841D5">
        <w:rPr>
          <w:i/>
          <w:szCs w:val="24"/>
        </w:rPr>
        <w:t>Palmerton</w:t>
      </w:r>
      <w:r w:rsidRPr="009841D5">
        <w:rPr>
          <w:szCs w:val="24"/>
        </w:rPr>
        <w:t xml:space="preserve"> case, the ALJ held a</w:t>
      </w:r>
      <w:r w:rsidR="002C0B7C" w:rsidRPr="009841D5">
        <w:rPr>
          <w:szCs w:val="24"/>
        </w:rPr>
        <w:t xml:space="preserve"> telephone conference to discuss the application for the issuance of a subpoena </w:t>
      </w:r>
      <w:r w:rsidR="002C0B7C" w:rsidRPr="009841D5">
        <w:rPr>
          <w:i/>
          <w:szCs w:val="24"/>
        </w:rPr>
        <w:t>duces tecum</w:t>
      </w:r>
      <w:r w:rsidR="002C0B7C" w:rsidRPr="009841D5">
        <w:rPr>
          <w:szCs w:val="24"/>
        </w:rPr>
        <w:t xml:space="preserve"> and </w:t>
      </w:r>
      <w:r w:rsidR="002C0B7C" w:rsidRPr="009841D5">
        <w:rPr>
          <w:i/>
          <w:szCs w:val="24"/>
        </w:rPr>
        <w:t>ad testificandum</w:t>
      </w:r>
      <w:r w:rsidR="002C0B7C" w:rsidRPr="009841D5">
        <w:rPr>
          <w:szCs w:val="24"/>
        </w:rPr>
        <w:t xml:space="preserve"> to CommPartners</w:t>
      </w:r>
      <w:r w:rsidRPr="009841D5">
        <w:rPr>
          <w:szCs w:val="24"/>
        </w:rPr>
        <w:t>.</w:t>
      </w:r>
      <w:r w:rsidR="002C0B7C" w:rsidRPr="009841D5">
        <w:rPr>
          <w:szCs w:val="24"/>
        </w:rPr>
        <w:t xml:space="preserve">  An agreement was reached for the taking of the deposition of CommPartners by written questions pursuant to the provisions of 52 Pa.Code § 5.345.</w:t>
      </w:r>
      <w:r w:rsidRPr="009841D5">
        <w:rPr>
          <w:szCs w:val="24"/>
        </w:rPr>
        <w:t xml:space="preserve"> Therefore, the ALJ issued subpoenas </w:t>
      </w:r>
      <w:r w:rsidRPr="009841D5">
        <w:rPr>
          <w:i/>
          <w:szCs w:val="24"/>
        </w:rPr>
        <w:t>duces tecum</w:t>
      </w:r>
      <w:r w:rsidRPr="009841D5">
        <w:rPr>
          <w:szCs w:val="24"/>
        </w:rPr>
        <w:t xml:space="preserve"> and </w:t>
      </w:r>
      <w:r w:rsidRPr="009841D5">
        <w:rPr>
          <w:i/>
          <w:szCs w:val="24"/>
        </w:rPr>
        <w:t>ad testificandum</w:t>
      </w:r>
      <w:r w:rsidRPr="009841D5">
        <w:rPr>
          <w:szCs w:val="24"/>
        </w:rPr>
        <w:t xml:space="preserve"> to Comcast, Paetec and XO for the taking of depositions by oral examination.</w:t>
      </w:r>
    </w:p>
    <w:p w:rsidR="00D74E92" w:rsidRPr="009841D5" w:rsidRDefault="00D74E92" w:rsidP="009841D5">
      <w:pPr>
        <w:spacing w:after="0"/>
        <w:rPr>
          <w:szCs w:val="24"/>
        </w:rPr>
      </w:pPr>
    </w:p>
    <w:p w:rsidR="006E46B7" w:rsidRPr="009841D5" w:rsidRDefault="00D74E92" w:rsidP="009841D5">
      <w:pPr>
        <w:spacing w:after="0"/>
        <w:rPr>
          <w:szCs w:val="24"/>
        </w:rPr>
      </w:pPr>
      <w:r w:rsidRPr="009841D5">
        <w:rPr>
          <w:szCs w:val="24"/>
        </w:rPr>
        <w:tab/>
        <w:t>The</w:t>
      </w:r>
      <w:r w:rsidR="00DB533C" w:rsidRPr="009841D5">
        <w:rPr>
          <w:szCs w:val="24"/>
        </w:rPr>
        <w:t xml:space="preserve"> facts in the</w:t>
      </w:r>
      <w:r w:rsidRPr="009841D5">
        <w:rPr>
          <w:szCs w:val="24"/>
        </w:rPr>
        <w:t xml:space="preserve"> </w:t>
      </w:r>
      <w:r w:rsidRPr="009841D5">
        <w:rPr>
          <w:i/>
          <w:szCs w:val="24"/>
        </w:rPr>
        <w:t>Palmerton</w:t>
      </w:r>
      <w:r w:rsidRPr="009841D5">
        <w:rPr>
          <w:szCs w:val="24"/>
        </w:rPr>
        <w:t xml:space="preserve"> case </w:t>
      </w:r>
      <w:r w:rsidR="00DB533C" w:rsidRPr="009841D5">
        <w:rPr>
          <w:szCs w:val="24"/>
        </w:rPr>
        <w:t xml:space="preserve">are different </w:t>
      </w:r>
      <w:r w:rsidRPr="009841D5">
        <w:rPr>
          <w:szCs w:val="24"/>
        </w:rPr>
        <w:t xml:space="preserve">from the instant case as follows.  First, the </w:t>
      </w:r>
      <w:r w:rsidRPr="009841D5">
        <w:rPr>
          <w:i/>
          <w:szCs w:val="24"/>
        </w:rPr>
        <w:t>Palmerton</w:t>
      </w:r>
      <w:r w:rsidRPr="009841D5">
        <w:rPr>
          <w:szCs w:val="24"/>
        </w:rPr>
        <w:t xml:space="preserve"> case </w:t>
      </w:r>
      <w:r w:rsidR="00925EFF" w:rsidRPr="009841D5">
        <w:rPr>
          <w:szCs w:val="24"/>
        </w:rPr>
        <w:t xml:space="preserve">involved a dispute between </w:t>
      </w:r>
      <w:r w:rsidRPr="009841D5">
        <w:rPr>
          <w:szCs w:val="24"/>
        </w:rPr>
        <w:t>telecommunications carrier</w:t>
      </w:r>
      <w:r w:rsidR="00925EFF" w:rsidRPr="009841D5">
        <w:rPr>
          <w:szCs w:val="24"/>
        </w:rPr>
        <w:t>s</w:t>
      </w:r>
      <w:r w:rsidRPr="009841D5">
        <w:rPr>
          <w:szCs w:val="24"/>
        </w:rPr>
        <w:t xml:space="preserve">.  </w:t>
      </w:r>
      <w:r w:rsidR="003F7B6D" w:rsidRPr="009841D5">
        <w:rPr>
          <w:szCs w:val="24"/>
        </w:rPr>
        <w:t>The</w:t>
      </w:r>
      <w:r w:rsidR="00925EFF" w:rsidRPr="009841D5">
        <w:rPr>
          <w:szCs w:val="24"/>
        </w:rPr>
        <w:t xml:space="preserve"> instant case involves an Application for Eminent Domain.  </w:t>
      </w:r>
      <w:r w:rsidR="0099131F" w:rsidRPr="009841D5">
        <w:rPr>
          <w:szCs w:val="24"/>
        </w:rPr>
        <w:t>Additionally, the instant case</w:t>
      </w:r>
      <w:r w:rsidR="00925EFF" w:rsidRPr="009841D5">
        <w:rPr>
          <w:szCs w:val="24"/>
        </w:rPr>
        <w:t xml:space="preserve"> does not stem from a prior Commission investigation.  </w:t>
      </w:r>
      <w:r w:rsidR="006E46B7" w:rsidRPr="009841D5">
        <w:rPr>
          <w:szCs w:val="24"/>
        </w:rPr>
        <w:t xml:space="preserve">  </w:t>
      </w:r>
    </w:p>
    <w:p w:rsidR="0014451D" w:rsidRPr="009841D5" w:rsidRDefault="0014451D" w:rsidP="009841D5">
      <w:pPr>
        <w:spacing w:after="0"/>
        <w:rPr>
          <w:szCs w:val="24"/>
        </w:rPr>
      </w:pPr>
    </w:p>
    <w:p w:rsidR="003F187B" w:rsidRPr="009841D5" w:rsidRDefault="0014451D" w:rsidP="009841D5">
      <w:pPr>
        <w:spacing w:after="0"/>
        <w:rPr>
          <w:szCs w:val="24"/>
        </w:rPr>
      </w:pPr>
      <w:r w:rsidRPr="009841D5">
        <w:rPr>
          <w:szCs w:val="24"/>
        </w:rPr>
        <w:tab/>
      </w:r>
      <w:r w:rsidR="00925EFF" w:rsidRPr="009841D5">
        <w:rPr>
          <w:szCs w:val="24"/>
        </w:rPr>
        <w:t xml:space="preserve">While I do not believe </w:t>
      </w:r>
      <w:r w:rsidR="00F2591B" w:rsidRPr="009841D5">
        <w:rPr>
          <w:szCs w:val="24"/>
        </w:rPr>
        <w:t>Section 309</w:t>
      </w:r>
      <w:r w:rsidRPr="009841D5">
        <w:rPr>
          <w:szCs w:val="24"/>
        </w:rPr>
        <w:t xml:space="preserve"> </w:t>
      </w:r>
      <w:r w:rsidR="00F2591B" w:rsidRPr="009841D5">
        <w:rPr>
          <w:szCs w:val="24"/>
        </w:rPr>
        <w:t xml:space="preserve">unconditionally </w:t>
      </w:r>
      <w:r w:rsidRPr="009841D5">
        <w:rPr>
          <w:szCs w:val="24"/>
        </w:rPr>
        <w:t>limit</w:t>
      </w:r>
      <w:r w:rsidR="00925EFF" w:rsidRPr="009841D5">
        <w:rPr>
          <w:szCs w:val="24"/>
        </w:rPr>
        <w:t>s</w:t>
      </w:r>
      <w:r w:rsidRPr="009841D5">
        <w:rPr>
          <w:szCs w:val="24"/>
        </w:rPr>
        <w:t xml:space="preserve"> the </w:t>
      </w:r>
      <w:r w:rsidR="00F2591B" w:rsidRPr="009841D5">
        <w:rPr>
          <w:szCs w:val="24"/>
        </w:rPr>
        <w:t xml:space="preserve">Commission’s or its representative’s authority </w:t>
      </w:r>
      <w:r w:rsidRPr="009841D5">
        <w:rPr>
          <w:szCs w:val="24"/>
        </w:rPr>
        <w:t xml:space="preserve">to subpoena only those witnesses residing within the boundaries of the Commonwealth of Pennsylvania, </w:t>
      </w:r>
      <w:r w:rsidR="00925EFF" w:rsidRPr="009841D5">
        <w:rPr>
          <w:szCs w:val="24"/>
        </w:rPr>
        <w:t xml:space="preserve">there is insufficient reason </w:t>
      </w:r>
      <w:r w:rsidR="0099131F" w:rsidRPr="009841D5">
        <w:rPr>
          <w:szCs w:val="24"/>
        </w:rPr>
        <w:t xml:space="preserve">offered </w:t>
      </w:r>
      <w:r w:rsidR="00925EFF" w:rsidRPr="009841D5">
        <w:rPr>
          <w:szCs w:val="24"/>
        </w:rPr>
        <w:t xml:space="preserve">to subpoena an out-of-state non-party entity </w:t>
      </w:r>
      <w:r w:rsidR="0099131F" w:rsidRPr="009841D5">
        <w:rPr>
          <w:szCs w:val="24"/>
        </w:rPr>
        <w:t xml:space="preserve">with no named individual </w:t>
      </w:r>
      <w:r w:rsidR="00925EFF" w:rsidRPr="009841D5">
        <w:rPr>
          <w:szCs w:val="24"/>
        </w:rPr>
        <w:t>for documents, correspondence and contracts between it and PPL</w:t>
      </w:r>
      <w:r w:rsidR="0099131F" w:rsidRPr="009841D5">
        <w:rPr>
          <w:szCs w:val="24"/>
        </w:rPr>
        <w:t>.  P</w:t>
      </w:r>
      <w:r w:rsidR="00925EFF" w:rsidRPr="009841D5">
        <w:rPr>
          <w:szCs w:val="24"/>
        </w:rPr>
        <w:t xml:space="preserve">PL </w:t>
      </w:r>
      <w:r w:rsidR="0099131F" w:rsidRPr="009841D5">
        <w:rPr>
          <w:szCs w:val="24"/>
        </w:rPr>
        <w:t xml:space="preserve">is a party to this action that may have in its </w:t>
      </w:r>
      <w:r w:rsidR="00925EFF" w:rsidRPr="009841D5">
        <w:rPr>
          <w:szCs w:val="24"/>
        </w:rPr>
        <w:t>possession the same documents, which could be requested through normal discovery requests</w:t>
      </w:r>
      <w:r w:rsidR="0099131F" w:rsidRPr="009841D5">
        <w:rPr>
          <w:szCs w:val="24"/>
        </w:rPr>
        <w:t xml:space="preserve"> and motions to compel</w:t>
      </w:r>
      <w:r w:rsidR="00925EFF" w:rsidRPr="009841D5">
        <w:rPr>
          <w:szCs w:val="24"/>
        </w:rPr>
        <w:t xml:space="preserve">.  </w:t>
      </w:r>
      <w:r w:rsidR="00417581" w:rsidRPr="009841D5">
        <w:rPr>
          <w:szCs w:val="24"/>
        </w:rPr>
        <w:t xml:space="preserve">Accordingly, for all of these aforementioned reasons, the Application shall be </w:t>
      </w:r>
      <w:r w:rsidR="0099131F" w:rsidRPr="009841D5">
        <w:rPr>
          <w:szCs w:val="24"/>
        </w:rPr>
        <w:t>denied</w:t>
      </w:r>
      <w:r w:rsidR="00417581" w:rsidRPr="009841D5">
        <w:rPr>
          <w:szCs w:val="24"/>
        </w:rPr>
        <w:t>.</w:t>
      </w:r>
    </w:p>
    <w:p w:rsidR="00AF0000" w:rsidRPr="009841D5" w:rsidRDefault="00AF0000" w:rsidP="009841D5">
      <w:pPr>
        <w:spacing w:after="0"/>
        <w:rPr>
          <w:szCs w:val="24"/>
        </w:rPr>
      </w:pPr>
    </w:p>
    <w:p w:rsidR="009841D5" w:rsidRDefault="009841D5">
      <w:pPr>
        <w:tabs>
          <w:tab w:val="clear" w:pos="1440"/>
        </w:tabs>
        <w:spacing w:after="200" w:line="276" w:lineRule="auto"/>
        <w:rPr>
          <w:b/>
          <w:szCs w:val="24"/>
          <w:u w:val="single"/>
        </w:rPr>
      </w:pPr>
      <w:r>
        <w:rPr>
          <w:b/>
          <w:szCs w:val="24"/>
          <w:u w:val="single"/>
        </w:rPr>
        <w:br w:type="page"/>
      </w:r>
    </w:p>
    <w:p w:rsidR="009841D5" w:rsidRPr="009841D5" w:rsidRDefault="009841D5" w:rsidP="009841D5">
      <w:pPr>
        <w:spacing w:after="0"/>
        <w:jc w:val="center"/>
        <w:rPr>
          <w:b/>
          <w:szCs w:val="24"/>
          <w:u w:val="single"/>
        </w:rPr>
      </w:pPr>
      <w:r>
        <w:rPr>
          <w:b/>
          <w:szCs w:val="24"/>
          <w:u w:val="single"/>
        </w:rPr>
        <w:lastRenderedPageBreak/>
        <w:t>ORDER</w:t>
      </w:r>
    </w:p>
    <w:p w:rsidR="009841D5" w:rsidRDefault="009841D5" w:rsidP="009841D5">
      <w:pPr>
        <w:spacing w:after="0"/>
        <w:rPr>
          <w:szCs w:val="24"/>
        </w:rPr>
      </w:pPr>
    </w:p>
    <w:p w:rsidR="00AF0000" w:rsidRPr="009841D5" w:rsidRDefault="00AF0000" w:rsidP="009841D5">
      <w:pPr>
        <w:spacing w:after="0"/>
        <w:ind w:firstLine="1440"/>
        <w:rPr>
          <w:szCs w:val="24"/>
        </w:rPr>
      </w:pPr>
      <w:r w:rsidRPr="009841D5">
        <w:rPr>
          <w:szCs w:val="24"/>
        </w:rPr>
        <w:t>THEREFORE,</w:t>
      </w:r>
    </w:p>
    <w:p w:rsidR="00AF0000" w:rsidRPr="009841D5" w:rsidRDefault="00AF0000" w:rsidP="009841D5">
      <w:pPr>
        <w:spacing w:after="0"/>
        <w:rPr>
          <w:szCs w:val="24"/>
        </w:rPr>
      </w:pPr>
    </w:p>
    <w:p w:rsidR="00AF0000" w:rsidRPr="009841D5" w:rsidRDefault="00AF0000" w:rsidP="009841D5">
      <w:pPr>
        <w:spacing w:after="0"/>
        <w:rPr>
          <w:szCs w:val="24"/>
        </w:rPr>
      </w:pPr>
      <w:r w:rsidRPr="009841D5">
        <w:rPr>
          <w:szCs w:val="24"/>
        </w:rPr>
        <w:tab/>
        <w:t>IT IS ORDERED:</w:t>
      </w:r>
    </w:p>
    <w:p w:rsidR="003F7B6D" w:rsidRPr="009841D5" w:rsidRDefault="003F7B6D" w:rsidP="009841D5">
      <w:pPr>
        <w:spacing w:after="0"/>
        <w:rPr>
          <w:szCs w:val="24"/>
        </w:rPr>
      </w:pPr>
    </w:p>
    <w:p w:rsidR="003F7B6D" w:rsidRPr="009841D5" w:rsidRDefault="003F7B6D" w:rsidP="009841D5">
      <w:pPr>
        <w:spacing w:after="0"/>
        <w:rPr>
          <w:szCs w:val="24"/>
        </w:rPr>
      </w:pPr>
    </w:p>
    <w:p w:rsidR="006378F7" w:rsidRPr="009841D5" w:rsidRDefault="00AF0000" w:rsidP="009841D5">
      <w:pPr>
        <w:spacing w:after="0"/>
        <w:rPr>
          <w:szCs w:val="24"/>
        </w:rPr>
      </w:pPr>
      <w:r w:rsidRPr="009841D5">
        <w:rPr>
          <w:szCs w:val="24"/>
        </w:rPr>
        <w:tab/>
        <w:t>1.</w:t>
      </w:r>
      <w:r w:rsidRPr="009841D5">
        <w:rPr>
          <w:szCs w:val="24"/>
        </w:rPr>
        <w:tab/>
        <w:t xml:space="preserve">That the Application </w:t>
      </w:r>
      <w:r w:rsidR="003F7B6D" w:rsidRPr="009841D5">
        <w:rPr>
          <w:szCs w:val="24"/>
        </w:rPr>
        <w:t>f</w:t>
      </w:r>
      <w:r w:rsidRPr="009841D5">
        <w:rPr>
          <w:szCs w:val="24"/>
        </w:rPr>
        <w:t xml:space="preserve">or </w:t>
      </w:r>
      <w:r w:rsidR="003F7B6D" w:rsidRPr="009841D5">
        <w:rPr>
          <w:szCs w:val="24"/>
        </w:rPr>
        <w:t xml:space="preserve">the Issuance of a Subpoena by Dalton Equity, Inc. is denied. </w:t>
      </w:r>
    </w:p>
    <w:p w:rsidR="006378F7" w:rsidRPr="009841D5" w:rsidRDefault="006378F7" w:rsidP="009841D5">
      <w:pPr>
        <w:spacing w:after="0"/>
        <w:rPr>
          <w:szCs w:val="24"/>
        </w:rPr>
      </w:pPr>
    </w:p>
    <w:p w:rsidR="003F7B6D" w:rsidRPr="009841D5" w:rsidRDefault="003F7B6D" w:rsidP="009841D5">
      <w:pPr>
        <w:tabs>
          <w:tab w:val="clear" w:pos="1440"/>
        </w:tabs>
        <w:spacing w:after="0" w:line="240" w:lineRule="auto"/>
        <w:rPr>
          <w:rFonts w:eastAsia="SimSun"/>
          <w:szCs w:val="24"/>
        </w:rPr>
      </w:pPr>
    </w:p>
    <w:p w:rsidR="00AF0000" w:rsidRPr="009841D5" w:rsidRDefault="003F7B6D" w:rsidP="009841D5">
      <w:pPr>
        <w:spacing w:after="0"/>
        <w:rPr>
          <w:rFonts w:eastAsia="SimSun"/>
          <w:szCs w:val="24"/>
        </w:rPr>
      </w:pPr>
      <w:r w:rsidRPr="009841D5">
        <w:rPr>
          <w:rFonts w:eastAsia="SimSun"/>
          <w:szCs w:val="24"/>
        </w:rPr>
        <w:t xml:space="preserve">Date:  </w:t>
      </w:r>
      <w:r w:rsidRPr="009841D5">
        <w:rPr>
          <w:rFonts w:eastAsia="SimSun"/>
          <w:szCs w:val="24"/>
          <w:u w:val="single"/>
        </w:rPr>
        <w:t>February 15, 2017</w:t>
      </w:r>
      <w:r w:rsidRPr="009841D5">
        <w:rPr>
          <w:rFonts w:eastAsia="SimSun"/>
          <w:szCs w:val="24"/>
        </w:rPr>
        <w:tab/>
      </w:r>
      <w:r w:rsidRPr="009841D5">
        <w:rPr>
          <w:rFonts w:eastAsia="SimSun"/>
          <w:szCs w:val="24"/>
        </w:rPr>
        <w:tab/>
      </w:r>
      <w:r w:rsidRPr="009841D5">
        <w:rPr>
          <w:rFonts w:eastAsia="SimSun"/>
          <w:szCs w:val="24"/>
        </w:rPr>
        <w:tab/>
      </w:r>
      <w:r w:rsidRPr="009841D5">
        <w:rPr>
          <w:rFonts w:eastAsia="SimSun"/>
          <w:szCs w:val="24"/>
        </w:rPr>
        <w:tab/>
        <w:t>______________________________</w:t>
      </w:r>
    </w:p>
    <w:p w:rsidR="009841D5" w:rsidRDefault="00FD7E08" w:rsidP="009841D5">
      <w:pPr>
        <w:tabs>
          <w:tab w:val="clear" w:pos="1440"/>
        </w:tabs>
        <w:spacing w:after="0" w:line="240" w:lineRule="auto"/>
        <w:ind w:left="5040"/>
        <w:rPr>
          <w:rFonts w:eastAsia="SimSun"/>
          <w:szCs w:val="24"/>
        </w:rPr>
      </w:pPr>
      <w:r w:rsidRPr="009841D5">
        <w:rPr>
          <w:rFonts w:eastAsia="SimSun"/>
          <w:szCs w:val="24"/>
        </w:rPr>
        <w:t>Elizabeth Barnes</w:t>
      </w:r>
    </w:p>
    <w:p w:rsidR="00C05E11" w:rsidRPr="009841D5" w:rsidRDefault="00C05E11" w:rsidP="009841D5">
      <w:pPr>
        <w:tabs>
          <w:tab w:val="clear" w:pos="1440"/>
        </w:tabs>
        <w:spacing w:after="0" w:line="240" w:lineRule="auto"/>
        <w:ind w:left="5040"/>
        <w:rPr>
          <w:rFonts w:eastAsia="SimSun"/>
          <w:szCs w:val="24"/>
        </w:rPr>
      </w:pPr>
      <w:r w:rsidRPr="009841D5">
        <w:rPr>
          <w:rFonts w:eastAsia="SimSun"/>
          <w:szCs w:val="24"/>
        </w:rPr>
        <w:t>Administrative Law Judge</w:t>
      </w:r>
    </w:p>
    <w:p w:rsidR="00C05E11" w:rsidRDefault="00C05E11" w:rsidP="009841D5">
      <w:pPr>
        <w:tabs>
          <w:tab w:val="clear" w:pos="1440"/>
        </w:tabs>
        <w:spacing w:after="0" w:line="240" w:lineRule="auto"/>
        <w:rPr>
          <w:rFonts w:eastAsia="SimSun"/>
          <w:szCs w:val="24"/>
        </w:rPr>
      </w:pPr>
    </w:p>
    <w:p w:rsidR="005E347B" w:rsidRDefault="005E347B" w:rsidP="009841D5">
      <w:pPr>
        <w:tabs>
          <w:tab w:val="clear" w:pos="1440"/>
        </w:tabs>
        <w:spacing w:after="0" w:line="240" w:lineRule="auto"/>
        <w:rPr>
          <w:rFonts w:eastAsia="SimSun"/>
          <w:szCs w:val="24"/>
        </w:rPr>
        <w:sectPr w:rsidR="005E347B" w:rsidSect="00035DDF">
          <w:footerReference w:type="default" r:id="rId9"/>
          <w:pgSz w:w="12240" w:h="15840"/>
          <w:pgMar w:top="1440" w:right="1440" w:bottom="1440" w:left="1440" w:header="720" w:footer="720" w:gutter="0"/>
          <w:cols w:space="720"/>
          <w:titlePg/>
          <w:docGrid w:linePitch="360"/>
        </w:sectPr>
      </w:pPr>
    </w:p>
    <w:p w:rsidR="005E347B" w:rsidRPr="005E347B" w:rsidRDefault="005E347B" w:rsidP="005E347B">
      <w:pPr>
        <w:tabs>
          <w:tab w:val="clear" w:pos="1440"/>
        </w:tabs>
        <w:spacing w:after="0" w:line="240" w:lineRule="auto"/>
        <w:rPr>
          <w:rFonts w:ascii="Microsoft Sans Serif" w:eastAsiaTheme="minorHAnsi" w:hAnsi="Microsoft Sans Serif" w:cs="Microsoft Sans Serif"/>
          <w:b/>
          <w:u w:val="single"/>
        </w:rPr>
      </w:pPr>
      <w:r w:rsidRPr="005E347B">
        <w:rPr>
          <w:rFonts w:ascii="Microsoft Sans Serif" w:eastAsiaTheme="minorHAnsi" w:hAnsi="Microsoft Sans Serif" w:cs="Microsoft Sans Serif"/>
          <w:b/>
          <w:u w:val="single"/>
        </w:rPr>
        <w:lastRenderedPageBreak/>
        <w:t>APPLICATION OF PPL ELECTRIC UTILITIES CORPORATION</w:t>
      </w:r>
    </w:p>
    <w:p w:rsidR="005E347B" w:rsidRPr="005E347B" w:rsidRDefault="005E347B" w:rsidP="005E347B">
      <w:pPr>
        <w:tabs>
          <w:tab w:val="clear" w:pos="1440"/>
        </w:tabs>
        <w:spacing w:after="0" w:line="240" w:lineRule="auto"/>
        <w:rPr>
          <w:rFonts w:ascii="Microsoft Sans Serif" w:eastAsiaTheme="minorHAnsi" w:hAnsi="Microsoft Sans Serif" w:cs="Microsoft Sans Serif"/>
          <w:u w:val="single"/>
        </w:rPr>
      </w:pPr>
    </w:p>
    <w:p w:rsidR="005E347B" w:rsidRPr="005E347B" w:rsidRDefault="005E347B" w:rsidP="005E347B">
      <w:pPr>
        <w:tabs>
          <w:tab w:val="clear" w:pos="1440"/>
        </w:tabs>
        <w:spacing w:after="0" w:line="240" w:lineRule="auto"/>
        <w:rPr>
          <w:rFonts w:ascii="Microsoft Sans Serif" w:eastAsiaTheme="minorHAnsi" w:hAnsi="Microsoft Sans Serif" w:cs="Microsoft Sans Serif"/>
          <w:b/>
          <w:u w:val="single"/>
        </w:rPr>
      </w:pPr>
      <w:r w:rsidRPr="005E347B">
        <w:rPr>
          <w:rFonts w:ascii="Microsoft Sans Serif" w:eastAsiaTheme="minorHAnsi" w:hAnsi="Microsoft Sans Serif" w:cs="Microsoft Sans Serif"/>
          <w:b/>
          <w:u w:val="single"/>
        </w:rPr>
        <w:t>A-2016-2571918 - FOR A FINDING AND DETERMINATION THAT THE SERVICE TO BE FURNISHED BY THE APPLICANT THROUGH ITS PROPOSED EXERCISE OF THE POWER OF EMINENT DOMAIN TO ACQUIRE RIGHT-OF-WAY AND EASEMENT OVER A CERTAIN PORTION OF THE LANDS OF THE HEIRS OF DAVIS DEAN IN WEST ABINGTON LACKAWANNA COUNTY PENNSYLVANIA IS NECESSARY OR PROPER FOR THE SERVICE ACCOMMODATION CONVENIENCE OR SAFETY OF THE PUBLIC</w:t>
      </w:r>
    </w:p>
    <w:p w:rsidR="005E347B" w:rsidRPr="005E347B" w:rsidRDefault="005E347B" w:rsidP="005E347B">
      <w:pPr>
        <w:tabs>
          <w:tab w:val="clear" w:pos="1440"/>
        </w:tabs>
        <w:spacing w:after="0" w:line="240" w:lineRule="auto"/>
        <w:rPr>
          <w:rFonts w:ascii="Microsoft Sans Serif" w:eastAsiaTheme="minorHAnsi" w:hAnsi="Microsoft Sans Serif" w:cs="Microsoft Sans Serif"/>
          <w:b/>
          <w:u w:val="single"/>
        </w:rPr>
      </w:pPr>
    </w:p>
    <w:p w:rsidR="005E347B" w:rsidRPr="005E347B" w:rsidRDefault="005E347B" w:rsidP="005E347B">
      <w:pPr>
        <w:tabs>
          <w:tab w:val="clear" w:pos="1440"/>
        </w:tabs>
        <w:spacing w:after="0" w:line="240" w:lineRule="auto"/>
        <w:rPr>
          <w:rFonts w:ascii="Microsoft Sans Serif" w:eastAsiaTheme="minorHAnsi" w:hAnsi="Microsoft Sans Serif" w:cs="Microsoft Sans Serif"/>
          <w:u w:val="single"/>
        </w:rPr>
      </w:pPr>
      <w:r w:rsidRPr="005E347B">
        <w:rPr>
          <w:rFonts w:ascii="Microsoft Sans Serif" w:eastAsiaTheme="minorHAnsi" w:hAnsi="Microsoft Sans Serif" w:cs="Microsoft Sans Serif"/>
          <w:b/>
          <w:u w:val="single"/>
        </w:rPr>
        <w:t xml:space="preserve">A-2016-2571923 – FOR THE FINDING AND DETERMINATION THAT THE SERVICE TO BE FURNISHED BY THE APPLICANT THROUGH ITS PROPOSED EXERCISE OF THE POWER OF EMINENT DOMAIN TO ACQUIRE RIGHT-OF-WAY AND EASEMENT OVER A CERTAIN PORTION OF THE LANDS OF DALTON EQUITY </w:t>
      </w:r>
      <w:proofErr w:type="spellStart"/>
      <w:r w:rsidRPr="005E347B">
        <w:rPr>
          <w:rFonts w:ascii="Microsoft Sans Serif" w:eastAsiaTheme="minorHAnsi" w:hAnsi="Microsoft Sans Serif" w:cs="Microsoft Sans Serif"/>
          <w:b/>
          <w:u w:val="single"/>
        </w:rPr>
        <w:t>INC</w:t>
      </w:r>
      <w:proofErr w:type="spellEnd"/>
      <w:r w:rsidRPr="005E347B">
        <w:rPr>
          <w:rFonts w:ascii="Microsoft Sans Serif" w:eastAsiaTheme="minorHAnsi" w:hAnsi="Microsoft Sans Serif" w:cs="Microsoft Sans Serif"/>
          <w:b/>
          <w:u w:val="single"/>
        </w:rPr>
        <w:t xml:space="preserve"> IN WEST ABINGTON LACKAWANNA COUNTY PENNSYLVANIA</w:t>
      </w:r>
    </w:p>
    <w:p w:rsidR="005E347B" w:rsidRPr="005E347B" w:rsidRDefault="005E347B" w:rsidP="005E347B">
      <w:pPr>
        <w:tabs>
          <w:tab w:val="clear" w:pos="1440"/>
        </w:tabs>
        <w:spacing w:after="0" w:line="240" w:lineRule="auto"/>
        <w:rPr>
          <w:rFonts w:ascii="Microsoft Sans Serif" w:eastAsiaTheme="minorHAnsi" w:hAnsi="Microsoft Sans Serif" w:cs="Microsoft Sans Serif"/>
          <w:b/>
          <w:u w:val="single"/>
        </w:rPr>
      </w:pPr>
    </w:p>
    <w:p w:rsidR="005E347B" w:rsidRPr="005E347B" w:rsidRDefault="005E347B" w:rsidP="005E347B">
      <w:pPr>
        <w:tabs>
          <w:tab w:val="clear" w:pos="1440"/>
        </w:tabs>
        <w:spacing w:after="0" w:line="240" w:lineRule="auto"/>
        <w:rPr>
          <w:rFonts w:ascii="Microsoft Sans Serif" w:eastAsiaTheme="minorHAnsi" w:hAnsi="Microsoft Sans Serif" w:cs="Microsoft Sans Serif"/>
          <w:b/>
          <w:i/>
          <w:u w:val="single"/>
        </w:rPr>
      </w:pPr>
      <w:r w:rsidRPr="005E347B">
        <w:rPr>
          <w:rFonts w:ascii="Microsoft Sans Serif" w:eastAsiaTheme="minorHAnsi" w:hAnsi="Microsoft Sans Serif" w:cs="Microsoft Sans Serif"/>
          <w:b/>
          <w:i/>
          <w:u w:val="single"/>
        </w:rPr>
        <w:t>Revised 12/14/16</w:t>
      </w:r>
    </w:p>
    <w:p w:rsidR="005E347B" w:rsidRPr="005E347B" w:rsidRDefault="005E347B" w:rsidP="005E347B">
      <w:pPr>
        <w:tabs>
          <w:tab w:val="clear" w:pos="1440"/>
        </w:tabs>
        <w:spacing w:after="0" w:line="240" w:lineRule="auto"/>
        <w:rPr>
          <w:rFonts w:ascii="Microsoft Sans Serif" w:eastAsiaTheme="minorHAnsi" w:hAnsi="Microsoft Sans Serif" w:cs="Microsoft Sans Serif"/>
          <w:b/>
          <w:u w:val="single"/>
        </w:rPr>
      </w:pPr>
    </w:p>
    <w:p w:rsidR="005E347B" w:rsidRPr="005E347B" w:rsidRDefault="005E347B" w:rsidP="005E347B">
      <w:pPr>
        <w:tabs>
          <w:tab w:val="clear" w:pos="1440"/>
        </w:tabs>
        <w:spacing w:after="0" w:line="240" w:lineRule="auto"/>
        <w:rPr>
          <w:rFonts w:ascii="Microsoft Sans Serif" w:eastAsiaTheme="minorHAnsi" w:hAnsi="Microsoft Sans Serif" w:cs="Microsoft Sans Serif"/>
        </w:rPr>
      </w:pPr>
      <w:r w:rsidRPr="005E347B">
        <w:rPr>
          <w:rFonts w:ascii="Microsoft Sans Serif" w:eastAsiaTheme="minorHAnsi" w:hAnsi="Microsoft Sans Serif" w:cs="Microsoft Sans Serif"/>
        </w:rPr>
        <w:t>DAVID B MACGREGOR ESQUIRE</w:t>
      </w:r>
    </w:p>
    <w:p w:rsidR="005E347B" w:rsidRPr="005E347B" w:rsidRDefault="005E347B" w:rsidP="005E347B">
      <w:pPr>
        <w:tabs>
          <w:tab w:val="clear" w:pos="1440"/>
        </w:tabs>
        <w:spacing w:after="0" w:line="240" w:lineRule="auto"/>
        <w:rPr>
          <w:rFonts w:ascii="Microsoft Sans Serif" w:eastAsiaTheme="minorHAnsi" w:hAnsi="Microsoft Sans Serif" w:cs="Microsoft Sans Serif"/>
        </w:rPr>
      </w:pPr>
      <w:r w:rsidRPr="005E347B">
        <w:rPr>
          <w:rFonts w:ascii="Microsoft Sans Serif" w:eastAsiaTheme="minorHAnsi" w:hAnsi="Microsoft Sans Serif" w:cs="Microsoft Sans Serif"/>
        </w:rPr>
        <w:t xml:space="preserve">LINDSAY A </w:t>
      </w:r>
      <w:proofErr w:type="spellStart"/>
      <w:r w:rsidRPr="005E347B">
        <w:rPr>
          <w:rFonts w:ascii="Microsoft Sans Serif" w:eastAsiaTheme="minorHAnsi" w:hAnsi="Microsoft Sans Serif" w:cs="Microsoft Sans Serif"/>
        </w:rPr>
        <w:t>BERKSTRESSER</w:t>
      </w:r>
      <w:proofErr w:type="spellEnd"/>
      <w:r w:rsidRPr="005E347B">
        <w:rPr>
          <w:rFonts w:ascii="Microsoft Sans Serif" w:eastAsiaTheme="minorHAnsi" w:hAnsi="Microsoft Sans Serif" w:cs="Microsoft Sans Serif"/>
        </w:rPr>
        <w:t xml:space="preserve"> ESQUIRE</w:t>
      </w:r>
    </w:p>
    <w:p w:rsidR="005E347B" w:rsidRPr="005E347B" w:rsidRDefault="005E347B" w:rsidP="005E347B">
      <w:pPr>
        <w:tabs>
          <w:tab w:val="clear" w:pos="1440"/>
        </w:tabs>
        <w:spacing w:after="0" w:line="240" w:lineRule="auto"/>
        <w:rPr>
          <w:rFonts w:ascii="Microsoft Sans Serif" w:eastAsiaTheme="minorHAnsi" w:hAnsi="Microsoft Sans Serif" w:cs="Microsoft Sans Serif"/>
        </w:rPr>
      </w:pPr>
      <w:r w:rsidRPr="005E347B">
        <w:rPr>
          <w:rFonts w:ascii="Microsoft Sans Serif" w:eastAsiaTheme="minorHAnsi" w:hAnsi="Microsoft Sans Serif" w:cs="Microsoft Sans Serif"/>
        </w:rPr>
        <w:t>CHRISTOPHER T WRIGHT ESQUIRE</w:t>
      </w:r>
    </w:p>
    <w:p w:rsidR="005E347B" w:rsidRPr="005E347B" w:rsidRDefault="005E347B" w:rsidP="005E347B">
      <w:pPr>
        <w:tabs>
          <w:tab w:val="clear" w:pos="1440"/>
        </w:tabs>
        <w:spacing w:after="0" w:line="240" w:lineRule="auto"/>
        <w:rPr>
          <w:rFonts w:ascii="Microsoft Sans Serif" w:eastAsiaTheme="minorHAnsi" w:hAnsi="Microsoft Sans Serif" w:cs="Microsoft Sans Serif"/>
        </w:rPr>
      </w:pPr>
      <w:r w:rsidRPr="005E347B">
        <w:rPr>
          <w:rFonts w:ascii="Microsoft Sans Serif" w:eastAsiaTheme="minorHAnsi" w:hAnsi="Microsoft Sans Serif" w:cs="Microsoft Sans Serif"/>
        </w:rPr>
        <w:t>POST &amp; SCHELL PC</w:t>
      </w:r>
    </w:p>
    <w:p w:rsidR="005E347B" w:rsidRPr="005E347B" w:rsidRDefault="005E347B" w:rsidP="005E347B">
      <w:pPr>
        <w:tabs>
          <w:tab w:val="clear" w:pos="1440"/>
        </w:tabs>
        <w:spacing w:after="0" w:line="240" w:lineRule="auto"/>
        <w:rPr>
          <w:rFonts w:ascii="Microsoft Sans Serif" w:eastAsiaTheme="minorHAnsi" w:hAnsi="Microsoft Sans Serif" w:cs="Microsoft Sans Serif"/>
        </w:rPr>
      </w:pPr>
      <w:r w:rsidRPr="005E347B">
        <w:rPr>
          <w:rFonts w:ascii="Microsoft Sans Serif" w:eastAsiaTheme="minorHAnsi" w:hAnsi="Microsoft Sans Serif" w:cs="Microsoft Sans Serif"/>
        </w:rPr>
        <w:t xml:space="preserve">17 NORTH SECOND STREET </w:t>
      </w:r>
      <w:proofErr w:type="spellStart"/>
      <w:r w:rsidRPr="005E347B">
        <w:rPr>
          <w:rFonts w:ascii="Microsoft Sans Serif" w:eastAsiaTheme="minorHAnsi" w:hAnsi="Microsoft Sans Serif" w:cs="Microsoft Sans Serif"/>
        </w:rPr>
        <w:t>12</w:t>
      </w:r>
      <w:r w:rsidRPr="005E347B">
        <w:rPr>
          <w:rFonts w:ascii="Microsoft Sans Serif" w:eastAsiaTheme="minorHAnsi" w:hAnsi="Microsoft Sans Serif" w:cs="Microsoft Sans Serif"/>
          <w:vertAlign w:val="superscript"/>
        </w:rPr>
        <w:t>TH</w:t>
      </w:r>
      <w:proofErr w:type="spellEnd"/>
      <w:r w:rsidRPr="005E347B">
        <w:rPr>
          <w:rFonts w:ascii="Microsoft Sans Serif" w:eastAsiaTheme="minorHAnsi" w:hAnsi="Microsoft Sans Serif" w:cs="Microsoft Sans Serif"/>
        </w:rPr>
        <w:t xml:space="preserve"> FL</w:t>
      </w:r>
    </w:p>
    <w:p w:rsidR="005E347B" w:rsidRPr="005E347B" w:rsidRDefault="005E347B" w:rsidP="005E347B">
      <w:pPr>
        <w:tabs>
          <w:tab w:val="clear" w:pos="1440"/>
        </w:tabs>
        <w:spacing w:after="0" w:line="240" w:lineRule="auto"/>
        <w:rPr>
          <w:rFonts w:ascii="Microsoft Sans Serif" w:eastAsiaTheme="minorHAnsi" w:hAnsi="Microsoft Sans Serif" w:cs="Microsoft Sans Serif"/>
        </w:rPr>
      </w:pPr>
      <w:r w:rsidRPr="005E347B">
        <w:rPr>
          <w:rFonts w:ascii="Microsoft Sans Serif" w:eastAsiaTheme="minorHAnsi" w:hAnsi="Microsoft Sans Serif" w:cs="Microsoft Sans Serif"/>
        </w:rPr>
        <w:t>HARRISBURG PA  17101-1601</w:t>
      </w:r>
    </w:p>
    <w:p w:rsidR="005E347B" w:rsidRPr="005E347B" w:rsidRDefault="005E347B" w:rsidP="005E347B">
      <w:pPr>
        <w:tabs>
          <w:tab w:val="clear" w:pos="1440"/>
        </w:tabs>
        <w:spacing w:after="0" w:line="240" w:lineRule="auto"/>
        <w:rPr>
          <w:rFonts w:ascii="Microsoft Sans Serif" w:eastAsiaTheme="minorHAnsi" w:hAnsi="Microsoft Sans Serif" w:cs="Microsoft Sans Serif"/>
          <w:b/>
          <w:i/>
          <w:u w:val="single"/>
        </w:rPr>
      </w:pPr>
      <w:r w:rsidRPr="005E347B">
        <w:rPr>
          <w:rFonts w:ascii="Microsoft Sans Serif" w:eastAsiaTheme="minorHAnsi" w:hAnsi="Microsoft Sans Serif" w:cs="Microsoft Sans Serif"/>
          <w:b/>
          <w:i/>
          <w:u w:val="single"/>
        </w:rPr>
        <w:t>Accepts e-Service</w:t>
      </w:r>
    </w:p>
    <w:p w:rsidR="005E347B" w:rsidRPr="005E347B" w:rsidRDefault="005E347B" w:rsidP="005E347B">
      <w:pPr>
        <w:tabs>
          <w:tab w:val="clear" w:pos="1440"/>
        </w:tabs>
        <w:spacing w:after="0" w:line="240" w:lineRule="auto"/>
        <w:rPr>
          <w:rFonts w:ascii="Microsoft Sans Serif" w:eastAsiaTheme="minorHAnsi" w:hAnsi="Microsoft Sans Serif" w:cs="Microsoft Sans Serif"/>
          <w:b/>
          <w:i/>
          <w:u w:val="single"/>
        </w:rPr>
      </w:pPr>
    </w:p>
    <w:p w:rsidR="005E347B" w:rsidRPr="005E347B" w:rsidRDefault="005E347B" w:rsidP="005E347B">
      <w:pPr>
        <w:tabs>
          <w:tab w:val="clear" w:pos="1440"/>
        </w:tabs>
        <w:spacing w:after="0" w:line="240" w:lineRule="auto"/>
        <w:rPr>
          <w:rFonts w:ascii="Microsoft Sans Serif" w:eastAsiaTheme="minorHAnsi" w:hAnsi="Microsoft Sans Serif" w:cs="Microsoft Sans Serif"/>
        </w:rPr>
      </w:pPr>
      <w:r w:rsidRPr="005E347B">
        <w:rPr>
          <w:rFonts w:ascii="Microsoft Sans Serif" w:eastAsiaTheme="minorHAnsi" w:hAnsi="Microsoft Sans Serif" w:cs="Microsoft Sans Serif"/>
        </w:rPr>
        <w:t xml:space="preserve">KIMBERLY A </w:t>
      </w:r>
      <w:proofErr w:type="spellStart"/>
      <w:r w:rsidRPr="005E347B">
        <w:rPr>
          <w:rFonts w:ascii="Microsoft Sans Serif" w:eastAsiaTheme="minorHAnsi" w:hAnsi="Microsoft Sans Serif" w:cs="Microsoft Sans Serif"/>
        </w:rPr>
        <w:t>KLOCK</w:t>
      </w:r>
      <w:proofErr w:type="spellEnd"/>
      <w:r w:rsidRPr="005E347B">
        <w:rPr>
          <w:rFonts w:ascii="Microsoft Sans Serif" w:eastAsiaTheme="minorHAnsi" w:hAnsi="Microsoft Sans Serif" w:cs="Microsoft Sans Serif"/>
        </w:rPr>
        <w:t xml:space="preserve"> ESQUIRE</w:t>
      </w:r>
    </w:p>
    <w:p w:rsidR="005E347B" w:rsidRPr="005E347B" w:rsidRDefault="005E347B" w:rsidP="005E347B">
      <w:pPr>
        <w:tabs>
          <w:tab w:val="clear" w:pos="1440"/>
        </w:tabs>
        <w:spacing w:after="0" w:line="240" w:lineRule="auto"/>
        <w:rPr>
          <w:rFonts w:ascii="Microsoft Sans Serif" w:eastAsiaTheme="minorHAnsi" w:hAnsi="Microsoft Sans Serif" w:cs="Microsoft Sans Serif"/>
        </w:rPr>
      </w:pPr>
      <w:r w:rsidRPr="005E347B">
        <w:rPr>
          <w:rFonts w:ascii="Microsoft Sans Serif" w:eastAsiaTheme="minorHAnsi" w:hAnsi="Microsoft Sans Serif" w:cs="Microsoft Sans Serif"/>
        </w:rPr>
        <w:t>PPL SERVICES CORPORATION</w:t>
      </w:r>
    </w:p>
    <w:p w:rsidR="005E347B" w:rsidRPr="005E347B" w:rsidRDefault="005E347B" w:rsidP="005E347B">
      <w:pPr>
        <w:tabs>
          <w:tab w:val="clear" w:pos="1440"/>
        </w:tabs>
        <w:spacing w:after="0" w:line="240" w:lineRule="auto"/>
        <w:rPr>
          <w:rFonts w:ascii="Microsoft Sans Serif" w:eastAsiaTheme="minorHAnsi" w:hAnsi="Microsoft Sans Serif" w:cs="Microsoft Sans Serif"/>
        </w:rPr>
      </w:pPr>
      <w:r w:rsidRPr="005E347B">
        <w:rPr>
          <w:rFonts w:ascii="Microsoft Sans Serif" w:eastAsiaTheme="minorHAnsi" w:hAnsi="Microsoft Sans Serif" w:cs="Microsoft Sans Serif"/>
        </w:rPr>
        <w:t>TWO NORTH NINTH STREET</w:t>
      </w:r>
    </w:p>
    <w:p w:rsidR="005E347B" w:rsidRPr="005E347B" w:rsidRDefault="005E347B" w:rsidP="005E347B">
      <w:pPr>
        <w:tabs>
          <w:tab w:val="clear" w:pos="1440"/>
        </w:tabs>
        <w:spacing w:after="0" w:line="240" w:lineRule="auto"/>
        <w:rPr>
          <w:rFonts w:ascii="Microsoft Sans Serif" w:eastAsiaTheme="minorHAnsi" w:hAnsi="Microsoft Sans Serif" w:cs="Microsoft Sans Serif"/>
        </w:rPr>
      </w:pPr>
      <w:r w:rsidRPr="005E347B">
        <w:rPr>
          <w:rFonts w:ascii="Microsoft Sans Serif" w:eastAsiaTheme="minorHAnsi" w:hAnsi="Microsoft Sans Serif" w:cs="Microsoft Sans Serif"/>
        </w:rPr>
        <w:t>ALLENTOWN PA  18101</w:t>
      </w:r>
    </w:p>
    <w:p w:rsidR="005E347B" w:rsidRPr="005E347B" w:rsidRDefault="005E347B" w:rsidP="005E347B">
      <w:pPr>
        <w:tabs>
          <w:tab w:val="clear" w:pos="1440"/>
        </w:tabs>
        <w:spacing w:after="0" w:line="240" w:lineRule="auto"/>
        <w:rPr>
          <w:rFonts w:ascii="Microsoft Sans Serif" w:eastAsiaTheme="minorHAnsi" w:hAnsi="Microsoft Sans Serif" w:cs="Microsoft Sans Serif"/>
        </w:rPr>
      </w:pPr>
      <w:r w:rsidRPr="005E347B">
        <w:rPr>
          <w:rFonts w:ascii="Microsoft Sans Serif" w:eastAsiaTheme="minorHAnsi" w:hAnsi="Microsoft Sans Serif" w:cs="Microsoft Sans Serif"/>
          <w:b/>
          <w:i/>
          <w:u w:val="single"/>
        </w:rPr>
        <w:t>Accepts e-Service</w:t>
      </w:r>
    </w:p>
    <w:p w:rsidR="005E347B" w:rsidRPr="005E347B" w:rsidRDefault="005E347B" w:rsidP="005E347B">
      <w:pPr>
        <w:tabs>
          <w:tab w:val="clear" w:pos="1440"/>
        </w:tabs>
        <w:spacing w:after="0" w:line="240" w:lineRule="auto"/>
        <w:rPr>
          <w:rFonts w:ascii="Microsoft Sans Serif" w:eastAsiaTheme="minorHAnsi" w:hAnsi="Microsoft Sans Serif" w:cs="Microsoft Sans Serif"/>
        </w:rPr>
      </w:pPr>
    </w:p>
    <w:p w:rsidR="005E347B" w:rsidRPr="005E347B" w:rsidRDefault="005E347B" w:rsidP="005E347B">
      <w:pPr>
        <w:tabs>
          <w:tab w:val="clear" w:pos="1440"/>
        </w:tabs>
        <w:spacing w:after="0" w:line="240" w:lineRule="auto"/>
        <w:rPr>
          <w:rFonts w:ascii="Microsoft Sans Serif" w:eastAsiaTheme="minorHAnsi" w:hAnsi="Microsoft Sans Serif" w:cs="Microsoft Sans Serif"/>
        </w:rPr>
      </w:pPr>
      <w:r w:rsidRPr="005E347B">
        <w:rPr>
          <w:rFonts w:ascii="Microsoft Sans Serif" w:eastAsiaTheme="minorHAnsi" w:hAnsi="Microsoft Sans Serif" w:cs="Microsoft Sans Serif"/>
        </w:rPr>
        <w:t xml:space="preserve">DALTON EQUITY </w:t>
      </w:r>
      <w:proofErr w:type="spellStart"/>
      <w:r w:rsidRPr="005E347B">
        <w:rPr>
          <w:rFonts w:ascii="Microsoft Sans Serif" w:eastAsiaTheme="minorHAnsi" w:hAnsi="Microsoft Sans Serif" w:cs="Microsoft Sans Serif"/>
        </w:rPr>
        <w:t>INC</w:t>
      </w:r>
      <w:proofErr w:type="spellEnd"/>
    </w:p>
    <w:p w:rsidR="005E347B" w:rsidRPr="005E347B" w:rsidRDefault="005E347B" w:rsidP="005E347B">
      <w:pPr>
        <w:tabs>
          <w:tab w:val="clear" w:pos="1440"/>
        </w:tabs>
        <w:spacing w:after="0" w:line="240" w:lineRule="auto"/>
        <w:rPr>
          <w:rFonts w:ascii="Microsoft Sans Serif" w:eastAsiaTheme="minorHAnsi" w:hAnsi="Microsoft Sans Serif" w:cs="Microsoft Sans Serif"/>
        </w:rPr>
      </w:pPr>
      <w:r w:rsidRPr="005E347B">
        <w:rPr>
          <w:rFonts w:ascii="Microsoft Sans Serif" w:eastAsiaTheme="minorHAnsi" w:hAnsi="Microsoft Sans Serif" w:cs="Microsoft Sans Serif"/>
        </w:rPr>
        <w:t>1144 EAST DRINKER STREET</w:t>
      </w:r>
    </w:p>
    <w:p w:rsidR="005E347B" w:rsidRPr="005E347B" w:rsidRDefault="005E347B" w:rsidP="005E347B">
      <w:pPr>
        <w:tabs>
          <w:tab w:val="clear" w:pos="1440"/>
        </w:tabs>
        <w:spacing w:after="0" w:line="240" w:lineRule="auto"/>
        <w:rPr>
          <w:rFonts w:ascii="Microsoft Sans Serif" w:eastAsiaTheme="minorHAnsi" w:hAnsi="Microsoft Sans Serif" w:cs="Microsoft Sans Serif"/>
        </w:rPr>
      </w:pPr>
      <w:r w:rsidRPr="005E347B">
        <w:rPr>
          <w:rFonts w:ascii="Microsoft Sans Serif" w:eastAsiaTheme="minorHAnsi" w:hAnsi="Microsoft Sans Serif" w:cs="Microsoft Sans Serif"/>
        </w:rPr>
        <w:t>DUNMORE PA  18512</w:t>
      </w:r>
    </w:p>
    <w:p w:rsidR="005E347B" w:rsidRPr="005E347B" w:rsidRDefault="005E347B" w:rsidP="005E347B">
      <w:pPr>
        <w:tabs>
          <w:tab w:val="clear" w:pos="1440"/>
        </w:tabs>
        <w:spacing w:after="0" w:line="240" w:lineRule="auto"/>
        <w:rPr>
          <w:rFonts w:ascii="Microsoft Sans Serif" w:eastAsiaTheme="minorHAnsi" w:hAnsi="Microsoft Sans Serif" w:cs="Microsoft Sans Serif"/>
        </w:rPr>
      </w:pPr>
    </w:p>
    <w:p w:rsidR="005E347B" w:rsidRPr="005E347B" w:rsidRDefault="005E347B" w:rsidP="005E347B">
      <w:pPr>
        <w:tabs>
          <w:tab w:val="clear" w:pos="1440"/>
        </w:tabs>
        <w:spacing w:after="0" w:line="240" w:lineRule="auto"/>
        <w:rPr>
          <w:rFonts w:ascii="Microsoft Sans Serif" w:eastAsiaTheme="minorHAnsi" w:hAnsi="Microsoft Sans Serif" w:cs="Microsoft Sans Serif"/>
          <w:b/>
          <w:i/>
          <w:u w:val="single"/>
        </w:rPr>
      </w:pPr>
      <w:r w:rsidRPr="005E347B">
        <w:rPr>
          <w:rFonts w:ascii="Microsoft Sans Serif" w:eastAsiaTheme="minorHAnsi" w:hAnsi="Microsoft Sans Serif" w:cs="Microsoft Sans Serif"/>
        </w:rPr>
        <w:t xml:space="preserve">MICHAEL R </w:t>
      </w:r>
      <w:proofErr w:type="spellStart"/>
      <w:r w:rsidRPr="005E347B">
        <w:rPr>
          <w:rFonts w:ascii="Microsoft Sans Serif" w:eastAsiaTheme="minorHAnsi" w:hAnsi="Microsoft Sans Serif" w:cs="Microsoft Sans Serif"/>
        </w:rPr>
        <w:t>MEY</w:t>
      </w:r>
      <w:proofErr w:type="spellEnd"/>
      <w:r w:rsidRPr="005E347B">
        <w:rPr>
          <w:rFonts w:ascii="Microsoft Sans Serif" w:eastAsiaTheme="minorHAnsi" w:hAnsi="Microsoft Sans Serif" w:cs="Microsoft Sans Serif"/>
        </w:rPr>
        <w:t xml:space="preserve"> ESQUIRE</w:t>
      </w:r>
      <w:r w:rsidRPr="005E347B">
        <w:rPr>
          <w:rFonts w:ascii="Microsoft Sans Serif" w:eastAsiaTheme="minorHAnsi" w:hAnsi="Microsoft Sans Serif" w:cs="Microsoft Sans Serif"/>
        </w:rPr>
        <w:cr/>
      </w:r>
      <w:proofErr w:type="spellStart"/>
      <w:r w:rsidRPr="005E347B">
        <w:rPr>
          <w:rFonts w:ascii="Microsoft Sans Serif" w:eastAsiaTheme="minorHAnsi" w:hAnsi="Microsoft Sans Serif" w:cs="Microsoft Sans Serif"/>
        </w:rPr>
        <w:t>MEY</w:t>
      </w:r>
      <w:proofErr w:type="spellEnd"/>
      <w:r w:rsidRPr="005E347B">
        <w:rPr>
          <w:rFonts w:ascii="Microsoft Sans Serif" w:eastAsiaTheme="minorHAnsi" w:hAnsi="Microsoft Sans Serif" w:cs="Microsoft Sans Serif"/>
        </w:rPr>
        <w:t xml:space="preserve"> &amp; SULLA LLP</w:t>
      </w:r>
      <w:r w:rsidRPr="005E347B">
        <w:rPr>
          <w:rFonts w:ascii="Microsoft Sans Serif" w:eastAsiaTheme="minorHAnsi" w:hAnsi="Microsoft Sans Serif" w:cs="Microsoft Sans Serif"/>
        </w:rPr>
        <w:cr/>
        <w:t>1144 EAST DRINKER STREET</w:t>
      </w:r>
      <w:r w:rsidRPr="005E347B">
        <w:rPr>
          <w:rFonts w:ascii="Microsoft Sans Serif" w:eastAsiaTheme="minorHAnsi" w:hAnsi="Microsoft Sans Serif" w:cs="Microsoft Sans Serif"/>
        </w:rPr>
        <w:cr/>
        <w:t>DUNMORE PA  18512</w:t>
      </w:r>
      <w:r w:rsidRPr="005E347B">
        <w:rPr>
          <w:rFonts w:ascii="Microsoft Sans Serif" w:eastAsiaTheme="minorHAnsi" w:hAnsi="Microsoft Sans Serif" w:cs="Microsoft Sans Serif"/>
        </w:rPr>
        <w:cr/>
      </w:r>
      <w:r w:rsidRPr="005E347B">
        <w:rPr>
          <w:rFonts w:ascii="Microsoft Sans Serif" w:eastAsiaTheme="minorHAnsi" w:hAnsi="Microsoft Sans Serif" w:cs="Microsoft Sans Serif"/>
          <w:b/>
        </w:rPr>
        <w:t>570-961-1929</w:t>
      </w:r>
      <w:r w:rsidRPr="005E347B">
        <w:rPr>
          <w:rFonts w:ascii="Microsoft Sans Serif" w:eastAsiaTheme="minorHAnsi" w:hAnsi="Microsoft Sans Serif" w:cs="Microsoft Sans Serif"/>
        </w:rPr>
        <w:cr/>
      </w:r>
      <w:r w:rsidRPr="005E347B">
        <w:rPr>
          <w:rFonts w:ascii="Microsoft Sans Serif" w:eastAsiaTheme="minorHAnsi" w:hAnsi="Microsoft Sans Serif" w:cs="Microsoft Sans Serif"/>
          <w:b/>
          <w:i/>
          <w:u w:val="single"/>
        </w:rPr>
        <w:t>Accepts E-Service</w:t>
      </w:r>
    </w:p>
    <w:p w:rsidR="005E347B" w:rsidRPr="005E347B" w:rsidRDefault="005E347B" w:rsidP="005E347B">
      <w:pPr>
        <w:tabs>
          <w:tab w:val="clear" w:pos="1440"/>
        </w:tabs>
        <w:spacing w:after="0" w:line="240" w:lineRule="auto"/>
        <w:rPr>
          <w:rFonts w:ascii="Microsoft Sans Serif" w:eastAsiaTheme="minorHAnsi" w:hAnsi="Microsoft Sans Serif" w:cs="Microsoft Sans Serif"/>
        </w:rPr>
      </w:pPr>
    </w:p>
    <w:p w:rsidR="005E347B" w:rsidRPr="005E347B" w:rsidRDefault="005E347B" w:rsidP="005E347B">
      <w:pPr>
        <w:tabs>
          <w:tab w:val="clear" w:pos="1440"/>
        </w:tabs>
        <w:spacing w:after="0" w:line="240" w:lineRule="auto"/>
        <w:rPr>
          <w:rFonts w:ascii="Microsoft Sans Serif" w:eastAsiaTheme="minorHAnsi" w:hAnsi="Microsoft Sans Serif" w:cs="Microsoft Sans Serif"/>
        </w:rPr>
      </w:pPr>
    </w:p>
    <w:p w:rsidR="005E347B" w:rsidRPr="009841D5" w:rsidRDefault="005E347B" w:rsidP="009841D5">
      <w:pPr>
        <w:tabs>
          <w:tab w:val="clear" w:pos="1440"/>
        </w:tabs>
        <w:spacing w:after="0" w:line="240" w:lineRule="auto"/>
        <w:rPr>
          <w:rFonts w:eastAsia="SimSun"/>
          <w:szCs w:val="24"/>
        </w:rPr>
      </w:pPr>
      <w:bookmarkStart w:id="0" w:name="_GoBack"/>
      <w:bookmarkEnd w:id="0"/>
    </w:p>
    <w:sectPr w:rsidR="005E347B" w:rsidRPr="009841D5" w:rsidSect="00D213FD">
      <w:pgSz w:w="12240" w:h="15840" w:code="1"/>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304D" w:rsidRDefault="0004304D" w:rsidP="00AE74B1">
      <w:pPr>
        <w:spacing w:after="0" w:line="240" w:lineRule="auto"/>
      </w:pPr>
      <w:r>
        <w:separator/>
      </w:r>
    </w:p>
  </w:endnote>
  <w:endnote w:type="continuationSeparator" w:id="0">
    <w:p w:rsidR="0004304D" w:rsidRDefault="0004304D" w:rsidP="00AE74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0"/>
      </w:rPr>
      <w:id w:val="404725954"/>
      <w:docPartObj>
        <w:docPartGallery w:val="Page Numbers (Bottom of Page)"/>
        <w:docPartUnique/>
      </w:docPartObj>
    </w:sdtPr>
    <w:sdtEndPr>
      <w:rPr>
        <w:noProof/>
      </w:rPr>
    </w:sdtEndPr>
    <w:sdtContent>
      <w:p w:rsidR="00035DDF" w:rsidRPr="009841D5" w:rsidRDefault="00035DDF" w:rsidP="009841D5">
        <w:pPr>
          <w:pStyle w:val="Footer"/>
          <w:jc w:val="center"/>
          <w:rPr>
            <w:sz w:val="20"/>
          </w:rPr>
        </w:pPr>
        <w:r w:rsidRPr="009841D5">
          <w:rPr>
            <w:sz w:val="20"/>
          </w:rPr>
          <w:fldChar w:fldCharType="begin"/>
        </w:r>
        <w:r w:rsidRPr="009841D5">
          <w:rPr>
            <w:sz w:val="20"/>
          </w:rPr>
          <w:instrText xml:space="preserve"> PAGE   \* MERGEFORMAT </w:instrText>
        </w:r>
        <w:r w:rsidRPr="009841D5">
          <w:rPr>
            <w:sz w:val="20"/>
          </w:rPr>
          <w:fldChar w:fldCharType="separate"/>
        </w:r>
        <w:r w:rsidR="005E347B">
          <w:rPr>
            <w:noProof/>
            <w:sz w:val="20"/>
          </w:rPr>
          <w:t>5</w:t>
        </w:r>
        <w:r w:rsidRPr="009841D5">
          <w:rPr>
            <w:noProof/>
            <w:sz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304D" w:rsidRDefault="0004304D" w:rsidP="00AE74B1">
      <w:pPr>
        <w:spacing w:after="0" w:line="240" w:lineRule="auto"/>
      </w:pPr>
      <w:r>
        <w:separator/>
      </w:r>
    </w:p>
  </w:footnote>
  <w:footnote w:type="continuationSeparator" w:id="0">
    <w:p w:rsidR="0004304D" w:rsidRDefault="0004304D" w:rsidP="00AE74B1">
      <w:pPr>
        <w:spacing w:after="0" w:line="240" w:lineRule="auto"/>
      </w:pPr>
      <w:r>
        <w:continuationSeparator/>
      </w:r>
    </w:p>
  </w:footnote>
  <w:footnote w:id="1">
    <w:p w:rsidR="00C90642" w:rsidRDefault="00C90642" w:rsidP="00796343">
      <w:pPr>
        <w:pStyle w:val="FootnoteText"/>
        <w:spacing w:after="0"/>
        <w:ind w:firstLine="720"/>
      </w:pPr>
      <w:r>
        <w:rPr>
          <w:rStyle w:val="FootnoteReference"/>
        </w:rPr>
        <w:footnoteRef/>
      </w:r>
      <w:r>
        <w:t xml:space="preserve"> </w:t>
      </w:r>
      <w:r>
        <w:tab/>
        <w:t xml:space="preserve">66 Pa.C.S. § 309.  See also </w:t>
      </w:r>
      <w:r w:rsidR="009E7B38">
        <w:t>66 Pa.C.S. § 331(d)(2)(authorizing presiding officers to issue subpoena).</w:t>
      </w:r>
    </w:p>
    <w:p w:rsidR="00C05E11" w:rsidRDefault="00C05E11" w:rsidP="00C05E11">
      <w:pPr>
        <w:pStyle w:val="FootnoteText"/>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4C6BF6"/>
    <w:multiLevelType w:val="hybridMultilevel"/>
    <w:tmpl w:val="1C2C1DD4"/>
    <w:lvl w:ilvl="0" w:tplc="A98CE02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CB17452"/>
    <w:multiLevelType w:val="hybridMultilevel"/>
    <w:tmpl w:val="9C085A1E"/>
    <w:lvl w:ilvl="0" w:tplc="AC782BE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43425B8"/>
    <w:multiLevelType w:val="hybridMultilevel"/>
    <w:tmpl w:val="8918C5F0"/>
    <w:lvl w:ilvl="0" w:tplc="0FA221A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564759C"/>
    <w:multiLevelType w:val="hybridMultilevel"/>
    <w:tmpl w:val="B1D612BC"/>
    <w:lvl w:ilvl="0" w:tplc="F39C5B5C">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nsid w:val="4B095837"/>
    <w:multiLevelType w:val="hybridMultilevel"/>
    <w:tmpl w:val="62BAD5EC"/>
    <w:lvl w:ilvl="0" w:tplc="69EE35F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163515A"/>
    <w:multiLevelType w:val="hybridMultilevel"/>
    <w:tmpl w:val="AECA1614"/>
    <w:lvl w:ilvl="0" w:tplc="6A026BD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67C240B2"/>
    <w:multiLevelType w:val="hybridMultilevel"/>
    <w:tmpl w:val="DB700314"/>
    <w:lvl w:ilvl="0" w:tplc="990AB5C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D2B4994"/>
    <w:multiLevelType w:val="hybridMultilevel"/>
    <w:tmpl w:val="1CBEED92"/>
    <w:lvl w:ilvl="0" w:tplc="80F0015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F3B6BCD"/>
    <w:multiLevelType w:val="hybridMultilevel"/>
    <w:tmpl w:val="F934C904"/>
    <w:lvl w:ilvl="0" w:tplc="2B1E7B6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30C6BCA"/>
    <w:multiLevelType w:val="hybridMultilevel"/>
    <w:tmpl w:val="28386070"/>
    <w:lvl w:ilvl="0" w:tplc="0C92B14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37D5134"/>
    <w:multiLevelType w:val="hybridMultilevel"/>
    <w:tmpl w:val="130E6982"/>
    <w:lvl w:ilvl="0" w:tplc="F8684FE4">
      <w:start w:val="1"/>
      <w:numFmt w:val="decimal"/>
      <w:pStyle w:val="ListParagraph"/>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5A348A0"/>
    <w:multiLevelType w:val="hybridMultilevel"/>
    <w:tmpl w:val="D6202846"/>
    <w:lvl w:ilvl="0" w:tplc="867CA1FC">
      <w:start w:val="1"/>
      <w:numFmt w:val="decimal"/>
      <w:lvlText w:val="%1."/>
      <w:lvlJc w:val="left"/>
      <w:pPr>
        <w:ind w:left="1440" w:hanging="360"/>
      </w:pPr>
      <w:rPr>
        <w:rFonts w:ascii="Times New Roman" w:hAnsi="Times New Roman" w:hint="default"/>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77F95CD1"/>
    <w:multiLevelType w:val="hybridMultilevel"/>
    <w:tmpl w:val="6C12450C"/>
    <w:lvl w:ilvl="0" w:tplc="6F9AFBE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8AC4007"/>
    <w:multiLevelType w:val="hybridMultilevel"/>
    <w:tmpl w:val="4524D50A"/>
    <w:lvl w:ilvl="0" w:tplc="57E460EE">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1"/>
  </w:num>
  <w:num w:numId="2">
    <w:abstractNumId w:val="5"/>
  </w:num>
  <w:num w:numId="3">
    <w:abstractNumId w:val="9"/>
  </w:num>
  <w:num w:numId="4">
    <w:abstractNumId w:val="13"/>
  </w:num>
  <w:num w:numId="5">
    <w:abstractNumId w:val="3"/>
  </w:num>
  <w:num w:numId="6">
    <w:abstractNumId w:val="2"/>
  </w:num>
  <w:num w:numId="7">
    <w:abstractNumId w:val="1"/>
  </w:num>
  <w:num w:numId="8">
    <w:abstractNumId w:val="12"/>
  </w:num>
  <w:num w:numId="9">
    <w:abstractNumId w:val="0"/>
  </w:num>
  <w:num w:numId="10">
    <w:abstractNumId w:val="6"/>
  </w:num>
  <w:num w:numId="11">
    <w:abstractNumId w:val="8"/>
  </w:num>
  <w:num w:numId="12">
    <w:abstractNumId w:val="4"/>
  </w:num>
  <w:num w:numId="13">
    <w:abstractNumId w:val="7"/>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086A"/>
    <w:rsid w:val="00004C37"/>
    <w:rsid w:val="00035DDF"/>
    <w:rsid w:val="0004304D"/>
    <w:rsid w:val="00043F12"/>
    <w:rsid w:val="00056BFA"/>
    <w:rsid w:val="000E68AF"/>
    <w:rsid w:val="001358CE"/>
    <w:rsid w:val="0014451D"/>
    <w:rsid w:val="001B1CBA"/>
    <w:rsid w:val="001D60E1"/>
    <w:rsid w:val="001F3E81"/>
    <w:rsid w:val="00206534"/>
    <w:rsid w:val="00213167"/>
    <w:rsid w:val="002512F9"/>
    <w:rsid w:val="0025177D"/>
    <w:rsid w:val="002A11B5"/>
    <w:rsid w:val="002A273A"/>
    <w:rsid w:val="002C0B7C"/>
    <w:rsid w:val="002C2F59"/>
    <w:rsid w:val="003540E2"/>
    <w:rsid w:val="003870C7"/>
    <w:rsid w:val="0038720E"/>
    <w:rsid w:val="00390FC7"/>
    <w:rsid w:val="00393C92"/>
    <w:rsid w:val="003F187B"/>
    <w:rsid w:val="003F7B6D"/>
    <w:rsid w:val="00415EA6"/>
    <w:rsid w:val="00417581"/>
    <w:rsid w:val="004A7774"/>
    <w:rsid w:val="004D523C"/>
    <w:rsid w:val="004E615C"/>
    <w:rsid w:val="00520407"/>
    <w:rsid w:val="00526D22"/>
    <w:rsid w:val="005A1C17"/>
    <w:rsid w:val="005A2ABA"/>
    <w:rsid w:val="005C4A88"/>
    <w:rsid w:val="005E347B"/>
    <w:rsid w:val="0061775F"/>
    <w:rsid w:val="006378F7"/>
    <w:rsid w:val="00652DA1"/>
    <w:rsid w:val="006573BD"/>
    <w:rsid w:val="006E082A"/>
    <w:rsid w:val="006E46B7"/>
    <w:rsid w:val="006F0329"/>
    <w:rsid w:val="00707D4C"/>
    <w:rsid w:val="00712E58"/>
    <w:rsid w:val="007417DF"/>
    <w:rsid w:val="00792796"/>
    <w:rsid w:val="00796343"/>
    <w:rsid w:val="007A442D"/>
    <w:rsid w:val="007E4CC4"/>
    <w:rsid w:val="007E6779"/>
    <w:rsid w:val="00820B4C"/>
    <w:rsid w:val="008524F3"/>
    <w:rsid w:val="008529D2"/>
    <w:rsid w:val="00893FC5"/>
    <w:rsid w:val="008962E5"/>
    <w:rsid w:val="008F7104"/>
    <w:rsid w:val="00925EFF"/>
    <w:rsid w:val="00976DA3"/>
    <w:rsid w:val="009841D5"/>
    <w:rsid w:val="0099131F"/>
    <w:rsid w:val="0099481D"/>
    <w:rsid w:val="00997E61"/>
    <w:rsid w:val="009B551B"/>
    <w:rsid w:val="009C10C7"/>
    <w:rsid w:val="009D09C2"/>
    <w:rsid w:val="009E3612"/>
    <w:rsid w:val="009E6E6E"/>
    <w:rsid w:val="009E7B38"/>
    <w:rsid w:val="009F196E"/>
    <w:rsid w:val="00A10D17"/>
    <w:rsid w:val="00A55096"/>
    <w:rsid w:val="00A61E36"/>
    <w:rsid w:val="00A82479"/>
    <w:rsid w:val="00A85951"/>
    <w:rsid w:val="00A9405A"/>
    <w:rsid w:val="00AA2EC5"/>
    <w:rsid w:val="00AB4C73"/>
    <w:rsid w:val="00AD33F3"/>
    <w:rsid w:val="00AD4928"/>
    <w:rsid w:val="00AE1975"/>
    <w:rsid w:val="00AE6F47"/>
    <w:rsid w:val="00AE74B1"/>
    <w:rsid w:val="00AF0000"/>
    <w:rsid w:val="00B3101C"/>
    <w:rsid w:val="00B3237B"/>
    <w:rsid w:val="00B6094B"/>
    <w:rsid w:val="00B82B33"/>
    <w:rsid w:val="00B83E62"/>
    <w:rsid w:val="00BC6B21"/>
    <w:rsid w:val="00C01051"/>
    <w:rsid w:val="00C028B4"/>
    <w:rsid w:val="00C0578C"/>
    <w:rsid w:val="00C05E11"/>
    <w:rsid w:val="00C56A17"/>
    <w:rsid w:val="00C87E57"/>
    <w:rsid w:val="00C90642"/>
    <w:rsid w:val="00CB2B6D"/>
    <w:rsid w:val="00CB7F30"/>
    <w:rsid w:val="00CC278C"/>
    <w:rsid w:val="00CD0919"/>
    <w:rsid w:val="00D22A28"/>
    <w:rsid w:val="00D412F9"/>
    <w:rsid w:val="00D62518"/>
    <w:rsid w:val="00D65F13"/>
    <w:rsid w:val="00D74E92"/>
    <w:rsid w:val="00D9034B"/>
    <w:rsid w:val="00DA0B63"/>
    <w:rsid w:val="00DA3B2B"/>
    <w:rsid w:val="00DB3529"/>
    <w:rsid w:val="00DB533C"/>
    <w:rsid w:val="00DC1879"/>
    <w:rsid w:val="00DD5C37"/>
    <w:rsid w:val="00E0086A"/>
    <w:rsid w:val="00E23D16"/>
    <w:rsid w:val="00E32381"/>
    <w:rsid w:val="00E82B94"/>
    <w:rsid w:val="00EC1CBA"/>
    <w:rsid w:val="00EC2D24"/>
    <w:rsid w:val="00EE7801"/>
    <w:rsid w:val="00EF0319"/>
    <w:rsid w:val="00F06325"/>
    <w:rsid w:val="00F16554"/>
    <w:rsid w:val="00F22A5C"/>
    <w:rsid w:val="00F2591B"/>
    <w:rsid w:val="00F349E4"/>
    <w:rsid w:val="00F544E1"/>
    <w:rsid w:val="00F650A1"/>
    <w:rsid w:val="00F73A61"/>
    <w:rsid w:val="00F87208"/>
    <w:rsid w:val="00FD5C10"/>
    <w:rsid w:val="00FD7E08"/>
    <w:rsid w:val="00FE5C41"/>
    <w:rsid w:val="00FE6A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2E58"/>
    <w:pPr>
      <w:tabs>
        <w:tab w:val="left" w:pos="1440"/>
      </w:tabs>
      <w:spacing w:after="120" w:line="360" w:lineRule="auto"/>
    </w:pPr>
    <w:rPr>
      <w:rFonts w:ascii="Times New Roman" w:hAnsi="Times New Roman" w:cs="Times New Roman"/>
      <w:sz w:val="24"/>
      <w:szCs w:val="20"/>
    </w:rPr>
  </w:style>
  <w:style w:type="paragraph" w:styleId="Heading1">
    <w:name w:val="heading 1"/>
    <w:basedOn w:val="Normal"/>
    <w:next w:val="Normal"/>
    <w:link w:val="Heading1Char"/>
    <w:qFormat/>
    <w:rsid w:val="00C0578C"/>
    <w:pPr>
      <w:keepNext/>
      <w:tabs>
        <w:tab w:val="clear" w:pos="1440"/>
      </w:tabs>
      <w:spacing w:after="0" w:line="240" w:lineRule="auto"/>
      <w:jc w:val="center"/>
      <w:outlineLvl w:val="0"/>
    </w:pPr>
    <w:rPr>
      <w:rFonts w:ascii="Courier New" w:hAnsi="Courier New"/>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autoRedefine/>
    <w:uiPriority w:val="34"/>
    <w:qFormat/>
    <w:rsid w:val="00EE7801"/>
    <w:pPr>
      <w:numPr>
        <w:numId w:val="14"/>
      </w:numPr>
    </w:pPr>
  </w:style>
  <w:style w:type="paragraph" w:styleId="FootnoteText">
    <w:name w:val="footnote text"/>
    <w:link w:val="FootnoteTextChar"/>
    <w:uiPriority w:val="99"/>
    <w:semiHidden/>
    <w:unhideWhenUsed/>
    <w:rsid w:val="007E6779"/>
    <w:pPr>
      <w:spacing w:after="120" w:line="240" w:lineRule="auto"/>
    </w:pPr>
    <w:rPr>
      <w:rFonts w:ascii="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7E6779"/>
    <w:rPr>
      <w:rFonts w:ascii="Times New Roman" w:hAnsi="Times New Roman" w:cs="Times New Roman"/>
      <w:sz w:val="20"/>
      <w:szCs w:val="20"/>
    </w:rPr>
  </w:style>
  <w:style w:type="paragraph" w:styleId="EnvelopeReturn">
    <w:name w:val="envelope return"/>
    <w:basedOn w:val="Normal"/>
    <w:uiPriority w:val="99"/>
    <w:semiHidden/>
    <w:unhideWhenUsed/>
    <w:rsid w:val="00AE6F47"/>
    <w:pPr>
      <w:spacing w:line="240" w:lineRule="auto"/>
    </w:pPr>
    <w:rPr>
      <w:rFonts w:asciiTheme="majorHAnsi" w:eastAsiaTheme="majorEastAsia" w:hAnsiTheme="majorHAnsi" w:cstheme="majorBidi"/>
      <w:sz w:val="20"/>
    </w:rPr>
  </w:style>
  <w:style w:type="character" w:styleId="FootnoteReference">
    <w:name w:val="footnote reference"/>
    <w:basedOn w:val="DefaultParagraphFont"/>
    <w:uiPriority w:val="99"/>
    <w:semiHidden/>
    <w:unhideWhenUsed/>
    <w:rsid w:val="00AE74B1"/>
    <w:rPr>
      <w:vertAlign w:val="superscript"/>
    </w:rPr>
  </w:style>
  <w:style w:type="paragraph" w:styleId="Header">
    <w:name w:val="header"/>
    <w:basedOn w:val="Normal"/>
    <w:link w:val="HeaderChar"/>
    <w:uiPriority w:val="99"/>
    <w:unhideWhenUsed/>
    <w:rsid w:val="00035DDF"/>
    <w:pPr>
      <w:tabs>
        <w:tab w:val="clear" w:pos="1440"/>
        <w:tab w:val="center" w:pos="4680"/>
        <w:tab w:val="right" w:pos="9360"/>
      </w:tabs>
      <w:spacing w:after="0" w:line="240" w:lineRule="auto"/>
    </w:pPr>
  </w:style>
  <w:style w:type="character" w:customStyle="1" w:styleId="HeaderChar">
    <w:name w:val="Header Char"/>
    <w:basedOn w:val="DefaultParagraphFont"/>
    <w:link w:val="Header"/>
    <w:uiPriority w:val="99"/>
    <w:rsid w:val="00035DDF"/>
    <w:rPr>
      <w:rFonts w:ascii="Times New Roman" w:hAnsi="Times New Roman" w:cs="Times New Roman"/>
      <w:sz w:val="24"/>
      <w:szCs w:val="20"/>
    </w:rPr>
  </w:style>
  <w:style w:type="paragraph" w:styleId="Footer">
    <w:name w:val="footer"/>
    <w:basedOn w:val="Normal"/>
    <w:link w:val="FooterChar"/>
    <w:uiPriority w:val="99"/>
    <w:unhideWhenUsed/>
    <w:rsid w:val="00035DDF"/>
    <w:pPr>
      <w:tabs>
        <w:tab w:val="clear" w:pos="1440"/>
        <w:tab w:val="center" w:pos="4680"/>
        <w:tab w:val="right" w:pos="9360"/>
      </w:tabs>
      <w:spacing w:after="0" w:line="240" w:lineRule="auto"/>
    </w:pPr>
  </w:style>
  <w:style w:type="character" w:customStyle="1" w:styleId="FooterChar">
    <w:name w:val="Footer Char"/>
    <w:basedOn w:val="DefaultParagraphFont"/>
    <w:link w:val="Footer"/>
    <w:uiPriority w:val="99"/>
    <w:rsid w:val="00035DDF"/>
    <w:rPr>
      <w:rFonts w:ascii="Times New Roman" w:hAnsi="Times New Roman" w:cs="Times New Roman"/>
      <w:sz w:val="24"/>
      <w:szCs w:val="20"/>
    </w:rPr>
  </w:style>
  <w:style w:type="paragraph" w:styleId="BalloonText">
    <w:name w:val="Balloon Text"/>
    <w:basedOn w:val="Normal"/>
    <w:link w:val="BalloonTextChar"/>
    <w:uiPriority w:val="99"/>
    <w:semiHidden/>
    <w:unhideWhenUsed/>
    <w:rsid w:val="00A10D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0D17"/>
    <w:rPr>
      <w:rFonts w:ascii="Tahoma" w:hAnsi="Tahoma" w:cs="Tahoma"/>
      <w:sz w:val="16"/>
      <w:szCs w:val="16"/>
    </w:rPr>
  </w:style>
  <w:style w:type="paragraph" w:styleId="NormalWeb">
    <w:name w:val="Normal (Web)"/>
    <w:basedOn w:val="Normal"/>
    <w:uiPriority w:val="99"/>
    <w:semiHidden/>
    <w:unhideWhenUsed/>
    <w:rsid w:val="006573BD"/>
    <w:pPr>
      <w:tabs>
        <w:tab w:val="clear" w:pos="1440"/>
      </w:tabs>
      <w:spacing w:before="100" w:beforeAutospacing="1" w:after="100" w:afterAutospacing="1" w:line="240" w:lineRule="auto"/>
    </w:pPr>
    <w:rPr>
      <w:szCs w:val="24"/>
      <w:lang w:eastAsia="zh-CN"/>
    </w:rPr>
  </w:style>
  <w:style w:type="character" w:customStyle="1" w:styleId="Heading1Char">
    <w:name w:val="Heading 1 Char"/>
    <w:basedOn w:val="DefaultParagraphFont"/>
    <w:link w:val="Heading1"/>
    <w:rsid w:val="00C0578C"/>
    <w:rPr>
      <w:rFonts w:ascii="Courier New" w:hAnsi="Courier New" w:cs="Times New Roman"/>
      <w:b/>
      <w:sz w:val="24"/>
      <w:szCs w:val="20"/>
    </w:rPr>
  </w:style>
  <w:style w:type="paragraph" w:styleId="BodyText">
    <w:name w:val="Body Text"/>
    <w:basedOn w:val="Normal"/>
    <w:link w:val="BodyTextChar"/>
    <w:semiHidden/>
    <w:rsid w:val="00C0578C"/>
    <w:pPr>
      <w:tabs>
        <w:tab w:val="clear" w:pos="1440"/>
      </w:tabs>
      <w:spacing w:after="0" w:line="240" w:lineRule="auto"/>
      <w:jc w:val="both"/>
    </w:pPr>
    <w:rPr>
      <w:rFonts w:ascii="Courier New" w:hAnsi="Courier New"/>
    </w:rPr>
  </w:style>
  <w:style w:type="character" w:customStyle="1" w:styleId="BodyTextChar">
    <w:name w:val="Body Text Char"/>
    <w:basedOn w:val="DefaultParagraphFont"/>
    <w:link w:val="BodyText"/>
    <w:semiHidden/>
    <w:rsid w:val="00C0578C"/>
    <w:rPr>
      <w:rFonts w:ascii="Courier New" w:hAnsi="Courier New" w:cs="Times New Roman"/>
      <w:sz w:val="24"/>
      <w:szCs w:val="20"/>
    </w:rPr>
  </w:style>
  <w:style w:type="paragraph" w:customStyle="1" w:styleId="ParaTab1">
    <w:name w:val="ParaTab 1"/>
    <w:rsid w:val="001358CE"/>
    <w:pPr>
      <w:tabs>
        <w:tab w:val="left" w:pos="-720"/>
      </w:tabs>
      <w:suppressAutoHyphens/>
      <w:autoSpaceDE w:val="0"/>
      <w:autoSpaceDN w:val="0"/>
      <w:spacing w:after="0" w:line="240" w:lineRule="auto"/>
      <w:ind w:firstLine="1440"/>
    </w:pPr>
    <w:rPr>
      <w:rFonts w:ascii="CG Times" w:hAnsi="CG Times" w:cs="CG Time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2E58"/>
    <w:pPr>
      <w:tabs>
        <w:tab w:val="left" w:pos="1440"/>
      </w:tabs>
      <w:spacing w:after="120" w:line="360" w:lineRule="auto"/>
    </w:pPr>
    <w:rPr>
      <w:rFonts w:ascii="Times New Roman" w:hAnsi="Times New Roman" w:cs="Times New Roman"/>
      <w:sz w:val="24"/>
      <w:szCs w:val="20"/>
    </w:rPr>
  </w:style>
  <w:style w:type="paragraph" w:styleId="Heading1">
    <w:name w:val="heading 1"/>
    <w:basedOn w:val="Normal"/>
    <w:next w:val="Normal"/>
    <w:link w:val="Heading1Char"/>
    <w:qFormat/>
    <w:rsid w:val="00C0578C"/>
    <w:pPr>
      <w:keepNext/>
      <w:tabs>
        <w:tab w:val="clear" w:pos="1440"/>
      </w:tabs>
      <w:spacing w:after="0" w:line="240" w:lineRule="auto"/>
      <w:jc w:val="center"/>
      <w:outlineLvl w:val="0"/>
    </w:pPr>
    <w:rPr>
      <w:rFonts w:ascii="Courier New" w:hAnsi="Courier New"/>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autoRedefine/>
    <w:uiPriority w:val="34"/>
    <w:qFormat/>
    <w:rsid w:val="00EE7801"/>
    <w:pPr>
      <w:numPr>
        <w:numId w:val="14"/>
      </w:numPr>
    </w:pPr>
  </w:style>
  <w:style w:type="paragraph" w:styleId="FootnoteText">
    <w:name w:val="footnote text"/>
    <w:link w:val="FootnoteTextChar"/>
    <w:uiPriority w:val="99"/>
    <w:semiHidden/>
    <w:unhideWhenUsed/>
    <w:rsid w:val="007E6779"/>
    <w:pPr>
      <w:spacing w:after="120" w:line="240" w:lineRule="auto"/>
    </w:pPr>
    <w:rPr>
      <w:rFonts w:ascii="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7E6779"/>
    <w:rPr>
      <w:rFonts w:ascii="Times New Roman" w:hAnsi="Times New Roman" w:cs="Times New Roman"/>
      <w:sz w:val="20"/>
      <w:szCs w:val="20"/>
    </w:rPr>
  </w:style>
  <w:style w:type="paragraph" w:styleId="EnvelopeReturn">
    <w:name w:val="envelope return"/>
    <w:basedOn w:val="Normal"/>
    <w:uiPriority w:val="99"/>
    <w:semiHidden/>
    <w:unhideWhenUsed/>
    <w:rsid w:val="00AE6F47"/>
    <w:pPr>
      <w:spacing w:line="240" w:lineRule="auto"/>
    </w:pPr>
    <w:rPr>
      <w:rFonts w:asciiTheme="majorHAnsi" w:eastAsiaTheme="majorEastAsia" w:hAnsiTheme="majorHAnsi" w:cstheme="majorBidi"/>
      <w:sz w:val="20"/>
    </w:rPr>
  </w:style>
  <w:style w:type="character" w:styleId="FootnoteReference">
    <w:name w:val="footnote reference"/>
    <w:basedOn w:val="DefaultParagraphFont"/>
    <w:uiPriority w:val="99"/>
    <w:semiHidden/>
    <w:unhideWhenUsed/>
    <w:rsid w:val="00AE74B1"/>
    <w:rPr>
      <w:vertAlign w:val="superscript"/>
    </w:rPr>
  </w:style>
  <w:style w:type="paragraph" w:styleId="Header">
    <w:name w:val="header"/>
    <w:basedOn w:val="Normal"/>
    <w:link w:val="HeaderChar"/>
    <w:uiPriority w:val="99"/>
    <w:unhideWhenUsed/>
    <w:rsid w:val="00035DDF"/>
    <w:pPr>
      <w:tabs>
        <w:tab w:val="clear" w:pos="1440"/>
        <w:tab w:val="center" w:pos="4680"/>
        <w:tab w:val="right" w:pos="9360"/>
      </w:tabs>
      <w:spacing w:after="0" w:line="240" w:lineRule="auto"/>
    </w:pPr>
  </w:style>
  <w:style w:type="character" w:customStyle="1" w:styleId="HeaderChar">
    <w:name w:val="Header Char"/>
    <w:basedOn w:val="DefaultParagraphFont"/>
    <w:link w:val="Header"/>
    <w:uiPriority w:val="99"/>
    <w:rsid w:val="00035DDF"/>
    <w:rPr>
      <w:rFonts w:ascii="Times New Roman" w:hAnsi="Times New Roman" w:cs="Times New Roman"/>
      <w:sz w:val="24"/>
      <w:szCs w:val="20"/>
    </w:rPr>
  </w:style>
  <w:style w:type="paragraph" w:styleId="Footer">
    <w:name w:val="footer"/>
    <w:basedOn w:val="Normal"/>
    <w:link w:val="FooterChar"/>
    <w:uiPriority w:val="99"/>
    <w:unhideWhenUsed/>
    <w:rsid w:val="00035DDF"/>
    <w:pPr>
      <w:tabs>
        <w:tab w:val="clear" w:pos="1440"/>
        <w:tab w:val="center" w:pos="4680"/>
        <w:tab w:val="right" w:pos="9360"/>
      </w:tabs>
      <w:spacing w:after="0" w:line="240" w:lineRule="auto"/>
    </w:pPr>
  </w:style>
  <w:style w:type="character" w:customStyle="1" w:styleId="FooterChar">
    <w:name w:val="Footer Char"/>
    <w:basedOn w:val="DefaultParagraphFont"/>
    <w:link w:val="Footer"/>
    <w:uiPriority w:val="99"/>
    <w:rsid w:val="00035DDF"/>
    <w:rPr>
      <w:rFonts w:ascii="Times New Roman" w:hAnsi="Times New Roman" w:cs="Times New Roman"/>
      <w:sz w:val="24"/>
      <w:szCs w:val="20"/>
    </w:rPr>
  </w:style>
  <w:style w:type="paragraph" w:styleId="BalloonText">
    <w:name w:val="Balloon Text"/>
    <w:basedOn w:val="Normal"/>
    <w:link w:val="BalloonTextChar"/>
    <w:uiPriority w:val="99"/>
    <w:semiHidden/>
    <w:unhideWhenUsed/>
    <w:rsid w:val="00A10D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0D17"/>
    <w:rPr>
      <w:rFonts w:ascii="Tahoma" w:hAnsi="Tahoma" w:cs="Tahoma"/>
      <w:sz w:val="16"/>
      <w:szCs w:val="16"/>
    </w:rPr>
  </w:style>
  <w:style w:type="paragraph" w:styleId="NormalWeb">
    <w:name w:val="Normal (Web)"/>
    <w:basedOn w:val="Normal"/>
    <w:uiPriority w:val="99"/>
    <w:semiHidden/>
    <w:unhideWhenUsed/>
    <w:rsid w:val="006573BD"/>
    <w:pPr>
      <w:tabs>
        <w:tab w:val="clear" w:pos="1440"/>
      </w:tabs>
      <w:spacing w:before="100" w:beforeAutospacing="1" w:after="100" w:afterAutospacing="1" w:line="240" w:lineRule="auto"/>
    </w:pPr>
    <w:rPr>
      <w:szCs w:val="24"/>
      <w:lang w:eastAsia="zh-CN"/>
    </w:rPr>
  </w:style>
  <w:style w:type="character" w:customStyle="1" w:styleId="Heading1Char">
    <w:name w:val="Heading 1 Char"/>
    <w:basedOn w:val="DefaultParagraphFont"/>
    <w:link w:val="Heading1"/>
    <w:rsid w:val="00C0578C"/>
    <w:rPr>
      <w:rFonts w:ascii="Courier New" w:hAnsi="Courier New" w:cs="Times New Roman"/>
      <w:b/>
      <w:sz w:val="24"/>
      <w:szCs w:val="20"/>
    </w:rPr>
  </w:style>
  <w:style w:type="paragraph" w:styleId="BodyText">
    <w:name w:val="Body Text"/>
    <w:basedOn w:val="Normal"/>
    <w:link w:val="BodyTextChar"/>
    <w:semiHidden/>
    <w:rsid w:val="00C0578C"/>
    <w:pPr>
      <w:tabs>
        <w:tab w:val="clear" w:pos="1440"/>
      </w:tabs>
      <w:spacing w:after="0" w:line="240" w:lineRule="auto"/>
      <w:jc w:val="both"/>
    </w:pPr>
    <w:rPr>
      <w:rFonts w:ascii="Courier New" w:hAnsi="Courier New"/>
    </w:rPr>
  </w:style>
  <w:style w:type="character" w:customStyle="1" w:styleId="BodyTextChar">
    <w:name w:val="Body Text Char"/>
    <w:basedOn w:val="DefaultParagraphFont"/>
    <w:link w:val="BodyText"/>
    <w:semiHidden/>
    <w:rsid w:val="00C0578C"/>
    <w:rPr>
      <w:rFonts w:ascii="Courier New" w:hAnsi="Courier New" w:cs="Times New Roman"/>
      <w:sz w:val="24"/>
      <w:szCs w:val="20"/>
    </w:rPr>
  </w:style>
  <w:style w:type="paragraph" w:customStyle="1" w:styleId="ParaTab1">
    <w:name w:val="ParaTab 1"/>
    <w:rsid w:val="001358CE"/>
    <w:pPr>
      <w:tabs>
        <w:tab w:val="left" w:pos="-720"/>
      </w:tabs>
      <w:suppressAutoHyphens/>
      <w:autoSpaceDE w:val="0"/>
      <w:autoSpaceDN w:val="0"/>
      <w:spacing w:after="0" w:line="240" w:lineRule="auto"/>
      <w:ind w:firstLine="1440"/>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687050">
      <w:bodyDiv w:val="1"/>
      <w:marLeft w:val="0"/>
      <w:marRight w:val="0"/>
      <w:marTop w:val="0"/>
      <w:marBottom w:val="0"/>
      <w:divBdr>
        <w:top w:val="none" w:sz="0" w:space="0" w:color="auto"/>
        <w:left w:val="none" w:sz="0" w:space="0" w:color="auto"/>
        <w:bottom w:val="none" w:sz="0" w:space="0" w:color="auto"/>
        <w:right w:val="none" w:sz="0" w:space="0" w:color="auto"/>
      </w:divBdr>
    </w:div>
    <w:div w:id="1712802898">
      <w:bodyDiv w:val="1"/>
      <w:marLeft w:val="0"/>
      <w:marRight w:val="0"/>
      <w:marTop w:val="0"/>
      <w:marBottom w:val="0"/>
      <w:divBdr>
        <w:top w:val="none" w:sz="0" w:space="0" w:color="auto"/>
        <w:left w:val="none" w:sz="0" w:space="0" w:color="auto"/>
        <w:bottom w:val="none" w:sz="0" w:space="0" w:color="auto"/>
        <w:right w:val="none" w:sz="0" w:space="0" w:color="auto"/>
      </w:divBdr>
      <w:divsChild>
        <w:div w:id="15576253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AA56F1-7CDB-4181-BBFC-035920ECEC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1349</Words>
  <Characters>7693</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9024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D Long</dc:creator>
  <cp:lastModifiedBy>Reitenbach, Dawn</cp:lastModifiedBy>
  <cp:revision>4</cp:revision>
  <cp:lastPrinted>2017-02-15T20:15:00Z</cp:lastPrinted>
  <dcterms:created xsi:type="dcterms:W3CDTF">2017-02-15T20:12:00Z</dcterms:created>
  <dcterms:modified xsi:type="dcterms:W3CDTF">2017-02-15T20:16:00Z</dcterms:modified>
</cp:coreProperties>
</file>