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87"/>
        <w:gridCol w:w="1440"/>
      </w:tblGrid>
      <w:tr w:rsidR="00C74A51">
        <w:trPr>
          <w:trHeight w:val="990"/>
        </w:trPr>
        <w:tc>
          <w:tcPr>
            <w:tcW w:w="1363" w:type="dxa"/>
          </w:tcPr>
          <w:p w:rsidR="00C74A51" w:rsidRDefault="00E23926">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AB0DA5" w:rsidP="00AB0DA5">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HARRISBURG, PA 17</w:t>
            </w:r>
            <w:r>
              <w:rPr>
                <w:rFonts w:ascii="Arial" w:hAnsi="Arial"/>
                <w:color w:val="000080"/>
                <w:spacing w:val="-3"/>
                <w:sz w:val="26"/>
              </w:rPr>
              <w:t>120</w:t>
            </w:r>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3569E8" w:rsidRPr="00E23926" w:rsidRDefault="007979FC" w:rsidP="00FC7B5D">
            <w:pPr>
              <w:jc w:val="right"/>
              <w:rPr>
                <w:rFonts w:ascii="Arial" w:hAnsi="Arial"/>
                <w:sz w:val="16"/>
                <w:szCs w:val="16"/>
              </w:rPr>
            </w:pPr>
            <w:r>
              <w:rPr>
                <w:sz w:val="16"/>
                <w:szCs w:val="16"/>
              </w:rPr>
              <w:t>M-201</w:t>
            </w:r>
            <w:r w:rsidR="0012413D">
              <w:rPr>
                <w:sz w:val="16"/>
                <w:szCs w:val="16"/>
              </w:rPr>
              <w:t>5-2511794</w:t>
            </w:r>
          </w:p>
        </w:tc>
      </w:tr>
    </w:tbl>
    <w:p w:rsidR="00AB0DA5" w:rsidRDefault="00191263" w:rsidP="00191263">
      <w:pPr>
        <w:jc w:val="center"/>
        <w:rPr>
          <w:sz w:val="22"/>
          <w:szCs w:val="24"/>
        </w:rPr>
      </w:pPr>
      <w:r>
        <w:rPr>
          <w:sz w:val="22"/>
          <w:szCs w:val="24"/>
        </w:rPr>
        <w:t>February 24, 2017</w:t>
      </w:r>
    </w:p>
    <w:p w:rsidR="009B4557" w:rsidRDefault="00AE64C8" w:rsidP="00AE64C8">
      <w:pPr>
        <w:jc w:val="right"/>
        <w:rPr>
          <w:sz w:val="22"/>
          <w:szCs w:val="24"/>
        </w:rPr>
      </w:pPr>
      <w:r w:rsidRPr="002C0C5B">
        <w:rPr>
          <w:sz w:val="22"/>
          <w:szCs w:val="24"/>
        </w:rPr>
        <w:t>Docket No</w:t>
      </w:r>
      <w:r w:rsidR="00AB0DA5">
        <w:rPr>
          <w:sz w:val="22"/>
          <w:szCs w:val="24"/>
        </w:rPr>
        <w:t>s</w:t>
      </w:r>
      <w:r w:rsidRPr="002C0C5B">
        <w:rPr>
          <w:sz w:val="22"/>
          <w:szCs w:val="24"/>
        </w:rPr>
        <w:t>. M-2015-2511794</w:t>
      </w:r>
    </w:p>
    <w:p w:rsidR="00AB0DA5" w:rsidRDefault="00AB0DA5" w:rsidP="00AE64C8">
      <w:pPr>
        <w:jc w:val="right"/>
        <w:rPr>
          <w:sz w:val="22"/>
          <w:szCs w:val="24"/>
        </w:rPr>
      </w:pPr>
      <w:r w:rsidRPr="00AB0DA5">
        <w:rPr>
          <w:sz w:val="22"/>
          <w:szCs w:val="24"/>
        </w:rPr>
        <w:t>L-2014-2400191</w:t>
      </w:r>
    </w:p>
    <w:p w:rsidR="00AB0DA5" w:rsidRPr="002C0C5B" w:rsidRDefault="00AB0DA5" w:rsidP="00AE64C8">
      <w:pPr>
        <w:jc w:val="right"/>
        <w:rPr>
          <w:sz w:val="22"/>
          <w:szCs w:val="24"/>
        </w:rPr>
      </w:pPr>
      <w:r>
        <w:rPr>
          <w:sz w:val="22"/>
          <w:szCs w:val="24"/>
        </w:rPr>
        <w:t>C-2012-</w:t>
      </w:r>
      <w:r w:rsidRPr="00AB0DA5">
        <w:rPr>
          <w:sz w:val="22"/>
          <w:szCs w:val="24"/>
        </w:rPr>
        <w:t>2307244</w:t>
      </w:r>
    </w:p>
    <w:p w:rsidR="009B4557" w:rsidRPr="002C0C5B" w:rsidRDefault="009B4557" w:rsidP="00710DBE">
      <w:pPr>
        <w:rPr>
          <w:sz w:val="22"/>
          <w:szCs w:val="24"/>
        </w:rPr>
      </w:pPr>
    </w:p>
    <w:p w:rsidR="009B4557" w:rsidRPr="002C0C5B" w:rsidRDefault="009B4557" w:rsidP="00710DBE">
      <w:pPr>
        <w:rPr>
          <w:sz w:val="22"/>
          <w:szCs w:val="24"/>
        </w:rPr>
      </w:pPr>
    </w:p>
    <w:p w:rsidR="00710DBE" w:rsidRPr="002C0C5B" w:rsidRDefault="00710DBE" w:rsidP="00710DBE">
      <w:pPr>
        <w:rPr>
          <w:sz w:val="22"/>
          <w:szCs w:val="24"/>
        </w:rPr>
      </w:pPr>
      <w:r w:rsidRPr="002C0C5B">
        <w:rPr>
          <w:sz w:val="22"/>
          <w:szCs w:val="24"/>
        </w:rPr>
        <w:t>TO ALL INTERESTED PARTIES:</w:t>
      </w:r>
    </w:p>
    <w:p w:rsidR="00710DBE" w:rsidRPr="002C0C5B" w:rsidRDefault="00710DBE" w:rsidP="00710DBE">
      <w:pPr>
        <w:rPr>
          <w:sz w:val="22"/>
          <w:szCs w:val="24"/>
        </w:rPr>
      </w:pPr>
    </w:p>
    <w:p w:rsidR="00710DBE" w:rsidRDefault="00307364" w:rsidP="00AE64C8">
      <w:pPr>
        <w:ind w:left="1440" w:hanging="720"/>
        <w:rPr>
          <w:sz w:val="22"/>
          <w:szCs w:val="24"/>
        </w:rPr>
      </w:pPr>
      <w:r w:rsidRPr="002C0C5B">
        <w:rPr>
          <w:sz w:val="22"/>
          <w:szCs w:val="24"/>
        </w:rPr>
        <w:t>Re:</w:t>
      </w:r>
      <w:r w:rsidRPr="002C0C5B">
        <w:rPr>
          <w:sz w:val="22"/>
          <w:szCs w:val="24"/>
        </w:rPr>
        <w:tab/>
      </w:r>
      <w:r w:rsidR="00AE64C8" w:rsidRPr="002C0C5B">
        <w:rPr>
          <w:sz w:val="22"/>
          <w:szCs w:val="24"/>
        </w:rPr>
        <w:t xml:space="preserve">Electric Distribution Company (EDC) Best Practice Working Group </w:t>
      </w:r>
      <w:r w:rsidR="00AB0DA5">
        <w:rPr>
          <w:sz w:val="22"/>
          <w:szCs w:val="24"/>
        </w:rPr>
        <w:t xml:space="preserve">Final Report </w:t>
      </w:r>
      <w:r w:rsidR="00AE64C8" w:rsidRPr="002C0C5B">
        <w:rPr>
          <w:sz w:val="22"/>
          <w:szCs w:val="24"/>
        </w:rPr>
        <w:t>in Regard to Electrical Splice Installation, Inspection, Maintenance and Training</w:t>
      </w:r>
    </w:p>
    <w:p w:rsidR="00604F31" w:rsidRPr="002C0C5B" w:rsidRDefault="00604F31" w:rsidP="00AE64C8">
      <w:pPr>
        <w:ind w:left="1440" w:hanging="720"/>
        <w:rPr>
          <w:sz w:val="22"/>
          <w:szCs w:val="24"/>
        </w:rPr>
      </w:pPr>
    </w:p>
    <w:p w:rsidR="00604F31" w:rsidRDefault="00604F31" w:rsidP="00604F31">
      <w:pPr>
        <w:ind w:firstLine="720"/>
        <w:rPr>
          <w:sz w:val="22"/>
          <w:szCs w:val="24"/>
        </w:rPr>
      </w:pPr>
    </w:p>
    <w:p w:rsidR="00604F31" w:rsidRPr="00604F31" w:rsidRDefault="00604F31" w:rsidP="00604F31">
      <w:pPr>
        <w:rPr>
          <w:sz w:val="22"/>
          <w:szCs w:val="24"/>
        </w:rPr>
      </w:pPr>
      <w:r>
        <w:rPr>
          <w:sz w:val="22"/>
          <w:szCs w:val="24"/>
        </w:rPr>
        <w:tab/>
      </w:r>
      <w:r>
        <w:rPr>
          <w:sz w:val="22"/>
          <w:szCs w:val="24"/>
        </w:rPr>
        <w:tab/>
      </w:r>
      <w:r w:rsidRPr="00604F31">
        <w:rPr>
          <w:sz w:val="22"/>
          <w:szCs w:val="24"/>
        </w:rPr>
        <w:t>In an Order entered Jan 9, 2014 (Jan 9 Order), the Commission approved a Joint Petition for Full Settlement related to the Jun 2, 2009, electrocution death of Carrie Goretzka.</w:t>
      </w:r>
      <w:r>
        <w:rPr>
          <w:rStyle w:val="FootnoteReference"/>
          <w:sz w:val="22"/>
          <w:szCs w:val="24"/>
        </w:rPr>
        <w:footnoteReference w:id="1"/>
      </w:r>
      <w:r>
        <w:rPr>
          <w:sz w:val="22"/>
          <w:szCs w:val="24"/>
        </w:rPr>
        <w:t xml:space="preserve">  </w:t>
      </w:r>
      <w:r w:rsidRPr="00604F31">
        <w:rPr>
          <w:sz w:val="22"/>
          <w:szCs w:val="24"/>
        </w:rPr>
        <w:t xml:space="preserve">The Jan 9 Order, </w:t>
      </w:r>
      <w:r w:rsidRPr="00604F31">
        <w:rPr>
          <w:i/>
          <w:sz w:val="22"/>
          <w:szCs w:val="24"/>
        </w:rPr>
        <w:t>inter alia</w:t>
      </w:r>
      <w:r w:rsidRPr="00604F31">
        <w:rPr>
          <w:sz w:val="22"/>
          <w:szCs w:val="24"/>
        </w:rPr>
        <w:t xml:space="preserve">, directed that the issue regarding inspection requirements for automatic splices be referred to the </w:t>
      </w:r>
      <w:r>
        <w:rPr>
          <w:sz w:val="22"/>
          <w:szCs w:val="24"/>
        </w:rPr>
        <w:t>Commission’s Law Bureau</w:t>
      </w:r>
      <w:r w:rsidRPr="00604F31">
        <w:rPr>
          <w:sz w:val="22"/>
          <w:szCs w:val="24"/>
        </w:rPr>
        <w:t xml:space="preserve"> to initiate an </w:t>
      </w:r>
      <w:r>
        <w:rPr>
          <w:sz w:val="22"/>
          <w:szCs w:val="24"/>
        </w:rPr>
        <w:t>Advanced Notice of Proposed Rulemaking (</w:t>
      </w:r>
      <w:r w:rsidRPr="00604F31">
        <w:rPr>
          <w:sz w:val="22"/>
          <w:szCs w:val="24"/>
        </w:rPr>
        <w:t>ANOPR</w:t>
      </w:r>
      <w:r>
        <w:rPr>
          <w:sz w:val="22"/>
          <w:szCs w:val="24"/>
        </w:rPr>
        <w:t>)</w:t>
      </w:r>
      <w:r w:rsidRPr="00604F31">
        <w:rPr>
          <w:sz w:val="22"/>
          <w:szCs w:val="24"/>
        </w:rPr>
        <w:t xml:space="preserve"> or similar proceeding.  An ANOPR was initiated by Order entered on Feb 20, 2014.  The ANOPR examined whether the Commission’s regulations should be amended to require EDCs to inspect and maintain automatic splices used to repair overhead power lines on a regular basis.  On Nov 5, 2015, an Order (Nov 5 Order) was entered that determined that the current regulations do not need to be amended, but noted the concern in the dichotomy that appeared among the EDCs in relation to certain aspects of their overhead line inspection programs.</w:t>
      </w:r>
      <w:r>
        <w:rPr>
          <w:rStyle w:val="FootnoteReference"/>
          <w:sz w:val="22"/>
          <w:szCs w:val="24"/>
        </w:rPr>
        <w:footnoteReference w:id="2"/>
      </w:r>
      <w:r w:rsidRPr="00604F31">
        <w:rPr>
          <w:sz w:val="22"/>
          <w:szCs w:val="24"/>
        </w:rPr>
        <w:t xml:space="preserve">   </w:t>
      </w:r>
    </w:p>
    <w:p w:rsidR="00604F31" w:rsidRPr="00604F31" w:rsidRDefault="00604F31" w:rsidP="00604F31">
      <w:pPr>
        <w:ind w:firstLine="720"/>
        <w:rPr>
          <w:sz w:val="22"/>
          <w:szCs w:val="24"/>
        </w:rPr>
      </w:pPr>
    </w:p>
    <w:p w:rsidR="00604F31" w:rsidRDefault="00604F31" w:rsidP="00604F31">
      <w:pPr>
        <w:ind w:firstLine="720"/>
        <w:rPr>
          <w:sz w:val="22"/>
          <w:szCs w:val="24"/>
        </w:rPr>
      </w:pPr>
      <w:r w:rsidRPr="00604F31">
        <w:rPr>
          <w:sz w:val="22"/>
          <w:szCs w:val="24"/>
        </w:rPr>
        <w:tab/>
        <w:t>The Nov 5 Order thus directed that an EDC working group be established to develop best practices in regard to automatic splice installation, inspection, maintenance and training.  The Commission further directed that the working group meet at least quarterly, with the first meeting to be held within forty-five (45) days of the entry date of the Nov 5 Order and that an M-docket be created for the collaborative proceeding.</w:t>
      </w:r>
      <w:r>
        <w:rPr>
          <w:rStyle w:val="FootnoteReference"/>
          <w:sz w:val="22"/>
          <w:szCs w:val="24"/>
        </w:rPr>
        <w:footnoteReference w:id="3"/>
      </w:r>
      <w:r w:rsidRPr="00604F31">
        <w:rPr>
          <w:sz w:val="22"/>
          <w:szCs w:val="24"/>
        </w:rPr>
        <w:t xml:space="preserve">   </w:t>
      </w:r>
      <w:r w:rsidR="00AE64C8" w:rsidRPr="002C0C5B">
        <w:rPr>
          <w:sz w:val="22"/>
          <w:szCs w:val="24"/>
        </w:rPr>
        <w:t xml:space="preserve">The Commission directed </w:t>
      </w:r>
      <w:r w:rsidR="00CE70DC" w:rsidRPr="002C0C5B">
        <w:rPr>
          <w:sz w:val="22"/>
          <w:szCs w:val="24"/>
        </w:rPr>
        <w:t xml:space="preserve">its Bureau of </w:t>
      </w:r>
      <w:r w:rsidR="00AE64C8" w:rsidRPr="002C0C5B">
        <w:rPr>
          <w:sz w:val="22"/>
          <w:szCs w:val="24"/>
        </w:rPr>
        <w:t xml:space="preserve">Technical Utility </w:t>
      </w:r>
      <w:r w:rsidR="00CE70DC" w:rsidRPr="002C0C5B">
        <w:rPr>
          <w:sz w:val="22"/>
          <w:szCs w:val="24"/>
        </w:rPr>
        <w:t>Services</w:t>
      </w:r>
      <w:r w:rsidR="00AE64C8" w:rsidRPr="002C0C5B">
        <w:rPr>
          <w:sz w:val="22"/>
          <w:szCs w:val="24"/>
        </w:rPr>
        <w:t xml:space="preserve"> to work with and assist the industry participants in the development of those best practices</w:t>
      </w:r>
      <w:r w:rsidR="002C49E3" w:rsidRPr="002C0C5B">
        <w:rPr>
          <w:sz w:val="22"/>
          <w:szCs w:val="24"/>
        </w:rPr>
        <w:t>.</w:t>
      </w:r>
      <w:r w:rsidR="00CE70DC" w:rsidRPr="002C0C5B">
        <w:rPr>
          <w:sz w:val="22"/>
          <w:szCs w:val="24"/>
        </w:rPr>
        <w:t xml:space="preserve"> </w:t>
      </w:r>
      <w:r w:rsidR="0058420A" w:rsidRPr="002C0C5B">
        <w:rPr>
          <w:sz w:val="22"/>
          <w:szCs w:val="24"/>
        </w:rPr>
        <w:t xml:space="preserve"> </w:t>
      </w:r>
      <w:r w:rsidR="00AE64C8" w:rsidRPr="002C0C5B">
        <w:rPr>
          <w:sz w:val="22"/>
          <w:szCs w:val="24"/>
        </w:rPr>
        <w:t xml:space="preserve">Finally, the Commission directed the working group to issue a report </w:t>
      </w:r>
      <w:r>
        <w:rPr>
          <w:sz w:val="22"/>
          <w:szCs w:val="24"/>
        </w:rPr>
        <w:t xml:space="preserve">(Final Report) </w:t>
      </w:r>
      <w:r w:rsidR="00AE64C8" w:rsidRPr="002C0C5B">
        <w:rPr>
          <w:sz w:val="22"/>
          <w:szCs w:val="24"/>
        </w:rPr>
        <w:t>summarizing the best practices no later than twelve (12) months from the entry date of the Order</w:t>
      </w:r>
      <w:r>
        <w:rPr>
          <w:sz w:val="22"/>
          <w:szCs w:val="24"/>
        </w:rPr>
        <w:t xml:space="preserve">.  </w:t>
      </w:r>
      <w:r w:rsidRPr="00604F31">
        <w:rPr>
          <w:sz w:val="22"/>
          <w:szCs w:val="24"/>
        </w:rPr>
        <w:t xml:space="preserve">The </w:t>
      </w:r>
      <w:r>
        <w:rPr>
          <w:sz w:val="22"/>
          <w:szCs w:val="24"/>
        </w:rPr>
        <w:t>Final Report was filed to the M</w:t>
      </w:r>
      <w:r>
        <w:rPr>
          <w:sz w:val="22"/>
          <w:szCs w:val="24"/>
        </w:rPr>
        <w:noBreakHyphen/>
      </w:r>
      <w:r w:rsidRPr="00604F31">
        <w:rPr>
          <w:sz w:val="22"/>
          <w:szCs w:val="24"/>
        </w:rPr>
        <w:t>docket on Nov 2, 2016</w:t>
      </w:r>
      <w:r>
        <w:rPr>
          <w:sz w:val="22"/>
          <w:szCs w:val="24"/>
        </w:rPr>
        <w:t xml:space="preserve">.  </w:t>
      </w:r>
    </w:p>
    <w:p w:rsidR="00604F31" w:rsidRDefault="00604F31" w:rsidP="00604F31">
      <w:pPr>
        <w:ind w:firstLine="720"/>
        <w:rPr>
          <w:sz w:val="22"/>
          <w:szCs w:val="24"/>
        </w:rPr>
      </w:pPr>
    </w:p>
    <w:p w:rsidR="00604F31" w:rsidRDefault="00604F31" w:rsidP="00604F31">
      <w:pPr>
        <w:ind w:firstLine="720"/>
        <w:rPr>
          <w:sz w:val="22"/>
          <w:szCs w:val="24"/>
        </w:rPr>
      </w:pPr>
      <w:r>
        <w:rPr>
          <w:sz w:val="22"/>
          <w:szCs w:val="24"/>
        </w:rPr>
        <w:tab/>
        <w:t xml:space="preserve">With this Secretarial Letter, the Commission is </w:t>
      </w:r>
      <w:r w:rsidR="00FF545B">
        <w:rPr>
          <w:sz w:val="22"/>
          <w:szCs w:val="24"/>
        </w:rPr>
        <w:t>releasing</w:t>
      </w:r>
      <w:r>
        <w:rPr>
          <w:sz w:val="22"/>
          <w:szCs w:val="24"/>
        </w:rPr>
        <w:t xml:space="preserve"> the Final Report </w:t>
      </w:r>
      <w:r w:rsidR="00FF545B">
        <w:rPr>
          <w:sz w:val="22"/>
          <w:szCs w:val="24"/>
        </w:rPr>
        <w:t>to</w:t>
      </w:r>
      <w:r>
        <w:rPr>
          <w:sz w:val="22"/>
          <w:szCs w:val="24"/>
        </w:rPr>
        <w:t xml:space="preserve"> all parties </w:t>
      </w:r>
      <w:r w:rsidR="00FF545B">
        <w:rPr>
          <w:sz w:val="22"/>
          <w:szCs w:val="24"/>
        </w:rPr>
        <w:t>of</w:t>
      </w:r>
      <w:r>
        <w:rPr>
          <w:sz w:val="22"/>
          <w:szCs w:val="24"/>
        </w:rPr>
        <w:t xml:space="preserve"> </w:t>
      </w:r>
      <w:r w:rsidR="00FF545B">
        <w:rPr>
          <w:sz w:val="22"/>
          <w:szCs w:val="24"/>
        </w:rPr>
        <w:t xml:space="preserve">record at </w:t>
      </w:r>
      <w:r>
        <w:rPr>
          <w:sz w:val="22"/>
          <w:szCs w:val="24"/>
        </w:rPr>
        <w:t xml:space="preserve">the Full Settlement and ANOPR and initiating a thirty (30) day comment period beginning with the date of this letter.  </w:t>
      </w:r>
      <w:r w:rsidRPr="00604F31">
        <w:rPr>
          <w:sz w:val="22"/>
          <w:szCs w:val="24"/>
        </w:rPr>
        <w:t xml:space="preserve">The Final Report </w:t>
      </w:r>
      <w:r w:rsidR="00FF545B">
        <w:rPr>
          <w:sz w:val="22"/>
          <w:szCs w:val="24"/>
        </w:rPr>
        <w:t xml:space="preserve">may be downloaded at </w:t>
      </w:r>
      <w:hyperlink r:id="rId10" w:history="1">
        <w:r w:rsidR="00FF545B" w:rsidRPr="005804D6">
          <w:rPr>
            <w:rStyle w:val="Hyperlink"/>
            <w:sz w:val="22"/>
            <w:szCs w:val="24"/>
          </w:rPr>
          <w:t>http://www.puc.pa.gov/pcdocs/1484302.pdf</w:t>
        </w:r>
      </w:hyperlink>
      <w:r w:rsidR="00FF545B">
        <w:rPr>
          <w:sz w:val="22"/>
          <w:szCs w:val="24"/>
        </w:rPr>
        <w:t xml:space="preserve">.  </w:t>
      </w:r>
      <w:r>
        <w:rPr>
          <w:sz w:val="22"/>
          <w:szCs w:val="24"/>
        </w:rPr>
        <w:t xml:space="preserve">The Commission shall issue an Order on the matter subsequent to the comment period.  </w:t>
      </w:r>
    </w:p>
    <w:p w:rsidR="00604F31" w:rsidRDefault="00604F31" w:rsidP="00604F31">
      <w:pPr>
        <w:ind w:firstLine="720"/>
        <w:rPr>
          <w:sz w:val="22"/>
          <w:szCs w:val="24"/>
        </w:rPr>
      </w:pPr>
    </w:p>
    <w:p w:rsidR="00604F31" w:rsidRPr="00604F31" w:rsidRDefault="00604F31" w:rsidP="00604F31">
      <w:pPr>
        <w:ind w:firstLine="720"/>
        <w:rPr>
          <w:sz w:val="22"/>
          <w:szCs w:val="24"/>
        </w:rPr>
      </w:pPr>
      <w:r>
        <w:rPr>
          <w:sz w:val="22"/>
          <w:szCs w:val="24"/>
        </w:rPr>
        <w:tab/>
        <w:t xml:space="preserve">Comments may be filed with the </w:t>
      </w:r>
      <w:r w:rsidRPr="00604F31">
        <w:rPr>
          <w:sz w:val="22"/>
          <w:szCs w:val="24"/>
        </w:rPr>
        <w:t>Secretary of the Commission at the address listed below</w:t>
      </w:r>
      <w:r>
        <w:rPr>
          <w:sz w:val="22"/>
          <w:szCs w:val="24"/>
        </w:rPr>
        <w:t xml:space="preserve">.  </w:t>
      </w:r>
      <w:r w:rsidRPr="00604F31">
        <w:rPr>
          <w:sz w:val="22"/>
          <w:szCs w:val="24"/>
        </w:rPr>
        <w:t xml:space="preserve">Make sure to reference </w:t>
      </w:r>
      <w:r w:rsidRPr="0012413D">
        <w:rPr>
          <w:sz w:val="22"/>
          <w:szCs w:val="24"/>
          <w:u w:val="single"/>
        </w:rPr>
        <w:t xml:space="preserve">Docket </w:t>
      </w:r>
      <w:r w:rsidR="00AF251C" w:rsidRPr="0012413D">
        <w:rPr>
          <w:sz w:val="22"/>
          <w:szCs w:val="24"/>
          <w:u w:val="single"/>
        </w:rPr>
        <w:t>Number M</w:t>
      </w:r>
      <w:r w:rsidRPr="0012413D">
        <w:rPr>
          <w:sz w:val="22"/>
          <w:szCs w:val="24"/>
          <w:u w:val="single"/>
        </w:rPr>
        <w:t>-2015-2511794</w:t>
      </w:r>
      <w:r>
        <w:rPr>
          <w:sz w:val="22"/>
          <w:szCs w:val="24"/>
        </w:rPr>
        <w:t xml:space="preserve"> </w:t>
      </w:r>
      <w:r w:rsidRPr="00604F31">
        <w:rPr>
          <w:sz w:val="22"/>
          <w:szCs w:val="24"/>
        </w:rPr>
        <w:t xml:space="preserve">when filing </w:t>
      </w:r>
      <w:r>
        <w:rPr>
          <w:sz w:val="22"/>
          <w:szCs w:val="24"/>
        </w:rPr>
        <w:t>comments</w:t>
      </w:r>
      <w:r w:rsidRPr="00604F31">
        <w:rPr>
          <w:sz w:val="22"/>
          <w:szCs w:val="24"/>
        </w:rPr>
        <w:t xml:space="preserve">.  Please note that </w:t>
      </w:r>
      <w:r>
        <w:rPr>
          <w:sz w:val="22"/>
          <w:szCs w:val="24"/>
        </w:rPr>
        <w:t>comments</w:t>
      </w:r>
      <w:r w:rsidRPr="00604F31">
        <w:rPr>
          <w:sz w:val="22"/>
          <w:szCs w:val="24"/>
        </w:rPr>
        <w:t xml:space="preserve"> may be e-filed, </w:t>
      </w:r>
      <w:hyperlink r:id="rId11" w:history="1">
        <w:r w:rsidRPr="00A30483">
          <w:rPr>
            <w:rStyle w:val="Hyperlink"/>
            <w:sz w:val="22"/>
            <w:szCs w:val="24"/>
          </w:rPr>
          <w:t>http://www.puc.pa.gov/efiling/default.aspx</w:t>
        </w:r>
      </w:hyperlink>
      <w:r>
        <w:rPr>
          <w:sz w:val="22"/>
          <w:szCs w:val="24"/>
        </w:rPr>
        <w:t xml:space="preserve">.  </w:t>
      </w:r>
      <w:r w:rsidRPr="00604F31">
        <w:rPr>
          <w:sz w:val="22"/>
          <w:szCs w:val="24"/>
        </w:rPr>
        <w:t xml:space="preserve">A list of document types allowed to be e-filed can be found at </w:t>
      </w:r>
      <w:hyperlink r:id="rId12" w:history="1">
        <w:r w:rsidRPr="00A30483">
          <w:rPr>
            <w:rStyle w:val="Hyperlink"/>
            <w:sz w:val="22"/>
            <w:szCs w:val="24"/>
          </w:rPr>
          <w:t>http://www.puc.pa.gov/efiling/DocTypes.aspx</w:t>
        </w:r>
      </w:hyperlink>
      <w:r>
        <w:rPr>
          <w:sz w:val="22"/>
          <w:szCs w:val="24"/>
        </w:rPr>
        <w:t xml:space="preserve">.  </w:t>
      </w:r>
      <w:r w:rsidRPr="00604F31">
        <w:rPr>
          <w:sz w:val="22"/>
          <w:szCs w:val="24"/>
        </w:rPr>
        <w:t xml:space="preserve">  </w:t>
      </w:r>
    </w:p>
    <w:p w:rsidR="00604F31" w:rsidRPr="00604F31" w:rsidRDefault="00604F31" w:rsidP="00604F31">
      <w:pPr>
        <w:ind w:firstLine="720"/>
        <w:rPr>
          <w:sz w:val="22"/>
          <w:szCs w:val="24"/>
        </w:rPr>
      </w:pPr>
    </w:p>
    <w:p w:rsidR="00604F31" w:rsidRPr="00604F31" w:rsidRDefault="00604F31" w:rsidP="00604F31">
      <w:pPr>
        <w:ind w:firstLine="720"/>
        <w:rPr>
          <w:sz w:val="22"/>
          <w:szCs w:val="24"/>
        </w:rPr>
      </w:pPr>
    </w:p>
    <w:p w:rsidR="00604F31" w:rsidRPr="00604F31" w:rsidRDefault="00604F31" w:rsidP="00604F31">
      <w:pPr>
        <w:ind w:firstLine="720"/>
        <w:rPr>
          <w:sz w:val="22"/>
          <w:szCs w:val="24"/>
        </w:rPr>
      </w:pPr>
      <w:r w:rsidRPr="00604F31">
        <w:rPr>
          <w:sz w:val="22"/>
          <w:szCs w:val="24"/>
        </w:rPr>
        <w:lastRenderedPageBreak/>
        <w:tab/>
      </w:r>
      <w:r w:rsidRPr="00604F31">
        <w:rPr>
          <w:sz w:val="22"/>
          <w:szCs w:val="24"/>
        </w:rPr>
        <w:cr/>
      </w:r>
    </w:p>
    <w:p w:rsidR="00604F31" w:rsidRPr="00604F31" w:rsidRDefault="00604F31" w:rsidP="00604F31">
      <w:pPr>
        <w:ind w:firstLine="720"/>
        <w:rPr>
          <w:sz w:val="22"/>
          <w:szCs w:val="24"/>
        </w:rPr>
      </w:pPr>
    </w:p>
    <w:p w:rsidR="00604F31" w:rsidRPr="00604F31" w:rsidRDefault="00604F31" w:rsidP="00604F31">
      <w:pPr>
        <w:ind w:firstLine="720"/>
        <w:rPr>
          <w:sz w:val="22"/>
          <w:szCs w:val="24"/>
        </w:rPr>
      </w:pPr>
    </w:p>
    <w:p w:rsidR="00604F31" w:rsidRPr="00604F31" w:rsidRDefault="00604F31" w:rsidP="00604F31">
      <w:pPr>
        <w:ind w:firstLine="720"/>
        <w:rPr>
          <w:sz w:val="22"/>
          <w:szCs w:val="24"/>
        </w:rPr>
      </w:pPr>
      <w:r w:rsidRPr="00604F31">
        <w:rPr>
          <w:sz w:val="22"/>
          <w:szCs w:val="24"/>
        </w:rPr>
        <w:cr/>
      </w:r>
    </w:p>
    <w:p w:rsidR="00604F31" w:rsidRPr="00604F31" w:rsidRDefault="00604F31" w:rsidP="00604F31">
      <w:pPr>
        <w:ind w:firstLine="720"/>
        <w:rPr>
          <w:sz w:val="22"/>
          <w:szCs w:val="24"/>
        </w:rPr>
      </w:pPr>
    </w:p>
    <w:p w:rsidR="00604F31" w:rsidRPr="00604F31" w:rsidRDefault="00604F31" w:rsidP="00604F31">
      <w:pPr>
        <w:ind w:firstLine="720"/>
        <w:rPr>
          <w:sz w:val="22"/>
          <w:szCs w:val="24"/>
        </w:rPr>
      </w:pPr>
      <w:r w:rsidRPr="00604F31">
        <w:rPr>
          <w:sz w:val="22"/>
          <w:szCs w:val="24"/>
        </w:rPr>
        <w:tab/>
      </w:r>
      <w:r w:rsidRPr="00604F31">
        <w:rPr>
          <w:sz w:val="22"/>
          <w:szCs w:val="24"/>
        </w:rPr>
        <w:cr/>
      </w:r>
    </w:p>
    <w:p w:rsidR="00604F31" w:rsidRPr="00604F31" w:rsidRDefault="00604F31" w:rsidP="00604F31">
      <w:pPr>
        <w:ind w:firstLine="720"/>
        <w:rPr>
          <w:sz w:val="22"/>
          <w:szCs w:val="24"/>
        </w:rPr>
      </w:pPr>
    </w:p>
    <w:p w:rsidR="00604F31" w:rsidRPr="00604F31" w:rsidRDefault="00604F31" w:rsidP="00604F31">
      <w:pPr>
        <w:ind w:firstLine="720"/>
        <w:rPr>
          <w:sz w:val="22"/>
          <w:szCs w:val="24"/>
        </w:rPr>
      </w:pPr>
      <w:r w:rsidRPr="00604F31">
        <w:rPr>
          <w:sz w:val="22"/>
          <w:szCs w:val="24"/>
        </w:rPr>
        <w:tab/>
      </w:r>
      <w:r w:rsidRPr="00604F31">
        <w:rPr>
          <w:sz w:val="22"/>
          <w:szCs w:val="24"/>
        </w:rPr>
        <w:cr/>
      </w:r>
    </w:p>
    <w:p w:rsidR="00604F31" w:rsidRPr="00604F31" w:rsidRDefault="00604F31" w:rsidP="00AF251C">
      <w:pPr>
        <w:jc w:val="center"/>
        <w:rPr>
          <w:sz w:val="22"/>
          <w:szCs w:val="24"/>
        </w:rPr>
      </w:pPr>
      <w:r w:rsidRPr="00604F31">
        <w:rPr>
          <w:sz w:val="22"/>
          <w:szCs w:val="24"/>
        </w:rPr>
        <w:t>Rosemary Chiavetta, Secretary</w:t>
      </w:r>
    </w:p>
    <w:p w:rsidR="00604F31" w:rsidRPr="00604F31" w:rsidRDefault="00604F31" w:rsidP="00AF251C">
      <w:pPr>
        <w:jc w:val="center"/>
        <w:rPr>
          <w:sz w:val="22"/>
          <w:szCs w:val="24"/>
        </w:rPr>
      </w:pPr>
      <w:r w:rsidRPr="00604F31">
        <w:rPr>
          <w:sz w:val="22"/>
          <w:szCs w:val="24"/>
        </w:rPr>
        <w:t>Pennsylvania Public Utility Commission</w:t>
      </w:r>
    </w:p>
    <w:p w:rsidR="00604F31" w:rsidRPr="00604F31" w:rsidRDefault="00604F31" w:rsidP="00AF251C">
      <w:pPr>
        <w:jc w:val="center"/>
        <w:rPr>
          <w:sz w:val="22"/>
          <w:szCs w:val="24"/>
        </w:rPr>
      </w:pPr>
      <w:r w:rsidRPr="00604F31">
        <w:rPr>
          <w:sz w:val="22"/>
          <w:szCs w:val="24"/>
        </w:rPr>
        <w:t>400 North Street</w:t>
      </w:r>
    </w:p>
    <w:p w:rsidR="00AB0DA5" w:rsidRDefault="00604F31" w:rsidP="00AF251C">
      <w:pPr>
        <w:jc w:val="center"/>
        <w:rPr>
          <w:sz w:val="22"/>
          <w:szCs w:val="24"/>
        </w:rPr>
      </w:pPr>
      <w:r w:rsidRPr="00604F31">
        <w:rPr>
          <w:sz w:val="22"/>
          <w:szCs w:val="24"/>
        </w:rPr>
        <w:t>Harrisburg, PA 17120</w:t>
      </w:r>
    </w:p>
    <w:p w:rsidR="00604F31" w:rsidRDefault="00604F31" w:rsidP="00AF251C">
      <w:pPr>
        <w:rPr>
          <w:sz w:val="22"/>
          <w:szCs w:val="24"/>
        </w:rPr>
      </w:pPr>
    </w:p>
    <w:p w:rsidR="00604F31" w:rsidRDefault="00604F31" w:rsidP="00604F31">
      <w:pPr>
        <w:ind w:firstLine="720"/>
        <w:jc w:val="center"/>
        <w:rPr>
          <w:sz w:val="22"/>
          <w:szCs w:val="24"/>
        </w:rPr>
      </w:pPr>
    </w:p>
    <w:p w:rsidR="006659D1" w:rsidRPr="002C0C5B" w:rsidRDefault="00AB0DA5" w:rsidP="006D73F3">
      <w:pPr>
        <w:ind w:firstLine="720"/>
        <w:rPr>
          <w:sz w:val="22"/>
          <w:szCs w:val="24"/>
        </w:rPr>
      </w:pPr>
      <w:r>
        <w:rPr>
          <w:sz w:val="22"/>
          <w:szCs w:val="24"/>
        </w:rPr>
        <w:tab/>
      </w:r>
      <w:r w:rsidR="00604F31">
        <w:rPr>
          <w:sz w:val="22"/>
          <w:szCs w:val="24"/>
        </w:rPr>
        <w:t>Please direct any questions to</w:t>
      </w:r>
      <w:r w:rsidR="0064349C">
        <w:rPr>
          <w:sz w:val="22"/>
          <w:szCs w:val="24"/>
        </w:rPr>
        <w:t xml:space="preserve"> </w:t>
      </w:r>
      <w:r w:rsidR="00AE64C8" w:rsidRPr="002C0C5B">
        <w:rPr>
          <w:sz w:val="22"/>
          <w:szCs w:val="24"/>
        </w:rPr>
        <w:t>David Washko</w:t>
      </w:r>
      <w:r w:rsidR="006659D1" w:rsidRPr="002C0C5B">
        <w:rPr>
          <w:sz w:val="22"/>
          <w:szCs w:val="24"/>
        </w:rPr>
        <w:t xml:space="preserve"> </w:t>
      </w:r>
      <w:r w:rsidR="0064349C">
        <w:rPr>
          <w:sz w:val="22"/>
          <w:szCs w:val="24"/>
        </w:rPr>
        <w:t xml:space="preserve">of the Bureau of Fixed Utility Services </w:t>
      </w:r>
      <w:r w:rsidR="006659D1" w:rsidRPr="002C0C5B">
        <w:rPr>
          <w:sz w:val="22"/>
          <w:szCs w:val="24"/>
        </w:rPr>
        <w:t>at 717-</w:t>
      </w:r>
      <w:r w:rsidR="00AE64C8" w:rsidRPr="002C0C5B">
        <w:rPr>
          <w:sz w:val="22"/>
          <w:szCs w:val="24"/>
        </w:rPr>
        <w:t>425</w:t>
      </w:r>
      <w:r w:rsidR="0064349C">
        <w:rPr>
          <w:sz w:val="22"/>
          <w:szCs w:val="24"/>
        </w:rPr>
        <w:t>-</w:t>
      </w:r>
      <w:r w:rsidR="00AE64C8" w:rsidRPr="002C0C5B">
        <w:rPr>
          <w:sz w:val="22"/>
          <w:szCs w:val="24"/>
        </w:rPr>
        <w:t>7401</w:t>
      </w:r>
      <w:r w:rsidR="006659D1" w:rsidRPr="002C0C5B">
        <w:rPr>
          <w:sz w:val="22"/>
          <w:szCs w:val="24"/>
        </w:rPr>
        <w:t xml:space="preserve"> or</w:t>
      </w:r>
      <w:r w:rsidR="00AE64C8" w:rsidRPr="002C0C5B">
        <w:rPr>
          <w:sz w:val="22"/>
          <w:szCs w:val="24"/>
        </w:rPr>
        <w:t xml:space="preserve"> </w:t>
      </w:r>
      <w:hyperlink r:id="rId13" w:history="1">
        <w:r w:rsidR="00AE64C8" w:rsidRPr="002C0C5B">
          <w:rPr>
            <w:rStyle w:val="Hyperlink"/>
            <w:sz w:val="22"/>
            <w:szCs w:val="24"/>
          </w:rPr>
          <w:t>dawashko@pa.gov</w:t>
        </w:r>
      </w:hyperlink>
      <w:r w:rsidR="00AE64C8" w:rsidRPr="002C0C5B">
        <w:rPr>
          <w:sz w:val="22"/>
          <w:szCs w:val="24"/>
        </w:rPr>
        <w:t xml:space="preserve">. </w:t>
      </w:r>
      <w:r w:rsidR="0064349C">
        <w:rPr>
          <w:sz w:val="22"/>
          <w:szCs w:val="24"/>
        </w:rPr>
        <w:t xml:space="preserve">  </w:t>
      </w:r>
    </w:p>
    <w:p w:rsidR="006659D1" w:rsidRPr="002C0C5B" w:rsidRDefault="006659D1" w:rsidP="00710DBE">
      <w:pPr>
        <w:rPr>
          <w:sz w:val="22"/>
          <w:szCs w:val="24"/>
        </w:rPr>
      </w:pPr>
    </w:p>
    <w:p w:rsidR="003B4AA9" w:rsidRPr="002C0C5B" w:rsidRDefault="00191263" w:rsidP="00BE4A72">
      <w:pPr>
        <w:rPr>
          <w:sz w:val="22"/>
          <w:szCs w:val="24"/>
        </w:rPr>
      </w:pPr>
      <w:r>
        <w:rPr>
          <w:noProof/>
        </w:rPr>
        <w:drawing>
          <wp:anchor distT="0" distB="0" distL="114300" distR="114300" simplePos="0" relativeHeight="251659264" behindDoc="1" locked="0" layoutInCell="1" allowOverlap="1" wp14:anchorId="0A652E00" wp14:editId="66A267E6">
            <wp:simplePos x="0" y="0"/>
            <wp:positionH relativeFrom="column">
              <wp:posOffset>2571750</wp:posOffset>
            </wp:positionH>
            <wp:positionV relativeFrom="paragraph">
              <wp:posOffset>142875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10DBE" w:rsidRPr="002C0C5B">
        <w:rPr>
          <w:sz w:val="22"/>
          <w:szCs w:val="24"/>
        </w:rPr>
        <w:tab/>
      </w:r>
      <w:r w:rsidR="00C77F29" w:rsidRPr="002C0C5B">
        <w:rPr>
          <w:sz w:val="22"/>
          <w:szCs w:val="24"/>
        </w:rPr>
        <w:t xml:space="preserve"> </w:t>
      </w:r>
    </w:p>
    <w:p w:rsidR="00BE4A72" w:rsidRPr="002C0C5B" w:rsidRDefault="00BE4A72" w:rsidP="00BE4A72">
      <w:pPr>
        <w:ind w:left="3600"/>
        <w:rPr>
          <w:sz w:val="22"/>
          <w:szCs w:val="24"/>
        </w:rPr>
      </w:pPr>
      <w:r w:rsidRPr="002C0C5B">
        <w:rPr>
          <w:sz w:val="22"/>
          <w:szCs w:val="24"/>
        </w:rPr>
        <w:tab/>
        <w:t>Sincerely,</w:t>
      </w:r>
    </w:p>
    <w:p w:rsidR="00BE4A72" w:rsidRPr="002C0C5B" w:rsidRDefault="00BE4A72" w:rsidP="00BE4A72">
      <w:pPr>
        <w:ind w:left="3600"/>
        <w:rPr>
          <w:sz w:val="22"/>
          <w:szCs w:val="24"/>
        </w:rPr>
      </w:pPr>
    </w:p>
    <w:p w:rsidR="009B4557" w:rsidRPr="002C0C5B" w:rsidRDefault="009B4557" w:rsidP="00BE4A72">
      <w:pPr>
        <w:ind w:left="3600"/>
        <w:rPr>
          <w:sz w:val="22"/>
          <w:szCs w:val="24"/>
        </w:rPr>
      </w:pPr>
    </w:p>
    <w:p w:rsidR="006B773E" w:rsidRPr="002C0C5B" w:rsidRDefault="006B773E" w:rsidP="00BE4A72">
      <w:pPr>
        <w:ind w:left="3600"/>
        <w:rPr>
          <w:sz w:val="22"/>
          <w:szCs w:val="24"/>
        </w:rPr>
      </w:pPr>
      <w:bookmarkStart w:id="0" w:name="_GoBack"/>
      <w:bookmarkEnd w:id="0"/>
    </w:p>
    <w:p w:rsidR="002B37D7" w:rsidRPr="002C0C5B" w:rsidRDefault="00C77F29" w:rsidP="002B37D7">
      <w:pPr>
        <w:jc w:val="both"/>
        <w:rPr>
          <w:color w:val="000000"/>
          <w:sz w:val="22"/>
          <w:szCs w:val="24"/>
        </w:rPr>
      </w:pPr>
      <w:r w:rsidRPr="002C0C5B">
        <w:rPr>
          <w:sz w:val="22"/>
          <w:szCs w:val="24"/>
        </w:rPr>
        <w:tab/>
      </w:r>
      <w:r w:rsidR="002B37D7" w:rsidRPr="002C0C5B">
        <w:rPr>
          <w:sz w:val="22"/>
          <w:szCs w:val="24"/>
        </w:rPr>
        <w:tab/>
      </w:r>
      <w:r w:rsidR="002B37D7" w:rsidRPr="002C0C5B">
        <w:rPr>
          <w:sz w:val="22"/>
          <w:szCs w:val="24"/>
        </w:rPr>
        <w:tab/>
      </w:r>
      <w:r w:rsidR="002B37D7" w:rsidRPr="002C0C5B">
        <w:rPr>
          <w:sz w:val="22"/>
          <w:szCs w:val="24"/>
        </w:rPr>
        <w:tab/>
      </w:r>
      <w:r w:rsidR="002B37D7" w:rsidRPr="002C0C5B">
        <w:rPr>
          <w:sz w:val="22"/>
          <w:szCs w:val="24"/>
        </w:rPr>
        <w:tab/>
      </w:r>
      <w:r w:rsidR="002B37D7" w:rsidRPr="002C0C5B">
        <w:rPr>
          <w:sz w:val="22"/>
          <w:szCs w:val="24"/>
        </w:rPr>
        <w:tab/>
      </w:r>
      <w:r w:rsidR="002B37D7" w:rsidRPr="002C0C5B">
        <w:rPr>
          <w:color w:val="000000"/>
          <w:sz w:val="22"/>
          <w:szCs w:val="24"/>
        </w:rPr>
        <w:t>Rosemary Chiavetta</w:t>
      </w:r>
    </w:p>
    <w:p w:rsidR="002B37D7" w:rsidRDefault="002B37D7" w:rsidP="002C0C5B">
      <w:pPr>
        <w:jc w:val="both"/>
        <w:rPr>
          <w:color w:val="000000"/>
          <w:sz w:val="22"/>
          <w:szCs w:val="24"/>
        </w:rPr>
      </w:pPr>
      <w:r w:rsidRPr="002C0C5B">
        <w:rPr>
          <w:color w:val="000000"/>
          <w:sz w:val="22"/>
          <w:szCs w:val="24"/>
        </w:rPr>
        <w:tab/>
      </w:r>
      <w:r w:rsidRPr="002C0C5B">
        <w:rPr>
          <w:color w:val="000000"/>
          <w:sz w:val="22"/>
          <w:szCs w:val="24"/>
        </w:rPr>
        <w:tab/>
      </w:r>
      <w:r w:rsidRPr="002C0C5B">
        <w:rPr>
          <w:color w:val="000000"/>
          <w:sz w:val="22"/>
          <w:szCs w:val="24"/>
        </w:rPr>
        <w:tab/>
      </w:r>
      <w:r w:rsidRPr="002C0C5B">
        <w:rPr>
          <w:color w:val="000000"/>
          <w:sz w:val="22"/>
          <w:szCs w:val="24"/>
        </w:rPr>
        <w:tab/>
      </w:r>
      <w:r w:rsidRPr="002C0C5B">
        <w:rPr>
          <w:color w:val="000000"/>
          <w:sz w:val="22"/>
          <w:szCs w:val="24"/>
        </w:rPr>
        <w:tab/>
      </w:r>
      <w:r w:rsidRPr="002C0C5B">
        <w:rPr>
          <w:color w:val="000000"/>
          <w:sz w:val="22"/>
          <w:szCs w:val="24"/>
        </w:rPr>
        <w:tab/>
        <w:t>Secretary</w:t>
      </w:r>
    </w:p>
    <w:p w:rsidR="00AF251C" w:rsidRDefault="00AF251C" w:rsidP="002C0C5B">
      <w:pPr>
        <w:jc w:val="both"/>
        <w:rPr>
          <w:color w:val="000000"/>
          <w:sz w:val="22"/>
          <w:szCs w:val="24"/>
        </w:rPr>
      </w:pPr>
    </w:p>
    <w:p w:rsidR="00AF251C" w:rsidRDefault="00AF251C" w:rsidP="002C0C5B">
      <w:pPr>
        <w:jc w:val="both"/>
        <w:rPr>
          <w:color w:val="000000"/>
          <w:sz w:val="22"/>
          <w:szCs w:val="24"/>
        </w:rPr>
      </w:pPr>
    </w:p>
    <w:p w:rsidR="00AF251C" w:rsidRDefault="00AF251C" w:rsidP="002C0C5B">
      <w:pPr>
        <w:jc w:val="both"/>
        <w:rPr>
          <w:color w:val="000000"/>
          <w:sz w:val="22"/>
          <w:szCs w:val="24"/>
        </w:rPr>
      </w:pPr>
    </w:p>
    <w:p w:rsidR="00AF251C" w:rsidRDefault="00AF251C" w:rsidP="002C0C5B">
      <w:pPr>
        <w:jc w:val="both"/>
        <w:rPr>
          <w:sz w:val="24"/>
          <w:szCs w:val="24"/>
        </w:rPr>
      </w:pPr>
    </w:p>
    <w:p w:rsidR="00AF251C" w:rsidRDefault="00AF251C" w:rsidP="002C0C5B">
      <w:pPr>
        <w:jc w:val="both"/>
        <w:rPr>
          <w:sz w:val="24"/>
          <w:szCs w:val="24"/>
        </w:rPr>
      </w:pPr>
    </w:p>
    <w:p w:rsidR="00AF251C" w:rsidRDefault="00AF251C" w:rsidP="002C0C5B">
      <w:pPr>
        <w:jc w:val="both"/>
        <w:rPr>
          <w:sz w:val="24"/>
          <w:szCs w:val="24"/>
        </w:rPr>
      </w:pPr>
    </w:p>
    <w:p w:rsidR="00AF251C" w:rsidRDefault="00AF251C" w:rsidP="002C0C5B">
      <w:pPr>
        <w:jc w:val="both"/>
        <w:rPr>
          <w:sz w:val="24"/>
          <w:szCs w:val="24"/>
        </w:rPr>
      </w:pPr>
    </w:p>
    <w:p w:rsidR="00AF251C" w:rsidRDefault="00AF251C" w:rsidP="002C0C5B">
      <w:pPr>
        <w:jc w:val="both"/>
        <w:rPr>
          <w:sz w:val="24"/>
          <w:szCs w:val="24"/>
        </w:rPr>
      </w:pPr>
    </w:p>
    <w:p w:rsidR="00AF251C" w:rsidRDefault="00AF251C" w:rsidP="002C0C5B">
      <w:pPr>
        <w:jc w:val="both"/>
        <w:rPr>
          <w:sz w:val="24"/>
          <w:szCs w:val="24"/>
        </w:rPr>
      </w:pPr>
    </w:p>
    <w:p w:rsidR="00AF251C" w:rsidRDefault="00AF251C" w:rsidP="002C0C5B">
      <w:pPr>
        <w:jc w:val="both"/>
        <w:rPr>
          <w:sz w:val="24"/>
          <w:szCs w:val="24"/>
        </w:rPr>
      </w:pPr>
    </w:p>
    <w:p w:rsidR="00AF251C" w:rsidRDefault="00AF251C" w:rsidP="002C0C5B">
      <w:pPr>
        <w:jc w:val="both"/>
        <w:rPr>
          <w:sz w:val="24"/>
          <w:szCs w:val="24"/>
        </w:rPr>
      </w:pPr>
    </w:p>
    <w:sectPr w:rsidR="00AF251C" w:rsidSect="004B781B">
      <w:footerReference w:type="even" r:id="rId15"/>
      <w:footerReference w:type="default" r:id="rId16"/>
      <w:footerReference w:type="first" r:id="rId17"/>
      <w:pgSz w:w="12240" w:h="15840"/>
      <w:pgMar w:top="432" w:right="1440" w:bottom="144"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1B4" w:rsidRDefault="006A61B4">
      <w:r>
        <w:separator/>
      </w:r>
    </w:p>
  </w:endnote>
  <w:endnote w:type="continuationSeparator" w:id="0">
    <w:p w:rsidR="006A61B4" w:rsidRDefault="006A6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FC1" w:rsidRDefault="00FA2F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A2FC1" w:rsidRDefault="00FA2F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812345"/>
      <w:docPartObj>
        <w:docPartGallery w:val="Page Numbers (Bottom of Page)"/>
        <w:docPartUnique/>
      </w:docPartObj>
    </w:sdtPr>
    <w:sdtEndPr/>
    <w:sdtContent>
      <w:p w:rsidR="00FA2FC1" w:rsidRDefault="00FA2FC1">
        <w:pPr>
          <w:pStyle w:val="Footer"/>
          <w:jc w:val="center"/>
        </w:pPr>
        <w:r w:rsidRPr="00AD0A9B">
          <w:rPr>
            <w:sz w:val="26"/>
            <w:szCs w:val="26"/>
          </w:rPr>
          <w:fldChar w:fldCharType="begin"/>
        </w:r>
        <w:r w:rsidRPr="00AD0A9B">
          <w:rPr>
            <w:sz w:val="26"/>
            <w:szCs w:val="26"/>
          </w:rPr>
          <w:instrText xml:space="preserve"> PAGE   \* MERGEFORMAT </w:instrText>
        </w:r>
        <w:r w:rsidRPr="00AD0A9B">
          <w:rPr>
            <w:sz w:val="26"/>
            <w:szCs w:val="26"/>
          </w:rPr>
          <w:fldChar w:fldCharType="separate"/>
        </w:r>
        <w:r w:rsidR="00191263">
          <w:rPr>
            <w:noProof/>
            <w:sz w:val="26"/>
            <w:szCs w:val="26"/>
          </w:rPr>
          <w:t>2</w:t>
        </w:r>
        <w:r w:rsidRPr="00AD0A9B">
          <w:rPr>
            <w:sz w:val="26"/>
            <w:szCs w:val="26"/>
          </w:rPr>
          <w:fldChar w:fldCharType="end"/>
        </w:r>
      </w:p>
    </w:sdtContent>
  </w:sdt>
  <w:p w:rsidR="00FA2FC1" w:rsidRDefault="00FA2F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542281"/>
      <w:docPartObj>
        <w:docPartGallery w:val="Page Numbers (Bottom of Page)"/>
        <w:docPartUnique/>
      </w:docPartObj>
    </w:sdtPr>
    <w:sdtEndPr>
      <w:rPr>
        <w:noProof/>
      </w:rPr>
    </w:sdtEndPr>
    <w:sdtContent>
      <w:p w:rsidR="00FA2FC1" w:rsidRDefault="00FA2FC1">
        <w:pPr>
          <w:pStyle w:val="Footer"/>
          <w:jc w:val="center"/>
        </w:pPr>
        <w:r>
          <w:fldChar w:fldCharType="begin"/>
        </w:r>
        <w:r>
          <w:instrText xml:space="preserve"> PAGE   \* MERGEFORMAT </w:instrText>
        </w:r>
        <w:r>
          <w:fldChar w:fldCharType="separate"/>
        </w:r>
        <w:r w:rsidR="00191263">
          <w:rPr>
            <w:noProof/>
          </w:rPr>
          <w:t>1</w:t>
        </w:r>
        <w:r>
          <w:rPr>
            <w:noProof/>
          </w:rPr>
          <w:fldChar w:fldCharType="end"/>
        </w:r>
      </w:p>
    </w:sdtContent>
  </w:sdt>
  <w:p w:rsidR="00FA2FC1" w:rsidRDefault="00FA2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1B4" w:rsidRDefault="006A61B4">
      <w:r>
        <w:separator/>
      </w:r>
    </w:p>
  </w:footnote>
  <w:footnote w:type="continuationSeparator" w:id="0">
    <w:p w:rsidR="006A61B4" w:rsidRDefault="006A61B4">
      <w:r>
        <w:continuationSeparator/>
      </w:r>
    </w:p>
  </w:footnote>
  <w:footnote w:id="1">
    <w:p w:rsidR="00604F31" w:rsidRDefault="00604F31">
      <w:pPr>
        <w:pStyle w:val="FootnoteText"/>
      </w:pPr>
      <w:r>
        <w:rPr>
          <w:rStyle w:val="FootnoteReference"/>
        </w:rPr>
        <w:footnoteRef/>
      </w:r>
      <w:r>
        <w:t xml:space="preserve"> </w:t>
      </w:r>
      <w:r w:rsidRPr="00604F31">
        <w:rPr>
          <w:i/>
        </w:rPr>
        <w:t>See Pennsylvania Public Utility Commission, Bureau of Investigation and Enforcement v. West Penn Power Company</w:t>
      </w:r>
      <w:r w:rsidRPr="00604F31">
        <w:t>, at Docket No. C-2012-2307244.</w:t>
      </w:r>
    </w:p>
  </w:footnote>
  <w:footnote w:id="2">
    <w:p w:rsidR="00604F31" w:rsidRDefault="00604F31">
      <w:pPr>
        <w:pStyle w:val="FootnoteText"/>
      </w:pPr>
      <w:r>
        <w:rPr>
          <w:rStyle w:val="FootnoteReference"/>
        </w:rPr>
        <w:footnoteRef/>
      </w:r>
      <w:r>
        <w:t xml:space="preserve"> </w:t>
      </w:r>
      <w:r w:rsidRPr="00604F31">
        <w:t xml:space="preserve">See, </w:t>
      </w:r>
      <w:r w:rsidRPr="00604F31">
        <w:rPr>
          <w:i/>
        </w:rPr>
        <w:t>Advance Notice of Proposed Rulemaking for Revision of 52 Pa. Code Chapter 57 Relating to Inspection Requirements for Automatic Splices</w:t>
      </w:r>
      <w:r>
        <w:rPr>
          <w:i/>
        </w:rPr>
        <w:t xml:space="preserve">, </w:t>
      </w:r>
      <w:r w:rsidRPr="00604F31">
        <w:t>Order, pp. 9-10, at Docket No. L-2014-2400191.</w:t>
      </w:r>
    </w:p>
  </w:footnote>
  <w:footnote w:id="3">
    <w:p w:rsidR="00604F31" w:rsidRDefault="00604F31">
      <w:pPr>
        <w:pStyle w:val="FootnoteText"/>
      </w:pPr>
      <w:r>
        <w:rPr>
          <w:rStyle w:val="FootnoteReference"/>
        </w:rPr>
        <w:footnoteRef/>
      </w:r>
      <w:r>
        <w:t xml:space="preserve"> </w:t>
      </w:r>
      <w:r w:rsidRPr="00604F31">
        <w:t>Docket No. M-2015-2511794</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6C84494"/>
    <w:multiLevelType w:val="hybridMultilevel"/>
    <w:tmpl w:val="DA34B596"/>
    <w:lvl w:ilvl="0" w:tplc="E88284D8">
      <w:start w:val="2"/>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85652B6"/>
    <w:multiLevelType w:val="hybridMultilevel"/>
    <w:tmpl w:val="D5EAF4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7AF7701"/>
    <w:multiLevelType w:val="hybridMultilevel"/>
    <w:tmpl w:val="9EF25A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6671FE"/>
    <w:multiLevelType w:val="hybridMultilevel"/>
    <w:tmpl w:val="9AF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441FD4"/>
    <w:multiLevelType w:val="hybridMultilevel"/>
    <w:tmpl w:val="E6FE291C"/>
    <w:lvl w:ilvl="0" w:tplc="7B667F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B0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6296FBA"/>
    <w:multiLevelType w:val="hybridMultilevel"/>
    <w:tmpl w:val="D66ECE68"/>
    <w:lvl w:ilvl="0" w:tplc="F134EA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06A7536"/>
    <w:multiLevelType w:val="hybridMultilevel"/>
    <w:tmpl w:val="A0E03122"/>
    <w:lvl w:ilvl="0" w:tplc="62FCDC20">
      <w:start w:val="1"/>
      <w:numFmt w:val="decimal"/>
      <w:lvlText w:val="%1."/>
      <w:lvlJc w:val="left"/>
      <w:pPr>
        <w:tabs>
          <w:tab w:val="num" w:pos="1080"/>
        </w:tabs>
        <w:ind w:left="1080" w:hanging="720"/>
      </w:pPr>
      <w:rPr>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3DC0078"/>
    <w:multiLevelType w:val="hybridMultilevel"/>
    <w:tmpl w:val="0594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2"/>
  </w:num>
  <w:num w:numId="3">
    <w:abstractNumId w:val="3"/>
  </w:num>
  <w:num w:numId="4">
    <w:abstractNumId w:val="6"/>
  </w:num>
  <w:num w:numId="5">
    <w:abstractNumId w:val="16"/>
  </w:num>
  <w:num w:numId="6">
    <w:abstractNumId w:val="5"/>
  </w:num>
  <w:num w:numId="7">
    <w:abstractNumId w:val="17"/>
  </w:num>
  <w:num w:numId="8">
    <w:abstractNumId w:val="15"/>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8"/>
  </w:num>
  <w:num w:numId="15">
    <w:abstractNumId w:val="14"/>
  </w:num>
  <w:num w:numId="16">
    <w:abstractNumId w:val="4"/>
  </w:num>
  <w:num w:numId="17">
    <w:abstractNumId w:val="7"/>
  </w:num>
  <w:num w:numId="18">
    <w:abstractNumId w:val="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1E"/>
    <w:rsid w:val="000032F0"/>
    <w:rsid w:val="00016C43"/>
    <w:rsid w:val="00021147"/>
    <w:rsid w:val="0002313A"/>
    <w:rsid w:val="00025E21"/>
    <w:rsid w:val="00026B9B"/>
    <w:rsid w:val="000315CB"/>
    <w:rsid w:val="00031795"/>
    <w:rsid w:val="0004123B"/>
    <w:rsid w:val="00046AA8"/>
    <w:rsid w:val="00050485"/>
    <w:rsid w:val="00062A76"/>
    <w:rsid w:val="000A3296"/>
    <w:rsid w:val="000A4073"/>
    <w:rsid w:val="000C0BE0"/>
    <w:rsid w:val="000C7752"/>
    <w:rsid w:val="000D54BC"/>
    <w:rsid w:val="000F4632"/>
    <w:rsid w:val="000F5F50"/>
    <w:rsid w:val="001023B1"/>
    <w:rsid w:val="001048C8"/>
    <w:rsid w:val="00111D7A"/>
    <w:rsid w:val="001209F1"/>
    <w:rsid w:val="00121CB7"/>
    <w:rsid w:val="0012413D"/>
    <w:rsid w:val="00126434"/>
    <w:rsid w:val="00126702"/>
    <w:rsid w:val="00134A78"/>
    <w:rsid w:val="00142748"/>
    <w:rsid w:val="00146EB6"/>
    <w:rsid w:val="0015126D"/>
    <w:rsid w:val="00162D58"/>
    <w:rsid w:val="00163A25"/>
    <w:rsid w:val="001822EA"/>
    <w:rsid w:val="00183A7E"/>
    <w:rsid w:val="00191263"/>
    <w:rsid w:val="0019426D"/>
    <w:rsid w:val="00195546"/>
    <w:rsid w:val="001A2DCD"/>
    <w:rsid w:val="001A4102"/>
    <w:rsid w:val="001B03CF"/>
    <w:rsid w:val="001B2C6D"/>
    <w:rsid w:val="001B4DA3"/>
    <w:rsid w:val="001E1183"/>
    <w:rsid w:val="001E1BF3"/>
    <w:rsid w:val="001E3A60"/>
    <w:rsid w:val="001F7863"/>
    <w:rsid w:val="002008CA"/>
    <w:rsid w:val="002027E7"/>
    <w:rsid w:val="00204EB9"/>
    <w:rsid w:val="00213CF6"/>
    <w:rsid w:val="002229C3"/>
    <w:rsid w:val="002326FD"/>
    <w:rsid w:val="0024302D"/>
    <w:rsid w:val="002744D7"/>
    <w:rsid w:val="002874B9"/>
    <w:rsid w:val="0029471C"/>
    <w:rsid w:val="002A0616"/>
    <w:rsid w:val="002A2528"/>
    <w:rsid w:val="002A2B4A"/>
    <w:rsid w:val="002A43DC"/>
    <w:rsid w:val="002B0543"/>
    <w:rsid w:val="002B37D7"/>
    <w:rsid w:val="002B618E"/>
    <w:rsid w:val="002C0C5B"/>
    <w:rsid w:val="002C4503"/>
    <w:rsid w:val="002C49E3"/>
    <w:rsid w:val="002C7D3E"/>
    <w:rsid w:val="002D1E8E"/>
    <w:rsid w:val="002F0138"/>
    <w:rsid w:val="003049AB"/>
    <w:rsid w:val="00307364"/>
    <w:rsid w:val="00310263"/>
    <w:rsid w:val="003106B5"/>
    <w:rsid w:val="00311DBE"/>
    <w:rsid w:val="00322A23"/>
    <w:rsid w:val="00325403"/>
    <w:rsid w:val="00332AEB"/>
    <w:rsid w:val="00332EE9"/>
    <w:rsid w:val="003569E8"/>
    <w:rsid w:val="00361704"/>
    <w:rsid w:val="00366ACD"/>
    <w:rsid w:val="00374D2E"/>
    <w:rsid w:val="003878A0"/>
    <w:rsid w:val="003904DE"/>
    <w:rsid w:val="003A6101"/>
    <w:rsid w:val="003A7173"/>
    <w:rsid w:val="003B4AA9"/>
    <w:rsid w:val="003E7239"/>
    <w:rsid w:val="003F79A7"/>
    <w:rsid w:val="00404133"/>
    <w:rsid w:val="00413702"/>
    <w:rsid w:val="00423966"/>
    <w:rsid w:val="00427AD9"/>
    <w:rsid w:val="0044224A"/>
    <w:rsid w:val="00442D19"/>
    <w:rsid w:val="00447966"/>
    <w:rsid w:val="00450096"/>
    <w:rsid w:val="0046411C"/>
    <w:rsid w:val="00467782"/>
    <w:rsid w:val="00472043"/>
    <w:rsid w:val="00495FC5"/>
    <w:rsid w:val="004A0C55"/>
    <w:rsid w:val="004A5F4E"/>
    <w:rsid w:val="004B07D2"/>
    <w:rsid w:val="004B61C1"/>
    <w:rsid w:val="004B781B"/>
    <w:rsid w:val="004D2698"/>
    <w:rsid w:val="004F2077"/>
    <w:rsid w:val="0050362A"/>
    <w:rsid w:val="0050568E"/>
    <w:rsid w:val="005117A3"/>
    <w:rsid w:val="005138E9"/>
    <w:rsid w:val="0051639C"/>
    <w:rsid w:val="0052665A"/>
    <w:rsid w:val="0053714C"/>
    <w:rsid w:val="00541DB3"/>
    <w:rsid w:val="005424F7"/>
    <w:rsid w:val="00553472"/>
    <w:rsid w:val="00557565"/>
    <w:rsid w:val="00567746"/>
    <w:rsid w:val="0057207C"/>
    <w:rsid w:val="0057487F"/>
    <w:rsid w:val="00575806"/>
    <w:rsid w:val="0058420A"/>
    <w:rsid w:val="00590DCB"/>
    <w:rsid w:val="005A5824"/>
    <w:rsid w:val="005B0327"/>
    <w:rsid w:val="005B7295"/>
    <w:rsid w:val="005C2839"/>
    <w:rsid w:val="005C5EF3"/>
    <w:rsid w:val="005D0ED6"/>
    <w:rsid w:val="005E25C5"/>
    <w:rsid w:val="00602573"/>
    <w:rsid w:val="00604F31"/>
    <w:rsid w:val="0061154B"/>
    <w:rsid w:val="00617CEC"/>
    <w:rsid w:val="006354F1"/>
    <w:rsid w:val="0064349C"/>
    <w:rsid w:val="0065214F"/>
    <w:rsid w:val="006538B5"/>
    <w:rsid w:val="0066142A"/>
    <w:rsid w:val="006659D1"/>
    <w:rsid w:val="006678F2"/>
    <w:rsid w:val="006744F0"/>
    <w:rsid w:val="006755C0"/>
    <w:rsid w:val="00675A36"/>
    <w:rsid w:val="006843D3"/>
    <w:rsid w:val="00694301"/>
    <w:rsid w:val="00697209"/>
    <w:rsid w:val="006A61B4"/>
    <w:rsid w:val="006B307C"/>
    <w:rsid w:val="006B4889"/>
    <w:rsid w:val="006B773E"/>
    <w:rsid w:val="006D73F3"/>
    <w:rsid w:val="006E00A9"/>
    <w:rsid w:val="006E7EF7"/>
    <w:rsid w:val="006F4A92"/>
    <w:rsid w:val="006F614A"/>
    <w:rsid w:val="00702D23"/>
    <w:rsid w:val="00710DBE"/>
    <w:rsid w:val="0071761F"/>
    <w:rsid w:val="00723893"/>
    <w:rsid w:val="00733109"/>
    <w:rsid w:val="007353C2"/>
    <w:rsid w:val="00746F33"/>
    <w:rsid w:val="00750EF6"/>
    <w:rsid w:val="007617B1"/>
    <w:rsid w:val="007652EF"/>
    <w:rsid w:val="00774136"/>
    <w:rsid w:val="007762F7"/>
    <w:rsid w:val="00785B5A"/>
    <w:rsid w:val="0078658C"/>
    <w:rsid w:val="007914EF"/>
    <w:rsid w:val="007979FC"/>
    <w:rsid w:val="007C7339"/>
    <w:rsid w:val="007D6818"/>
    <w:rsid w:val="007E132D"/>
    <w:rsid w:val="007E3F38"/>
    <w:rsid w:val="007E5AA6"/>
    <w:rsid w:val="007E6ACB"/>
    <w:rsid w:val="007E770A"/>
    <w:rsid w:val="007F0050"/>
    <w:rsid w:val="0080690D"/>
    <w:rsid w:val="00813B38"/>
    <w:rsid w:val="00820782"/>
    <w:rsid w:val="008241DB"/>
    <w:rsid w:val="00831D49"/>
    <w:rsid w:val="008427B0"/>
    <w:rsid w:val="00846A98"/>
    <w:rsid w:val="008554B6"/>
    <w:rsid w:val="00861DE7"/>
    <w:rsid w:val="00881B7D"/>
    <w:rsid w:val="008C246C"/>
    <w:rsid w:val="008D2D06"/>
    <w:rsid w:val="00902959"/>
    <w:rsid w:val="009070CE"/>
    <w:rsid w:val="00916735"/>
    <w:rsid w:val="00932A73"/>
    <w:rsid w:val="0093372C"/>
    <w:rsid w:val="00935E57"/>
    <w:rsid w:val="00942E5E"/>
    <w:rsid w:val="00944B47"/>
    <w:rsid w:val="00945DEF"/>
    <w:rsid w:val="00952DD5"/>
    <w:rsid w:val="0095434D"/>
    <w:rsid w:val="0095757E"/>
    <w:rsid w:val="0096632A"/>
    <w:rsid w:val="00977B3F"/>
    <w:rsid w:val="009869CD"/>
    <w:rsid w:val="009A5243"/>
    <w:rsid w:val="009B11FA"/>
    <w:rsid w:val="009B23D8"/>
    <w:rsid w:val="009B4557"/>
    <w:rsid w:val="009B63E1"/>
    <w:rsid w:val="009C571F"/>
    <w:rsid w:val="009D1A9E"/>
    <w:rsid w:val="009D1C20"/>
    <w:rsid w:val="009E40EC"/>
    <w:rsid w:val="009F5F66"/>
    <w:rsid w:val="00A0034F"/>
    <w:rsid w:val="00A01138"/>
    <w:rsid w:val="00A048AB"/>
    <w:rsid w:val="00A04C00"/>
    <w:rsid w:val="00A1264C"/>
    <w:rsid w:val="00A20C12"/>
    <w:rsid w:val="00A254D2"/>
    <w:rsid w:val="00A374EE"/>
    <w:rsid w:val="00A42B51"/>
    <w:rsid w:val="00A46963"/>
    <w:rsid w:val="00A5263D"/>
    <w:rsid w:val="00A72D60"/>
    <w:rsid w:val="00A74877"/>
    <w:rsid w:val="00A777B5"/>
    <w:rsid w:val="00A8103B"/>
    <w:rsid w:val="00A87F18"/>
    <w:rsid w:val="00A94E60"/>
    <w:rsid w:val="00AA1AEC"/>
    <w:rsid w:val="00AA2E1B"/>
    <w:rsid w:val="00AA30E9"/>
    <w:rsid w:val="00AB0DA5"/>
    <w:rsid w:val="00AB490E"/>
    <w:rsid w:val="00AB497F"/>
    <w:rsid w:val="00AB53D2"/>
    <w:rsid w:val="00AB57E2"/>
    <w:rsid w:val="00AB7834"/>
    <w:rsid w:val="00AD0506"/>
    <w:rsid w:val="00AD0A9B"/>
    <w:rsid w:val="00AE3480"/>
    <w:rsid w:val="00AE64C8"/>
    <w:rsid w:val="00AF251C"/>
    <w:rsid w:val="00B04B8D"/>
    <w:rsid w:val="00B11048"/>
    <w:rsid w:val="00B14362"/>
    <w:rsid w:val="00B23FFC"/>
    <w:rsid w:val="00B45149"/>
    <w:rsid w:val="00B61CDD"/>
    <w:rsid w:val="00B673F3"/>
    <w:rsid w:val="00B70C18"/>
    <w:rsid w:val="00B75824"/>
    <w:rsid w:val="00B8374F"/>
    <w:rsid w:val="00BB79A9"/>
    <w:rsid w:val="00BC7E75"/>
    <w:rsid w:val="00BD08AE"/>
    <w:rsid w:val="00BD600D"/>
    <w:rsid w:val="00BE4A72"/>
    <w:rsid w:val="00BE5119"/>
    <w:rsid w:val="00C07570"/>
    <w:rsid w:val="00C07BA1"/>
    <w:rsid w:val="00C12EFD"/>
    <w:rsid w:val="00C3034E"/>
    <w:rsid w:val="00C359BE"/>
    <w:rsid w:val="00C3654A"/>
    <w:rsid w:val="00C404A8"/>
    <w:rsid w:val="00C45DCB"/>
    <w:rsid w:val="00C46EDA"/>
    <w:rsid w:val="00C55BE6"/>
    <w:rsid w:val="00C74A51"/>
    <w:rsid w:val="00C76DC9"/>
    <w:rsid w:val="00C77F29"/>
    <w:rsid w:val="00C81C8C"/>
    <w:rsid w:val="00C90506"/>
    <w:rsid w:val="00CA0D15"/>
    <w:rsid w:val="00CA2448"/>
    <w:rsid w:val="00CA358F"/>
    <w:rsid w:val="00CA73D1"/>
    <w:rsid w:val="00CB5738"/>
    <w:rsid w:val="00CC0368"/>
    <w:rsid w:val="00CD0FDC"/>
    <w:rsid w:val="00CE1EAB"/>
    <w:rsid w:val="00CE70DC"/>
    <w:rsid w:val="00CE79A3"/>
    <w:rsid w:val="00CF047C"/>
    <w:rsid w:val="00CF197F"/>
    <w:rsid w:val="00CF55DF"/>
    <w:rsid w:val="00D0471D"/>
    <w:rsid w:val="00D064EE"/>
    <w:rsid w:val="00D146D4"/>
    <w:rsid w:val="00D244B2"/>
    <w:rsid w:val="00D31A74"/>
    <w:rsid w:val="00D47C63"/>
    <w:rsid w:val="00D53F6A"/>
    <w:rsid w:val="00D5472C"/>
    <w:rsid w:val="00D55A7A"/>
    <w:rsid w:val="00D62E64"/>
    <w:rsid w:val="00D67450"/>
    <w:rsid w:val="00D77B80"/>
    <w:rsid w:val="00DA41A4"/>
    <w:rsid w:val="00DC06D2"/>
    <w:rsid w:val="00DC7B54"/>
    <w:rsid w:val="00DD5A6B"/>
    <w:rsid w:val="00E01C4C"/>
    <w:rsid w:val="00E23673"/>
    <w:rsid w:val="00E23926"/>
    <w:rsid w:val="00E349DA"/>
    <w:rsid w:val="00E42E96"/>
    <w:rsid w:val="00E43A98"/>
    <w:rsid w:val="00E465EC"/>
    <w:rsid w:val="00E47C41"/>
    <w:rsid w:val="00E62236"/>
    <w:rsid w:val="00E67B87"/>
    <w:rsid w:val="00E70A5C"/>
    <w:rsid w:val="00E73061"/>
    <w:rsid w:val="00E83E92"/>
    <w:rsid w:val="00EA4C08"/>
    <w:rsid w:val="00EB13A7"/>
    <w:rsid w:val="00EB2540"/>
    <w:rsid w:val="00EB25D8"/>
    <w:rsid w:val="00EC246D"/>
    <w:rsid w:val="00EC75EB"/>
    <w:rsid w:val="00EC7D0E"/>
    <w:rsid w:val="00ED73CC"/>
    <w:rsid w:val="00ED77B9"/>
    <w:rsid w:val="00EE3CF3"/>
    <w:rsid w:val="00F3099A"/>
    <w:rsid w:val="00F41A9B"/>
    <w:rsid w:val="00F51C5E"/>
    <w:rsid w:val="00F5640A"/>
    <w:rsid w:val="00F63D91"/>
    <w:rsid w:val="00F66053"/>
    <w:rsid w:val="00F7094C"/>
    <w:rsid w:val="00F75EE4"/>
    <w:rsid w:val="00FA0E37"/>
    <w:rsid w:val="00FA2FC1"/>
    <w:rsid w:val="00FB5B4F"/>
    <w:rsid w:val="00FC2644"/>
    <w:rsid w:val="00FC304C"/>
    <w:rsid w:val="00FC66EE"/>
    <w:rsid w:val="00FC7B5D"/>
    <w:rsid w:val="00FD48E7"/>
    <w:rsid w:val="00FE0D00"/>
    <w:rsid w:val="00FE2144"/>
    <w:rsid w:val="00FE5D97"/>
    <w:rsid w:val="00FF545B"/>
    <w:rsid w:val="00FF5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3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1704"/>
  </w:style>
  <w:style w:type="paragraph" w:styleId="Heading1">
    <w:name w:val="heading 1"/>
    <w:basedOn w:val="Normal"/>
    <w:next w:val="Normal"/>
    <w:qFormat/>
    <w:rsid w:val="00361704"/>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61704"/>
    <w:pPr>
      <w:ind w:left="360"/>
    </w:pPr>
    <w:rPr>
      <w:sz w:val="24"/>
    </w:rPr>
  </w:style>
  <w:style w:type="paragraph" w:styleId="Header">
    <w:name w:val="header"/>
    <w:basedOn w:val="Normal"/>
    <w:rsid w:val="00361704"/>
    <w:pPr>
      <w:tabs>
        <w:tab w:val="center" w:pos="4320"/>
        <w:tab w:val="right" w:pos="8640"/>
      </w:tabs>
    </w:pPr>
  </w:style>
  <w:style w:type="paragraph" w:styleId="Footer">
    <w:name w:val="footer"/>
    <w:basedOn w:val="Normal"/>
    <w:link w:val="FooterChar"/>
    <w:uiPriority w:val="99"/>
    <w:rsid w:val="00361704"/>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paragraph" w:styleId="FootnoteText">
    <w:name w:val="footnote text"/>
    <w:aliases w:val="Footnote Text1 Char,Footnote Text Char Ch Char Char Char,Footnote Text Char Ch Char Char,Footnote Text1 Char Char Char,Footnote Text Char Ch Char,Footnote Text Char Ch"/>
    <w:basedOn w:val="Normal"/>
    <w:link w:val="FootnoteTextChar"/>
    <w:rsid w:val="00026B9B"/>
  </w:style>
  <w:style w:type="character" w:customStyle="1" w:styleId="FootnoteTextChar">
    <w:name w:val="Footnote Text Char"/>
    <w:aliases w:val="Footnote Text1 Char Char,Footnote Text Char Ch Char Char Char Char,Footnote Text Char Ch Char Char Char1,Footnote Text1 Char Char Char Char,Footnote Text Char Ch Char Char1,Footnote Text Char Ch Char1"/>
    <w:basedOn w:val="DefaultParagraphFont"/>
    <w:link w:val="FootnoteText"/>
    <w:rsid w:val="00026B9B"/>
  </w:style>
  <w:style w:type="character" w:styleId="FootnoteReference">
    <w:name w:val="footnote reference"/>
    <w:aliases w:val="o,fr"/>
    <w:basedOn w:val="DefaultParagraphFont"/>
    <w:rsid w:val="00026B9B"/>
    <w:rPr>
      <w:vertAlign w:val="superscript"/>
    </w:rPr>
  </w:style>
  <w:style w:type="character" w:styleId="Hyperlink">
    <w:name w:val="Hyperlink"/>
    <w:basedOn w:val="DefaultParagraphFont"/>
    <w:rsid w:val="00A20C12"/>
    <w:rPr>
      <w:color w:val="0000FF"/>
      <w:u w:val="single"/>
    </w:rPr>
  </w:style>
  <w:style w:type="character" w:customStyle="1" w:styleId="FooterChar">
    <w:name w:val="Footer Char"/>
    <w:basedOn w:val="DefaultParagraphFont"/>
    <w:link w:val="Footer"/>
    <w:uiPriority w:val="99"/>
    <w:rsid w:val="00AD0A9B"/>
  </w:style>
  <w:style w:type="paragraph" w:styleId="ListParagraph">
    <w:name w:val="List Paragraph"/>
    <w:basedOn w:val="Normal"/>
    <w:uiPriority w:val="34"/>
    <w:qFormat/>
    <w:rsid w:val="00C46EDA"/>
    <w:pPr>
      <w:ind w:left="720"/>
      <w:contextualSpacing/>
    </w:pPr>
  </w:style>
  <w:style w:type="character" w:styleId="FollowedHyperlink">
    <w:name w:val="FollowedHyperlink"/>
    <w:basedOn w:val="DefaultParagraphFont"/>
    <w:rsid w:val="00121CB7"/>
    <w:rPr>
      <w:color w:val="800080" w:themeColor="followedHyperlink"/>
      <w:u w:val="single"/>
    </w:rPr>
  </w:style>
  <w:style w:type="character" w:styleId="CommentReference">
    <w:name w:val="annotation reference"/>
    <w:basedOn w:val="DefaultParagraphFont"/>
    <w:rsid w:val="00710DBE"/>
    <w:rPr>
      <w:sz w:val="16"/>
      <w:szCs w:val="16"/>
    </w:rPr>
  </w:style>
  <w:style w:type="paragraph" w:styleId="CommentText">
    <w:name w:val="annotation text"/>
    <w:basedOn w:val="Normal"/>
    <w:link w:val="CommentTextChar"/>
    <w:rsid w:val="00710DBE"/>
  </w:style>
  <w:style w:type="character" w:customStyle="1" w:styleId="CommentTextChar">
    <w:name w:val="Comment Text Char"/>
    <w:basedOn w:val="DefaultParagraphFont"/>
    <w:link w:val="CommentText"/>
    <w:rsid w:val="00710DBE"/>
  </w:style>
  <w:style w:type="paragraph" w:styleId="CommentSubject">
    <w:name w:val="annotation subject"/>
    <w:basedOn w:val="CommentText"/>
    <w:next w:val="CommentText"/>
    <w:link w:val="CommentSubjectChar"/>
    <w:rsid w:val="00944B47"/>
    <w:rPr>
      <w:b/>
      <w:bCs/>
    </w:rPr>
  </w:style>
  <w:style w:type="character" w:customStyle="1" w:styleId="CommentSubjectChar">
    <w:name w:val="Comment Subject Char"/>
    <w:basedOn w:val="CommentTextChar"/>
    <w:link w:val="CommentSubject"/>
    <w:rsid w:val="00944B47"/>
    <w:rPr>
      <w:b/>
      <w:bCs/>
    </w:rPr>
  </w:style>
  <w:style w:type="table" w:styleId="TableGrid">
    <w:name w:val="Table Grid"/>
    <w:basedOn w:val="TableNormal"/>
    <w:uiPriority w:val="39"/>
    <w:rsid w:val="00BB79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washko@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uc.pa.gov/efiling/DocTypes.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c.pa.gov/efiling/default.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uc.pa.gov/pcdocs/1484302.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C6FA3-E135-4DF3-9A6E-96FBF5FE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dc:creator>
  <cp:lastModifiedBy>Wagner, Nathan R</cp:lastModifiedBy>
  <cp:revision>8</cp:revision>
  <cp:lastPrinted>2015-11-20T12:57:00Z</cp:lastPrinted>
  <dcterms:created xsi:type="dcterms:W3CDTF">2017-02-23T15:35:00Z</dcterms:created>
  <dcterms:modified xsi:type="dcterms:W3CDTF">2017-02-24T19:33:00Z</dcterms:modified>
</cp:coreProperties>
</file>