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38"/>
      </w:tblGrid>
      <w:tr w:rsidR="00F514FB" w:rsidRPr="00F1625F" w:rsidTr="00243002">
        <w:tc>
          <w:tcPr>
            <w:tcW w:w="5148" w:type="dxa"/>
          </w:tcPr>
          <w:p w:rsidR="00F514FB" w:rsidRPr="00F1625F" w:rsidRDefault="00F514FB" w:rsidP="004D1313">
            <w:pPr>
              <w:widowControl/>
              <w:rPr>
                <w:sz w:val="26"/>
                <w:szCs w:val="26"/>
              </w:rPr>
            </w:pPr>
          </w:p>
        </w:tc>
        <w:tc>
          <w:tcPr>
            <w:tcW w:w="4338" w:type="dxa"/>
          </w:tcPr>
          <w:p w:rsidR="00F514FB" w:rsidRPr="00F1625F" w:rsidRDefault="00DD5D3F" w:rsidP="004D1313">
            <w:pPr>
              <w:widowControl/>
              <w:jc w:val="right"/>
              <w:rPr>
                <w:sz w:val="26"/>
                <w:szCs w:val="26"/>
              </w:rPr>
            </w:pPr>
            <w:r w:rsidRPr="00F1625F">
              <w:rPr>
                <w:sz w:val="26"/>
                <w:szCs w:val="26"/>
              </w:rPr>
              <w:t xml:space="preserve">Public Meeting held </w:t>
            </w:r>
            <w:r w:rsidR="00222C0C">
              <w:rPr>
                <w:sz w:val="26"/>
                <w:szCs w:val="26"/>
              </w:rPr>
              <w:t>February</w:t>
            </w:r>
            <w:r w:rsidR="00D5158B">
              <w:rPr>
                <w:sz w:val="26"/>
                <w:szCs w:val="26"/>
              </w:rPr>
              <w:t xml:space="preserve"> 9</w:t>
            </w:r>
            <w:r w:rsidR="00474677">
              <w:rPr>
                <w:sz w:val="26"/>
                <w:szCs w:val="26"/>
              </w:rPr>
              <w:t>, 201</w:t>
            </w:r>
            <w:r w:rsidR="00222C0C">
              <w:rPr>
                <w:sz w:val="26"/>
                <w:szCs w:val="26"/>
              </w:rPr>
              <w:t>7</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222C0C" w:rsidRPr="00C55F9E" w:rsidRDefault="00222C0C" w:rsidP="00222C0C">
            <w:pPr>
              <w:widowControl/>
              <w:tabs>
                <w:tab w:val="left" w:pos="705"/>
              </w:tabs>
              <w:ind w:firstLine="720"/>
              <w:contextualSpacing/>
              <w:rPr>
                <w:sz w:val="26"/>
                <w:szCs w:val="26"/>
              </w:rPr>
            </w:pPr>
            <w:r w:rsidRPr="00C55F9E">
              <w:rPr>
                <w:sz w:val="26"/>
                <w:szCs w:val="26"/>
              </w:rPr>
              <w:t>Gladys M. Brown, Chairman</w:t>
            </w:r>
          </w:p>
          <w:p w:rsidR="00222C0C" w:rsidRPr="00C55F9E" w:rsidRDefault="00222C0C" w:rsidP="00222C0C">
            <w:pPr>
              <w:widowControl/>
              <w:tabs>
                <w:tab w:val="left" w:pos="705"/>
              </w:tabs>
              <w:ind w:firstLine="720"/>
              <w:contextualSpacing/>
              <w:rPr>
                <w:sz w:val="26"/>
                <w:szCs w:val="26"/>
              </w:rPr>
            </w:pPr>
            <w:r w:rsidRPr="00C55F9E">
              <w:rPr>
                <w:sz w:val="26"/>
                <w:szCs w:val="26"/>
              </w:rPr>
              <w:t>Andrew G. Place, Vice Chairman</w:t>
            </w:r>
          </w:p>
          <w:p w:rsidR="00222C0C" w:rsidRPr="00C55F9E" w:rsidRDefault="00222C0C" w:rsidP="00222C0C">
            <w:pPr>
              <w:widowControl/>
              <w:tabs>
                <w:tab w:val="left" w:pos="705"/>
              </w:tabs>
              <w:ind w:firstLine="720"/>
              <w:contextualSpacing/>
              <w:rPr>
                <w:sz w:val="26"/>
                <w:szCs w:val="26"/>
              </w:rPr>
            </w:pPr>
            <w:r w:rsidRPr="00C55F9E">
              <w:rPr>
                <w:sz w:val="26"/>
                <w:szCs w:val="26"/>
              </w:rPr>
              <w:t>John F. Coleman, Jr.</w:t>
            </w:r>
          </w:p>
          <w:p w:rsidR="00222C0C" w:rsidRPr="00C55F9E" w:rsidRDefault="00222C0C" w:rsidP="00222C0C">
            <w:pPr>
              <w:widowControl/>
              <w:tabs>
                <w:tab w:val="left" w:pos="705"/>
              </w:tabs>
              <w:ind w:firstLine="720"/>
              <w:contextualSpacing/>
              <w:rPr>
                <w:sz w:val="26"/>
                <w:szCs w:val="26"/>
              </w:rPr>
            </w:pPr>
            <w:r w:rsidRPr="00C55F9E">
              <w:rPr>
                <w:sz w:val="26"/>
                <w:szCs w:val="26"/>
              </w:rPr>
              <w:t>Robert F. Powelson</w:t>
            </w:r>
          </w:p>
          <w:p w:rsidR="00222C0C" w:rsidRPr="00C55F9E" w:rsidRDefault="00222C0C" w:rsidP="00222C0C">
            <w:pPr>
              <w:widowControl/>
              <w:tabs>
                <w:tab w:val="left" w:pos="705"/>
              </w:tabs>
              <w:ind w:firstLine="720"/>
              <w:contextualSpacing/>
              <w:rPr>
                <w:sz w:val="26"/>
                <w:szCs w:val="26"/>
              </w:rPr>
            </w:pPr>
            <w:r w:rsidRPr="00C55F9E">
              <w:rPr>
                <w:sz w:val="26"/>
                <w:szCs w:val="26"/>
              </w:rPr>
              <w:t>David W. Sweet</w:t>
            </w:r>
          </w:p>
          <w:p w:rsidR="00222C0C" w:rsidRPr="00C55F9E" w:rsidRDefault="00222C0C" w:rsidP="00222C0C">
            <w:pPr>
              <w:widowControl/>
              <w:tabs>
                <w:tab w:val="left" w:pos="705"/>
              </w:tabs>
              <w:ind w:left="720"/>
              <w:contextualSpacing/>
              <w:rPr>
                <w:sz w:val="26"/>
                <w:szCs w:val="26"/>
              </w:rPr>
            </w:pPr>
          </w:p>
          <w:p w:rsidR="00F514FB" w:rsidRPr="00F1625F" w:rsidRDefault="00F514FB" w:rsidP="004D1313">
            <w:pPr>
              <w:widowControl/>
              <w:rPr>
                <w:sz w:val="26"/>
                <w:szCs w:val="26"/>
              </w:rPr>
            </w:pPr>
          </w:p>
        </w:tc>
        <w:tc>
          <w:tcPr>
            <w:tcW w:w="433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915E6E" w:rsidP="004D1313">
            <w:pPr>
              <w:widowControl/>
              <w:rPr>
                <w:sz w:val="26"/>
                <w:szCs w:val="26"/>
              </w:rPr>
            </w:pPr>
            <w:r>
              <w:rPr>
                <w:sz w:val="26"/>
                <w:szCs w:val="26"/>
              </w:rPr>
              <w:t>Paul Kopanycia</w:t>
            </w:r>
          </w:p>
          <w:p w:rsidR="00F514FB" w:rsidRPr="00F1625F" w:rsidRDefault="00F514FB" w:rsidP="004D1313">
            <w:pPr>
              <w:widowControl/>
              <w:rPr>
                <w:sz w:val="26"/>
                <w:szCs w:val="26"/>
              </w:rPr>
            </w:pPr>
          </w:p>
        </w:tc>
        <w:tc>
          <w:tcPr>
            <w:tcW w:w="4338" w:type="dxa"/>
          </w:tcPr>
          <w:p w:rsidR="00F514FB" w:rsidRPr="00F1625F" w:rsidRDefault="00915E6E" w:rsidP="00915E6E">
            <w:pPr>
              <w:widowControl/>
              <w:jc w:val="right"/>
              <w:rPr>
                <w:sz w:val="26"/>
                <w:szCs w:val="26"/>
              </w:rPr>
            </w:pPr>
            <w:r>
              <w:rPr>
                <w:sz w:val="26"/>
                <w:szCs w:val="26"/>
              </w:rPr>
              <w:t xml:space="preserve"> C</w:t>
            </w:r>
            <w:r w:rsidR="00607E9D">
              <w:rPr>
                <w:sz w:val="26"/>
                <w:szCs w:val="26"/>
              </w:rPr>
              <w:t>-201</w:t>
            </w:r>
            <w:r>
              <w:rPr>
                <w:sz w:val="26"/>
                <w:szCs w:val="26"/>
              </w:rPr>
              <w:t>6</w:t>
            </w:r>
            <w:r w:rsidR="00F1625F" w:rsidRPr="00F1625F">
              <w:rPr>
                <w:sz w:val="26"/>
                <w:szCs w:val="26"/>
              </w:rPr>
              <w:t>-</w:t>
            </w:r>
            <w:r>
              <w:rPr>
                <w:sz w:val="26"/>
                <w:szCs w:val="26"/>
              </w:rPr>
              <w:t>2526619</w:t>
            </w:r>
          </w:p>
        </w:tc>
      </w:tr>
      <w:tr w:rsidR="00F514FB" w:rsidRPr="00F1625F" w:rsidTr="00243002">
        <w:tc>
          <w:tcPr>
            <w:tcW w:w="514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338" w:type="dxa"/>
          </w:tcPr>
          <w:p w:rsidR="00F514FB" w:rsidRPr="00F1625F" w:rsidRDefault="00F514FB" w:rsidP="004D1313">
            <w:pPr>
              <w:widowControl/>
              <w:rPr>
                <w:sz w:val="26"/>
                <w:szCs w:val="26"/>
              </w:rPr>
            </w:pPr>
          </w:p>
        </w:tc>
      </w:tr>
      <w:tr w:rsidR="00F514FB" w:rsidRPr="00F1625F" w:rsidTr="00243002">
        <w:tc>
          <w:tcPr>
            <w:tcW w:w="5148" w:type="dxa"/>
          </w:tcPr>
          <w:p w:rsidR="00F514FB" w:rsidRPr="00F1625F" w:rsidRDefault="00F1625F" w:rsidP="004D1313">
            <w:pPr>
              <w:widowControl/>
              <w:rPr>
                <w:sz w:val="26"/>
                <w:szCs w:val="26"/>
              </w:rPr>
            </w:pPr>
            <w:r w:rsidRPr="00F1625F">
              <w:rPr>
                <w:sz w:val="26"/>
                <w:szCs w:val="26"/>
              </w:rPr>
              <w:t>PECO Energy Company</w:t>
            </w:r>
          </w:p>
        </w:tc>
        <w:tc>
          <w:tcPr>
            <w:tcW w:w="433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961BEE"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0B1658">
        <w:rPr>
          <w:sz w:val="26"/>
        </w:rPr>
        <w:t>Paul Kopanycia</w:t>
      </w:r>
      <w:r w:rsidRPr="00DB44D9">
        <w:rPr>
          <w:sz w:val="26"/>
        </w:rPr>
        <w:t xml:space="preserve"> (Complainant</w:t>
      </w:r>
      <w:r w:rsidR="00D239F8">
        <w:rPr>
          <w:sz w:val="26"/>
        </w:rPr>
        <w:t xml:space="preserve"> or M</w:t>
      </w:r>
      <w:r w:rsidR="000B1658">
        <w:rPr>
          <w:sz w:val="26"/>
        </w:rPr>
        <w:t>r</w:t>
      </w:r>
      <w:r w:rsidR="00D239F8">
        <w:rPr>
          <w:sz w:val="26"/>
        </w:rPr>
        <w:t>. </w:t>
      </w:r>
      <w:r w:rsidR="000B1658">
        <w:rPr>
          <w:sz w:val="26"/>
        </w:rPr>
        <w:t>Kopanycia</w:t>
      </w:r>
      <w:r w:rsidR="009F5BEC">
        <w:rPr>
          <w:sz w:val="26"/>
        </w:rPr>
        <w:t>)</w:t>
      </w:r>
      <w:r w:rsidRPr="00DB44D9">
        <w:rPr>
          <w:sz w:val="26"/>
        </w:rPr>
        <w:t xml:space="preserve"> on </w:t>
      </w:r>
      <w:r w:rsidR="000B1658">
        <w:rPr>
          <w:sz w:val="26"/>
        </w:rPr>
        <w:t>June 27, 2016</w:t>
      </w:r>
      <w:r w:rsidRPr="00DB44D9">
        <w:rPr>
          <w:sz w:val="26"/>
        </w:rPr>
        <w:t>, in response to the Initial Decision (I.D.) of Adminis</w:t>
      </w:r>
      <w:r w:rsidR="0069670F" w:rsidRPr="0069670F">
        <w:rPr>
          <w:sz w:val="26"/>
        </w:rPr>
        <w:t xml:space="preserve">trative Law Judge (ALJ) </w:t>
      </w:r>
      <w:r w:rsidR="000B1658">
        <w:rPr>
          <w:sz w:val="26"/>
        </w:rPr>
        <w:t>Darlene D. Heep</w:t>
      </w:r>
      <w:r w:rsidRPr="00DB44D9">
        <w:rPr>
          <w:sz w:val="26"/>
        </w:rPr>
        <w:t xml:space="preserve"> issued on </w:t>
      </w:r>
      <w:r w:rsidR="000B1658">
        <w:rPr>
          <w:sz w:val="26"/>
        </w:rPr>
        <w:t>June 9, 2016</w:t>
      </w:r>
      <w:r w:rsidRPr="00DB44D9">
        <w:rPr>
          <w:sz w:val="26"/>
        </w:rPr>
        <w:t>.</w:t>
      </w:r>
      <w:r w:rsidR="009F5BEC">
        <w:rPr>
          <w:rStyle w:val="FootnoteReference"/>
          <w:sz w:val="26"/>
        </w:rPr>
        <w:footnoteReference w:id="1"/>
      </w:r>
      <w:r w:rsidRPr="00DB44D9">
        <w:rPr>
          <w:sz w:val="26"/>
        </w:rPr>
        <w:t xml:space="preserve">  </w:t>
      </w:r>
      <w:r w:rsidR="0069670F" w:rsidRPr="0069670F">
        <w:rPr>
          <w:sz w:val="26"/>
        </w:rPr>
        <w:t>PECO Energy Company (</w:t>
      </w:r>
      <w:r w:rsidR="002B47FE">
        <w:rPr>
          <w:sz w:val="26"/>
        </w:rPr>
        <w:t xml:space="preserve">Respondent or </w:t>
      </w:r>
      <w:r w:rsidR="0069670F" w:rsidRPr="0069670F">
        <w:rPr>
          <w:sz w:val="26"/>
        </w:rPr>
        <w:t xml:space="preserve">PECO) </w:t>
      </w:r>
      <w:r w:rsidR="002B47FE">
        <w:rPr>
          <w:sz w:val="26"/>
        </w:rPr>
        <w:t xml:space="preserve">filed Replies to Exceptions </w:t>
      </w:r>
      <w:r w:rsidR="00D93B33">
        <w:rPr>
          <w:sz w:val="26"/>
        </w:rPr>
        <w:t xml:space="preserve">on </w:t>
      </w:r>
      <w:r w:rsidR="00431AD9">
        <w:rPr>
          <w:sz w:val="26"/>
        </w:rPr>
        <w:t>July 29, 2016</w:t>
      </w:r>
      <w:r w:rsidR="0069670F" w:rsidRPr="0069670F">
        <w:rPr>
          <w:sz w:val="26"/>
        </w:rPr>
        <w:t xml:space="preserve">.  </w:t>
      </w:r>
      <w:r w:rsidR="0069670F" w:rsidRPr="0069670F">
        <w:rPr>
          <w:sz w:val="26"/>
        </w:rPr>
        <w:lastRenderedPageBreak/>
        <w:t>For the reasons stated below</w:t>
      </w:r>
      <w:r w:rsidRPr="00DB44D9">
        <w:rPr>
          <w:sz w:val="26"/>
        </w:rPr>
        <w:t xml:space="preserve">, </w:t>
      </w:r>
      <w:r w:rsidRPr="00961BEE">
        <w:rPr>
          <w:sz w:val="26"/>
        </w:rPr>
        <w:t xml:space="preserve">we will </w:t>
      </w:r>
      <w:r w:rsidR="00A40484">
        <w:rPr>
          <w:sz w:val="26"/>
        </w:rPr>
        <w:t>deny</w:t>
      </w:r>
      <w:r w:rsidR="0069670F" w:rsidRPr="00961BEE">
        <w:rPr>
          <w:sz w:val="26"/>
        </w:rPr>
        <w:t xml:space="preserve"> the Complainant’s Exceptions and</w:t>
      </w:r>
      <w:r w:rsidRPr="00961BEE">
        <w:rPr>
          <w:sz w:val="26"/>
        </w:rPr>
        <w:t xml:space="preserve"> </w:t>
      </w:r>
      <w:r w:rsidR="00A40484">
        <w:rPr>
          <w:sz w:val="26"/>
        </w:rPr>
        <w:t>adopt</w:t>
      </w:r>
      <w:r w:rsidRPr="00961BEE">
        <w:rPr>
          <w:sz w:val="26"/>
        </w:rPr>
        <w:t xml:space="preserve"> the ALJ’s Initial Decision.</w:t>
      </w:r>
    </w:p>
    <w:p w:rsidR="00DB44D9" w:rsidRPr="00DB44D9" w:rsidRDefault="00DB44D9" w:rsidP="00DB44D9">
      <w:pPr>
        <w:widowControl/>
        <w:tabs>
          <w:tab w:val="left" w:pos="-720"/>
        </w:tabs>
        <w:suppressAutoHyphens/>
        <w:spacing w:line="360" w:lineRule="auto"/>
        <w:rPr>
          <w:sz w:val="26"/>
        </w:rPr>
      </w:pPr>
    </w:p>
    <w:p w:rsidR="00DB44D9"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3C2000" w:rsidRPr="00B144AB" w:rsidRDefault="003C2000" w:rsidP="00DB44D9">
      <w:pPr>
        <w:keepNext/>
        <w:widowControl/>
        <w:tabs>
          <w:tab w:val="left" w:pos="-720"/>
        </w:tabs>
        <w:suppressAutoHyphens/>
        <w:spacing w:line="360" w:lineRule="auto"/>
        <w:jc w:val="center"/>
        <w:rPr>
          <w:b/>
          <w:sz w:val="26"/>
        </w:rPr>
      </w:pPr>
    </w:p>
    <w:p w:rsidR="003C2000" w:rsidRPr="003C2000" w:rsidRDefault="003C2000" w:rsidP="003C2000">
      <w:pPr>
        <w:tabs>
          <w:tab w:val="left" w:pos="-1440"/>
          <w:tab w:val="left" w:pos="-720"/>
        </w:tabs>
        <w:suppressAutoHyphens/>
        <w:spacing w:line="360" w:lineRule="auto"/>
        <w:ind w:firstLine="1440"/>
        <w:rPr>
          <w:spacing w:val="-3"/>
          <w:sz w:val="26"/>
        </w:rPr>
      </w:pPr>
      <w:r w:rsidRPr="003C2000">
        <w:rPr>
          <w:sz w:val="26"/>
        </w:rPr>
        <w:t xml:space="preserve">On </w:t>
      </w:r>
      <w:r w:rsidRPr="003C2000">
        <w:rPr>
          <w:spacing w:val="-3"/>
          <w:sz w:val="26"/>
        </w:rPr>
        <w:t xml:space="preserve">January 28, 2016, </w:t>
      </w:r>
      <w:r w:rsidR="00D84A39">
        <w:rPr>
          <w:spacing w:val="-3"/>
          <w:sz w:val="26"/>
        </w:rPr>
        <w:t xml:space="preserve">the </w:t>
      </w:r>
      <w:r w:rsidRPr="003C2000">
        <w:rPr>
          <w:sz w:val="26"/>
        </w:rPr>
        <w:t xml:space="preserve">Complainant filed a </w:t>
      </w:r>
      <w:r w:rsidR="00D84A39">
        <w:rPr>
          <w:sz w:val="26"/>
        </w:rPr>
        <w:t>F</w:t>
      </w:r>
      <w:r w:rsidRPr="003C2000">
        <w:rPr>
          <w:sz w:val="26"/>
        </w:rPr>
        <w:t xml:space="preserve">ormal Complaint (Complaint) against </w:t>
      </w:r>
      <w:r w:rsidRPr="003C2000">
        <w:rPr>
          <w:spacing w:val="-3"/>
          <w:sz w:val="26"/>
        </w:rPr>
        <w:t>PECO</w:t>
      </w:r>
      <w:r w:rsidR="008E34C3">
        <w:rPr>
          <w:spacing w:val="-3"/>
          <w:sz w:val="26"/>
        </w:rPr>
        <w:t xml:space="preserve">.  </w:t>
      </w:r>
      <w:r w:rsidR="008E34C3" w:rsidRPr="008E34C3">
        <w:rPr>
          <w:color w:val="000000" w:themeColor="text1"/>
          <w:sz w:val="26"/>
          <w:szCs w:val="24"/>
        </w:rPr>
        <w:t>The Complainant alleged that PECO had threatened to terminate service over an unpaid balance and requested a payment arrangement</w:t>
      </w:r>
      <w:r w:rsidR="008E34C3">
        <w:rPr>
          <w:color w:val="000000" w:themeColor="text1"/>
          <w:sz w:val="26"/>
          <w:szCs w:val="24"/>
        </w:rPr>
        <w:t>,</w:t>
      </w:r>
      <w:r w:rsidR="008E34C3" w:rsidRPr="008E34C3">
        <w:rPr>
          <w:color w:val="000000" w:themeColor="text1"/>
          <w:sz w:val="26"/>
          <w:szCs w:val="24"/>
        </w:rPr>
        <w:t xml:space="preserve"> as well as review of the amount of the arrearage, eligibility for medical certificates, and a review of a prior complaint which had not been adjudicated.</w:t>
      </w:r>
      <w:r w:rsidR="00D84A39">
        <w:rPr>
          <w:spacing w:val="-3"/>
          <w:sz w:val="26"/>
        </w:rPr>
        <w:t xml:space="preserve">  </w:t>
      </w:r>
    </w:p>
    <w:p w:rsidR="003C2000" w:rsidRPr="003C2000" w:rsidRDefault="003C2000" w:rsidP="003C2000">
      <w:pPr>
        <w:tabs>
          <w:tab w:val="left" w:pos="-1440"/>
          <w:tab w:val="left" w:pos="-720"/>
        </w:tabs>
        <w:suppressAutoHyphens/>
        <w:spacing w:line="360" w:lineRule="auto"/>
        <w:ind w:firstLine="1440"/>
        <w:rPr>
          <w:spacing w:val="-3"/>
          <w:sz w:val="26"/>
        </w:rPr>
      </w:pPr>
    </w:p>
    <w:p w:rsidR="003C2000" w:rsidRPr="003C2000" w:rsidRDefault="003C2000" w:rsidP="003C2000">
      <w:pPr>
        <w:tabs>
          <w:tab w:val="left" w:pos="-1440"/>
          <w:tab w:val="left" w:pos="-720"/>
        </w:tabs>
        <w:suppressAutoHyphens/>
        <w:spacing w:line="360" w:lineRule="auto"/>
        <w:ind w:firstLine="1440"/>
        <w:rPr>
          <w:spacing w:val="-3"/>
          <w:sz w:val="26"/>
        </w:rPr>
      </w:pPr>
      <w:r w:rsidRPr="003C2000">
        <w:rPr>
          <w:spacing w:val="-3"/>
          <w:sz w:val="26"/>
        </w:rPr>
        <w:t>On February 1</w:t>
      </w:r>
      <w:r w:rsidR="00D84A39">
        <w:rPr>
          <w:spacing w:val="-3"/>
          <w:sz w:val="26"/>
        </w:rPr>
        <w:t>6</w:t>
      </w:r>
      <w:r w:rsidRPr="003C2000">
        <w:rPr>
          <w:spacing w:val="-3"/>
          <w:sz w:val="26"/>
        </w:rPr>
        <w:t xml:space="preserve">, 2016, </w:t>
      </w:r>
      <w:r w:rsidR="00D84A39">
        <w:rPr>
          <w:spacing w:val="-3"/>
          <w:sz w:val="26"/>
        </w:rPr>
        <w:t>PECO</w:t>
      </w:r>
      <w:r w:rsidRPr="003C2000">
        <w:rPr>
          <w:spacing w:val="-3"/>
          <w:sz w:val="26"/>
        </w:rPr>
        <w:t xml:space="preserve"> filed </w:t>
      </w:r>
      <w:r w:rsidR="00961BEE">
        <w:rPr>
          <w:spacing w:val="-3"/>
          <w:sz w:val="26"/>
        </w:rPr>
        <w:t>an</w:t>
      </w:r>
      <w:r w:rsidRPr="003C2000">
        <w:rPr>
          <w:spacing w:val="-3"/>
          <w:sz w:val="26"/>
        </w:rPr>
        <w:t xml:space="preserve"> Answer, denying the material averments of the Complaint and contending that </w:t>
      </w:r>
      <w:r w:rsidR="00D84A39">
        <w:rPr>
          <w:spacing w:val="-3"/>
          <w:sz w:val="26"/>
        </w:rPr>
        <w:t>the Complainant</w:t>
      </w:r>
      <w:r w:rsidRPr="003C2000">
        <w:rPr>
          <w:spacing w:val="-3"/>
          <w:sz w:val="26"/>
        </w:rPr>
        <w:t xml:space="preserve"> </w:t>
      </w:r>
      <w:r w:rsidR="00961BEE">
        <w:rPr>
          <w:spacing w:val="-3"/>
          <w:sz w:val="26"/>
        </w:rPr>
        <w:t>was</w:t>
      </w:r>
      <w:r w:rsidRPr="003C2000">
        <w:rPr>
          <w:spacing w:val="-3"/>
          <w:sz w:val="26"/>
        </w:rPr>
        <w:t xml:space="preserve"> not entitled to a payment arrangement</w:t>
      </w:r>
      <w:r w:rsidR="00D84A39">
        <w:rPr>
          <w:spacing w:val="-3"/>
          <w:sz w:val="26"/>
        </w:rPr>
        <w:t xml:space="preserve"> because he ha</w:t>
      </w:r>
      <w:r w:rsidR="0089711A">
        <w:rPr>
          <w:spacing w:val="-3"/>
          <w:sz w:val="26"/>
        </w:rPr>
        <w:t>d</w:t>
      </w:r>
      <w:r w:rsidR="00D84A39">
        <w:rPr>
          <w:spacing w:val="-3"/>
          <w:sz w:val="26"/>
        </w:rPr>
        <w:t xml:space="preserve"> defaulted on a prior Commission-issued payment arrangement </w:t>
      </w:r>
      <w:r w:rsidR="00942187">
        <w:rPr>
          <w:spacing w:val="-3"/>
          <w:sz w:val="26"/>
        </w:rPr>
        <w:t>and ha</w:t>
      </w:r>
      <w:r w:rsidR="0089711A">
        <w:rPr>
          <w:spacing w:val="-3"/>
          <w:sz w:val="26"/>
        </w:rPr>
        <w:t>d</w:t>
      </w:r>
      <w:r w:rsidR="00942187">
        <w:rPr>
          <w:spacing w:val="-3"/>
          <w:sz w:val="26"/>
        </w:rPr>
        <w:t xml:space="preserve"> not demonstrated a significant change in income</w:t>
      </w:r>
      <w:r w:rsidRPr="003C2000">
        <w:rPr>
          <w:spacing w:val="-3"/>
          <w:sz w:val="26"/>
        </w:rPr>
        <w:t>.</w:t>
      </w:r>
    </w:p>
    <w:p w:rsidR="003C2000" w:rsidRPr="003C2000" w:rsidRDefault="003C2000" w:rsidP="003C2000">
      <w:pPr>
        <w:pStyle w:val="ParaTab1"/>
        <w:spacing w:line="360" w:lineRule="auto"/>
        <w:ind w:firstLine="1354"/>
        <w:rPr>
          <w:rFonts w:ascii="Times New Roman" w:hAnsi="Times New Roman" w:cs="Times New Roman"/>
          <w:sz w:val="26"/>
        </w:rPr>
      </w:pPr>
    </w:p>
    <w:p w:rsidR="003C2000" w:rsidRPr="005A2588" w:rsidRDefault="003C2000" w:rsidP="003C2000">
      <w:pPr>
        <w:pStyle w:val="ParaTab1"/>
        <w:spacing w:line="360" w:lineRule="auto"/>
        <w:ind w:firstLine="1354"/>
        <w:rPr>
          <w:rFonts w:ascii="Times New Roman" w:hAnsi="Times New Roman" w:cs="Times New Roman"/>
          <w:sz w:val="26"/>
        </w:rPr>
      </w:pPr>
      <w:r w:rsidRPr="003C2000">
        <w:rPr>
          <w:rFonts w:ascii="Times New Roman" w:hAnsi="Times New Roman" w:cs="Times New Roman"/>
          <w:sz w:val="26"/>
        </w:rPr>
        <w:t xml:space="preserve">By </w:t>
      </w:r>
      <w:r w:rsidR="00942187">
        <w:rPr>
          <w:rFonts w:ascii="Times New Roman" w:hAnsi="Times New Roman" w:cs="Times New Roman"/>
          <w:sz w:val="26"/>
        </w:rPr>
        <w:t xml:space="preserve">Hearing Notice </w:t>
      </w:r>
      <w:r w:rsidRPr="003C2000">
        <w:rPr>
          <w:rFonts w:ascii="Times New Roman" w:hAnsi="Times New Roman" w:cs="Times New Roman"/>
          <w:sz w:val="26"/>
        </w:rPr>
        <w:t xml:space="preserve">dated </w:t>
      </w:r>
      <w:r w:rsidRPr="003C2000">
        <w:rPr>
          <w:rFonts w:ascii="Times New Roman" w:hAnsi="Times New Roman" w:cs="Times New Roman"/>
          <w:spacing w:val="-3"/>
          <w:sz w:val="26"/>
        </w:rPr>
        <w:t>February 23, 2016</w:t>
      </w:r>
      <w:r w:rsidRPr="003C2000">
        <w:rPr>
          <w:rFonts w:ascii="Times New Roman" w:hAnsi="Times New Roman" w:cs="Times New Roman"/>
          <w:sz w:val="26"/>
        </w:rPr>
        <w:t xml:space="preserve">, an Initial Hearing </w:t>
      </w:r>
      <w:r w:rsidR="00942187">
        <w:rPr>
          <w:rFonts w:ascii="Times New Roman" w:hAnsi="Times New Roman" w:cs="Times New Roman"/>
          <w:sz w:val="26"/>
        </w:rPr>
        <w:t xml:space="preserve">was scheduled </w:t>
      </w:r>
      <w:r w:rsidRPr="003C2000">
        <w:rPr>
          <w:rFonts w:ascii="Times New Roman" w:hAnsi="Times New Roman" w:cs="Times New Roman"/>
          <w:sz w:val="26"/>
        </w:rPr>
        <w:t xml:space="preserve">on </w:t>
      </w:r>
      <w:r w:rsidRPr="003C2000">
        <w:rPr>
          <w:rFonts w:ascii="Times New Roman" w:hAnsi="Times New Roman" w:cs="Times New Roman"/>
          <w:spacing w:val="-3"/>
          <w:sz w:val="26"/>
        </w:rPr>
        <w:t>March 31, 2016.</w:t>
      </w:r>
      <w:r w:rsidRPr="003C2000">
        <w:rPr>
          <w:rFonts w:ascii="Times New Roman" w:hAnsi="Times New Roman" w:cs="Times New Roman"/>
          <w:sz w:val="26"/>
        </w:rPr>
        <w:t xml:space="preserve">  The Hearing Notice, including the date, location</w:t>
      </w:r>
      <w:r w:rsidR="00961BEE">
        <w:rPr>
          <w:rFonts w:ascii="Times New Roman" w:hAnsi="Times New Roman" w:cs="Times New Roman"/>
          <w:sz w:val="26"/>
        </w:rPr>
        <w:t>,</w:t>
      </w:r>
      <w:r w:rsidRPr="003C2000">
        <w:rPr>
          <w:rFonts w:ascii="Times New Roman" w:hAnsi="Times New Roman" w:cs="Times New Roman"/>
          <w:sz w:val="26"/>
        </w:rPr>
        <w:t xml:space="preserve"> and time of the hearing, was mailed to </w:t>
      </w:r>
      <w:r w:rsidR="00942187">
        <w:rPr>
          <w:rFonts w:ascii="Times New Roman" w:hAnsi="Times New Roman" w:cs="Times New Roman"/>
          <w:sz w:val="26"/>
        </w:rPr>
        <w:t>the Parties</w:t>
      </w:r>
      <w:r w:rsidRPr="003C2000">
        <w:rPr>
          <w:rFonts w:ascii="Times New Roman" w:hAnsi="Times New Roman" w:cs="Times New Roman"/>
          <w:sz w:val="26"/>
        </w:rPr>
        <w:t>.</w:t>
      </w:r>
      <w:r w:rsidR="005A2588">
        <w:rPr>
          <w:rFonts w:ascii="Times New Roman" w:hAnsi="Times New Roman" w:cs="Times New Roman"/>
          <w:sz w:val="26"/>
        </w:rPr>
        <w:t xml:space="preserve">  </w:t>
      </w:r>
      <w:r w:rsidR="005A2588" w:rsidRPr="005A2588">
        <w:rPr>
          <w:rFonts w:ascii="Times New Roman" w:hAnsi="Times New Roman"/>
          <w:sz w:val="26"/>
        </w:rPr>
        <w:t xml:space="preserve">The Hearing Notice also informed the Complainant </w:t>
      </w:r>
      <w:r w:rsidR="005A2588">
        <w:rPr>
          <w:rFonts w:ascii="Times New Roman" w:hAnsi="Times New Roman"/>
          <w:sz w:val="26"/>
        </w:rPr>
        <w:t xml:space="preserve">that </w:t>
      </w:r>
      <w:r w:rsidR="005A2588" w:rsidRPr="005A2588">
        <w:rPr>
          <w:rFonts w:ascii="Times New Roman" w:hAnsi="Times New Roman"/>
          <w:sz w:val="26"/>
        </w:rPr>
        <w:t xml:space="preserve">the case would be dismissed if the Complainant did not appear at the scheduled hearing and that any requests to change the hearing date must be submitted five days in advance of the hearing date. </w:t>
      </w:r>
      <w:r w:rsidR="005A2588" w:rsidRPr="005A2588">
        <w:rPr>
          <w:rFonts w:ascii="Times New Roman" w:hAnsi="Times New Roman" w:cs="Times New Roman"/>
          <w:sz w:val="26"/>
        </w:rPr>
        <w:t xml:space="preserve"> </w:t>
      </w:r>
      <w:r w:rsidRPr="005A2588">
        <w:rPr>
          <w:rFonts w:ascii="Times New Roman" w:hAnsi="Times New Roman" w:cs="Times New Roman"/>
          <w:sz w:val="26"/>
        </w:rPr>
        <w:t xml:space="preserve"> </w:t>
      </w:r>
    </w:p>
    <w:p w:rsidR="003C2000" w:rsidRPr="003C2000" w:rsidRDefault="003C2000" w:rsidP="003C2000">
      <w:pPr>
        <w:pStyle w:val="ParaTab1"/>
        <w:spacing w:line="360" w:lineRule="auto"/>
        <w:ind w:firstLine="1354"/>
        <w:rPr>
          <w:rFonts w:ascii="Times New Roman" w:hAnsi="Times New Roman" w:cs="Times New Roman"/>
          <w:sz w:val="26"/>
        </w:rPr>
      </w:pPr>
    </w:p>
    <w:p w:rsidR="003C2000" w:rsidRPr="003C2000" w:rsidRDefault="00942187" w:rsidP="003C2000">
      <w:pPr>
        <w:pStyle w:val="ParaTab1"/>
        <w:spacing w:line="360" w:lineRule="auto"/>
        <w:rPr>
          <w:rFonts w:ascii="Times New Roman" w:hAnsi="Times New Roman" w:cs="Times New Roman"/>
          <w:sz w:val="26"/>
        </w:rPr>
      </w:pPr>
      <w:r>
        <w:rPr>
          <w:rFonts w:ascii="Times New Roman" w:hAnsi="Times New Roman" w:cs="Times New Roman"/>
          <w:sz w:val="26"/>
        </w:rPr>
        <w:t xml:space="preserve">The ALJ issued to the Parties a </w:t>
      </w:r>
      <w:r w:rsidR="003C2000" w:rsidRPr="003C2000">
        <w:rPr>
          <w:rFonts w:ascii="Times New Roman" w:hAnsi="Times New Roman" w:cs="Times New Roman"/>
          <w:sz w:val="26"/>
        </w:rPr>
        <w:t>Prehearing Order</w:t>
      </w:r>
      <w:r>
        <w:rPr>
          <w:rFonts w:ascii="Times New Roman" w:hAnsi="Times New Roman" w:cs="Times New Roman"/>
          <w:sz w:val="26"/>
        </w:rPr>
        <w:t xml:space="preserve"> dated February 24, 2016</w:t>
      </w:r>
      <w:r w:rsidR="003C2000" w:rsidRPr="003C2000">
        <w:rPr>
          <w:rFonts w:ascii="Times New Roman" w:hAnsi="Times New Roman" w:cs="Times New Roman"/>
          <w:sz w:val="26"/>
        </w:rPr>
        <w:t xml:space="preserve">, </w:t>
      </w:r>
      <w:r>
        <w:rPr>
          <w:rFonts w:ascii="Times New Roman" w:hAnsi="Times New Roman" w:cs="Times New Roman"/>
          <w:sz w:val="26"/>
        </w:rPr>
        <w:t xml:space="preserve">which </w:t>
      </w:r>
      <w:r w:rsidR="003C2000" w:rsidRPr="003C2000">
        <w:rPr>
          <w:rFonts w:ascii="Times New Roman" w:hAnsi="Times New Roman" w:cs="Times New Roman"/>
          <w:sz w:val="26"/>
        </w:rPr>
        <w:t>also contain</w:t>
      </w:r>
      <w:r>
        <w:rPr>
          <w:rFonts w:ascii="Times New Roman" w:hAnsi="Times New Roman" w:cs="Times New Roman"/>
          <w:sz w:val="26"/>
        </w:rPr>
        <w:t>ed</w:t>
      </w:r>
      <w:r w:rsidR="003C2000" w:rsidRPr="003C2000">
        <w:rPr>
          <w:rFonts w:ascii="Times New Roman" w:hAnsi="Times New Roman" w:cs="Times New Roman"/>
          <w:sz w:val="26"/>
        </w:rPr>
        <w:t xml:space="preserve"> the date, time</w:t>
      </w:r>
      <w:r>
        <w:rPr>
          <w:rFonts w:ascii="Times New Roman" w:hAnsi="Times New Roman" w:cs="Times New Roman"/>
          <w:sz w:val="26"/>
        </w:rPr>
        <w:t>,</w:t>
      </w:r>
      <w:r w:rsidR="003C2000" w:rsidRPr="003C2000">
        <w:rPr>
          <w:rFonts w:ascii="Times New Roman" w:hAnsi="Times New Roman" w:cs="Times New Roman"/>
          <w:sz w:val="26"/>
        </w:rPr>
        <w:t xml:space="preserve"> and location of the hearing</w:t>
      </w:r>
      <w:r>
        <w:rPr>
          <w:rFonts w:ascii="Times New Roman" w:hAnsi="Times New Roman" w:cs="Times New Roman"/>
          <w:sz w:val="26"/>
        </w:rPr>
        <w:t>.</w:t>
      </w:r>
      <w:r w:rsidR="00F8505B">
        <w:rPr>
          <w:rFonts w:ascii="Times New Roman" w:hAnsi="Times New Roman" w:cs="Times New Roman"/>
          <w:sz w:val="26"/>
        </w:rPr>
        <w:t xml:space="preserve">  The Prehearing Order stated that, pursuant to 52 Pa. Code § 1.15(b), a request for a change of the scheduled hearing date must be submitted in writing no later than five business days prior to the hearing.    </w:t>
      </w:r>
      <w:r w:rsidR="00C65975">
        <w:rPr>
          <w:rFonts w:ascii="Times New Roman" w:hAnsi="Times New Roman" w:cs="Times New Roman"/>
          <w:sz w:val="26"/>
        </w:rPr>
        <w:t xml:space="preserve">  </w:t>
      </w:r>
    </w:p>
    <w:p w:rsidR="003C2000" w:rsidRPr="003C2000" w:rsidRDefault="003C2000" w:rsidP="003C2000">
      <w:pPr>
        <w:pStyle w:val="ParaTab1"/>
        <w:spacing w:line="360" w:lineRule="auto"/>
        <w:ind w:firstLine="1354"/>
        <w:rPr>
          <w:rFonts w:ascii="Times New Roman" w:hAnsi="Times New Roman" w:cs="Times New Roman"/>
          <w:sz w:val="26"/>
        </w:rPr>
      </w:pPr>
    </w:p>
    <w:p w:rsidR="003C2000" w:rsidRPr="003C2000" w:rsidRDefault="003C2000" w:rsidP="003C2000">
      <w:pPr>
        <w:pStyle w:val="ParaTab1"/>
        <w:tabs>
          <w:tab w:val="left" w:pos="1440"/>
          <w:tab w:val="left" w:pos="2160"/>
        </w:tabs>
        <w:spacing w:line="360" w:lineRule="auto"/>
        <w:ind w:firstLine="0"/>
        <w:rPr>
          <w:rFonts w:ascii="Times New Roman" w:hAnsi="Times New Roman" w:cs="Times New Roman"/>
          <w:spacing w:val="-3"/>
          <w:sz w:val="26"/>
        </w:rPr>
      </w:pPr>
      <w:r w:rsidRPr="003C2000">
        <w:rPr>
          <w:rFonts w:ascii="Times New Roman" w:hAnsi="Times New Roman" w:cs="Times New Roman"/>
          <w:spacing w:val="-3"/>
          <w:sz w:val="26"/>
        </w:rPr>
        <w:lastRenderedPageBreak/>
        <w:tab/>
      </w:r>
      <w:r w:rsidRPr="003C2000">
        <w:rPr>
          <w:rFonts w:ascii="Times New Roman" w:hAnsi="Times New Roman" w:cs="Times New Roman"/>
          <w:sz w:val="26"/>
        </w:rPr>
        <w:t>A hearing commenced at 9:30 a.m. on March 31, 2016</w:t>
      </w:r>
      <w:r w:rsidR="00942187">
        <w:rPr>
          <w:rFonts w:ascii="Times New Roman" w:hAnsi="Times New Roman" w:cs="Times New Roman"/>
          <w:sz w:val="26"/>
        </w:rPr>
        <w:t>,</w:t>
      </w:r>
      <w:r w:rsidRPr="003C2000">
        <w:rPr>
          <w:rFonts w:ascii="Times New Roman" w:hAnsi="Times New Roman" w:cs="Times New Roman"/>
          <w:spacing w:val="-3"/>
          <w:sz w:val="26"/>
        </w:rPr>
        <w:t xml:space="preserve"> </w:t>
      </w:r>
      <w:r w:rsidRPr="003C2000">
        <w:rPr>
          <w:rFonts w:ascii="Times New Roman" w:hAnsi="Times New Roman" w:cs="Times New Roman"/>
          <w:sz w:val="26"/>
        </w:rPr>
        <w:t>as scheduled.  By 11 a.m., the Complainant had not appeared for th</w:t>
      </w:r>
      <w:r w:rsidR="00942187">
        <w:rPr>
          <w:rFonts w:ascii="Times New Roman" w:hAnsi="Times New Roman" w:cs="Times New Roman"/>
          <w:sz w:val="26"/>
        </w:rPr>
        <w:t>e</w:t>
      </w:r>
      <w:r w:rsidRPr="003C2000">
        <w:rPr>
          <w:rFonts w:ascii="Times New Roman" w:hAnsi="Times New Roman" w:cs="Times New Roman"/>
          <w:sz w:val="26"/>
        </w:rPr>
        <w:t xml:space="preserve"> hearing.  C</w:t>
      </w:r>
      <w:r w:rsidRPr="003C2000">
        <w:rPr>
          <w:rFonts w:ascii="Times New Roman" w:hAnsi="Times New Roman" w:cs="Times New Roman"/>
          <w:spacing w:val="-3"/>
          <w:sz w:val="26"/>
        </w:rPr>
        <w:t>ounsel for PECO moved that the matter be dismissed for failure to prosecute.</w:t>
      </w:r>
      <w:r w:rsidR="00F101C4">
        <w:rPr>
          <w:rFonts w:ascii="Times New Roman" w:hAnsi="Times New Roman" w:cs="Times New Roman"/>
          <w:spacing w:val="-3"/>
          <w:sz w:val="26"/>
        </w:rPr>
        <w:t xml:space="preserve">  Tr. at 4.  </w:t>
      </w:r>
      <w:r w:rsidRPr="003C2000">
        <w:rPr>
          <w:rFonts w:ascii="Times New Roman" w:hAnsi="Times New Roman" w:cs="Times New Roman"/>
          <w:spacing w:val="-3"/>
          <w:sz w:val="26"/>
        </w:rPr>
        <w:t xml:space="preserve"> </w:t>
      </w:r>
    </w:p>
    <w:p w:rsidR="003C2000" w:rsidRPr="003C2000" w:rsidRDefault="003C2000" w:rsidP="003C2000">
      <w:pPr>
        <w:spacing w:line="360" w:lineRule="auto"/>
        <w:ind w:firstLine="1440"/>
        <w:rPr>
          <w:sz w:val="26"/>
        </w:rPr>
      </w:pPr>
    </w:p>
    <w:p w:rsidR="003C2000" w:rsidRDefault="003C2000" w:rsidP="003C2000">
      <w:pPr>
        <w:spacing w:line="360" w:lineRule="auto"/>
        <w:ind w:firstLine="1440"/>
        <w:rPr>
          <w:sz w:val="26"/>
        </w:rPr>
      </w:pPr>
      <w:r w:rsidRPr="003C2000">
        <w:rPr>
          <w:sz w:val="26"/>
        </w:rPr>
        <w:t>The record closed on April 22, 2016</w:t>
      </w:r>
      <w:r w:rsidR="00F101C4">
        <w:rPr>
          <w:sz w:val="26"/>
        </w:rPr>
        <w:t>,</w:t>
      </w:r>
      <w:r w:rsidRPr="003C2000">
        <w:rPr>
          <w:sz w:val="26"/>
        </w:rPr>
        <w:t xml:space="preserve"> upon receipt of the transcript.  </w:t>
      </w:r>
    </w:p>
    <w:p w:rsidR="00F8505B" w:rsidRPr="003C2000" w:rsidRDefault="00F8505B" w:rsidP="003C2000">
      <w:pPr>
        <w:spacing w:line="360" w:lineRule="auto"/>
        <w:ind w:firstLine="1440"/>
        <w:rPr>
          <w:sz w:val="26"/>
        </w:rPr>
      </w:pPr>
    </w:p>
    <w:p w:rsidR="00D72E5B" w:rsidRDefault="003C528E" w:rsidP="007C3BC4">
      <w:pPr>
        <w:widowControl/>
        <w:tabs>
          <w:tab w:val="left" w:pos="-720"/>
          <w:tab w:val="left" w:pos="1440"/>
        </w:tabs>
        <w:suppressAutoHyphens/>
        <w:autoSpaceDE w:val="0"/>
        <w:autoSpaceDN w:val="0"/>
        <w:spacing w:line="360" w:lineRule="auto"/>
        <w:rPr>
          <w:sz w:val="26"/>
          <w:szCs w:val="26"/>
        </w:rPr>
      </w:pPr>
      <w:r>
        <w:rPr>
          <w:sz w:val="26"/>
          <w:szCs w:val="26"/>
        </w:rPr>
        <w:tab/>
      </w:r>
      <w:r w:rsidR="00B8076D">
        <w:rPr>
          <w:sz w:val="26"/>
          <w:szCs w:val="26"/>
        </w:rPr>
        <w:t xml:space="preserve">In </w:t>
      </w:r>
      <w:r w:rsidR="002165DD">
        <w:rPr>
          <w:sz w:val="26"/>
          <w:szCs w:val="26"/>
        </w:rPr>
        <w:t>h</w:t>
      </w:r>
      <w:r w:rsidR="00262045">
        <w:rPr>
          <w:sz w:val="26"/>
          <w:szCs w:val="26"/>
        </w:rPr>
        <w:t>er</w:t>
      </w:r>
      <w:r w:rsidR="00B8076D">
        <w:rPr>
          <w:sz w:val="26"/>
          <w:szCs w:val="26"/>
        </w:rPr>
        <w:t xml:space="preserve"> Initial Decision issued on </w:t>
      </w:r>
      <w:r w:rsidR="00033510">
        <w:rPr>
          <w:sz w:val="26"/>
          <w:szCs w:val="26"/>
        </w:rPr>
        <w:t>June 9</w:t>
      </w:r>
      <w:r w:rsidR="002165DD" w:rsidRPr="0069670F">
        <w:rPr>
          <w:sz w:val="26"/>
        </w:rPr>
        <w:t>, 201</w:t>
      </w:r>
      <w:r w:rsidR="00033510">
        <w:rPr>
          <w:sz w:val="26"/>
        </w:rPr>
        <w:t>6</w:t>
      </w:r>
      <w:r w:rsidR="00B8076D">
        <w:rPr>
          <w:sz w:val="26"/>
          <w:szCs w:val="26"/>
        </w:rPr>
        <w:t xml:space="preserve">, ALJ </w:t>
      </w:r>
      <w:r w:rsidR="00033510">
        <w:rPr>
          <w:sz w:val="26"/>
          <w:szCs w:val="26"/>
        </w:rPr>
        <w:t>Heep</w:t>
      </w:r>
      <w:r w:rsidR="00F95051">
        <w:rPr>
          <w:sz w:val="26"/>
          <w:szCs w:val="26"/>
        </w:rPr>
        <w:t xml:space="preserve"> granted the Respondent’s Motion to Dismiss</w:t>
      </w:r>
      <w:r w:rsidR="00B8076D">
        <w:rPr>
          <w:sz w:val="26"/>
          <w:szCs w:val="26"/>
        </w:rPr>
        <w:t xml:space="preserve"> </w:t>
      </w:r>
      <w:r w:rsidR="00F95051">
        <w:rPr>
          <w:sz w:val="26"/>
          <w:szCs w:val="26"/>
        </w:rPr>
        <w:t xml:space="preserve">the Complaint with prejudice because the Complainant failed to appear and </w:t>
      </w:r>
      <w:r w:rsidR="00262045">
        <w:rPr>
          <w:sz w:val="26"/>
          <w:szCs w:val="26"/>
        </w:rPr>
        <w:t xml:space="preserve">to </w:t>
      </w:r>
      <w:r w:rsidR="00033510">
        <w:rPr>
          <w:sz w:val="26"/>
          <w:szCs w:val="26"/>
        </w:rPr>
        <w:t>satisfy</w:t>
      </w:r>
      <w:r w:rsidR="00262045">
        <w:rPr>
          <w:sz w:val="26"/>
          <w:szCs w:val="26"/>
        </w:rPr>
        <w:t xml:space="preserve"> h</w:t>
      </w:r>
      <w:r w:rsidR="00033510">
        <w:rPr>
          <w:sz w:val="26"/>
          <w:szCs w:val="26"/>
        </w:rPr>
        <w:t>is</w:t>
      </w:r>
      <w:r w:rsidR="00262045">
        <w:rPr>
          <w:sz w:val="26"/>
          <w:szCs w:val="26"/>
        </w:rPr>
        <w:t xml:space="preserve"> burden of proof</w:t>
      </w:r>
      <w:r w:rsidR="00F95051">
        <w:rPr>
          <w:sz w:val="26"/>
          <w:szCs w:val="26"/>
        </w:rPr>
        <w:t xml:space="preserve">.  </w:t>
      </w:r>
    </w:p>
    <w:p w:rsidR="005A2588" w:rsidRDefault="005A2588" w:rsidP="007C3BC4">
      <w:pPr>
        <w:widowControl/>
        <w:tabs>
          <w:tab w:val="left" w:pos="-720"/>
          <w:tab w:val="left" w:pos="1440"/>
        </w:tabs>
        <w:suppressAutoHyphens/>
        <w:autoSpaceDE w:val="0"/>
        <w:autoSpaceDN w:val="0"/>
        <w:spacing w:line="360" w:lineRule="auto"/>
        <w:rPr>
          <w:sz w:val="26"/>
          <w:szCs w:val="26"/>
        </w:rPr>
      </w:pPr>
    </w:p>
    <w:p w:rsidR="00EE759C" w:rsidRDefault="00D72E5B" w:rsidP="007C3BC4">
      <w:pPr>
        <w:widowControl/>
        <w:tabs>
          <w:tab w:val="left" w:pos="-720"/>
          <w:tab w:val="left" w:pos="1440"/>
        </w:tabs>
        <w:suppressAutoHyphens/>
        <w:autoSpaceDE w:val="0"/>
        <w:autoSpaceDN w:val="0"/>
        <w:spacing w:line="360" w:lineRule="auto"/>
        <w:rPr>
          <w:sz w:val="26"/>
          <w:szCs w:val="26"/>
        </w:rPr>
      </w:pPr>
      <w:r>
        <w:rPr>
          <w:sz w:val="26"/>
          <w:szCs w:val="26"/>
        </w:rPr>
        <w:tab/>
      </w:r>
      <w:r w:rsidR="00D97DE4">
        <w:rPr>
          <w:sz w:val="26"/>
          <w:szCs w:val="26"/>
        </w:rPr>
        <w:t xml:space="preserve">As </w:t>
      </w:r>
      <w:r w:rsidR="00687ECA">
        <w:rPr>
          <w:sz w:val="26"/>
          <w:szCs w:val="26"/>
        </w:rPr>
        <w:t>previously indicated,</w:t>
      </w:r>
      <w:r w:rsidR="00D97DE4">
        <w:rPr>
          <w:sz w:val="26"/>
          <w:szCs w:val="26"/>
        </w:rPr>
        <w:t xml:space="preserve"> the Complainant filed Exceptions to</w:t>
      </w:r>
      <w:r w:rsidR="00687ECA">
        <w:rPr>
          <w:sz w:val="26"/>
          <w:szCs w:val="26"/>
        </w:rPr>
        <w:t xml:space="preserve"> </w:t>
      </w:r>
      <w:r w:rsidR="00F95051">
        <w:rPr>
          <w:sz w:val="26"/>
          <w:szCs w:val="26"/>
        </w:rPr>
        <w:t xml:space="preserve">the Initial Decision on </w:t>
      </w:r>
      <w:r>
        <w:rPr>
          <w:sz w:val="26"/>
          <w:szCs w:val="26"/>
        </w:rPr>
        <w:t xml:space="preserve">June </w:t>
      </w:r>
      <w:r w:rsidR="004C392F">
        <w:rPr>
          <w:sz w:val="26"/>
          <w:szCs w:val="26"/>
        </w:rPr>
        <w:t>27</w:t>
      </w:r>
      <w:r>
        <w:rPr>
          <w:sz w:val="26"/>
          <w:szCs w:val="26"/>
        </w:rPr>
        <w:t>, 2016.</w:t>
      </w:r>
      <w:r>
        <w:rPr>
          <w:sz w:val="26"/>
          <w:szCs w:val="26"/>
        </w:rPr>
        <w:tab/>
      </w:r>
      <w:r w:rsidR="003F45A9">
        <w:rPr>
          <w:sz w:val="26"/>
          <w:szCs w:val="26"/>
        </w:rPr>
        <w:t xml:space="preserve"> </w:t>
      </w:r>
      <w:r>
        <w:rPr>
          <w:sz w:val="26"/>
          <w:szCs w:val="26"/>
        </w:rPr>
        <w:t xml:space="preserve">On July 29, 2016, </w:t>
      </w:r>
      <w:r w:rsidR="00D97DE4">
        <w:rPr>
          <w:sz w:val="26"/>
          <w:szCs w:val="26"/>
        </w:rPr>
        <w:t xml:space="preserve">PECO filed </w:t>
      </w:r>
      <w:r>
        <w:rPr>
          <w:sz w:val="26"/>
          <w:szCs w:val="26"/>
        </w:rPr>
        <w:t xml:space="preserve">a Motion to File Reply Exceptions </w:t>
      </w:r>
      <w:r w:rsidRPr="00D72E5B">
        <w:rPr>
          <w:i/>
          <w:sz w:val="26"/>
          <w:szCs w:val="26"/>
        </w:rPr>
        <w:t>Nunc Pro Tunc</w:t>
      </w:r>
      <w:r>
        <w:rPr>
          <w:sz w:val="26"/>
          <w:szCs w:val="26"/>
        </w:rPr>
        <w:t xml:space="preserve">, as well as </w:t>
      </w:r>
      <w:r w:rsidR="00687ECA">
        <w:rPr>
          <w:sz w:val="26"/>
          <w:szCs w:val="26"/>
        </w:rPr>
        <w:t>Replies to Exceptions</w:t>
      </w:r>
      <w:r w:rsidR="00D97DE4">
        <w:rPr>
          <w:sz w:val="26"/>
          <w:szCs w:val="26"/>
        </w:rPr>
        <w:t>.</w:t>
      </w:r>
      <w:r w:rsidR="00A0344F">
        <w:rPr>
          <w:rStyle w:val="FootnoteReference"/>
          <w:sz w:val="26"/>
          <w:szCs w:val="26"/>
        </w:rPr>
        <w:footnoteReference w:id="2"/>
      </w:r>
      <w:r>
        <w:rPr>
          <w:sz w:val="26"/>
          <w:szCs w:val="26"/>
        </w:rPr>
        <w:t xml:space="preserve">  </w:t>
      </w:r>
    </w:p>
    <w:p w:rsidR="007C28B8" w:rsidRDefault="007C28B8" w:rsidP="007C3BC4">
      <w:pPr>
        <w:widowControl/>
        <w:tabs>
          <w:tab w:val="left" w:pos="-720"/>
          <w:tab w:val="left" w:pos="1440"/>
        </w:tabs>
        <w:suppressAutoHyphens/>
        <w:autoSpaceDE w:val="0"/>
        <w:autoSpaceDN w:val="0"/>
        <w:spacing w:line="360" w:lineRule="auto"/>
        <w:rPr>
          <w:sz w:val="26"/>
          <w:szCs w:val="26"/>
        </w:rPr>
      </w:pPr>
    </w:p>
    <w:p w:rsidR="008E5758" w:rsidRPr="008E5758" w:rsidRDefault="00DB44D9" w:rsidP="008E5758">
      <w:pPr>
        <w:widowControl/>
        <w:tabs>
          <w:tab w:val="left" w:pos="900"/>
        </w:tabs>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910FEF" w:rsidRDefault="00DB44D9" w:rsidP="00DB13EB">
      <w:pPr>
        <w:widowControl/>
        <w:tabs>
          <w:tab w:val="left" w:pos="-720"/>
        </w:tabs>
        <w:suppressAutoHyphens/>
        <w:spacing w:line="360" w:lineRule="auto"/>
        <w:rPr>
          <w:sz w:val="26"/>
        </w:rPr>
      </w:pPr>
      <w:r w:rsidRPr="00910FEF">
        <w:rPr>
          <w:b/>
          <w:sz w:val="26"/>
        </w:rPr>
        <w:t>Legal Standards</w:t>
      </w:r>
    </w:p>
    <w:p w:rsidR="00DB44D9" w:rsidRPr="00910FEF" w:rsidRDefault="00DB44D9" w:rsidP="00506975">
      <w:pPr>
        <w:keepNext/>
        <w:widowControl/>
        <w:spacing w:line="360" w:lineRule="auto"/>
        <w:ind w:firstLine="1440"/>
        <w:rPr>
          <w:sz w:val="26"/>
          <w:szCs w:val="26"/>
        </w:rPr>
      </w:pPr>
    </w:p>
    <w:p w:rsidR="00294890" w:rsidRDefault="00294890" w:rsidP="00294890">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Public Utility Code (</w:t>
      </w:r>
      <w:r w:rsidRPr="00CA43A5">
        <w:rPr>
          <w:sz w:val="26"/>
          <w:szCs w:val="26"/>
        </w:rPr>
        <w:t>Code</w:t>
      </w:r>
      <w:r>
        <w:rPr>
          <w:sz w:val="26"/>
          <w:szCs w:val="26"/>
        </w:rPr>
        <w:t>)</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w:t>
      </w:r>
      <w:r w:rsidRPr="00CA43A5">
        <w:rPr>
          <w:sz w:val="26"/>
          <w:szCs w:val="26"/>
        </w:rPr>
        <w:lastRenderedPageBreak/>
        <w:t>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294890" w:rsidRPr="00CA43A5" w:rsidRDefault="00294890" w:rsidP="00294890">
      <w:pPr>
        <w:widowControl/>
        <w:spacing w:line="360" w:lineRule="auto"/>
        <w:rPr>
          <w:sz w:val="26"/>
          <w:szCs w:val="26"/>
        </w:rPr>
      </w:pPr>
    </w:p>
    <w:p w:rsidR="00294890" w:rsidRDefault="00294890" w:rsidP="00294890">
      <w:pPr>
        <w:widowControl/>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 w:val="26"/>
          <w:szCs w:val="26"/>
        </w:rPr>
        <w:t>Consolidated Rail Corporation v. Pa. PUC</w:t>
      </w:r>
      <w:r w:rsidRPr="00CB10E4">
        <w:rPr>
          <w:color w:val="000000"/>
          <w:sz w:val="26"/>
          <w:szCs w:val="26"/>
        </w:rPr>
        <w:t xml:space="preserve">, 625 A.2d 741 (Pa. Cmwlth. 1993); </w:t>
      </w:r>
      <w:r w:rsidRPr="00961BEE">
        <w:rPr>
          <w:i/>
          <w:color w:val="000000"/>
          <w:sz w:val="26"/>
          <w:szCs w:val="26"/>
        </w:rPr>
        <w:t>see also</w:t>
      </w:r>
      <w:r w:rsidRPr="00CB10E4">
        <w:rPr>
          <w:color w:val="000000"/>
          <w:sz w:val="26"/>
          <w:szCs w:val="26"/>
        </w:rPr>
        <w:t xml:space="preserve">, </w:t>
      </w:r>
      <w:r w:rsidRPr="00843DF5">
        <w:rPr>
          <w:i/>
          <w:color w:val="000000"/>
          <w:sz w:val="26"/>
          <w:szCs w:val="26"/>
        </w:rPr>
        <w:t>University of Pennsylvania v. Pa. PUC</w:t>
      </w:r>
      <w:r w:rsidRPr="00CB10E4">
        <w:rPr>
          <w:color w:val="000000"/>
          <w:sz w:val="26"/>
          <w:szCs w:val="26"/>
        </w:rPr>
        <w:t>, 485 A.2d 1217 (Pa. Cmwlth. 1984).</w:t>
      </w:r>
    </w:p>
    <w:p w:rsidR="002172FE" w:rsidRDefault="002172FE" w:rsidP="00294890">
      <w:pPr>
        <w:widowControl/>
        <w:spacing w:line="360" w:lineRule="auto"/>
        <w:ind w:firstLine="1440"/>
        <w:rPr>
          <w:color w:val="000000"/>
          <w:sz w:val="26"/>
          <w:szCs w:val="26"/>
        </w:rPr>
      </w:pPr>
    </w:p>
    <w:p w:rsidR="00294890" w:rsidRDefault="001B6C10" w:rsidP="00294890">
      <w:pPr>
        <w:widowControl/>
        <w:spacing w:line="360" w:lineRule="auto"/>
        <w:rPr>
          <w:sz w:val="26"/>
          <w:szCs w:val="26"/>
        </w:rPr>
      </w:pPr>
      <w:r>
        <w:rPr>
          <w:sz w:val="26"/>
          <w:szCs w:val="26"/>
        </w:rPr>
        <w:tab/>
      </w:r>
      <w:r>
        <w:rPr>
          <w:sz w:val="26"/>
          <w:szCs w:val="26"/>
        </w:rPr>
        <w:tab/>
      </w:r>
      <w:r w:rsidR="00294890" w:rsidRPr="000522FC">
        <w:rPr>
          <w:sz w:val="26"/>
          <w:szCs w:val="26"/>
        </w:rPr>
        <w:t xml:space="preserve">In </w:t>
      </w:r>
      <w:r w:rsidR="00F03BD7">
        <w:rPr>
          <w:sz w:val="26"/>
          <w:szCs w:val="26"/>
        </w:rPr>
        <w:t>h</w:t>
      </w:r>
      <w:r w:rsidR="00262045">
        <w:rPr>
          <w:sz w:val="26"/>
          <w:szCs w:val="26"/>
        </w:rPr>
        <w:t>er</w:t>
      </w:r>
      <w:r w:rsidR="00F03BD7">
        <w:rPr>
          <w:sz w:val="26"/>
          <w:szCs w:val="26"/>
        </w:rPr>
        <w:t xml:space="preserve"> </w:t>
      </w:r>
      <w:r w:rsidR="00294890" w:rsidRPr="000522FC">
        <w:rPr>
          <w:sz w:val="26"/>
          <w:szCs w:val="26"/>
        </w:rPr>
        <w:t xml:space="preserve">Initial Decision, ALJ </w:t>
      </w:r>
      <w:r w:rsidR="002172FE">
        <w:rPr>
          <w:sz w:val="26"/>
          <w:szCs w:val="26"/>
        </w:rPr>
        <w:t>Heep</w:t>
      </w:r>
      <w:r w:rsidR="00294890" w:rsidRPr="000522FC">
        <w:rPr>
          <w:sz w:val="26"/>
          <w:szCs w:val="26"/>
        </w:rPr>
        <w:t xml:space="preserve"> made </w:t>
      </w:r>
      <w:r w:rsidR="00262045">
        <w:rPr>
          <w:sz w:val="26"/>
          <w:szCs w:val="26"/>
        </w:rPr>
        <w:t>e</w:t>
      </w:r>
      <w:r w:rsidR="002172FE">
        <w:rPr>
          <w:sz w:val="26"/>
          <w:szCs w:val="26"/>
        </w:rPr>
        <w:t>leven</w:t>
      </w:r>
      <w:r w:rsidR="00294890" w:rsidRPr="000522FC">
        <w:rPr>
          <w:sz w:val="26"/>
          <w:szCs w:val="26"/>
        </w:rPr>
        <w:t xml:space="preserve"> Findings of Fact and reached </w:t>
      </w:r>
      <w:r w:rsidR="002172FE">
        <w:rPr>
          <w:sz w:val="26"/>
          <w:szCs w:val="26"/>
        </w:rPr>
        <w:t>three</w:t>
      </w:r>
      <w:r w:rsidR="00294890" w:rsidRPr="000522FC">
        <w:rPr>
          <w:sz w:val="26"/>
          <w:szCs w:val="26"/>
        </w:rPr>
        <w:t xml:space="preserve"> Conclusions of Law.  I.D. at </w:t>
      </w:r>
      <w:r w:rsidR="002172FE">
        <w:rPr>
          <w:sz w:val="26"/>
          <w:szCs w:val="26"/>
        </w:rPr>
        <w:t>2-</w:t>
      </w:r>
      <w:r w:rsidR="00262045">
        <w:rPr>
          <w:sz w:val="26"/>
          <w:szCs w:val="26"/>
        </w:rPr>
        <w:t xml:space="preserve">3, </w:t>
      </w:r>
      <w:r w:rsidR="002172FE">
        <w:rPr>
          <w:sz w:val="26"/>
          <w:szCs w:val="26"/>
        </w:rPr>
        <w:t>5</w:t>
      </w:r>
      <w:r w:rsidR="00294890"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616F2B" w:rsidRDefault="00616F2B" w:rsidP="00853365">
      <w:pPr>
        <w:widowControl/>
        <w:spacing w:line="360" w:lineRule="auto"/>
        <w:rPr>
          <w:sz w:val="26"/>
          <w:szCs w:val="26"/>
        </w:rPr>
      </w:pPr>
    </w:p>
    <w:p w:rsidR="00E0520E" w:rsidRDefault="00DB44D9" w:rsidP="00E0520E">
      <w:pPr>
        <w:widowControl/>
        <w:spacing w:line="360" w:lineRule="auto"/>
        <w:rPr>
          <w:b/>
          <w:sz w:val="26"/>
          <w:szCs w:val="26"/>
        </w:rPr>
      </w:pPr>
      <w:r w:rsidRPr="00A23FC4">
        <w:rPr>
          <w:b/>
          <w:sz w:val="26"/>
          <w:szCs w:val="26"/>
        </w:rPr>
        <w:t>Exceptions and Replies</w:t>
      </w:r>
    </w:p>
    <w:p w:rsidR="00E0520E" w:rsidRPr="00E0520E" w:rsidRDefault="00E0520E" w:rsidP="00E0520E">
      <w:pPr>
        <w:widowControl/>
        <w:spacing w:line="360" w:lineRule="auto"/>
        <w:rPr>
          <w:sz w:val="26"/>
          <w:szCs w:val="26"/>
        </w:rPr>
      </w:pPr>
    </w:p>
    <w:p w:rsidR="00776AC1" w:rsidRDefault="00F65DBB" w:rsidP="00216682">
      <w:pPr>
        <w:widowControl/>
        <w:spacing w:line="360" w:lineRule="auto"/>
        <w:rPr>
          <w:sz w:val="26"/>
          <w:szCs w:val="26"/>
        </w:rPr>
      </w:pPr>
      <w:r>
        <w:rPr>
          <w:sz w:val="26"/>
          <w:szCs w:val="26"/>
        </w:rPr>
        <w:tab/>
      </w:r>
      <w:r>
        <w:rPr>
          <w:sz w:val="26"/>
          <w:szCs w:val="26"/>
        </w:rPr>
        <w:tab/>
        <w:t xml:space="preserve">In his Exceptions, the Complainant states that he made a request to withdraw his Complaint by written correspondence to the ALJ and counsel for PECO on </w:t>
      </w:r>
    </w:p>
    <w:p w:rsidR="00776AC1" w:rsidRDefault="00776AC1">
      <w:pPr>
        <w:widowControl/>
        <w:spacing w:after="200" w:line="276" w:lineRule="auto"/>
        <w:rPr>
          <w:sz w:val="26"/>
          <w:szCs w:val="26"/>
        </w:rPr>
      </w:pPr>
      <w:r>
        <w:rPr>
          <w:sz w:val="26"/>
          <w:szCs w:val="26"/>
        </w:rPr>
        <w:br w:type="page"/>
      </w:r>
    </w:p>
    <w:p w:rsidR="00F65DBB" w:rsidRDefault="00F65DBB" w:rsidP="00216682">
      <w:pPr>
        <w:widowControl/>
        <w:spacing w:line="360" w:lineRule="auto"/>
        <w:rPr>
          <w:sz w:val="26"/>
          <w:szCs w:val="26"/>
        </w:rPr>
      </w:pPr>
      <w:r>
        <w:rPr>
          <w:sz w:val="26"/>
          <w:szCs w:val="26"/>
        </w:rPr>
        <w:lastRenderedPageBreak/>
        <w:t>March 29, 2016.</w:t>
      </w:r>
      <w:r w:rsidR="00D0445E">
        <w:rPr>
          <w:rStyle w:val="FootnoteReference"/>
          <w:sz w:val="26"/>
          <w:szCs w:val="26"/>
        </w:rPr>
        <w:footnoteReference w:id="3"/>
      </w:r>
      <w:r>
        <w:rPr>
          <w:sz w:val="26"/>
          <w:szCs w:val="26"/>
        </w:rPr>
        <w:t xml:space="preserve">  The Complainant avers that, in withdrawing the Complaint, he requested mediation in this matter and has not received a response to that request.  The Complainant also avers that, in opposing his request for a payment arrangement, the Respondent has not acknowledged the changed personal and financial circumstances of the Complainant’s household, which are different from the circumstances that existed when the Complain</w:t>
      </w:r>
      <w:r w:rsidR="00780129">
        <w:rPr>
          <w:sz w:val="26"/>
          <w:szCs w:val="26"/>
        </w:rPr>
        <w:t>an</w:t>
      </w:r>
      <w:r>
        <w:rPr>
          <w:sz w:val="26"/>
          <w:szCs w:val="26"/>
        </w:rPr>
        <w:t xml:space="preserve">t previously filed complaints with the Commission.  Exc. at 1.  </w:t>
      </w:r>
    </w:p>
    <w:p w:rsidR="00F65DBB" w:rsidRDefault="00F65DBB" w:rsidP="00216682">
      <w:pPr>
        <w:widowControl/>
        <w:spacing w:line="360" w:lineRule="auto"/>
        <w:rPr>
          <w:sz w:val="26"/>
          <w:szCs w:val="26"/>
        </w:rPr>
      </w:pPr>
    </w:p>
    <w:p w:rsidR="00240F57" w:rsidRDefault="00F65DBB" w:rsidP="00216682">
      <w:pPr>
        <w:widowControl/>
        <w:spacing w:line="360" w:lineRule="auto"/>
        <w:rPr>
          <w:sz w:val="26"/>
        </w:rPr>
      </w:pPr>
      <w:r>
        <w:rPr>
          <w:sz w:val="26"/>
          <w:szCs w:val="26"/>
        </w:rPr>
        <w:tab/>
      </w:r>
      <w:r>
        <w:rPr>
          <w:sz w:val="26"/>
          <w:szCs w:val="26"/>
        </w:rPr>
        <w:tab/>
      </w:r>
      <w:r w:rsidR="000679AE">
        <w:rPr>
          <w:sz w:val="26"/>
          <w:szCs w:val="26"/>
        </w:rPr>
        <w:t>In its Replies to Exceptions, PECO indicates that the Complainant sent correspondence to PECO and the Commission, requesting to withdraw his Complaint.  PECO attached a letter from the Complainant, dated March 30, 2016</w:t>
      </w:r>
      <w:r w:rsidR="00240F57">
        <w:rPr>
          <w:sz w:val="26"/>
          <w:szCs w:val="26"/>
        </w:rPr>
        <w:t xml:space="preserve"> (Complainant’s Letter)</w:t>
      </w:r>
      <w:r w:rsidR="000679AE">
        <w:rPr>
          <w:sz w:val="26"/>
          <w:szCs w:val="26"/>
        </w:rPr>
        <w:t xml:space="preserve">, in which Mr. </w:t>
      </w:r>
      <w:r w:rsidR="000679AE">
        <w:rPr>
          <w:sz w:val="26"/>
        </w:rPr>
        <w:t>Kopanycia stated that he was withdrawing his Complaint.  Mr. Kopanycia also stated in the letter that he would consider mediation of the matter if the balance he owes on his account were discussed.  PECO additionally indicates that it sent correspondence</w:t>
      </w:r>
      <w:r w:rsidR="00470B9C">
        <w:rPr>
          <w:sz w:val="26"/>
        </w:rPr>
        <w:t xml:space="preserve">, which PECO </w:t>
      </w:r>
      <w:r w:rsidR="00240F57">
        <w:rPr>
          <w:sz w:val="26"/>
        </w:rPr>
        <w:t xml:space="preserve">also </w:t>
      </w:r>
      <w:r w:rsidR="00470B9C">
        <w:rPr>
          <w:sz w:val="26"/>
        </w:rPr>
        <w:t>attached to its Replies,</w:t>
      </w:r>
      <w:r w:rsidR="000679AE">
        <w:rPr>
          <w:sz w:val="26"/>
        </w:rPr>
        <w:t xml:space="preserve"> to ALJ Heep on March 30, 2016, </w:t>
      </w:r>
      <w:r w:rsidR="00470B9C">
        <w:rPr>
          <w:sz w:val="26"/>
        </w:rPr>
        <w:t xml:space="preserve">advising that it objected to the Complainant’s withdrawal and declined mediation.  PECO explains that, in its letter, it stated that the Complainant had filed nine informal complaints and seven formal complaints in an effort to avoid paying his $6,000 balance.  R. Exc. at 1.  PECO argues that the Complainant made an improper assumption that the ALJ had ruled on his request to withdraw his </w:t>
      </w:r>
      <w:r w:rsidR="00240F57">
        <w:rPr>
          <w:sz w:val="26"/>
        </w:rPr>
        <w:t>C</w:t>
      </w:r>
      <w:r w:rsidR="00470B9C">
        <w:rPr>
          <w:sz w:val="26"/>
        </w:rPr>
        <w:t xml:space="preserve">omplaint and did not appear for the hearing.  </w:t>
      </w:r>
      <w:r w:rsidR="00470B9C" w:rsidRPr="00470B9C">
        <w:rPr>
          <w:i/>
          <w:sz w:val="26"/>
        </w:rPr>
        <w:t>I</w:t>
      </w:r>
      <w:r w:rsidR="00470B9C">
        <w:rPr>
          <w:i/>
          <w:sz w:val="26"/>
        </w:rPr>
        <w:t>d</w:t>
      </w:r>
      <w:r w:rsidR="00470B9C">
        <w:rPr>
          <w:sz w:val="26"/>
        </w:rPr>
        <w:t xml:space="preserve">. at 2.    </w:t>
      </w:r>
    </w:p>
    <w:p w:rsidR="00117E6A" w:rsidRDefault="00470B9C" w:rsidP="00216682">
      <w:pPr>
        <w:widowControl/>
        <w:spacing w:line="360" w:lineRule="auto"/>
        <w:rPr>
          <w:sz w:val="26"/>
          <w:szCs w:val="26"/>
        </w:rPr>
      </w:pPr>
      <w:r>
        <w:rPr>
          <w:sz w:val="26"/>
        </w:rPr>
        <w:t xml:space="preserve">         </w:t>
      </w:r>
      <w:r w:rsidR="000679AE">
        <w:rPr>
          <w:sz w:val="26"/>
        </w:rPr>
        <w:t xml:space="preserve">   </w:t>
      </w:r>
      <w:r w:rsidR="000679AE">
        <w:rPr>
          <w:sz w:val="26"/>
          <w:szCs w:val="26"/>
        </w:rPr>
        <w:t xml:space="preserve">  </w:t>
      </w:r>
      <w:r w:rsidR="00F65DBB">
        <w:rPr>
          <w:sz w:val="26"/>
          <w:szCs w:val="26"/>
        </w:rPr>
        <w:t xml:space="preserve">            </w:t>
      </w:r>
      <w:r w:rsidR="00A23FC4" w:rsidRPr="00A23FC4">
        <w:rPr>
          <w:sz w:val="26"/>
          <w:szCs w:val="26"/>
        </w:rPr>
        <w:tab/>
      </w:r>
      <w:r w:rsidR="00A23FC4" w:rsidRPr="00A23FC4">
        <w:rPr>
          <w:sz w:val="26"/>
          <w:szCs w:val="26"/>
        </w:rPr>
        <w:tab/>
      </w:r>
    </w:p>
    <w:p w:rsidR="00A20D90" w:rsidRDefault="00470B9C" w:rsidP="00A56E16">
      <w:pPr>
        <w:widowControl/>
        <w:spacing w:line="360" w:lineRule="auto"/>
        <w:ind w:firstLine="1440"/>
        <w:rPr>
          <w:sz w:val="26"/>
          <w:szCs w:val="26"/>
        </w:rPr>
      </w:pPr>
      <w:r>
        <w:rPr>
          <w:sz w:val="26"/>
          <w:szCs w:val="26"/>
        </w:rPr>
        <w:t xml:space="preserve">PECO </w:t>
      </w:r>
      <w:r w:rsidR="001F73BC">
        <w:rPr>
          <w:sz w:val="26"/>
          <w:szCs w:val="26"/>
        </w:rPr>
        <w:t>asserts</w:t>
      </w:r>
      <w:r w:rsidR="00E15860">
        <w:rPr>
          <w:sz w:val="26"/>
          <w:szCs w:val="26"/>
        </w:rPr>
        <w:t xml:space="preserve"> that </w:t>
      </w:r>
      <w:r w:rsidR="004E2C79">
        <w:rPr>
          <w:sz w:val="26"/>
          <w:szCs w:val="26"/>
        </w:rPr>
        <w:t xml:space="preserve">the </w:t>
      </w:r>
      <w:r w:rsidR="001F73BC">
        <w:rPr>
          <w:sz w:val="26"/>
          <w:szCs w:val="26"/>
        </w:rPr>
        <w:t xml:space="preserve">Commission satisfied its due process obligations by providing notice of the hearing to the Complainant.  </w:t>
      </w:r>
      <w:r w:rsidR="00256B31">
        <w:rPr>
          <w:sz w:val="26"/>
          <w:szCs w:val="26"/>
        </w:rPr>
        <w:t>PECO argues that t</w:t>
      </w:r>
      <w:r w:rsidR="001F73BC">
        <w:rPr>
          <w:sz w:val="26"/>
          <w:szCs w:val="26"/>
        </w:rPr>
        <w:t xml:space="preserve">he failure of </w:t>
      </w:r>
      <w:r w:rsidR="00256B31">
        <w:rPr>
          <w:sz w:val="26"/>
          <w:szCs w:val="26"/>
        </w:rPr>
        <w:t xml:space="preserve">Mr. </w:t>
      </w:r>
      <w:r w:rsidR="001F73BC">
        <w:rPr>
          <w:sz w:val="26"/>
          <w:szCs w:val="26"/>
        </w:rPr>
        <w:t xml:space="preserve"> </w:t>
      </w:r>
      <w:r w:rsidR="00256B31">
        <w:rPr>
          <w:sz w:val="26"/>
        </w:rPr>
        <w:lastRenderedPageBreak/>
        <w:t>Kopanycia</w:t>
      </w:r>
      <w:r w:rsidR="00256B31">
        <w:rPr>
          <w:sz w:val="26"/>
          <w:szCs w:val="26"/>
        </w:rPr>
        <w:t xml:space="preserve"> </w:t>
      </w:r>
      <w:r w:rsidR="001F73BC">
        <w:rPr>
          <w:sz w:val="26"/>
          <w:szCs w:val="26"/>
        </w:rPr>
        <w:t>to attend the hearing constituted a waiver of the opportunity to participate</w:t>
      </w:r>
      <w:r w:rsidR="00256B31">
        <w:rPr>
          <w:sz w:val="26"/>
          <w:szCs w:val="26"/>
        </w:rPr>
        <w:t xml:space="preserve">, and that </w:t>
      </w:r>
      <w:r w:rsidR="001F73BC">
        <w:rPr>
          <w:sz w:val="26"/>
          <w:szCs w:val="26"/>
        </w:rPr>
        <w:t xml:space="preserve">the </w:t>
      </w:r>
      <w:r w:rsidR="004E2C79">
        <w:rPr>
          <w:sz w:val="26"/>
          <w:szCs w:val="26"/>
        </w:rPr>
        <w:t>Complainant</w:t>
      </w:r>
      <w:r w:rsidR="001F73BC">
        <w:rPr>
          <w:sz w:val="26"/>
          <w:szCs w:val="26"/>
        </w:rPr>
        <w:t xml:space="preserve"> cannot reopen the record without proof that h</w:t>
      </w:r>
      <w:r w:rsidR="00256B31">
        <w:rPr>
          <w:sz w:val="26"/>
          <w:szCs w:val="26"/>
        </w:rPr>
        <w:t>is</w:t>
      </w:r>
      <w:r w:rsidR="001F73BC">
        <w:rPr>
          <w:sz w:val="26"/>
          <w:szCs w:val="26"/>
        </w:rPr>
        <w:t xml:space="preserve"> failure to appear was unavoidable and that the interest of PECO and the public interest will not be prejudiced.</w:t>
      </w:r>
      <w:r w:rsidR="00256B31">
        <w:rPr>
          <w:sz w:val="26"/>
          <w:szCs w:val="26"/>
        </w:rPr>
        <w:t xml:space="preserve">  </w:t>
      </w:r>
      <w:r w:rsidR="00E84991">
        <w:rPr>
          <w:sz w:val="26"/>
          <w:szCs w:val="26"/>
        </w:rPr>
        <w:t xml:space="preserve">PECO </w:t>
      </w:r>
      <w:r w:rsidR="00256B31">
        <w:rPr>
          <w:sz w:val="26"/>
          <w:szCs w:val="26"/>
        </w:rPr>
        <w:t>contends</w:t>
      </w:r>
      <w:r w:rsidR="00E84991">
        <w:rPr>
          <w:sz w:val="26"/>
          <w:szCs w:val="26"/>
        </w:rPr>
        <w:t xml:space="preserve"> that the Complainant’s purported justification for failing to attend </w:t>
      </w:r>
      <w:r w:rsidR="008B7E13">
        <w:rPr>
          <w:sz w:val="26"/>
          <w:szCs w:val="26"/>
        </w:rPr>
        <w:t xml:space="preserve">– because </w:t>
      </w:r>
      <w:r w:rsidR="00256B31">
        <w:rPr>
          <w:sz w:val="26"/>
          <w:szCs w:val="26"/>
        </w:rPr>
        <w:t>he sent correspondence to the Commission requesting to withdraw his Complaint</w:t>
      </w:r>
      <w:r w:rsidR="008B7E13">
        <w:rPr>
          <w:sz w:val="26"/>
          <w:szCs w:val="26"/>
        </w:rPr>
        <w:t xml:space="preserve"> – </w:t>
      </w:r>
      <w:r w:rsidR="00E84991">
        <w:rPr>
          <w:sz w:val="26"/>
          <w:szCs w:val="26"/>
        </w:rPr>
        <w:t>does not satisfy th</w:t>
      </w:r>
      <w:r w:rsidR="00E06480">
        <w:rPr>
          <w:sz w:val="26"/>
          <w:szCs w:val="26"/>
        </w:rPr>
        <w:t>e heightened standard under Section 332(f) of the Code</w:t>
      </w:r>
      <w:r w:rsidR="00256B31">
        <w:rPr>
          <w:sz w:val="26"/>
          <w:szCs w:val="26"/>
        </w:rPr>
        <w:t xml:space="preserve">, </w:t>
      </w:r>
    </w:p>
    <w:p w:rsidR="004210DA" w:rsidRPr="00A56E16" w:rsidRDefault="00256B31" w:rsidP="00A20D90">
      <w:pPr>
        <w:widowControl/>
        <w:spacing w:line="360" w:lineRule="auto"/>
        <w:rPr>
          <w:sz w:val="26"/>
          <w:szCs w:val="26"/>
        </w:rPr>
      </w:pPr>
      <w:r>
        <w:rPr>
          <w:sz w:val="26"/>
          <w:szCs w:val="26"/>
        </w:rPr>
        <w:t>66 Pa. C.S. § 332(f)</w:t>
      </w:r>
      <w:r w:rsidR="00E06480">
        <w:rPr>
          <w:sz w:val="26"/>
          <w:szCs w:val="26"/>
        </w:rPr>
        <w:t>.</w:t>
      </w:r>
      <w:r w:rsidR="00A20D90">
        <w:rPr>
          <w:rStyle w:val="FootnoteReference"/>
          <w:sz w:val="26"/>
          <w:szCs w:val="26"/>
        </w:rPr>
        <w:footnoteReference w:id="4"/>
      </w:r>
      <w:r w:rsidR="00E06480">
        <w:rPr>
          <w:sz w:val="26"/>
          <w:szCs w:val="26"/>
        </w:rPr>
        <w:t xml:space="preserve">  </w:t>
      </w:r>
      <w:r w:rsidRPr="00256B31">
        <w:rPr>
          <w:i/>
          <w:sz w:val="26"/>
          <w:szCs w:val="26"/>
        </w:rPr>
        <w:t>Id</w:t>
      </w:r>
      <w:r>
        <w:rPr>
          <w:sz w:val="26"/>
          <w:szCs w:val="26"/>
        </w:rPr>
        <w:t>. at 3.</w:t>
      </w:r>
      <w:r w:rsidR="00BB6107">
        <w:rPr>
          <w:sz w:val="26"/>
          <w:szCs w:val="26"/>
        </w:rPr>
        <w:t xml:space="preserve">  PECO avers that, since the Complainant did not hear from ALJ Heep regarding whether his withdrawal </w:t>
      </w:r>
      <w:r w:rsidR="008F4522">
        <w:rPr>
          <w:sz w:val="26"/>
          <w:szCs w:val="26"/>
        </w:rPr>
        <w:t>had</w:t>
      </w:r>
      <w:r w:rsidR="00BB6107">
        <w:rPr>
          <w:sz w:val="26"/>
          <w:szCs w:val="26"/>
        </w:rPr>
        <w:t xml:space="preserve"> been accepted, he should have appeared at the hearing or contacted the ALJ on the day of the hearing.  PECO states that the Complainant had no compelling reasons for his failure to contact the ALJ or to attend the hearing.  </w:t>
      </w:r>
      <w:r w:rsidR="00E06480">
        <w:rPr>
          <w:sz w:val="26"/>
          <w:szCs w:val="26"/>
        </w:rPr>
        <w:t xml:space="preserve">PECO </w:t>
      </w:r>
      <w:r w:rsidR="004F5FC3">
        <w:rPr>
          <w:sz w:val="26"/>
          <w:szCs w:val="26"/>
        </w:rPr>
        <w:t xml:space="preserve">also </w:t>
      </w:r>
      <w:r w:rsidR="00E06480">
        <w:rPr>
          <w:sz w:val="26"/>
          <w:szCs w:val="26"/>
        </w:rPr>
        <w:t xml:space="preserve">argues </w:t>
      </w:r>
      <w:r w:rsidR="00A37613">
        <w:rPr>
          <w:sz w:val="26"/>
          <w:szCs w:val="26"/>
        </w:rPr>
        <w:t xml:space="preserve">that </w:t>
      </w:r>
      <w:r w:rsidR="00E06480">
        <w:rPr>
          <w:sz w:val="26"/>
          <w:szCs w:val="26"/>
        </w:rPr>
        <w:t xml:space="preserve">it </w:t>
      </w:r>
      <w:r w:rsidR="004D2210">
        <w:rPr>
          <w:sz w:val="26"/>
          <w:szCs w:val="26"/>
        </w:rPr>
        <w:t xml:space="preserve">would be prejudicial </w:t>
      </w:r>
      <w:r w:rsidR="00B2064A">
        <w:rPr>
          <w:sz w:val="26"/>
          <w:szCs w:val="26"/>
        </w:rPr>
        <w:t xml:space="preserve">to require the Respondent </w:t>
      </w:r>
      <w:r w:rsidR="004D2210">
        <w:rPr>
          <w:sz w:val="26"/>
          <w:szCs w:val="26"/>
        </w:rPr>
        <w:t xml:space="preserve">to expend </w:t>
      </w:r>
      <w:r w:rsidR="00E06480">
        <w:rPr>
          <w:sz w:val="26"/>
          <w:szCs w:val="26"/>
        </w:rPr>
        <w:t xml:space="preserve">resources to prepare for another hearing and </w:t>
      </w:r>
      <w:r w:rsidR="00F55738">
        <w:rPr>
          <w:sz w:val="26"/>
          <w:szCs w:val="26"/>
        </w:rPr>
        <w:t>the Commission</w:t>
      </w:r>
      <w:r w:rsidR="00F85324">
        <w:rPr>
          <w:sz w:val="26"/>
          <w:szCs w:val="26"/>
        </w:rPr>
        <w:t xml:space="preserve"> </w:t>
      </w:r>
      <w:r w:rsidR="00F55738">
        <w:rPr>
          <w:sz w:val="26"/>
          <w:szCs w:val="26"/>
        </w:rPr>
        <w:t xml:space="preserve">would be prejudiced by the Complainant’s </w:t>
      </w:r>
      <w:r w:rsidR="00E06480">
        <w:rPr>
          <w:sz w:val="26"/>
          <w:szCs w:val="26"/>
        </w:rPr>
        <w:t xml:space="preserve">wasteful use of the resources.  </w:t>
      </w:r>
      <w:r w:rsidR="004F5FC3">
        <w:rPr>
          <w:sz w:val="26"/>
          <w:szCs w:val="26"/>
        </w:rPr>
        <w:t xml:space="preserve">PECO </w:t>
      </w:r>
      <w:r w:rsidR="00A37613">
        <w:rPr>
          <w:sz w:val="26"/>
          <w:szCs w:val="26"/>
        </w:rPr>
        <w:t xml:space="preserve">notes that it is </w:t>
      </w:r>
      <w:r w:rsidR="00210FE8">
        <w:rPr>
          <w:sz w:val="26"/>
          <w:szCs w:val="26"/>
        </w:rPr>
        <w:t>required to hold off on collection activities on the Complainant’s account balance because of the pending Complaint process</w:t>
      </w:r>
      <w:r w:rsidR="00586D9A">
        <w:rPr>
          <w:sz w:val="26"/>
          <w:szCs w:val="26"/>
        </w:rPr>
        <w:t>, and PECO believes that the Complainant is abusing the complaint process by filing multiple complaints with the Commission to avoid termination</w:t>
      </w:r>
      <w:r w:rsidR="00210FE8">
        <w:rPr>
          <w:sz w:val="26"/>
          <w:szCs w:val="26"/>
        </w:rPr>
        <w:t xml:space="preserve">.  </w:t>
      </w:r>
      <w:r w:rsidR="00586D9A" w:rsidRPr="00586D9A">
        <w:rPr>
          <w:i/>
          <w:sz w:val="26"/>
          <w:szCs w:val="26"/>
        </w:rPr>
        <w:t>Id</w:t>
      </w:r>
      <w:r w:rsidR="00586D9A">
        <w:rPr>
          <w:sz w:val="26"/>
          <w:szCs w:val="26"/>
        </w:rPr>
        <w:t>.</w:t>
      </w:r>
      <w:r w:rsidR="004F5FC3">
        <w:rPr>
          <w:sz w:val="26"/>
          <w:szCs w:val="26"/>
        </w:rPr>
        <w:t xml:space="preserve"> at </w:t>
      </w:r>
      <w:r w:rsidR="00E06480">
        <w:rPr>
          <w:sz w:val="26"/>
          <w:szCs w:val="26"/>
        </w:rPr>
        <w:t>4.</w:t>
      </w:r>
      <w:r w:rsidR="00586D9A">
        <w:rPr>
          <w:sz w:val="26"/>
          <w:szCs w:val="26"/>
        </w:rPr>
        <w:t xml:space="preserve">  </w:t>
      </w:r>
      <w:r w:rsidR="00E06480">
        <w:rPr>
          <w:sz w:val="26"/>
          <w:szCs w:val="26"/>
        </w:rPr>
        <w:t xml:space="preserve">  </w:t>
      </w:r>
    </w:p>
    <w:p w:rsidR="00DB44D9" w:rsidRPr="00A23FC4" w:rsidRDefault="00DB44D9" w:rsidP="00DB44D9">
      <w:pPr>
        <w:widowControl/>
        <w:spacing w:line="360" w:lineRule="auto"/>
        <w:ind w:firstLine="720"/>
        <w:rPr>
          <w:sz w:val="26"/>
          <w:szCs w:val="26"/>
        </w:rPr>
      </w:pPr>
    </w:p>
    <w:p w:rsidR="00DB44D9" w:rsidRPr="00C53C04" w:rsidRDefault="00DB44D9" w:rsidP="00574222">
      <w:pPr>
        <w:keepNext/>
        <w:widowControl/>
        <w:spacing w:line="360" w:lineRule="auto"/>
        <w:rPr>
          <w:sz w:val="26"/>
          <w:szCs w:val="26"/>
        </w:rPr>
      </w:pPr>
      <w:r w:rsidRPr="00C53C04">
        <w:rPr>
          <w:b/>
          <w:sz w:val="26"/>
          <w:szCs w:val="26"/>
        </w:rPr>
        <w:lastRenderedPageBreak/>
        <w:t>Disposition</w:t>
      </w:r>
    </w:p>
    <w:p w:rsidR="00DB44D9" w:rsidRPr="00C53C04" w:rsidRDefault="00DB44D9" w:rsidP="00DB44D9">
      <w:pPr>
        <w:keepNext/>
        <w:widowControl/>
        <w:spacing w:line="360" w:lineRule="auto"/>
        <w:ind w:firstLine="1440"/>
        <w:rPr>
          <w:sz w:val="26"/>
          <w:szCs w:val="26"/>
        </w:rPr>
      </w:pPr>
    </w:p>
    <w:p w:rsidR="00885DF3" w:rsidRPr="00885DF3" w:rsidRDefault="00885DF3" w:rsidP="009771C5">
      <w:pPr>
        <w:pStyle w:val="FootnoteText"/>
        <w:spacing w:line="360" w:lineRule="auto"/>
        <w:rPr>
          <w:color w:val="000000" w:themeColor="text1"/>
          <w:sz w:val="26"/>
          <w:szCs w:val="24"/>
        </w:rPr>
      </w:pPr>
      <w:r>
        <w:rPr>
          <w:sz w:val="26"/>
          <w:szCs w:val="26"/>
        </w:rPr>
        <w:tab/>
      </w:r>
      <w:r w:rsidR="009771C5">
        <w:rPr>
          <w:sz w:val="26"/>
          <w:szCs w:val="26"/>
        </w:rPr>
        <w:tab/>
      </w:r>
      <w:r w:rsidR="00D96046" w:rsidRPr="00885DF3">
        <w:rPr>
          <w:sz w:val="26"/>
          <w:szCs w:val="26"/>
        </w:rPr>
        <w:t xml:space="preserve">Based on our review of the record and the Exceptions and Replies to Exceptions, we shall </w:t>
      </w:r>
      <w:r w:rsidR="00D0445E" w:rsidRPr="00885DF3">
        <w:rPr>
          <w:sz w:val="26"/>
          <w:szCs w:val="26"/>
        </w:rPr>
        <w:t>deny</w:t>
      </w:r>
      <w:r w:rsidR="00D96046" w:rsidRPr="00885DF3">
        <w:rPr>
          <w:sz w:val="26"/>
          <w:szCs w:val="26"/>
        </w:rPr>
        <w:t xml:space="preserve"> the Complainant’s Exceptions</w:t>
      </w:r>
      <w:r w:rsidR="00D0445E" w:rsidRPr="00885DF3">
        <w:rPr>
          <w:sz w:val="26"/>
          <w:szCs w:val="26"/>
        </w:rPr>
        <w:t xml:space="preserve"> and adopt the Initial Decision</w:t>
      </w:r>
      <w:r w:rsidR="00D96046" w:rsidRPr="00885DF3">
        <w:rPr>
          <w:sz w:val="26"/>
          <w:szCs w:val="26"/>
        </w:rPr>
        <w:t>.</w:t>
      </w:r>
      <w:r w:rsidR="006025B8" w:rsidRPr="00885DF3">
        <w:rPr>
          <w:sz w:val="26"/>
          <w:szCs w:val="26"/>
        </w:rPr>
        <w:t xml:space="preserve"> </w:t>
      </w:r>
      <w:r w:rsidRPr="00885DF3">
        <w:rPr>
          <w:color w:val="000000" w:themeColor="text1"/>
          <w:sz w:val="26"/>
          <w:szCs w:val="24"/>
        </w:rPr>
        <w:t xml:space="preserve">In reviewing this matter, </w:t>
      </w:r>
      <w:r w:rsidR="0061210D">
        <w:rPr>
          <w:color w:val="000000" w:themeColor="text1"/>
          <w:sz w:val="26"/>
          <w:szCs w:val="24"/>
        </w:rPr>
        <w:t>we</w:t>
      </w:r>
      <w:r w:rsidRPr="00885DF3">
        <w:rPr>
          <w:color w:val="000000" w:themeColor="text1"/>
          <w:sz w:val="26"/>
          <w:szCs w:val="24"/>
        </w:rPr>
        <w:t xml:space="preserve"> a</w:t>
      </w:r>
      <w:r w:rsidR="0061210D">
        <w:rPr>
          <w:color w:val="000000" w:themeColor="text1"/>
          <w:sz w:val="26"/>
          <w:szCs w:val="24"/>
        </w:rPr>
        <w:t>re</w:t>
      </w:r>
      <w:r w:rsidRPr="00885DF3">
        <w:rPr>
          <w:color w:val="000000" w:themeColor="text1"/>
          <w:sz w:val="26"/>
          <w:szCs w:val="24"/>
        </w:rPr>
        <w:t xml:space="preserve"> guided by Commission precedent involving the reversal or modification of Initial Decisions where Complaints had been dismissed with prejudice for failure to appear at evidentiary hearings.  The Commission has, on rare occasions, reversed or otherwise modified these Initial Decisions where the record showed that the Complainant had made a good faith effort to participate in the evidentiary hearing. </w:t>
      </w:r>
      <w:r w:rsidR="0061210D" w:rsidRPr="0061210D">
        <w:rPr>
          <w:i/>
          <w:sz w:val="26"/>
          <w:szCs w:val="22"/>
        </w:rPr>
        <w:t>Wiggins v. PECO Energy Company</w:t>
      </w:r>
      <w:r w:rsidR="0061210D" w:rsidRPr="0061210D">
        <w:rPr>
          <w:sz w:val="26"/>
          <w:szCs w:val="22"/>
        </w:rPr>
        <w:t xml:space="preserve">, </w:t>
      </w:r>
      <w:r w:rsidR="0061210D">
        <w:rPr>
          <w:sz w:val="26"/>
          <w:szCs w:val="22"/>
        </w:rPr>
        <w:t xml:space="preserve">Docket No. </w:t>
      </w:r>
      <w:r w:rsidR="0061210D" w:rsidRPr="0061210D">
        <w:rPr>
          <w:sz w:val="26"/>
          <w:szCs w:val="22"/>
        </w:rPr>
        <w:t>C-2010-2190335 (Order entered October 27, 2011).</w:t>
      </w:r>
      <w:r w:rsidR="0061210D">
        <w:rPr>
          <w:sz w:val="26"/>
          <w:szCs w:val="22"/>
        </w:rPr>
        <w:t xml:space="preserve">  </w:t>
      </w:r>
      <w:r w:rsidRPr="00885DF3">
        <w:rPr>
          <w:color w:val="000000" w:themeColor="text1"/>
          <w:sz w:val="26"/>
          <w:szCs w:val="24"/>
        </w:rPr>
        <w:t>The Commission has also permitted the withdrawal of applications</w:t>
      </w:r>
      <w:r w:rsidR="0061210D">
        <w:rPr>
          <w:color w:val="000000" w:themeColor="text1"/>
          <w:sz w:val="26"/>
          <w:szCs w:val="24"/>
        </w:rPr>
        <w:t>,</w:t>
      </w:r>
      <w:r w:rsidRPr="00885DF3">
        <w:rPr>
          <w:color w:val="000000" w:themeColor="text1"/>
          <w:sz w:val="26"/>
          <w:szCs w:val="24"/>
        </w:rPr>
        <w:t xml:space="preserve"> instead of denials, where the applicant had properly filed the withdrawal with the </w:t>
      </w:r>
      <w:r w:rsidR="00985430">
        <w:rPr>
          <w:color w:val="000000" w:themeColor="text1"/>
          <w:sz w:val="26"/>
          <w:szCs w:val="24"/>
        </w:rPr>
        <w:t xml:space="preserve">Commission’s </w:t>
      </w:r>
      <w:r w:rsidRPr="00885DF3">
        <w:rPr>
          <w:color w:val="000000" w:themeColor="text1"/>
          <w:sz w:val="26"/>
          <w:szCs w:val="24"/>
        </w:rPr>
        <w:t>Secretary and there was no sign of abuse of the Commission</w:t>
      </w:r>
      <w:r w:rsidR="0061210D">
        <w:rPr>
          <w:color w:val="000000" w:themeColor="text1"/>
          <w:sz w:val="26"/>
          <w:szCs w:val="24"/>
        </w:rPr>
        <w:t>’</w:t>
      </w:r>
      <w:r w:rsidRPr="00885DF3">
        <w:rPr>
          <w:color w:val="000000" w:themeColor="text1"/>
          <w:sz w:val="26"/>
          <w:szCs w:val="24"/>
        </w:rPr>
        <w:t xml:space="preserve">s processes.  </w:t>
      </w:r>
      <w:r w:rsidR="0061210D" w:rsidRPr="0061210D">
        <w:rPr>
          <w:i/>
          <w:sz w:val="26"/>
          <w:szCs w:val="22"/>
        </w:rPr>
        <w:t>Application of Comfort Trans, LLC</w:t>
      </w:r>
      <w:r w:rsidR="009771C5">
        <w:rPr>
          <w:sz w:val="26"/>
          <w:szCs w:val="22"/>
        </w:rPr>
        <w:t>,</w:t>
      </w:r>
      <w:r w:rsidR="0061210D" w:rsidRPr="0061210D">
        <w:rPr>
          <w:i/>
          <w:sz w:val="26"/>
          <w:szCs w:val="22"/>
        </w:rPr>
        <w:t xml:space="preserve"> </w:t>
      </w:r>
      <w:r w:rsidR="0061210D" w:rsidRPr="0061210D">
        <w:rPr>
          <w:sz w:val="26"/>
          <w:szCs w:val="22"/>
        </w:rPr>
        <w:t>Docket No. A-2016-2549430 (Order entered January 6, 2017)</w:t>
      </w:r>
      <w:r w:rsidR="009771C5">
        <w:rPr>
          <w:sz w:val="26"/>
          <w:szCs w:val="22"/>
        </w:rPr>
        <w:t>;</w:t>
      </w:r>
      <w:r w:rsidR="0061210D" w:rsidRPr="0061210D">
        <w:rPr>
          <w:sz w:val="26"/>
          <w:szCs w:val="22"/>
        </w:rPr>
        <w:t xml:space="preserve"> </w:t>
      </w:r>
      <w:r w:rsidR="0061210D" w:rsidRPr="0061210D">
        <w:rPr>
          <w:i/>
          <w:sz w:val="26"/>
          <w:szCs w:val="22"/>
        </w:rPr>
        <w:t>Application of Blessed Transportation, LLC,</w:t>
      </w:r>
      <w:r w:rsidR="0061210D" w:rsidRPr="0061210D">
        <w:rPr>
          <w:sz w:val="26"/>
          <w:szCs w:val="22"/>
        </w:rPr>
        <w:t xml:space="preserve"> Docket No. A-2015-2549943 (Order entered January 6, 2017).</w:t>
      </w:r>
      <w:r w:rsidR="009771C5">
        <w:rPr>
          <w:sz w:val="26"/>
          <w:szCs w:val="22"/>
        </w:rPr>
        <w:t xml:space="preserve">  </w:t>
      </w:r>
    </w:p>
    <w:p w:rsidR="00885DF3" w:rsidRPr="00885DF3" w:rsidRDefault="00885DF3" w:rsidP="009771C5">
      <w:pPr>
        <w:widowControl/>
        <w:spacing w:line="360" w:lineRule="auto"/>
        <w:ind w:firstLine="720"/>
        <w:rPr>
          <w:color w:val="000000" w:themeColor="text1"/>
          <w:sz w:val="26"/>
          <w:szCs w:val="24"/>
        </w:rPr>
      </w:pPr>
    </w:p>
    <w:p w:rsidR="003E49D9" w:rsidRDefault="009771C5" w:rsidP="009D515D">
      <w:pPr>
        <w:widowControl/>
        <w:spacing w:line="360" w:lineRule="auto"/>
        <w:ind w:firstLine="720"/>
        <w:rPr>
          <w:color w:val="000000" w:themeColor="text1"/>
          <w:sz w:val="26"/>
          <w:szCs w:val="24"/>
        </w:rPr>
      </w:pPr>
      <w:r>
        <w:rPr>
          <w:color w:val="000000" w:themeColor="text1"/>
          <w:sz w:val="26"/>
          <w:szCs w:val="24"/>
        </w:rPr>
        <w:tab/>
      </w:r>
      <w:r w:rsidR="00885DF3" w:rsidRPr="00885DF3">
        <w:rPr>
          <w:color w:val="000000" w:themeColor="text1"/>
          <w:sz w:val="26"/>
          <w:szCs w:val="24"/>
        </w:rPr>
        <w:t xml:space="preserve">However, none of these precedents </w:t>
      </w:r>
      <w:r w:rsidR="00E93998">
        <w:rPr>
          <w:color w:val="000000" w:themeColor="text1"/>
          <w:sz w:val="26"/>
          <w:szCs w:val="24"/>
        </w:rPr>
        <w:t>is</w:t>
      </w:r>
      <w:r w:rsidR="00885DF3" w:rsidRPr="00885DF3">
        <w:rPr>
          <w:color w:val="000000" w:themeColor="text1"/>
          <w:sz w:val="26"/>
          <w:szCs w:val="24"/>
        </w:rPr>
        <w:t xml:space="preserve"> applicable to this case.  There is no evidence that the Complainant made a good faith effort to attend the hearing or alleged any other unique circumstance to warrant his absence.  In fact, the Complainant was aware of the date of the hearing, as evidenced by the request to withdraw the Complaint the day before </w:t>
      </w:r>
      <w:r>
        <w:rPr>
          <w:color w:val="000000" w:themeColor="text1"/>
          <w:sz w:val="26"/>
          <w:szCs w:val="24"/>
        </w:rPr>
        <w:t>the scheduled hearing</w:t>
      </w:r>
      <w:r w:rsidR="00885DF3" w:rsidRPr="00885DF3">
        <w:rPr>
          <w:color w:val="000000" w:themeColor="text1"/>
          <w:sz w:val="26"/>
          <w:szCs w:val="24"/>
        </w:rPr>
        <w:t>.  A</w:t>
      </w:r>
      <w:r>
        <w:rPr>
          <w:color w:val="000000" w:themeColor="text1"/>
          <w:sz w:val="26"/>
          <w:szCs w:val="24"/>
        </w:rPr>
        <w:t>dditionally</w:t>
      </w:r>
      <w:r w:rsidR="00885DF3" w:rsidRPr="00885DF3">
        <w:rPr>
          <w:color w:val="000000" w:themeColor="text1"/>
          <w:sz w:val="26"/>
          <w:szCs w:val="24"/>
        </w:rPr>
        <w:t xml:space="preserve">, as PECO notes, this </w:t>
      </w:r>
      <w:r w:rsidR="009D515D">
        <w:rPr>
          <w:color w:val="000000" w:themeColor="text1"/>
          <w:sz w:val="26"/>
          <w:szCs w:val="24"/>
        </w:rPr>
        <w:t>Complainant</w:t>
      </w:r>
      <w:r w:rsidR="00885DF3" w:rsidRPr="00885DF3">
        <w:rPr>
          <w:color w:val="000000" w:themeColor="text1"/>
          <w:sz w:val="26"/>
          <w:szCs w:val="24"/>
        </w:rPr>
        <w:t xml:space="preserve"> </w:t>
      </w:r>
    </w:p>
    <w:p w:rsidR="003E49D9" w:rsidRDefault="003E49D9">
      <w:pPr>
        <w:widowControl/>
        <w:spacing w:after="200" w:line="276" w:lineRule="auto"/>
        <w:rPr>
          <w:color w:val="000000" w:themeColor="text1"/>
          <w:sz w:val="26"/>
          <w:szCs w:val="24"/>
        </w:rPr>
      </w:pPr>
      <w:r>
        <w:rPr>
          <w:color w:val="000000" w:themeColor="text1"/>
          <w:sz w:val="26"/>
          <w:szCs w:val="24"/>
        </w:rPr>
        <w:br w:type="page"/>
      </w:r>
    </w:p>
    <w:p w:rsidR="0087429D" w:rsidRDefault="00885DF3" w:rsidP="00780129">
      <w:pPr>
        <w:widowControl/>
        <w:spacing w:line="360" w:lineRule="auto"/>
        <w:rPr>
          <w:color w:val="000000" w:themeColor="text1"/>
          <w:sz w:val="26"/>
          <w:szCs w:val="24"/>
        </w:rPr>
      </w:pPr>
      <w:r w:rsidRPr="00885DF3">
        <w:rPr>
          <w:color w:val="000000" w:themeColor="text1"/>
          <w:sz w:val="26"/>
          <w:szCs w:val="24"/>
        </w:rPr>
        <w:lastRenderedPageBreak/>
        <w:t xml:space="preserve">should be very familiar with Commission procedures regarding complaint proceedings, </w:t>
      </w:r>
    </w:p>
    <w:p w:rsidR="00885DF3" w:rsidRPr="00885DF3" w:rsidRDefault="00885DF3" w:rsidP="00780129">
      <w:pPr>
        <w:widowControl/>
        <w:spacing w:after="200" w:line="276" w:lineRule="auto"/>
        <w:rPr>
          <w:color w:val="000000" w:themeColor="text1"/>
          <w:sz w:val="26"/>
          <w:szCs w:val="24"/>
        </w:rPr>
      </w:pPr>
      <w:r w:rsidRPr="00885DF3">
        <w:rPr>
          <w:color w:val="000000" w:themeColor="text1"/>
          <w:sz w:val="26"/>
          <w:szCs w:val="24"/>
        </w:rPr>
        <w:t>having previously filed six informal and seven formal complaints with this Commission.</w:t>
      </w:r>
      <w:r w:rsidRPr="00885DF3">
        <w:rPr>
          <w:color w:val="000000" w:themeColor="text1"/>
          <w:sz w:val="26"/>
          <w:szCs w:val="24"/>
          <w:vertAlign w:val="superscript"/>
        </w:rPr>
        <w:footnoteReference w:id="5"/>
      </w:r>
      <w:r w:rsidRPr="00885DF3">
        <w:rPr>
          <w:color w:val="000000" w:themeColor="text1"/>
          <w:sz w:val="26"/>
          <w:szCs w:val="24"/>
        </w:rPr>
        <w:t xml:space="preserve"> </w:t>
      </w:r>
    </w:p>
    <w:p w:rsidR="00885DF3" w:rsidRPr="00885DF3" w:rsidRDefault="00885DF3" w:rsidP="00885DF3">
      <w:pPr>
        <w:widowControl/>
        <w:spacing w:line="360" w:lineRule="auto"/>
        <w:ind w:firstLine="720"/>
        <w:rPr>
          <w:color w:val="000000" w:themeColor="text1"/>
          <w:sz w:val="26"/>
          <w:szCs w:val="24"/>
        </w:rPr>
      </w:pPr>
    </w:p>
    <w:p w:rsidR="00885DF3" w:rsidRPr="00885DF3" w:rsidRDefault="004968B7" w:rsidP="00885DF3">
      <w:pPr>
        <w:widowControl/>
        <w:spacing w:line="360" w:lineRule="auto"/>
        <w:ind w:firstLine="720"/>
        <w:rPr>
          <w:color w:val="000000" w:themeColor="text1"/>
          <w:sz w:val="26"/>
          <w:szCs w:val="24"/>
        </w:rPr>
      </w:pPr>
      <w:r>
        <w:rPr>
          <w:color w:val="000000" w:themeColor="text1"/>
          <w:sz w:val="26"/>
          <w:szCs w:val="24"/>
        </w:rPr>
        <w:tab/>
      </w:r>
      <w:r w:rsidR="00885DF3" w:rsidRPr="00885DF3">
        <w:rPr>
          <w:color w:val="000000" w:themeColor="text1"/>
          <w:sz w:val="26"/>
          <w:szCs w:val="24"/>
        </w:rPr>
        <w:t xml:space="preserve">Additionally, even if the Complainant’s letter of March 30, 2016 is treated as a Petition to Withdraw the Complaint, it should not be granted.  Petitions to withdraw are governed by Section 5.94 of the Commission’s </w:t>
      </w:r>
      <w:r w:rsidR="00550521">
        <w:rPr>
          <w:color w:val="000000" w:themeColor="text1"/>
          <w:sz w:val="26"/>
          <w:szCs w:val="24"/>
        </w:rPr>
        <w:t>R</w:t>
      </w:r>
      <w:r w:rsidR="00885DF3" w:rsidRPr="00885DF3">
        <w:rPr>
          <w:color w:val="000000" w:themeColor="text1"/>
          <w:sz w:val="26"/>
          <w:szCs w:val="24"/>
        </w:rPr>
        <w:t xml:space="preserve">egulations, </w:t>
      </w:r>
      <w:r w:rsidR="00550521">
        <w:rPr>
          <w:color w:val="000000" w:themeColor="text1"/>
          <w:sz w:val="26"/>
          <w:szCs w:val="24"/>
        </w:rPr>
        <w:t xml:space="preserve">52 Pa. Code § 5.94, </w:t>
      </w:r>
      <w:r w:rsidR="00885DF3" w:rsidRPr="00885DF3">
        <w:rPr>
          <w:color w:val="000000" w:themeColor="text1"/>
          <w:sz w:val="26"/>
          <w:szCs w:val="24"/>
        </w:rPr>
        <w:t xml:space="preserve">which specifies that when considering the request, the </w:t>
      </w:r>
      <w:r w:rsidR="00885DF3" w:rsidRPr="00885DF3">
        <w:rPr>
          <w:sz w:val="26"/>
          <w:szCs w:val="24"/>
        </w:rPr>
        <w:t>Commission must consider the petition, any objections thereto</w:t>
      </w:r>
      <w:r w:rsidR="00550521">
        <w:rPr>
          <w:sz w:val="26"/>
          <w:szCs w:val="24"/>
        </w:rPr>
        <w:t>,</w:t>
      </w:r>
      <w:r w:rsidR="00885DF3" w:rsidRPr="00885DF3">
        <w:rPr>
          <w:sz w:val="26"/>
          <w:szCs w:val="24"/>
        </w:rPr>
        <w:t xml:space="preserve"> and the public interest.  Here, </w:t>
      </w:r>
      <w:r w:rsidR="00885DF3" w:rsidRPr="00885DF3">
        <w:rPr>
          <w:color w:val="000000" w:themeColor="text1"/>
          <w:sz w:val="26"/>
          <w:szCs w:val="24"/>
        </w:rPr>
        <w:t>the request was made one day prior to the scheduled hearing, and PECO objected to the request.  Moreover, the basis for the withdrawal was the Complainant’s request for mediation.  However, upon further review, it is clear the Complainant was not abandoning his cause of action; rather, he was simply seeking to change the manner in which it would be brought to resolution. This is evident by the fact that</w:t>
      </w:r>
      <w:r w:rsidR="008E1611">
        <w:rPr>
          <w:color w:val="000000" w:themeColor="text1"/>
          <w:sz w:val="26"/>
          <w:szCs w:val="24"/>
        </w:rPr>
        <w:t>, in his</w:t>
      </w:r>
      <w:r w:rsidR="00885DF3" w:rsidRPr="00885DF3">
        <w:rPr>
          <w:color w:val="000000" w:themeColor="text1"/>
          <w:sz w:val="26"/>
          <w:szCs w:val="24"/>
        </w:rPr>
        <w:t xml:space="preserve"> Exceptions</w:t>
      </w:r>
      <w:r w:rsidR="008E1611">
        <w:rPr>
          <w:color w:val="000000" w:themeColor="text1"/>
          <w:sz w:val="26"/>
          <w:szCs w:val="24"/>
        </w:rPr>
        <w:t xml:space="preserve"> to the Initial Decision, the Complainant</w:t>
      </w:r>
      <w:r w:rsidR="00885DF3" w:rsidRPr="00885DF3">
        <w:rPr>
          <w:color w:val="000000" w:themeColor="text1"/>
          <w:sz w:val="26"/>
          <w:szCs w:val="24"/>
        </w:rPr>
        <w:t xml:space="preserve"> inquir</w:t>
      </w:r>
      <w:r w:rsidR="008E1611">
        <w:rPr>
          <w:color w:val="000000" w:themeColor="text1"/>
          <w:sz w:val="26"/>
          <w:szCs w:val="24"/>
        </w:rPr>
        <w:t>es</w:t>
      </w:r>
      <w:r w:rsidR="00885DF3" w:rsidRPr="00885DF3">
        <w:rPr>
          <w:color w:val="000000" w:themeColor="text1"/>
          <w:sz w:val="26"/>
          <w:szCs w:val="24"/>
        </w:rPr>
        <w:t xml:space="preserve"> as to the status of his mediation request</w:t>
      </w:r>
      <w:r w:rsidR="008E1611">
        <w:rPr>
          <w:color w:val="000000" w:themeColor="text1"/>
          <w:sz w:val="26"/>
          <w:szCs w:val="24"/>
        </w:rPr>
        <w:t xml:space="preserve"> and also</w:t>
      </w:r>
      <w:r w:rsidR="00885DF3" w:rsidRPr="00885DF3">
        <w:rPr>
          <w:color w:val="000000" w:themeColor="text1"/>
          <w:sz w:val="26"/>
          <w:szCs w:val="24"/>
        </w:rPr>
        <w:t xml:space="preserve"> </w:t>
      </w:r>
      <w:r w:rsidR="008E1611">
        <w:rPr>
          <w:color w:val="000000" w:themeColor="text1"/>
          <w:sz w:val="26"/>
          <w:szCs w:val="24"/>
        </w:rPr>
        <w:t xml:space="preserve">seeks </w:t>
      </w:r>
      <w:r w:rsidR="00885DF3" w:rsidRPr="00885DF3">
        <w:rPr>
          <w:color w:val="000000" w:themeColor="text1"/>
          <w:sz w:val="26"/>
          <w:szCs w:val="24"/>
        </w:rPr>
        <w:t xml:space="preserve">a substantive resolution </w:t>
      </w:r>
      <w:r w:rsidR="00885DF3" w:rsidRPr="00885DF3">
        <w:rPr>
          <w:color w:val="000000" w:themeColor="text1"/>
          <w:sz w:val="26"/>
          <w:szCs w:val="24"/>
        </w:rPr>
        <w:lastRenderedPageBreak/>
        <w:t xml:space="preserve">on his payment arrangement request.  </w:t>
      </w:r>
      <w:r w:rsidR="00550521">
        <w:rPr>
          <w:color w:val="000000" w:themeColor="text1"/>
          <w:sz w:val="26"/>
          <w:szCs w:val="24"/>
        </w:rPr>
        <w:t>U</w:t>
      </w:r>
      <w:r w:rsidR="00885DF3" w:rsidRPr="00885DF3">
        <w:rPr>
          <w:color w:val="000000" w:themeColor="text1"/>
          <w:sz w:val="26"/>
          <w:szCs w:val="24"/>
        </w:rPr>
        <w:t>nder our procedural rules, a party cannot simultaneously ask to withdraw a complaint and ask that it be assigned for mediation.</w:t>
      </w:r>
      <w:r w:rsidR="00885DF3" w:rsidRPr="00885DF3">
        <w:rPr>
          <w:color w:val="000000" w:themeColor="text1"/>
          <w:sz w:val="26"/>
          <w:szCs w:val="24"/>
          <w:vertAlign w:val="superscript"/>
        </w:rPr>
        <w:footnoteReference w:id="6"/>
      </w:r>
      <w:r w:rsidR="00885DF3" w:rsidRPr="00885DF3">
        <w:rPr>
          <w:color w:val="000000" w:themeColor="text1"/>
          <w:sz w:val="26"/>
          <w:szCs w:val="24"/>
        </w:rPr>
        <w:t xml:space="preserve">  Rather, our process is that the complaint remains pending subject to the outcome of the mediation.  For these reasons, </w:t>
      </w:r>
      <w:r w:rsidR="00292439">
        <w:rPr>
          <w:color w:val="000000" w:themeColor="text1"/>
          <w:sz w:val="26"/>
          <w:szCs w:val="24"/>
        </w:rPr>
        <w:t>we</w:t>
      </w:r>
      <w:r w:rsidR="00885DF3" w:rsidRPr="00885DF3">
        <w:rPr>
          <w:color w:val="000000" w:themeColor="text1"/>
          <w:sz w:val="26"/>
          <w:szCs w:val="24"/>
        </w:rPr>
        <w:t xml:space="preserve"> do not believe it would be in the public interest to grant the request to withdraw the Complaint.</w:t>
      </w:r>
    </w:p>
    <w:p w:rsidR="00885DF3" w:rsidRPr="00885DF3" w:rsidRDefault="00885DF3" w:rsidP="00885DF3">
      <w:pPr>
        <w:widowControl/>
        <w:spacing w:line="360" w:lineRule="auto"/>
        <w:ind w:firstLine="720"/>
        <w:rPr>
          <w:color w:val="000000" w:themeColor="text1"/>
          <w:sz w:val="26"/>
          <w:szCs w:val="24"/>
        </w:rPr>
      </w:pPr>
    </w:p>
    <w:p w:rsidR="00885DF3" w:rsidRPr="00885DF3" w:rsidRDefault="00292439" w:rsidP="00885DF3">
      <w:pPr>
        <w:widowControl/>
        <w:spacing w:line="360" w:lineRule="auto"/>
        <w:ind w:firstLine="720"/>
        <w:rPr>
          <w:color w:val="000000" w:themeColor="text1"/>
          <w:sz w:val="26"/>
          <w:szCs w:val="24"/>
        </w:rPr>
      </w:pPr>
      <w:r>
        <w:rPr>
          <w:color w:val="000000" w:themeColor="text1"/>
          <w:sz w:val="26"/>
          <w:szCs w:val="24"/>
        </w:rPr>
        <w:tab/>
      </w:r>
      <w:r w:rsidR="00885DF3" w:rsidRPr="00885DF3">
        <w:rPr>
          <w:color w:val="000000" w:themeColor="text1"/>
          <w:sz w:val="26"/>
          <w:szCs w:val="24"/>
        </w:rPr>
        <w:t xml:space="preserve">Furthermore, a request to withdraw a complaint and/or to mediate a complaint does not automatically stay the scheduled hearing date. </w:t>
      </w:r>
      <w:r w:rsidR="00B248CD">
        <w:rPr>
          <w:color w:val="000000" w:themeColor="text1"/>
          <w:sz w:val="26"/>
          <w:szCs w:val="24"/>
        </w:rPr>
        <w:t xml:space="preserve"> As set forth in the Hearing Notice and Prehearing Order</w:t>
      </w:r>
      <w:r w:rsidR="00885DF3" w:rsidRPr="00885DF3">
        <w:rPr>
          <w:color w:val="000000" w:themeColor="text1"/>
          <w:sz w:val="26"/>
          <w:szCs w:val="24"/>
        </w:rPr>
        <w:t>, the proper procedure to change a hearing date is to request a continuance in writing no later than five business days prior to the hearing.  No such request was made by the Complainant in this case.</w:t>
      </w:r>
    </w:p>
    <w:p w:rsidR="00885DF3" w:rsidRPr="00885DF3" w:rsidRDefault="00885DF3" w:rsidP="00885DF3">
      <w:pPr>
        <w:widowControl/>
        <w:spacing w:line="360" w:lineRule="auto"/>
        <w:ind w:firstLine="720"/>
        <w:rPr>
          <w:color w:val="000000" w:themeColor="text1"/>
          <w:sz w:val="26"/>
          <w:szCs w:val="24"/>
        </w:rPr>
      </w:pPr>
    </w:p>
    <w:p w:rsidR="00885DF3" w:rsidRPr="00885DF3" w:rsidRDefault="00D32D46" w:rsidP="00885DF3">
      <w:pPr>
        <w:widowControl/>
        <w:spacing w:line="360" w:lineRule="auto"/>
        <w:ind w:firstLine="720"/>
        <w:rPr>
          <w:color w:val="000000" w:themeColor="text1"/>
          <w:sz w:val="26"/>
          <w:szCs w:val="24"/>
        </w:rPr>
      </w:pPr>
      <w:r>
        <w:rPr>
          <w:color w:val="000000" w:themeColor="text1"/>
          <w:sz w:val="26"/>
          <w:szCs w:val="24"/>
        </w:rPr>
        <w:tab/>
      </w:r>
      <w:r w:rsidR="00885DF3" w:rsidRPr="00885DF3">
        <w:rPr>
          <w:color w:val="000000" w:themeColor="text1"/>
          <w:sz w:val="26"/>
          <w:szCs w:val="24"/>
        </w:rPr>
        <w:t xml:space="preserve">By not attending the hearing, the Complainant took the risk that his Complaint would be dismissed, as explained in the Hearing Notice and Prehearing Order.  Granting the request to withdraw </w:t>
      </w:r>
      <w:r>
        <w:rPr>
          <w:color w:val="000000" w:themeColor="text1"/>
          <w:sz w:val="26"/>
          <w:szCs w:val="24"/>
        </w:rPr>
        <w:t xml:space="preserve">would </w:t>
      </w:r>
      <w:r w:rsidR="00A835D5">
        <w:rPr>
          <w:color w:val="000000" w:themeColor="text1"/>
          <w:sz w:val="26"/>
          <w:szCs w:val="24"/>
        </w:rPr>
        <w:t>effectively result in</w:t>
      </w:r>
      <w:r w:rsidR="00885DF3" w:rsidRPr="00885DF3">
        <w:rPr>
          <w:color w:val="000000" w:themeColor="text1"/>
          <w:sz w:val="26"/>
          <w:szCs w:val="24"/>
        </w:rPr>
        <w:t xml:space="preserve"> a dismissal </w:t>
      </w:r>
      <w:r w:rsidR="00A835D5">
        <w:rPr>
          <w:color w:val="000000" w:themeColor="text1"/>
          <w:sz w:val="26"/>
          <w:szCs w:val="24"/>
        </w:rPr>
        <w:t xml:space="preserve">of the Complaint </w:t>
      </w:r>
      <w:r w:rsidR="00885DF3" w:rsidRPr="00885DF3">
        <w:rPr>
          <w:color w:val="000000" w:themeColor="text1"/>
          <w:sz w:val="26"/>
          <w:szCs w:val="24"/>
        </w:rPr>
        <w:t>without prejudice, to the prejudice o</w:t>
      </w:r>
      <w:r>
        <w:rPr>
          <w:color w:val="000000" w:themeColor="text1"/>
          <w:sz w:val="26"/>
          <w:szCs w:val="24"/>
        </w:rPr>
        <w:t>f</w:t>
      </w:r>
      <w:r w:rsidR="00885DF3" w:rsidRPr="00885DF3">
        <w:rPr>
          <w:color w:val="000000" w:themeColor="text1"/>
          <w:sz w:val="26"/>
          <w:szCs w:val="24"/>
        </w:rPr>
        <w:t xml:space="preserve"> PECO’s interests in the timely resolution of the underlying dispute, which involves an arrearage in excess of $6,000, and the Commission’s interest in judicial economy.  By allowing this form of contested withdrawals of complaints on the eve of evidentiary hearings, a precedent could be established by which parties could game the procedural rules of the Commission to indefinitely delay a decision on the merits of the underlying dispute to the prejudice of other parties and the Commission.</w:t>
      </w:r>
    </w:p>
    <w:p w:rsidR="00885DF3" w:rsidRPr="00885DF3" w:rsidRDefault="00885DF3" w:rsidP="00885DF3">
      <w:pPr>
        <w:widowControl/>
        <w:spacing w:line="360" w:lineRule="auto"/>
        <w:ind w:firstLine="720"/>
        <w:rPr>
          <w:color w:val="000000" w:themeColor="text1"/>
          <w:sz w:val="26"/>
          <w:szCs w:val="24"/>
        </w:rPr>
      </w:pPr>
    </w:p>
    <w:p w:rsidR="00046093" w:rsidRPr="00885DF3" w:rsidRDefault="006025B8" w:rsidP="00885DF3">
      <w:pPr>
        <w:widowControl/>
        <w:spacing w:line="360" w:lineRule="auto"/>
        <w:rPr>
          <w:sz w:val="26"/>
          <w:szCs w:val="26"/>
        </w:rPr>
      </w:pPr>
      <w:r w:rsidRPr="00885DF3">
        <w:rPr>
          <w:sz w:val="26"/>
          <w:szCs w:val="26"/>
        </w:rPr>
        <w:t xml:space="preserve"> </w:t>
      </w:r>
      <w:r w:rsidR="00D96046" w:rsidRPr="00885DF3">
        <w:rPr>
          <w:sz w:val="26"/>
          <w:szCs w:val="26"/>
        </w:rPr>
        <w:t xml:space="preserve">  </w:t>
      </w:r>
    </w:p>
    <w:p w:rsidR="00046093" w:rsidRPr="00885DF3" w:rsidRDefault="00046093" w:rsidP="00885DF3">
      <w:pPr>
        <w:widowControl/>
        <w:spacing w:after="200" w:line="360" w:lineRule="auto"/>
        <w:rPr>
          <w:sz w:val="26"/>
          <w:szCs w:val="26"/>
        </w:rPr>
      </w:pPr>
      <w:r w:rsidRPr="00885DF3">
        <w:rPr>
          <w:sz w:val="26"/>
          <w:szCs w:val="26"/>
        </w:rPr>
        <w:br w:type="page"/>
      </w:r>
    </w:p>
    <w:p w:rsidR="00DB44D9" w:rsidRPr="00D32C49" w:rsidRDefault="00DB44D9" w:rsidP="00D32D46">
      <w:pPr>
        <w:widowControl/>
        <w:spacing w:line="360" w:lineRule="auto"/>
        <w:jc w:val="center"/>
        <w:rPr>
          <w:sz w:val="26"/>
        </w:rPr>
      </w:pPr>
      <w:r w:rsidRPr="00D32C49">
        <w:rPr>
          <w:b/>
          <w:sz w:val="26"/>
        </w:rPr>
        <w:lastRenderedPageBreak/>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we shall</w:t>
      </w:r>
      <w:r w:rsidR="009C6AB7">
        <w:rPr>
          <w:sz w:val="26"/>
        </w:rPr>
        <w:t xml:space="preserve"> deny</w:t>
      </w:r>
      <w:r w:rsidR="00DB44D9" w:rsidRPr="00D32C49">
        <w:rPr>
          <w:sz w:val="26"/>
        </w:rPr>
        <w:t xml:space="preserve"> the Complainant’s Exceptions</w:t>
      </w:r>
      <w:r w:rsidR="009C6AB7">
        <w:rPr>
          <w:sz w:val="26"/>
        </w:rPr>
        <w:t xml:space="preserve"> </w:t>
      </w:r>
      <w:r w:rsidR="00EC2540">
        <w:rPr>
          <w:sz w:val="26"/>
        </w:rPr>
        <w:t xml:space="preserve">and </w:t>
      </w:r>
      <w:r w:rsidR="009C6AB7">
        <w:rPr>
          <w:sz w:val="26"/>
        </w:rPr>
        <w:t>adopt</w:t>
      </w:r>
      <w:r w:rsidR="008B708E">
        <w:rPr>
          <w:sz w:val="26"/>
        </w:rPr>
        <w:t xml:space="preserve"> the ALJ’s Initial Decision, </w:t>
      </w:r>
      <w:r w:rsidR="00796D03">
        <w:rPr>
          <w:sz w:val="26"/>
        </w:rPr>
        <w:t>consistent with this Opinion and Order</w:t>
      </w:r>
      <w:r w:rsidR="008B708E">
        <w:rPr>
          <w:sz w:val="26"/>
        </w:rPr>
        <w:t>;</w:t>
      </w:r>
      <w:r w:rsidR="00796D03">
        <w:rPr>
          <w:sz w:val="26"/>
        </w:rPr>
        <w:t xml:space="preserve"> </w:t>
      </w:r>
      <w:r w:rsidR="00DB44D9" w:rsidRPr="00D32C49">
        <w:rPr>
          <w:b/>
          <w:sz w:val="26"/>
        </w:rPr>
        <w:t>THEREFORE,</w:t>
      </w:r>
    </w:p>
    <w:p w:rsidR="006B213C" w:rsidRDefault="006B213C">
      <w:pPr>
        <w:widowControl/>
        <w:spacing w:after="200" w:line="276" w:lineRule="auto"/>
        <w:rPr>
          <w:b/>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8F3188">
        <w:rPr>
          <w:sz w:val="26"/>
        </w:rPr>
        <w:t>Paul Kopanycia</w:t>
      </w:r>
      <w:r w:rsidR="008F3188" w:rsidRPr="00DB44D9">
        <w:rPr>
          <w:sz w:val="26"/>
        </w:rPr>
        <w:t xml:space="preserve"> on </w:t>
      </w:r>
      <w:r w:rsidR="008F3188">
        <w:rPr>
          <w:sz w:val="26"/>
        </w:rPr>
        <w:t>June 27, 2016,</w:t>
      </w:r>
      <w:r w:rsidRPr="00D32C49">
        <w:rPr>
          <w:sz w:val="26"/>
        </w:rPr>
        <w:t xml:space="preserve"> are </w:t>
      </w:r>
      <w:r w:rsidR="00D363D3">
        <w:rPr>
          <w:sz w:val="26"/>
        </w:rPr>
        <w:t>denied</w:t>
      </w:r>
      <w:r w:rsidRPr="00D32C49">
        <w:rPr>
          <w:sz w:val="26"/>
        </w:rPr>
        <w:t>.</w:t>
      </w:r>
    </w:p>
    <w:p w:rsidR="008F3188" w:rsidRDefault="008F3188" w:rsidP="00DB44D9">
      <w:pPr>
        <w:widowControl/>
        <w:tabs>
          <w:tab w:val="left" w:pos="-720"/>
        </w:tabs>
        <w:suppressAutoHyphens/>
        <w:spacing w:line="360" w:lineRule="auto"/>
        <w:ind w:firstLine="1440"/>
        <w:rPr>
          <w:sz w:val="26"/>
        </w:rPr>
      </w:pPr>
    </w:p>
    <w:p w:rsidR="00DB44D9" w:rsidRPr="00D32C49" w:rsidRDefault="00D32C49" w:rsidP="00DB44D9">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of Administrative </w:t>
      </w:r>
      <w:r w:rsidR="008F3188" w:rsidRPr="0069670F">
        <w:rPr>
          <w:sz w:val="26"/>
        </w:rPr>
        <w:t xml:space="preserve">Law Judge </w:t>
      </w:r>
      <w:r w:rsidR="008F3188">
        <w:rPr>
          <w:sz w:val="26"/>
        </w:rPr>
        <w:t>Darlene D. Heep</w:t>
      </w:r>
      <w:r w:rsidR="008F3188" w:rsidRPr="00DB44D9">
        <w:rPr>
          <w:sz w:val="26"/>
        </w:rPr>
        <w:t xml:space="preserve"> issued on </w:t>
      </w:r>
      <w:r w:rsidR="008F3188">
        <w:rPr>
          <w:sz w:val="26"/>
        </w:rPr>
        <w:t xml:space="preserve">June 9, 2016, </w:t>
      </w:r>
      <w:r w:rsidR="00DB44D9" w:rsidRPr="00D32C49">
        <w:rPr>
          <w:sz w:val="26"/>
        </w:rPr>
        <w:t xml:space="preserve">is </w:t>
      </w:r>
      <w:r w:rsidR="00D363D3">
        <w:rPr>
          <w:sz w:val="26"/>
        </w:rPr>
        <w:t>adopted</w:t>
      </w:r>
      <w:r w:rsidR="00DB44D9" w:rsidRPr="00D32C49">
        <w:rPr>
          <w:sz w:val="26"/>
        </w:rPr>
        <w:t>.</w:t>
      </w:r>
    </w:p>
    <w:p w:rsidR="00DB44D9" w:rsidRPr="00D32C49" w:rsidRDefault="00DB44D9" w:rsidP="00DB44D9">
      <w:pPr>
        <w:widowControl/>
        <w:tabs>
          <w:tab w:val="left" w:pos="0"/>
        </w:tabs>
        <w:suppressAutoHyphens/>
        <w:spacing w:line="360" w:lineRule="auto"/>
        <w:ind w:firstLine="1440"/>
        <w:rPr>
          <w:spacing w:val="-3"/>
          <w:sz w:val="26"/>
        </w:rPr>
      </w:pPr>
    </w:p>
    <w:p w:rsidR="00DB44D9" w:rsidRPr="005E1D9A" w:rsidRDefault="00D363D3" w:rsidP="00A41275">
      <w:pPr>
        <w:widowControl/>
        <w:spacing w:line="360" w:lineRule="auto"/>
        <w:ind w:firstLine="1440"/>
        <w:rPr>
          <w:spacing w:val="-3"/>
          <w:sz w:val="26"/>
          <w:szCs w:val="24"/>
        </w:rPr>
      </w:pPr>
      <w:r>
        <w:rPr>
          <w:sz w:val="26"/>
          <w:szCs w:val="26"/>
        </w:rPr>
        <w:t>3</w:t>
      </w:r>
      <w:r w:rsidR="000141BC">
        <w:rPr>
          <w:sz w:val="26"/>
          <w:szCs w:val="26"/>
        </w:rPr>
        <w:t>.</w:t>
      </w:r>
      <w:r w:rsidR="000141BC">
        <w:rPr>
          <w:sz w:val="26"/>
          <w:szCs w:val="26"/>
        </w:rPr>
        <w:tab/>
      </w:r>
      <w:r w:rsidR="00DB44D9" w:rsidRPr="005E1D9A">
        <w:rPr>
          <w:spacing w:val="-3"/>
          <w:sz w:val="26"/>
          <w:szCs w:val="24"/>
        </w:rPr>
        <w:t>That th</w:t>
      </w:r>
      <w:r w:rsidR="00512717">
        <w:rPr>
          <w:spacing w:val="-3"/>
          <w:sz w:val="26"/>
          <w:szCs w:val="24"/>
        </w:rPr>
        <w:t xml:space="preserve">is proceeding shall be </w:t>
      </w:r>
      <w:r w:rsidR="00DB44D9" w:rsidRPr="005E1D9A">
        <w:rPr>
          <w:sz w:val="26"/>
          <w:szCs w:val="26"/>
        </w:rPr>
        <w:t>marked closed.</w:t>
      </w:r>
    </w:p>
    <w:p w:rsidR="00DB44D9" w:rsidRDefault="00DB44D9" w:rsidP="00DB44D9">
      <w:pPr>
        <w:widowControl/>
        <w:tabs>
          <w:tab w:val="left" w:pos="-720"/>
        </w:tabs>
        <w:suppressAutoHyphens/>
        <w:rPr>
          <w:b/>
          <w:sz w:val="26"/>
        </w:rPr>
      </w:pPr>
    </w:p>
    <w:p w:rsidR="00B97D31" w:rsidRPr="005E1D9A" w:rsidRDefault="00B97D31" w:rsidP="00DB44D9">
      <w:pPr>
        <w:widowControl/>
        <w:tabs>
          <w:tab w:val="left" w:pos="-720"/>
        </w:tabs>
        <w:suppressAutoHyphens/>
        <w:rPr>
          <w:b/>
          <w:sz w:val="26"/>
        </w:rPr>
      </w:pPr>
    </w:p>
    <w:p w:rsidR="00DB44D9" w:rsidRPr="005E1D9A" w:rsidRDefault="00B8267E" w:rsidP="00DB44D9">
      <w:pPr>
        <w:widowControl/>
        <w:tabs>
          <w:tab w:val="left" w:pos="-720"/>
        </w:tabs>
        <w:suppressAutoHyphens/>
        <w:rPr>
          <w:b/>
          <w:sz w:val="26"/>
        </w:rPr>
      </w:pPr>
      <w:r>
        <w:rPr>
          <w:noProof/>
        </w:rPr>
        <w:drawing>
          <wp:anchor distT="0" distB="0" distL="114300" distR="114300" simplePos="0" relativeHeight="251659264" behindDoc="1" locked="0" layoutInCell="1" allowOverlap="1" wp14:anchorId="189D88E8" wp14:editId="6E99E4ED">
            <wp:simplePos x="0" y="0"/>
            <wp:positionH relativeFrom="column">
              <wp:posOffset>3010535</wp:posOffset>
            </wp:positionH>
            <wp:positionV relativeFrom="paragraph">
              <wp:posOffset>109220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DB44D9" w:rsidRPr="005E1D9A" w:rsidRDefault="00DB44D9" w:rsidP="00DB44D9">
      <w:pPr>
        <w:widowControl/>
        <w:tabs>
          <w:tab w:val="left" w:pos="-720"/>
        </w:tabs>
        <w:suppressAutoHyphens/>
        <w:rPr>
          <w:sz w:val="26"/>
        </w:rPr>
      </w:pPr>
    </w:p>
    <w:p w:rsidR="00B8267E" w:rsidRDefault="00B8267E"/>
    <w:p w:rsidR="00DB44D9" w:rsidRDefault="00DB44D9" w:rsidP="00DB44D9">
      <w:pPr>
        <w:widowControl/>
        <w:tabs>
          <w:tab w:val="left" w:pos="-720"/>
        </w:tabs>
        <w:suppressAutoHyphens/>
        <w:rPr>
          <w:sz w:val="26"/>
        </w:rPr>
      </w:pPr>
    </w:p>
    <w:p w:rsidR="00377D57" w:rsidRPr="005E1D9A" w:rsidRDefault="00377D57"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bookmarkStart w:id="0" w:name="_GoBack"/>
      <w:bookmarkEnd w:id="0"/>
    </w:p>
    <w:p w:rsidR="00DB44D9" w:rsidRPr="005E1D9A" w:rsidRDefault="00DB44D9" w:rsidP="00DB44D9">
      <w:pPr>
        <w:widowControl/>
        <w:tabs>
          <w:tab w:val="left" w:pos="-720"/>
        </w:tabs>
        <w:suppressAutoHyphens/>
        <w:rPr>
          <w:sz w:val="26"/>
        </w:rPr>
      </w:pPr>
    </w:p>
    <w:p w:rsidR="00DB44D9" w:rsidRDefault="006C7956" w:rsidP="00DB44D9">
      <w:pPr>
        <w:widowControl/>
        <w:tabs>
          <w:tab w:val="left" w:pos="-720"/>
        </w:tabs>
        <w:suppressAutoHyphens/>
        <w:rPr>
          <w:sz w:val="26"/>
        </w:rPr>
      </w:pPr>
      <w:r w:rsidRPr="005E1D9A">
        <w:rPr>
          <w:sz w:val="26"/>
        </w:rPr>
        <w:t xml:space="preserve">ORDER ADOPTED:  </w:t>
      </w:r>
      <w:r w:rsidR="00512717">
        <w:rPr>
          <w:sz w:val="26"/>
        </w:rPr>
        <w:t xml:space="preserve">February </w:t>
      </w:r>
      <w:r w:rsidR="006B213C">
        <w:rPr>
          <w:sz w:val="26"/>
        </w:rPr>
        <w:t>9, 201</w:t>
      </w:r>
      <w:r w:rsidR="00512717">
        <w:rPr>
          <w:sz w:val="26"/>
        </w:rPr>
        <w:t>7</w:t>
      </w:r>
    </w:p>
    <w:p w:rsidR="006B213C" w:rsidRPr="005E1D9A" w:rsidRDefault="006B213C"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B8267E">
        <w:rPr>
          <w:sz w:val="26"/>
        </w:rPr>
        <w:t>March 1, 2017</w:t>
      </w:r>
    </w:p>
    <w:p w:rsidR="00344804" w:rsidRPr="00CA43A5" w:rsidRDefault="00344804" w:rsidP="00DB44D9">
      <w:pPr>
        <w:widowControl/>
        <w:jc w:val="center"/>
        <w:rPr>
          <w:sz w:val="26"/>
          <w:szCs w:val="26"/>
        </w:rPr>
      </w:pPr>
    </w:p>
    <w:sectPr w:rsidR="00344804" w:rsidRPr="00CA43A5"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B88" w:rsidRDefault="003F7B88" w:rsidP="00F7174B">
      <w:r>
        <w:separator/>
      </w:r>
    </w:p>
  </w:endnote>
  <w:endnote w:type="continuationSeparator" w:id="0">
    <w:p w:rsidR="003F7B88" w:rsidRDefault="003F7B8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8F4522" w:rsidRPr="009F1A08" w:rsidRDefault="008F4522">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B8267E">
          <w:rPr>
            <w:noProof/>
            <w:sz w:val="26"/>
            <w:szCs w:val="26"/>
          </w:rPr>
          <w:t>10</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B88" w:rsidRDefault="003F7B88" w:rsidP="00F7174B">
      <w:r>
        <w:separator/>
      </w:r>
    </w:p>
  </w:footnote>
  <w:footnote w:type="continuationSeparator" w:id="0">
    <w:p w:rsidR="003F7B88" w:rsidRDefault="003F7B88" w:rsidP="00F7174B">
      <w:r>
        <w:continuationSeparator/>
      </w:r>
    </w:p>
  </w:footnote>
  <w:footnote w:id="1">
    <w:p w:rsidR="008F4522" w:rsidRPr="009F5BEC" w:rsidRDefault="008F4522" w:rsidP="002624D6">
      <w:pPr>
        <w:pStyle w:val="FootnoteText"/>
        <w:keepNext/>
        <w:keepLines/>
        <w:ind w:firstLine="720"/>
        <w:rPr>
          <w:sz w:val="26"/>
          <w:szCs w:val="26"/>
        </w:rPr>
      </w:pPr>
      <w:r w:rsidRPr="009F5BEC">
        <w:rPr>
          <w:rStyle w:val="FootnoteReference"/>
          <w:sz w:val="26"/>
          <w:szCs w:val="26"/>
        </w:rPr>
        <w:footnoteRef/>
      </w:r>
      <w:r w:rsidRPr="009F5BEC">
        <w:rPr>
          <w:sz w:val="26"/>
          <w:szCs w:val="26"/>
        </w:rPr>
        <w:t xml:space="preserve"> </w:t>
      </w:r>
      <w:r>
        <w:rPr>
          <w:sz w:val="26"/>
          <w:szCs w:val="26"/>
        </w:rPr>
        <w:tab/>
        <w:t xml:space="preserve">We acknowledge that the Complainant’s Exceptions do not strictly conform to the requirements set forth in 52 Pa. Code § 5.533, which require that each exception be numbered, identify the finding of fact or conclusion of law to which exception is taken, and cite to the relevant pages of the decision.  Nevertheless, we will consider the Exceptions in order to secure a just, speedy, and inexpensive determination in this proceeding, consistent with 52 Pa. Code § 1.2(a).      </w:t>
      </w:r>
    </w:p>
  </w:footnote>
  <w:footnote w:id="2">
    <w:p w:rsidR="008F4522" w:rsidRPr="00A0344F" w:rsidRDefault="008F4522">
      <w:pPr>
        <w:pStyle w:val="FootnoteText"/>
        <w:rPr>
          <w:sz w:val="26"/>
        </w:rPr>
      </w:pPr>
      <w:r>
        <w:rPr>
          <w:sz w:val="26"/>
        </w:rPr>
        <w:tab/>
      </w:r>
      <w:r w:rsidRPr="00A0344F">
        <w:rPr>
          <w:rStyle w:val="FootnoteReference"/>
          <w:sz w:val="26"/>
        </w:rPr>
        <w:footnoteRef/>
      </w:r>
      <w:r w:rsidRPr="00A0344F">
        <w:rPr>
          <w:sz w:val="26"/>
        </w:rPr>
        <w:t xml:space="preserve"> </w:t>
      </w:r>
      <w:r>
        <w:rPr>
          <w:sz w:val="26"/>
        </w:rPr>
        <w:tab/>
      </w:r>
      <w:r w:rsidRPr="00A0344F">
        <w:rPr>
          <w:sz w:val="26"/>
        </w:rPr>
        <w:t xml:space="preserve">Under the circumstances in this case, we will consider the Respondent’s Replies to Exceptions, because consideration of the Replies will assist in securing a just, speedy, and inexpensive determination in this proceeding.  </w:t>
      </w:r>
      <w:r w:rsidRPr="00A0344F">
        <w:rPr>
          <w:i/>
          <w:sz w:val="26"/>
        </w:rPr>
        <w:t>See</w:t>
      </w:r>
      <w:r w:rsidRPr="00A0344F">
        <w:rPr>
          <w:sz w:val="26"/>
        </w:rPr>
        <w:t xml:space="preserve"> 52 Pa. Code § 1.2(a).</w:t>
      </w:r>
      <w:r>
        <w:rPr>
          <w:sz w:val="26"/>
        </w:rPr>
        <w:t xml:space="preserve">  </w:t>
      </w:r>
      <w:r w:rsidRPr="00A0344F">
        <w:rPr>
          <w:sz w:val="26"/>
        </w:rPr>
        <w:t xml:space="preserve">   </w:t>
      </w:r>
    </w:p>
  </w:footnote>
  <w:footnote w:id="3">
    <w:p w:rsidR="00D0445E" w:rsidRPr="00D0445E" w:rsidRDefault="00D0445E">
      <w:pPr>
        <w:pStyle w:val="FootnoteText"/>
        <w:rPr>
          <w:sz w:val="26"/>
        </w:rPr>
      </w:pPr>
      <w:r>
        <w:tab/>
      </w:r>
      <w:r w:rsidRPr="00D0445E">
        <w:rPr>
          <w:rStyle w:val="FootnoteReference"/>
          <w:sz w:val="26"/>
        </w:rPr>
        <w:footnoteRef/>
      </w:r>
      <w:r w:rsidRPr="00D0445E">
        <w:rPr>
          <w:sz w:val="26"/>
        </w:rPr>
        <w:t xml:space="preserve"> </w:t>
      </w:r>
      <w:r w:rsidRPr="00D0445E">
        <w:rPr>
          <w:sz w:val="26"/>
        </w:rPr>
        <w:tab/>
        <w:t xml:space="preserve">The Complainant’s correspondence is not contained in the Commission’s record for this case; however, both Parties acknowledge that </w:t>
      </w:r>
      <w:r>
        <w:rPr>
          <w:sz w:val="26"/>
        </w:rPr>
        <w:t>the correspondence</w:t>
      </w:r>
      <w:r w:rsidRPr="00D0445E">
        <w:rPr>
          <w:sz w:val="26"/>
        </w:rPr>
        <w:t xml:space="preserve"> was served on PECO.  </w:t>
      </w:r>
      <w:r>
        <w:rPr>
          <w:sz w:val="26"/>
        </w:rPr>
        <w:t xml:space="preserve">As explained herein, </w:t>
      </w:r>
      <w:r w:rsidRPr="00D0445E">
        <w:rPr>
          <w:sz w:val="26"/>
        </w:rPr>
        <w:t xml:space="preserve">PECO attached a copy of the </w:t>
      </w:r>
      <w:r>
        <w:rPr>
          <w:sz w:val="26"/>
        </w:rPr>
        <w:t>correspondence</w:t>
      </w:r>
      <w:r w:rsidRPr="00D0445E">
        <w:rPr>
          <w:sz w:val="26"/>
        </w:rPr>
        <w:t xml:space="preserve"> to its Replies to Exceptions, and the </w:t>
      </w:r>
      <w:r>
        <w:rPr>
          <w:sz w:val="26"/>
        </w:rPr>
        <w:t>correspondence</w:t>
      </w:r>
      <w:r w:rsidRPr="00D0445E">
        <w:rPr>
          <w:sz w:val="26"/>
        </w:rPr>
        <w:t xml:space="preserve"> was date stamped on March 30, 2016, by the Commission’s Philadelphia Office of Administrative Law Judge.  PECO indicated that it had the opportunity to reply to the </w:t>
      </w:r>
      <w:r>
        <w:rPr>
          <w:sz w:val="26"/>
        </w:rPr>
        <w:t>correspondence</w:t>
      </w:r>
      <w:r w:rsidRPr="00D0445E">
        <w:rPr>
          <w:sz w:val="26"/>
        </w:rPr>
        <w:t xml:space="preserve"> through </w:t>
      </w:r>
      <w:r>
        <w:rPr>
          <w:sz w:val="26"/>
        </w:rPr>
        <w:t>a letter</w:t>
      </w:r>
      <w:r w:rsidRPr="00D0445E">
        <w:rPr>
          <w:sz w:val="26"/>
        </w:rPr>
        <w:t xml:space="preserve"> dated March 30, 2016, and to object to the Complainant’s withdrawal of the Complaint and mediation of the Complaint.</w:t>
      </w:r>
    </w:p>
  </w:footnote>
  <w:footnote w:id="4">
    <w:p w:rsidR="008F4522" w:rsidRDefault="008F4522">
      <w:pPr>
        <w:pStyle w:val="FootnoteText"/>
        <w:rPr>
          <w:sz w:val="26"/>
        </w:rPr>
      </w:pPr>
      <w:r>
        <w:tab/>
      </w:r>
      <w:r w:rsidRPr="00A20D90">
        <w:rPr>
          <w:rStyle w:val="FootnoteReference"/>
          <w:sz w:val="26"/>
        </w:rPr>
        <w:footnoteRef/>
      </w:r>
      <w:r w:rsidRPr="00A20D90">
        <w:rPr>
          <w:sz w:val="26"/>
        </w:rPr>
        <w:t xml:space="preserve"> </w:t>
      </w:r>
      <w:r w:rsidRPr="00A20D90">
        <w:rPr>
          <w:sz w:val="26"/>
        </w:rPr>
        <w:tab/>
        <w:t xml:space="preserve">Section 332(f) provides the following:  </w:t>
      </w:r>
    </w:p>
    <w:p w:rsidR="008F4522" w:rsidRDefault="008F4522">
      <w:pPr>
        <w:pStyle w:val="FootnoteText"/>
        <w:rPr>
          <w:sz w:val="26"/>
        </w:rPr>
      </w:pPr>
    </w:p>
    <w:p w:rsidR="008F4522" w:rsidRPr="00A20D90" w:rsidRDefault="008F4522" w:rsidP="00A20D90">
      <w:pPr>
        <w:pStyle w:val="FootnoteText"/>
        <w:ind w:left="1440" w:right="1440"/>
        <w:rPr>
          <w:sz w:val="26"/>
        </w:rPr>
      </w:pPr>
      <w:r w:rsidRPr="00A20D90">
        <w:rPr>
          <w:rFonts w:cs="Arial"/>
          <w:color w:val="212121"/>
          <w:sz w:val="26"/>
          <w:lang w:val="en"/>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or to recall for further examination of witnesses who were excused, unless the presiding officer shall determine that failure to be represented was unavoidable and that the interests of the other parties and the public would not be prejudiced by permitting such reopening or further examination.</w:t>
      </w:r>
    </w:p>
  </w:footnote>
  <w:footnote w:id="5">
    <w:p w:rsidR="00885DF3" w:rsidRPr="004968B7" w:rsidRDefault="004968B7" w:rsidP="00885DF3">
      <w:pPr>
        <w:pStyle w:val="FootnoteText"/>
        <w:spacing w:after="120"/>
        <w:rPr>
          <w:sz w:val="26"/>
          <w:szCs w:val="22"/>
        </w:rPr>
      </w:pPr>
      <w:r>
        <w:rPr>
          <w:sz w:val="22"/>
          <w:szCs w:val="22"/>
        </w:rPr>
        <w:tab/>
      </w:r>
      <w:r w:rsidR="00885DF3" w:rsidRPr="004968B7">
        <w:rPr>
          <w:rStyle w:val="FootnoteReference"/>
          <w:sz w:val="26"/>
          <w:szCs w:val="22"/>
        </w:rPr>
        <w:footnoteRef/>
      </w:r>
      <w:r w:rsidR="00885DF3" w:rsidRPr="004968B7">
        <w:rPr>
          <w:sz w:val="26"/>
          <w:szCs w:val="22"/>
        </w:rPr>
        <w:t xml:space="preserve"> </w:t>
      </w:r>
      <w:r w:rsidRPr="004968B7">
        <w:rPr>
          <w:sz w:val="26"/>
          <w:szCs w:val="22"/>
        </w:rPr>
        <w:tab/>
      </w:r>
      <w:r w:rsidR="00885DF3" w:rsidRPr="004968B7">
        <w:rPr>
          <w:sz w:val="26"/>
          <w:szCs w:val="22"/>
        </w:rPr>
        <w:t>On at least three occasions, th</w:t>
      </w:r>
      <w:r w:rsidR="00D23F24">
        <w:rPr>
          <w:sz w:val="26"/>
          <w:szCs w:val="22"/>
        </w:rPr>
        <w:t>e</w:t>
      </w:r>
      <w:r w:rsidR="00885DF3" w:rsidRPr="004968B7">
        <w:rPr>
          <w:sz w:val="26"/>
          <w:szCs w:val="22"/>
        </w:rPr>
        <w:t xml:space="preserve"> Complainant has filed complaints with this Commission that were later dismissed with prejudice for failure to appear at an in-person evidentiary hearing.  </w:t>
      </w:r>
      <w:r w:rsidRPr="004968B7">
        <w:rPr>
          <w:i/>
          <w:sz w:val="26"/>
          <w:szCs w:val="22"/>
        </w:rPr>
        <w:t>See</w:t>
      </w:r>
      <w:r>
        <w:rPr>
          <w:sz w:val="26"/>
          <w:szCs w:val="22"/>
        </w:rPr>
        <w:t xml:space="preserve"> </w:t>
      </w:r>
      <w:r w:rsidR="00885DF3" w:rsidRPr="004968B7">
        <w:rPr>
          <w:i/>
          <w:sz w:val="26"/>
          <w:szCs w:val="22"/>
        </w:rPr>
        <w:t>Kopanycia v. PECO Energy Company</w:t>
      </w:r>
      <w:r w:rsidR="00885DF3" w:rsidRPr="004968B7">
        <w:rPr>
          <w:sz w:val="26"/>
          <w:szCs w:val="22"/>
        </w:rPr>
        <w:t xml:space="preserve">, Docket </w:t>
      </w:r>
      <w:r w:rsidR="003E49D9">
        <w:rPr>
          <w:sz w:val="26"/>
          <w:szCs w:val="22"/>
        </w:rPr>
        <w:t xml:space="preserve">No. </w:t>
      </w:r>
      <w:r w:rsidR="00885DF3" w:rsidRPr="004968B7">
        <w:rPr>
          <w:sz w:val="26"/>
          <w:szCs w:val="22"/>
        </w:rPr>
        <w:t xml:space="preserve">C-2011-2251399 (Initial Decision issued December 13, 2011); </w:t>
      </w:r>
      <w:r w:rsidR="00885DF3" w:rsidRPr="004968B7">
        <w:rPr>
          <w:i/>
          <w:sz w:val="26"/>
          <w:szCs w:val="22"/>
        </w:rPr>
        <w:t>Kopanycia v. PECO Energy Company</w:t>
      </w:r>
      <w:r w:rsidR="00885DF3" w:rsidRPr="004968B7">
        <w:rPr>
          <w:sz w:val="26"/>
          <w:szCs w:val="22"/>
        </w:rPr>
        <w:t xml:space="preserve">, Docket </w:t>
      </w:r>
      <w:r w:rsidR="003E49D9">
        <w:rPr>
          <w:sz w:val="26"/>
          <w:szCs w:val="22"/>
        </w:rPr>
        <w:t xml:space="preserve">No. </w:t>
      </w:r>
      <w:r w:rsidR="00885DF3" w:rsidRPr="004968B7">
        <w:rPr>
          <w:sz w:val="26"/>
          <w:szCs w:val="22"/>
        </w:rPr>
        <w:t xml:space="preserve">C-2012-2325105 (Initial Decision issued December 18, 2012); </w:t>
      </w:r>
      <w:r w:rsidR="00885DF3" w:rsidRPr="004968B7">
        <w:rPr>
          <w:i/>
          <w:sz w:val="26"/>
          <w:szCs w:val="22"/>
        </w:rPr>
        <w:t>Kopanycia v. PECO Energy Company</w:t>
      </w:r>
      <w:r w:rsidR="00885DF3" w:rsidRPr="004968B7">
        <w:rPr>
          <w:sz w:val="26"/>
          <w:szCs w:val="22"/>
        </w:rPr>
        <w:t xml:space="preserve">, Docket </w:t>
      </w:r>
      <w:r w:rsidR="003E49D9">
        <w:rPr>
          <w:sz w:val="26"/>
          <w:szCs w:val="22"/>
        </w:rPr>
        <w:t xml:space="preserve">No. </w:t>
      </w:r>
      <w:r w:rsidR="00885DF3" w:rsidRPr="004968B7">
        <w:rPr>
          <w:sz w:val="26"/>
          <w:szCs w:val="22"/>
        </w:rPr>
        <w:t xml:space="preserve">C-2015-2480378 (Initial Decision issued December 7, 2015).  In another case, the Complainant failed to participate in a telephonic hearing in a complaint proceeding, resulting in </w:t>
      </w:r>
      <w:r>
        <w:rPr>
          <w:sz w:val="26"/>
          <w:szCs w:val="22"/>
        </w:rPr>
        <w:t xml:space="preserve">the </w:t>
      </w:r>
      <w:r w:rsidR="00885DF3" w:rsidRPr="004968B7">
        <w:rPr>
          <w:sz w:val="26"/>
          <w:szCs w:val="22"/>
        </w:rPr>
        <w:t xml:space="preserve">dismissal </w:t>
      </w:r>
      <w:r>
        <w:rPr>
          <w:sz w:val="26"/>
          <w:szCs w:val="22"/>
        </w:rPr>
        <w:t xml:space="preserve">of the complaint </w:t>
      </w:r>
      <w:r w:rsidR="00885DF3" w:rsidRPr="004968B7">
        <w:rPr>
          <w:sz w:val="26"/>
          <w:szCs w:val="22"/>
        </w:rPr>
        <w:t xml:space="preserve">with prejudice.  </w:t>
      </w:r>
      <w:r w:rsidR="00885DF3" w:rsidRPr="004968B7">
        <w:rPr>
          <w:i/>
          <w:sz w:val="26"/>
          <w:szCs w:val="22"/>
        </w:rPr>
        <w:t>Kopanycia v. PECO Energy Company</w:t>
      </w:r>
      <w:r w:rsidR="00885DF3" w:rsidRPr="004968B7">
        <w:rPr>
          <w:sz w:val="26"/>
          <w:szCs w:val="22"/>
        </w:rPr>
        <w:t xml:space="preserve">, Docket </w:t>
      </w:r>
      <w:r w:rsidR="003E49D9">
        <w:rPr>
          <w:sz w:val="26"/>
          <w:szCs w:val="22"/>
        </w:rPr>
        <w:t xml:space="preserve">No. </w:t>
      </w:r>
      <w:r w:rsidR="00885DF3" w:rsidRPr="004968B7">
        <w:rPr>
          <w:sz w:val="26"/>
          <w:szCs w:val="22"/>
        </w:rPr>
        <w:t>C-2012-2283948 (Initial Decision issued June 21, 2012).  In all of these cases, PECO took the time and effort to prepare for and sometimes travel to the hearing.  In all of these previous cases, the Office of Administrative Law Judge allocated a specific time and/or location for a hearing, which could have been used to take evidence for another case.  And, in at least two of these cases, the Complainant had already been granted a continuance prior to the dismissals, demonstrating that both PECO and the Commission have attempted to work cooperatively with th</w:t>
      </w:r>
      <w:r w:rsidR="00D23F24">
        <w:rPr>
          <w:sz w:val="26"/>
          <w:szCs w:val="22"/>
        </w:rPr>
        <w:t>e</w:t>
      </w:r>
      <w:r w:rsidR="00885DF3" w:rsidRPr="004968B7">
        <w:rPr>
          <w:sz w:val="26"/>
          <w:szCs w:val="22"/>
        </w:rPr>
        <w:t xml:space="preserve"> </w:t>
      </w:r>
      <w:r w:rsidR="00D23F24">
        <w:rPr>
          <w:sz w:val="26"/>
          <w:szCs w:val="22"/>
        </w:rPr>
        <w:t>Complainant</w:t>
      </w:r>
      <w:r w:rsidR="00885DF3" w:rsidRPr="004968B7">
        <w:rPr>
          <w:sz w:val="26"/>
          <w:szCs w:val="22"/>
        </w:rPr>
        <w:t xml:space="preserve"> in bringing these cases to a just resolution. </w:t>
      </w:r>
      <w:r>
        <w:rPr>
          <w:sz w:val="26"/>
          <w:szCs w:val="22"/>
        </w:rPr>
        <w:t xml:space="preserve"> </w:t>
      </w:r>
      <w:r w:rsidR="00885DF3" w:rsidRPr="004968B7">
        <w:rPr>
          <w:sz w:val="26"/>
          <w:szCs w:val="22"/>
        </w:rPr>
        <w:t>The repeated filing of and failure to prosecute complaints, even after continuances have already been given in some cases, wastes the finite resources of this agency and thereby infringes on the rights of other customers and utilities to a timely resolution of pending matters.</w:t>
      </w:r>
    </w:p>
  </w:footnote>
  <w:footnote w:id="6">
    <w:p w:rsidR="00885DF3" w:rsidRPr="00292439" w:rsidRDefault="008E1611" w:rsidP="00885DF3">
      <w:pPr>
        <w:pStyle w:val="FootnoteText"/>
        <w:rPr>
          <w:sz w:val="26"/>
          <w:szCs w:val="22"/>
        </w:rPr>
      </w:pPr>
      <w:r>
        <w:rPr>
          <w:sz w:val="22"/>
          <w:szCs w:val="22"/>
        </w:rPr>
        <w:tab/>
      </w:r>
      <w:r w:rsidR="00885DF3" w:rsidRPr="00292439">
        <w:rPr>
          <w:rStyle w:val="FootnoteReference"/>
          <w:sz w:val="26"/>
          <w:szCs w:val="22"/>
        </w:rPr>
        <w:footnoteRef/>
      </w:r>
      <w:r w:rsidR="00885DF3" w:rsidRPr="00292439">
        <w:rPr>
          <w:sz w:val="26"/>
          <w:szCs w:val="22"/>
        </w:rPr>
        <w:t xml:space="preserve"> </w:t>
      </w:r>
      <w:r w:rsidRPr="00292439">
        <w:rPr>
          <w:sz w:val="26"/>
          <w:szCs w:val="22"/>
        </w:rPr>
        <w:tab/>
      </w:r>
      <w:r w:rsidR="00885DF3" w:rsidRPr="00292439">
        <w:rPr>
          <w:sz w:val="26"/>
          <w:szCs w:val="22"/>
        </w:rPr>
        <w:t>“Parties may request mediation during the course of a proceeding.” 52 Pa. Code §</w:t>
      </w:r>
      <w:r w:rsidRPr="00292439">
        <w:rPr>
          <w:sz w:val="26"/>
          <w:szCs w:val="22"/>
        </w:rPr>
        <w:t xml:space="preserve"> </w:t>
      </w:r>
      <w:r w:rsidR="00885DF3" w:rsidRPr="00292439">
        <w:rPr>
          <w:sz w:val="26"/>
          <w:szCs w:val="22"/>
        </w:rPr>
        <w:t>69.392(b)(</w:t>
      </w:r>
      <w:r w:rsidR="003A78EC" w:rsidRPr="00292439">
        <w:rPr>
          <w:sz w:val="26"/>
          <w:szCs w:val="22"/>
        </w:rPr>
        <w:t>3</w:t>
      </w:r>
      <w:r w:rsidR="00885DF3" w:rsidRPr="00292439">
        <w:rPr>
          <w:sz w:val="26"/>
          <w:szCs w:val="22"/>
        </w:rPr>
        <w:t xml:space="preserve">) (relating to availability of mediation in Commission proceedings). </w:t>
      </w:r>
      <w:r w:rsidR="00C829D1" w:rsidRPr="00292439">
        <w:rPr>
          <w:sz w:val="26"/>
          <w:szCs w:val="22"/>
        </w:rPr>
        <w:t xml:space="preserve"> </w:t>
      </w:r>
      <w:r w:rsidR="00885DF3" w:rsidRPr="00292439">
        <w:rPr>
          <w:sz w:val="26"/>
          <w:szCs w:val="22"/>
        </w:rPr>
        <w:t xml:space="preserve">Mediation is at the consent of both parties, unless otherwise ordered by the Commission. </w:t>
      </w:r>
      <w:r w:rsidR="00C829D1" w:rsidRPr="00292439">
        <w:rPr>
          <w:sz w:val="26"/>
          <w:szCs w:val="22"/>
        </w:rPr>
        <w:t xml:space="preserve"> </w:t>
      </w:r>
      <w:r w:rsidR="00885DF3" w:rsidRPr="00292439">
        <w:rPr>
          <w:sz w:val="26"/>
          <w:szCs w:val="22"/>
        </w:rPr>
        <w:t>52 Pa. Code §</w:t>
      </w:r>
      <w:r w:rsidR="00C829D1" w:rsidRPr="00292439">
        <w:rPr>
          <w:sz w:val="26"/>
          <w:szCs w:val="22"/>
        </w:rPr>
        <w:t xml:space="preserve"> </w:t>
      </w:r>
      <w:r w:rsidR="00885DF3" w:rsidRPr="00292439">
        <w:rPr>
          <w:sz w:val="26"/>
          <w:szCs w:val="22"/>
        </w:rPr>
        <w:t>69.392(c) and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FDC0372"/>
    <w:multiLevelType w:val="hybridMultilevel"/>
    <w:tmpl w:val="29503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20F"/>
    <w:rsid w:val="00002644"/>
    <w:rsid w:val="00002CF0"/>
    <w:rsid w:val="00003A51"/>
    <w:rsid w:val="00003C52"/>
    <w:rsid w:val="0000451E"/>
    <w:rsid w:val="00004817"/>
    <w:rsid w:val="00004D03"/>
    <w:rsid w:val="00004D2D"/>
    <w:rsid w:val="000050EC"/>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282"/>
    <w:rsid w:val="0002332C"/>
    <w:rsid w:val="00023CFE"/>
    <w:rsid w:val="0002467F"/>
    <w:rsid w:val="00024F85"/>
    <w:rsid w:val="0002501D"/>
    <w:rsid w:val="0002524C"/>
    <w:rsid w:val="000259C5"/>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325E"/>
    <w:rsid w:val="00033510"/>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093"/>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5A1"/>
    <w:rsid w:val="00054612"/>
    <w:rsid w:val="00054A0E"/>
    <w:rsid w:val="000556AB"/>
    <w:rsid w:val="0005572E"/>
    <w:rsid w:val="00055788"/>
    <w:rsid w:val="00055BAD"/>
    <w:rsid w:val="00055BBB"/>
    <w:rsid w:val="00056286"/>
    <w:rsid w:val="0005720D"/>
    <w:rsid w:val="00057D06"/>
    <w:rsid w:val="00057EB5"/>
    <w:rsid w:val="00057F80"/>
    <w:rsid w:val="000609F5"/>
    <w:rsid w:val="00060ADE"/>
    <w:rsid w:val="00060DD5"/>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E9A"/>
    <w:rsid w:val="0006634C"/>
    <w:rsid w:val="00066408"/>
    <w:rsid w:val="000666C5"/>
    <w:rsid w:val="000669D9"/>
    <w:rsid w:val="000669FF"/>
    <w:rsid w:val="00066ADC"/>
    <w:rsid w:val="00066EE5"/>
    <w:rsid w:val="00066FFF"/>
    <w:rsid w:val="00067260"/>
    <w:rsid w:val="0006784C"/>
    <w:rsid w:val="000679AE"/>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4CD"/>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658"/>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7C3"/>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6022"/>
    <w:rsid w:val="000E64D8"/>
    <w:rsid w:val="000E6A73"/>
    <w:rsid w:val="000E6DC6"/>
    <w:rsid w:val="000E766F"/>
    <w:rsid w:val="000E7A90"/>
    <w:rsid w:val="000F0417"/>
    <w:rsid w:val="000F179E"/>
    <w:rsid w:val="000F1DC2"/>
    <w:rsid w:val="000F2397"/>
    <w:rsid w:val="000F27FE"/>
    <w:rsid w:val="000F2DE3"/>
    <w:rsid w:val="000F4307"/>
    <w:rsid w:val="000F551B"/>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25F"/>
    <w:rsid w:val="001044B6"/>
    <w:rsid w:val="00104748"/>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5F8"/>
    <w:rsid w:val="001138D3"/>
    <w:rsid w:val="00114656"/>
    <w:rsid w:val="00114DFB"/>
    <w:rsid w:val="0011511D"/>
    <w:rsid w:val="0011535C"/>
    <w:rsid w:val="00115DA8"/>
    <w:rsid w:val="001168C4"/>
    <w:rsid w:val="001169AE"/>
    <w:rsid w:val="00116DC1"/>
    <w:rsid w:val="001173F4"/>
    <w:rsid w:val="0011757D"/>
    <w:rsid w:val="001176EC"/>
    <w:rsid w:val="00117A05"/>
    <w:rsid w:val="00117CB2"/>
    <w:rsid w:val="00117E6A"/>
    <w:rsid w:val="0012026F"/>
    <w:rsid w:val="0012032E"/>
    <w:rsid w:val="0012056F"/>
    <w:rsid w:val="00120880"/>
    <w:rsid w:val="00120B39"/>
    <w:rsid w:val="00120B8F"/>
    <w:rsid w:val="00120CC2"/>
    <w:rsid w:val="00120D10"/>
    <w:rsid w:val="0012131E"/>
    <w:rsid w:val="00122222"/>
    <w:rsid w:val="001235C7"/>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3759"/>
    <w:rsid w:val="00134395"/>
    <w:rsid w:val="00134C8A"/>
    <w:rsid w:val="00135157"/>
    <w:rsid w:val="00135480"/>
    <w:rsid w:val="00135670"/>
    <w:rsid w:val="001358B2"/>
    <w:rsid w:val="00135972"/>
    <w:rsid w:val="001360FC"/>
    <w:rsid w:val="001361AC"/>
    <w:rsid w:val="00136C22"/>
    <w:rsid w:val="001370B5"/>
    <w:rsid w:val="00137B55"/>
    <w:rsid w:val="001400A9"/>
    <w:rsid w:val="001414CD"/>
    <w:rsid w:val="00141F1E"/>
    <w:rsid w:val="00142219"/>
    <w:rsid w:val="00142BD8"/>
    <w:rsid w:val="00142CF7"/>
    <w:rsid w:val="00143267"/>
    <w:rsid w:val="0014360F"/>
    <w:rsid w:val="00143F09"/>
    <w:rsid w:val="001447A0"/>
    <w:rsid w:val="0014497F"/>
    <w:rsid w:val="00144F43"/>
    <w:rsid w:val="00145197"/>
    <w:rsid w:val="0014676F"/>
    <w:rsid w:val="001468FC"/>
    <w:rsid w:val="00146A23"/>
    <w:rsid w:val="00146DDD"/>
    <w:rsid w:val="00146E58"/>
    <w:rsid w:val="00146FB3"/>
    <w:rsid w:val="001470C7"/>
    <w:rsid w:val="00147145"/>
    <w:rsid w:val="00147407"/>
    <w:rsid w:val="00147463"/>
    <w:rsid w:val="001474E5"/>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B8F"/>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2EB"/>
    <w:rsid w:val="0018206A"/>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73CD"/>
    <w:rsid w:val="001C77BA"/>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331"/>
    <w:rsid w:val="001E0B61"/>
    <w:rsid w:val="001E1276"/>
    <w:rsid w:val="001E1610"/>
    <w:rsid w:val="001E1FD6"/>
    <w:rsid w:val="001E2949"/>
    <w:rsid w:val="001E343F"/>
    <w:rsid w:val="001E3937"/>
    <w:rsid w:val="001E3F37"/>
    <w:rsid w:val="001E5807"/>
    <w:rsid w:val="001E5D98"/>
    <w:rsid w:val="001E5EAB"/>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3BC"/>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0FE8"/>
    <w:rsid w:val="00211622"/>
    <w:rsid w:val="00212080"/>
    <w:rsid w:val="00212364"/>
    <w:rsid w:val="002137B2"/>
    <w:rsid w:val="00213A1C"/>
    <w:rsid w:val="002143F8"/>
    <w:rsid w:val="00214B3E"/>
    <w:rsid w:val="00214DC8"/>
    <w:rsid w:val="00214E5F"/>
    <w:rsid w:val="002150F5"/>
    <w:rsid w:val="00215C08"/>
    <w:rsid w:val="0021638A"/>
    <w:rsid w:val="002165DD"/>
    <w:rsid w:val="00216682"/>
    <w:rsid w:val="0021693E"/>
    <w:rsid w:val="00216A86"/>
    <w:rsid w:val="00216E7E"/>
    <w:rsid w:val="00216FC2"/>
    <w:rsid w:val="002172FE"/>
    <w:rsid w:val="0021751E"/>
    <w:rsid w:val="00217581"/>
    <w:rsid w:val="002175F6"/>
    <w:rsid w:val="00217A4E"/>
    <w:rsid w:val="0022004A"/>
    <w:rsid w:val="002200D1"/>
    <w:rsid w:val="002202F4"/>
    <w:rsid w:val="00221533"/>
    <w:rsid w:val="00221BF0"/>
    <w:rsid w:val="00221F1A"/>
    <w:rsid w:val="0022202F"/>
    <w:rsid w:val="002229C4"/>
    <w:rsid w:val="00222C0C"/>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0B"/>
    <w:rsid w:val="00232AA6"/>
    <w:rsid w:val="00232E6B"/>
    <w:rsid w:val="00233488"/>
    <w:rsid w:val="002334D2"/>
    <w:rsid w:val="00234B16"/>
    <w:rsid w:val="0023519F"/>
    <w:rsid w:val="00235F21"/>
    <w:rsid w:val="00236209"/>
    <w:rsid w:val="00236B20"/>
    <w:rsid w:val="00236BAC"/>
    <w:rsid w:val="002370F5"/>
    <w:rsid w:val="00237B46"/>
    <w:rsid w:val="00237E48"/>
    <w:rsid w:val="0024007E"/>
    <w:rsid w:val="0024088A"/>
    <w:rsid w:val="00240ACA"/>
    <w:rsid w:val="00240D7B"/>
    <w:rsid w:val="00240F57"/>
    <w:rsid w:val="00241299"/>
    <w:rsid w:val="00242138"/>
    <w:rsid w:val="00242B89"/>
    <w:rsid w:val="00242C42"/>
    <w:rsid w:val="00243002"/>
    <w:rsid w:val="00243162"/>
    <w:rsid w:val="00243350"/>
    <w:rsid w:val="002434EB"/>
    <w:rsid w:val="0024399A"/>
    <w:rsid w:val="0024441D"/>
    <w:rsid w:val="00244EBA"/>
    <w:rsid w:val="00245E13"/>
    <w:rsid w:val="00245E63"/>
    <w:rsid w:val="00246005"/>
    <w:rsid w:val="00246C59"/>
    <w:rsid w:val="002471BD"/>
    <w:rsid w:val="00247A24"/>
    <w:rsid w:val="00247F35"/>
    <w:rsid w:val="00250316"/>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31"/>
    <w:rsid w:val="00256BA9"/>
    <w:rsid w:val="00257AA3"/>
    <w:rsid w:val="00257D32"/>
    <w:rsid w:val="00260044"/>
    <w:rsid w:val="00260613"/>
    <w:rsid w:val="00260957"/>
    <w:rsid w:val="00261032"/>
    <w:rsid w:val="00262045"/>
    <w:rsid w:val="002624D6"/>
    <w:rsid w:val="00262909"/>
    <w:rsid w:val="00262D9F"/>
    <w:rsid w:val="002630E2"/>
    <w:rsid w:val="002643F9"/>
    <w:rsid w:val="00264646"/>
    <w:rsid w:val="00264E86"/>
    <w:rsid w:val="00265506"/>
    <w:rsid w:val="00265AE4"/>
    <w:rsid w:val="00265B6D"/>
    <w:rsid w:val="00265E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B02"/>
    <w:rsid w:val="00291F2F"/>
    <w:rsid w:val="00291F68"/>
    <w:rsid w:val="0029235E"/>
    <w:rsid w:val="00292439"/>
    <w:rsid w:val="00292927"/>
    <w:rsid w:val="0029356B"/>
    <w:rsid w:val="00294181"/>
    <w:rsid w:val="002946AB"/>
    <w:rsid w:val="002946B2"/>
    <w:rsid w:val="00294890"/>
    <w:rsid w:val="00294BD5"/>
    <w:rsid w:val="002959F3"/>
    <w:rsid w:val="0029672A"/>
    <w:rsid w:val="00296998"/>
    <w:rsid w:val="00297B94"/>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47FE"/>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648"/>
    <w:rsid w:val="002C6CC4"/>
    <w:rsid w:val="002C6EF5"/>
    <w:rsid w:val="002C7166"/>
    <w:rsid w:val="002C7542"/>
    <w:rsid w:val="002C79B8"/>
    <w:rsid w:val="002D13C4"/>
    <w:rsid w:val="002D1791"/>
    <w:rsid w:val="002D1C46"/>
    <w:rsid w:val="002D2678"/>
    <w:rsid w:val="002D275E"/>
    <w:rsid w:val="002D2A1D"/>
    <w:rsid w:val="002D2C16"/>
    <w:rsid w:val="002D313F"/>
    <w:rsid w:val="002D3BA3"/>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DEA"/>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C7C"/>
    <w:rsid w:val="002F4D3A"/>
    <w:rsid w:val="002F5E86"/>
    <w:rsid w:val="002F662D"/>
    <w:rsid w:val="002F7228"/>
    <w:rsid w:val="002F7249"/>
    <w:rsid w:val="002F750E"/>
    <w:rsid w:val="0030019C"/>
    <w:rsid w:val="00300A0B"/>
    <w:rsid w:val="00300AD2"/>
    <w:rsid w:val="00300C2E"/>
    <w:rsid w:val="00300FDA"/>
    <w:rsid w:val="003010FC"/>
    <w:rsid w:val="003018AA"/>
    <w:rsid w:val="003020A5"/>
    <w:rsid w:val="003030BC"/>
    <w:rsid w:val="0030361D"/>
    <w:rsid w:val="00303885"/>
    <w:rsid w:val="00303B99"/>
    <w:rsid w:val="00303D6C"/>
    <w:rsid w:val="00304F5A"/>
    <w:rsid w:val="0030665C"/>
    <w:rsid w:val="003066D5"/>
    <w:rsid w:val="0030682C"/>
    <w:rsid w:val="00306D1F"/>
    <w:rsid w:val="0030714F"/>
    <w:rsid w:val="003073E2"/>
    <w:rsid w:val="00307549"/>
    <w:rsid w:val="00307DDF"/>
    <w:rsid w:val="003104C7"/>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4FA"/>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0F0A"/>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410"/>
    <w:rsid w:val="00355CBC"/>
    <w:rsid w:val="00356024"/>
    <w:rsid w:val="003561D9"/>
    <w:rsid w:val="003568D9"/>
    <w:rsid w:val="0035728C"/>
    <w:rsid w:val="0036035C"/>
    <w:rsid w:val="00360426"/>
    <w:rsid w:val="0036063F"/>
    <w:rsid w:val="00360B65"/>
    <w:rsid w:val="00360C62"/>
    <w:rsid w:val="00361146"/>
    <w:rsid w:val="003611A5"/>
    <w:rsid w:val="00361619"/>
    <w:rsid w:val="00361F8D"/>
    <w:rsid w:val="003622CA"/>
    <w:rsid w:val="003629F0"/>
    <w:rsid w:val="00363030"/>
    <w:rsid w:val="00364563"/>
    <w:rsid w:val="0036462C"/>
    <w:rsid w:val="00364A42"/>
    <w:rsid w:val="00364CC8"/>
    <w:rsid w:val="003653A1"/>
    <w:rsid w:val="00365E02"/>
    <w:rsid w:val="00366018"/>
    <w:rsid w:val="00366244"/>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ADA"/>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8EC"/>
    <w:rsid w:val="003A7B45"/>
    <w:rsid w:val="003A7B61"/>
    <w:rsid w:val="003A7E3A"/>
    <w:rsid w:val="003B011C"/>
    <w:rsid w:val="003B016A"/>
    <w:rsid w:val="003B0517"/>
    <w:rsid w:val="003B0611"/>
    <w:rsid w:val="003B0D66"/>
    <w:rsid w:val="003B0D72"/>
    <w:rsid w:val="003B220B"/>
    <w:rsid w:val="003B2B48"/>
    <w:rsid w:val="003B2CB6"/>
    <w:rsid w:val="003B2DBB"/>
    <w:rsid w:val="003B3617"/>
    <w:rsid w:val="003B39E7"/>
    <w:rsid w:val="003B3A34"/>
    <w:rsid w:val="003B42D9"/>
    <w:rsid w:val="003B465B"/>
    <w:rsid w:val="003B47A7"/>
    <w:rsid w:val="003B50DA"/>
    <w:rsid w:val="003B5DA2"/>
    <w:rsid w:val="003B5F4E"/>
    <w:rsid w:val="003B6017"/>
    <w:rsid w:val="003B7029"/>
    <w:rsid w:val="003B7073"/>
    <w:rsid w:val="003B7351"/>
    <w:rsid w:val="003C02BA"/>
    <w:rsid w:val="003C06D8"/>
    <w:rsid w:val="003C0F84"/>
    <w:rsid w:val="003C2000"/>
    <w:rsid w:val="003C2E13"/>
    <w:rsid w:val="003C3140"/>
    <w:rsid w:val="003C327C"/>
    <w:rsid w:val="003C3A63"/>
    <w:rsid w:val="003C3E02"/>
    <w:rsid w:val="003C3FE8"/>
    <w:rsid w:val="003C4F45"/>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33E"/>
    <w:rsid w:val="003D394E"/>
    <w:rsid w:val="003D3971"/>
    <w:rsid w:val="003D3FE9"/>
    <w:rsid w:val="003D4168"/>
    <w:rsid w:val="003D447C"/>
    <w:rsid w:val="003D45F6"/>
    <w:rsid w:val="003D4991"/>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2E5C"/>
    <w:rsid w:val="003E3988"/>
    <w:rsid w:val="003E3FF5"/>
    <w:rsid w:val="003E414C"/>
    <w:rsid w:val="003E44DD"/>
    <w:rsid w:val="003E49D9"/>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5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AE2"/>
    <w:rsid w:val="003F7B70"/>
    <w:rsid w:val="003F7B88"/>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6970"/>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0AF5"/>
    <w:rsid w:val="004210DA"/>
    <w:rsid w:val="00421331"/>
    <w:rsid w:val="00421394"/>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AD9"/>
    <w:rsid w:val="00431C4F"/>
    <w:rsid w:val="00431F67"/>
    <w:rsid w:val="00432BB7"/>
    <w:rsid w:val="00432F2F"/>
    <w:rsid w:val="004331E9"/>
    <w:rsid w:val="0043390D"/>
    <w:rsid w:val="004339EF"/>
    <w:rsid w:val="00433E8D"/>
    <w:rsid w:val="004346C9"/>
    <w:rsid w:val="004348FB"/>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C48"/>
    <w:rsid w:val="00441E91"/>
    <w:rsid w:val="00441FEE"/>
    <w:rsid w:val="004422CA"/>
    <w:rsid w:val="00442FAD"/>
    <w:rsid w:val="00443807"/>
    <w:rsid w:val="00443A1C"/>
    <w:rsid w:val="00443EBB"/>
    <w:rsid w:val="00443F03"/>
    <w:rsid w:val="004443E1"/>
    <w:rsid w:val="004448D0"/>
    <w:rsid w:val="004449AC"/>
    <w:rsid w:val="0044506F"/>
    <w:rsid w:val="00445680"/>
    <w:rsid w:val="00445C33"/>
    <w:rsid w:val="004462F7"/>
    <w:rsid w:val="0044636A"/>
    <w:rsid w:val="00451116"/>
    <w:rsid w:val="00451656"/>
    <w:rsid w:val="00453C7E"/>
    <w:rsid w:val="00454835"/>
    <w:rsid w:val="00454F06"/>
    <w:rsid w:val="004550AC"/>
    <w:rsid w:val="00455260"/>
    <w:rsid w:val="0045554B"/>
    <w:rsid w:val="00455726"/>
    <w:rsid w:val="00455AAF"/>
    <w:rsid w:val="0045650D"/>
    <w:rsid w:val="00456B54"/>
    <w:rsid w:val="0045716C"/>
    <w:rsid w:val="00457E6A"/>
    <w:rsid w:val="0046019D"/>
    <w:rsid w:val="00460250"/>
    <w:rsid w:val="00460BDC"/>
    <w:rsid w:val="004623FA"/>
    <w:rsid w:val="004626FF"/>
    <w:rsid w:val="00463D09"/>
    <w:rsid w:val="00464525"/>
    <w:rsid w:val="00464536"/>
    <w:rsid w:val="00464790"/>
    <w:rsid w:val="0046514E"/>
    <w:rsid w:val="0046532C"/>
    <w:rsid w:val="00465965"/>
    <w:rsid w:val="0046623C"/>
    <w:rsid w:val="0046686A"/>
    <w:rsid w:val="00466EC2"/>
    <w:rsid w:val="00466F96"/>
    <w:rsid w:val="00467739"/>
    <w:rsid w:val="004705D8"/>
    <w:rsid w:val="00470B9C"/>
    <w:rsid w:val="00470D0C"/>
    <w:rsid w:val="0047104F"/>
    <w:rsid w:val="00471900"/>
    <w:rsid w:val="00471D6B"/>
    <w:rsid w:val="00474104"/>
    <w:rsid w:val="00474677"/>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71C"/>
    <w:rsid w:val="00496874"/>
    <w:rsid w:val="004968B7"/>
    <w:rsid w:val="00496CF9"/>
    <w:rsid w:val="00496E5A"/>
    <w:rsid w:val="0049768F"/>
    <w:rsid w:val="004A04E5"/>
    <w:rsid w:val="004A064F"/>
    <w:rsid w:val="004A0768"/>
    <w:rsid w:val="004A0E80"/>
    <w:rsid w:val="004A1495"/>
    <w:rsid w:val="004A17BE"/>
    <w:rsid w:val="004A2089"/>
    <w:rsid w:val="004A212F"/>
    <w:rsid w:val="004A2165"/>
    <w:rsid w:val="004A251B"/>
    <w:rsid w:val="004A2B4F"/>
    <w:rsid w:val="004A38A4"/>
    <w:rsid w:val="004A3AD5"/>
    <w:rsid w:val="004A3E61"/>
    <w:rsid w:val="004A46FA"/>
    <w:rsid w:val="004A4993"/>
    <w:rsid w:val="004A4C41"/>
    <w:rsid w:val="004A4DCA"/>
    <w:rsid w:val="004A5084"/>
    <w:rsid w:val="004A5F74"/>
    <w:rsid w:val="004A6212"/>
    <w:rsid w:val="004A67D7"/>
    <w:rsid w:val="004A6AC0"/>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3390"/>
    <w:rsid w:val="004C392F"/>
    <w:rsid w:val="004C3E3E"/>
    <w:rsid w:val="004C3FEB"/>
    <w:rsid w:val="004C44E9"/>
    <w:rsid w:val="004C4E4F"/>
    <w:rsid w:val="004C516F"/>
    <w:rsid w:val="004C6198"/>
    <w:rsid w:val="004C650A"/>
    <w:rsid w:val="004C68A0"/>
    <w:rsid w:val="004C692A"/>
    <w:rsid w:val="004C748A"/>
    <w:rsid w:val="004C7540"/>
    <w:rsid w:val="004C7B23"/>
    <w:rsid w:val="004D1201"/>
    <w:rsid w:val="004D1313"/>
    <w:rsid w:val="004D16E8"/>
    <w:rsid w:val="004D1D85"/>
    <w:rsid w:val="004D2210"/>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D46"/>
    <w:rsid w:val="004D6E81"/>
    <w:rsid w:val="004D6FB7"/>
    <w:rsid w:val="004D7316"/>
    <w:rsid w:val="004E02AB"/>
    <w:rsid w:val="004E0DC3"/>
    <w:rsid w:val="004E1843"/>
    <w:rsid w:val="004E20B2"/>
    <w:rsid w:val="004E248A"/>
    <w:rsid w:val="004E2C79"/>
    <w:rsid w:val="004E2F87"/>
    <w:rsid w:val="004E3279"/>
    <w:rsid w:val="004E3A72"/>
    <w:rsid w:val="004E3C56"/>
    <w:rsid w:val="004E42DA"/>
    <w:rsid w:val="004E4662"/>
    <w:rsid w:val="004E47EC"/>
    <w:rsid w:val="004E4B84"/>
    <w:rsid w:val="004E514F"/>
    <w:rsid w:val="004E5169"/>
    <w:rsid w:val="004E6D0A"/>
    <w:rsid w:val="004E6D2A"/>
    <w:rsid w:val="004E6E06"/>
    <w:rsid w:val="004E7038"/>
    <w:rsid w:val="004E71E2"/>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5FC3"/>
    <w:rsid w:val="004F61F4"/>
    <w:rsid w:val="0050002D"/>
    <w:rsid w:val="00500141"/>
    <w:rsid w:val="00500C5A"/>
    <w:rsid w:val="00500E33"/>
    <w:rsid w:val="00500E65"/>
    <w:rsid w:val="005012B0"/>
    <w:rsid w:val="005014E4"/>
    <w:rsid w:val="00501C6A"/>
    <w:rsid w:val="00501ECF"/>
    <w:rsid w:val="00502165"/>
    <w:rsid w:val="00502218"/>
    <w:rsid w:val="00502432"/>
    <w:rsid w:val="005031DD"/>
    <w:rsid w:val="00504834"/>
    <w:rsid w:val="00504B4E"/>
    <w:rsid w:val="00504C7A"/>
    <w:rsid w:val="0050520C"/>
    <w:rsid w:val="0050537B"/>
    <w:rsid w:val="00505489"/>
    <w:rsid w:val="00505AEE"/>
    <w:rsid w:val="00505C40"/>
    <w:rsid w:val="00505C62"/>
    <w:rsid w:val="005060D7"/>
    <w:rsid w:val="005062AD"/>
    <w:rsid w:val="0050632E"/>
    <w:rsid w:val="00506975"/>
    <w:rsid w:val="00506D07"/>
    <w:rsid w:val="00506D74"/>
    <w:rsid w:val="00507512"/>
    <w:rsid w:val="0050752D"/>
    <w:rsid w:val="00510F99"/>
    <w:rsid w:val="0051132E"/>
    <w:rsid w:val="00511EF3"/>
    <w:rsid w:val="00512411"/>
    <w:rsid w:val="00512540"/>
    <w:rsid w:val="0051266A"/>
    <w:rsid w:val="00512717"/>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FD"/>
    <w:rsid w:val="00525849"/>
    <w:rsid w:val="00525A61"/>
    <w:rsid w:val="00525DDA"/>
    <w:rsid w:val="00526381"/>
    <w:rsid w:val="0052640D"/>
    <w:rsid w:val="005269E6"/>
    <w:rsid w:val="00526E71"/>
    <w:rsid w:val="00530AF6"/>
    <w:rsid w:val="00530BFA"/>
    <w:rsid w:val="00530EE7"/>
    <w:rsid w:val="0053112A"/>
    <w:rsid w:val="00531EAC"/>
    <w:rsid w:val="005321A1"/>
    <w:rsid w:val="00532271"/>
    <w:rsid w:val="0053247C"/>
    <w:rsid w:val="0053364E"/>
    <w:rsid w:val="00533B6E"/>
    <w:rsid w:val="0053400C"/>
    <w:rsid w:val="005346A9"/>
    <w:rsid w:val="0053471B"/>
    <w:rsid w:val="00534A7E"/>
    <w:rsid w:val="005351B9"/>
    <w:rsid w:val="00535C84"/>
    <w:rsid w:val="00535D6A"/>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521"/>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67782"/>
    <w:rsid w:val="00570B1A"/>
    <w:rsid w:val="0057127D"/>
    <w:rsid w:val="00571B4B"/>
    <w:rsid w:val="00571DD4"/>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D9A"/>
    <w:rsid w:val="00586FB7"/>
    <w:rsid w:val="00587507"/>
    <w:rsid w:val="00587FE0"/>
    <w:rsid w:val="00590184"/>
    <w:rsid w:val="005903A2"/>
    <w:rsid w:val="005904F0"/>
    <w:rsid w:val="00590FF6"/>
    <w:rsid w:val="00593755"/>
    <w:rsid w:val="00594294"/>
    <w:rsid w:val="00594479"/>
    <w:rsid w:val="00595CDA"/>
    <w:rsid w:val="00595D46"/>
    <w:rsid w:val="005964E0"/>
    <w:rsid w:val="00596A0B"/>
    <w:rsid w:val="00596E05"/>
    <w:rsid w:val="00596F85"/>
    <w:rsid w:val="005970FA"/>
    <w:rsid w:val="0059766B"/>
    <w:rsid w:val="00597C7C"/>
    <w:rsid w:val="005A0117"/>
    <w:rsid w:val="005A0176"/>
    <w:rsid w:val="005A088E"/>
    <w:rsid w:val="005A139C"/>
    <w:rsid w:val="005A1C76"/>
    <w:rsid w:val="005A2298"/>
    <w:rsid w:val="005A2588"/>
    <w:rsid w:val="005A28C1"/>
    <w:rsid w:val="005A2950"/>
    <w:rsid w:val="005A3309"/>
    <w:rsid w:val="005A426F"/>
    <w:rsid w:val="005A4DE1"/>
    <w:rsid w:val="005A5587"/>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536B"/>
    <w:rsid w:val="005B53AF"/>
    <w:rsid w:val="005B55F4"/>
    <w:rsid w:val="005B5C29"/>
    <w:rsid w:val="005B5D1F"/>
    <w:rsid w:val="005B5D33"/>
    <w:rsid w:val="005B6E15"/>
    <w:rsid w:val="005B78DF"/>
    <w:rsid w:val="005C0A3A"/>
    <w:rsid w:val="005C1834"/>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684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89C"/>
    <w:rsid w:val="005E590A"/>
    <w:rsid w:val="005E5E87"/>
    <w:rsid w:val="005E6960"/>
    <w:rsid w:val="005E6D97"/>
    <w:rsid w:val="005E6DE3"/>
    <w:rsid w:val="005E6E51"/>
    <w:rsid w:val="005E73F1"/>
    <w:rsid w:val="005E75AB"/>
    <w:rsid w:val="005E7D93"/>
    <w:rsid w:val="005E7EB8"/>
    <w:rsid w:val="005F0554"/>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925"/>
    <w:rsid w:val="00601DC7"/>
    <w:rsid w:val="00602064"/>
    <w:rsid w:val="006025B8"/>
    <w:rsid w:val="00602A5E"/>
    <w:rsid w:val="00602C1D"/>
    <w:rsid w:val="00603024"/>
    <w:rsid w:val="00603342"/>
    <w:rsid w:val="006036DE"/>
    <w:rsid w:val="0060448B"/>
    <w:rsid w:val="00604C81"/>
    <w:rsid w:val="0060553C"/>
    <w:rsid w:val="00605996"/>
    <w:rsid w:val="00605F3F"/>
    <w:rsid w:val="00606047"/>
    <w:rsid w:val="00606176"/>
    <w:rsid w:val="006062B4"/>
    <w:rsid w:val="006065C1"/>
    <w:rsid w:val="00606DD4"/>
    <w:rsid w:val="00607011"/>
    <w:rsid w:val="00607374"/>
    <w:rsid w:val="006075A4"/>
    <w:rsid w:val="006079B8"/>
    <w:rsid w:val="00607E9D"/>
    <w:rsid w:val="00607F85"/>
    <w:rsid w:val="00607FE1"/>
    <w:rsid w:val="00610057"/>
    <w:rsid w:val="006102C2"/>
    <w:rsid w:val="0061079B"/>
    <w:rsid w:val="006108D0"/>
    <w:rsid w:val="00610BD9"/>
    <w:rsid w:val="00611041"/>
    <w:rsid w:val="0061117F"/>
    <w:rsid w:val="00611196"/>
    <w:rsid w:val="006116E3"/>
    <w:rsid w:val="00611AFF"/>
    <w:rsid w:val="0061210D"/>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46F"/>
    <w:rsid w:val="00656DA1"/>
    <w:rsid w:val="006571E4"/>
    <w:rsid w:val="0065760C"/>
    <w:rsid w:val="00657978"/>
    <w:rsid w:val="00657DB9"/>
    <w:rsid w:val="0066037C"/>
    <w:rsid w:val="00660889"/>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133"/>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87ECA"/>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3B9"/>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5498"/>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13C"/>
    <w:rsid w:val="006B2368"/>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205"/>
    <w:rsid w:val="006C16A8"/>
    <w:rsid w:val="006C1EEC"/>
    <w:rsid w:val="006C319D"/>
    <w:rsid w:val="006C352C"/>
    <w:rsid w:val="006C3732"/>
    <w:rsid w:val="006C3FEA"/>
    <w:rsid w:val="006C4D9B"/>
    <w:rsid w:val="006C4FEE"/>
    <w:rsid w:val="006C5D80"/>
    <w:rsid w:val="006C65E9"/>
    <w:rsid w:val="006C6666"/>
    <w:rsid w:val="006C69E7"/>
    <w:rsid w:val="006C74A5"/>
    <w:rsid w:val="006C7956"/>
    <w:rsid w:val="006D03C2"/>
    <w:rsid w:val="006D10AE"/>
    <w:rsid w:val="006D125C"/>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692"/>
    <w:rsid w:val="006E182F"/>
    <w:rsid w:val="006E1E6C"/>
    <w:rsid w:val="006E20CB"/>
    <w:rsid w:val="006E39DC"/>
    <w:rsid w:val="006E533A"/>
    <w:rsid w:val="006E5505"/>
    <w:rsid w:val="006E56CB"/>
    <w:rsid w:val="006E576A"/>
    <w:rsid w:val="006E5F8C"/>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2FF"/>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4D6"/>
    <w:rsid w:val="007109A0"/>
    <w:rsid w:val="00710D88"/>
    <w:rsid w:val="00710DD9"/>
    <w:rsid w:val="00711670"/>
    <w:rsid w:val="0071167F"/>
    <w:rsid w:val="007122F9"/>
    <w:rsid w:val="00712806"/>
    <w:rsid w:val="00712C21"/>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32A"/>
    <w:rsid w:val="0072295E"/>
    <w:rsid w:val="0072382C"/>
    <w:rsid w:val="00724543"/>
    <w:rsid w:val="007253B2"/>
    <w:rsid w:val="007253FF"/>
    <w:rsid w:val="00727370"/>
    <w:rsid w:val="00727551"/>
    <w:rsid w:val="007319AD"/>
    <w:rsid w:val="007320A9"/>
    <w:rsid w:val="007326A9"/>
    <w:rsid w:val="0073277B"/>
    <w:rsid w:val="00732A22"/>
    <w:rsid w:val="00732A29"/>
    <w:rsid w:val="00732B83"/>
    <w:rsid w:val="00732E51"/>
    <w:rsid w:val="00733589"/>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43C"/>
    <w:rsid w:val="00770533"/>
    <w:rsid w:val="00770ABA"/>
    <w:rsid w:val="007715FC"/>
    <w:rsid w:val="00771830"/>
    <w:rsid w:val="00772177"/>
    <w:rsid w:val="0077265F"/>
    <w:rsid w:val="00772E1F"/>
    <w:rsid w:val="00773924"/>
    <w:rsid w:val="007749E4"/>
    <w:rsid w:val="0077510D"/>
    <w:rsid w:val="0077576E"/>
    <w:rsid w:val="00775C65"/>
    <w:rsid w:val="00775FA9"/>
    <w:rsid w:val="0077639A"/>
    <w:rsid w:val="00776AC1"/>
    <w:rsid w:val="00776D55"/>
    <w:rsid w:val="00776F63"/>
    <w:rsid w:val="007775A4"/>
    <w:rsid w:val="007800AF"/>
    <w:rsid w:val="00780129"/>
    <w:rsid w:val="00780360"/>
    <w:rsid w:val="0078084F"/>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2F5C"/>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8B8"/>
    <w:rsid w:val="007C2DB5"/>
    <w:rsid w:val="007C2E2A"/>
    <w:rsid w:val="007C3003"/>
    <w:rsid w:val="007C385F"/>
    <w:rsid w:val="007C3BC4"/>
    <w:rsid w:val="007C3C80"/>
    <w:rsid w:val="007C3F53"/>
    <w:rsid w:val="007C4C3D"/>
    <w:rsid w:val="007C4DB0"/>
    <w:rsid w:val="007C5201"/>
    <w:rsid w:val="007C5923"/>
    <w:rsid w:val="007C5F1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396"/>
    <w:rsid w:val="007D4EC2"/>
    <w:rsid w:val="007D564D"/>
    <w:rsid w:val="007D5690"/>
    <w:rsid w:val="007D57B7"/>
    <w:rsid w:val="007D5930"/>
    <w:rsid w:val="007D67EA"/>
    <w:rsid w:val="007D69FA"/>
    <w:rsid w:val="007D6BA9"/>
    <w:rsid w:val="007D75E9"/>
    <w:rsid w:val="007D7CC9"/>
    <w:rsid w:val="007D7FAB"/>
    <w:rsid w:val="007E039F"/>
    <w:rsid w:val="007E11D8"/>
    <w:rsid w:val="007E1600"/>
    <w:rsid w:val="007E1E93"/>
    <w:rsid w:val="007E2F09"/>
    <w:rsid w:val="007E38C7"/>
    <w:rsid w:val="007E3A75"/>
    <w:rsid w:val="007E3D73"/>
    <w:rsid w:val="007E3F3E"/>
    <w:rsid w:val="007E4641"/>
    <w:rsid w:val="007E4778"/>
    <w:rsid w:val="007E4BBA"/>
    <w:rsid w:val="007E4D75"/>
    <w:rsid w:val="007E5504"/>
    <w:rsid w:val="007E5D6C"/>
    <w:rsid w:val="007E6838"/>
    <w:rsid w:val="007E70EE"/>
    <w:rsid w:val="007E7FA7"/>
    <w:rsid w:val="007F0288"/>
    <w:rsid w:val="007F02B9"/>
    <w:rsid w:val="007F078E"/>
    <w:rsid w:val="007F0C46"/>
    <w:rsid w:val="007F0CE1"/>
    <w:rsid w:val="007F1ABA"/>
    <w:rsid w:val="007F1C5F"/>
    <w:rsid w:val="007F23DB"/>
    <w:rsid w:val="007F2408"/>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D06"/>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1B9"/>
    <w:rsid w:val="0083636A"/>
    <w:rsid w:val="00836BFC"/>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3E3"/>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18E"/>
    <w:rsid w:val="00856333"/>
    <w:rsid w:val="00856652"/>
    <w:rsid w:val="008566B2"/>
    <w:rsid w:val="00856D1A"/>
    <w:rsid w:val="00857172"/>
    <w:rsid w:val="00857AC2"/>
    <w:rsid w:val="00860DE4"/>
    <w:rsid w:val="008619F0"/>
    <w:rsid w:val="0086209C"/>
    <w:rsid w:val="0086236A"/>
    <w:rsid w:val="008627A5"/>
    <w:rsid w:val="00862B94"/>
    <w:rsid w:val="008631D5"/>
    <w:rsid w:val="00863F3B"/>
    <w:rsid w:val="00864943"/>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429D"/>
    <w:rsid w:val="0087524E"/>
    <w:rsid w:val="00876025"/>
    <w:rsid w:val="00877372"/>
    <w:rsid w:val="00877660"/>
    <w:rsid w:val="0087773A"/>
    <w:rsid w:val="00877B0B"/>
    <w:rsid w:val="008800ED"/>
    <w:rsid w:val="00880121"/>
    <w:rsid w:val="0088185C"/>
    <w:rsid w:val="00882072"/>
    <w:rsid w:val="0088208B"/>
    <w:rsid w:val="0088214A"/>
    <w:rsid w:val="008821BC"/>
    <w:rsid w:val="00882CF6"/>
    <w:rsid w:val="00882DAD"/>
    <w:rsid w:val="00882E12"/>
    <w:rsid w:val="0088313D"/>
    <w:rsid w:val="0088390A"/>
    <w:rsid w:val="008843F5"/>
    <w:rsid w:val="00884848"/>
    <w:rsid w:val="00884F32"/>
    <w:rsid w:val="00885073"/>
    <w:rsid w:val="00885263"/>
    <w:rsid w:val="00885DF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49"/>
    <w:rsid w:val="008949B1"/>
    <w:rsid w:val="00894D66"/>
    <w:rsid w:val="00895396"/>
    <w:rsid w:val="00895E83"/>
    <w:rsid w:val="00895EED"/>
    <w:rsid w:val="00896995"/>
    <w:rsid w:val="00896B10"/>
    <w:rsid w:val="00896DA2"/>
    <w:rsid w:val="00896E2B"/>
    <w:rsid w:val="0089711A"/>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4E2B"/>
    <w:rsid w:val="008B56D7"/>
    <w:rsid w:val="008B5977"/>
    <w:rsid w:val="008B6206"/>
    <w:rsid w:val="008B63EC"/>
    <w:rsid w:val="008B6E36"/>
    <w:rsid w:val="008B708E"/>
    <w:rsid w:val="008B7A43"/>
    <w:rsid w:val="008B7E1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21"/>
    <w:rsid w:val="008D53A4"/>
    <w:rsid w:val="008D61A7"/>
    <w:rsid w:val="008D62A9"/>
    <w:rsid w:val="008D64F1"/>
    <w:rsid w:val="008D6C7A"/>
    <w:rsid w:val="008E0007"/>
    <w:rsid w:val="008E0179"/>
    <w:rsid w:val="008E02F2"/>
    <w:rsid w:val="008E0374"/>
    <w:rsid w:val="008E0B1C"/>
    <w:rsid w:val="008E1426"/>
    <w:rsid w:val="008E145C"/>
    <w:rsid w:val="008E1611"/>
    <w:rsid w:val="008E16B0"/>
    <w:rsid w:val="008E1AA7"/>
    <w:rsid w:val="008E1D5A"/>
    <w:rsid w:val="008E2D53"/>
    <w:rsid w:val="008E34C3"/>
    <w:rsid w:val="008E3E4B"/>
    <w:rsid w:val="008E43A6"/>
    <w:rsid w:val="008E45E7"/>
    <w:rsid w:val="008E4923"/>
    <w:rsid w:val="008E4EF9"/>
    <w:rsid w:val="008E557B"/>
    <w:rsid w:val="008E5758"/>
    <w:rsid w:val="008E5A0C"/>
    <w:rsid w:val="008E5C7E"/>
    <w:rsid w:val="008E6080"/>
    <w:rsid w:val="008E6286"/>
    <w:rsid w:val="008E62F5"/>
    <w:rsid w:val="008E6DFC"/>
    <w:rsid w:val="008E72FD"/>
    <w:rsid w:val="008E7710"/>
    <w:rsid w:val="008F0FD3"/>
    <w:rsid w:val="008F13D6"/>
    <w:rsid w:val="008F1E9C"/>
    <w:rsid w:val="008F2795"/>
    <w:rsid w:val="008F2F6F"/>
    <w:rsid w:val="008F3188"/>
    <w:rsid w:val="008F356B"/>
    <w:rsid w:val="008F3AB7"/>
    <w:rsid w:val="008F3D6C"/>
    <w:rsid w:val="008F4522"/>
    <w:rsid w:val="008F485A"/>
    <w:rsid w:val="008F58B6"/>
    <w:rsid w:val="008F67B1"/>
    <w:rsid w:val="008F6978"/>
    <w:rsid w:val="008F7D12"/>
    <w:rsid w:val="008F7DB1"/>
    <w:rsid w:val="00900D4D"/>
    <w:rsid w:val="009010DF"/>
    <w:rsid w:val="009012FC"/>
    <w:rsid w:val="00901D76"/>
    <w:rsid w:val="00902CC3"/>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63A"/>
    <w:rsid w:val="00913870"/>
    <w:rsid w:val="00913A0B"/>
    <w:rsid w:val="009142F6"/>
    <w:rsid w:val="00914410"/>
    <w:rsid w:val="009151EE"/>
    <w:rsid w:val="009154B5"/>
    <w:rsid w:val="00915520"/>
    <w:rsid w:val="009155DC"/>
    <w:rsid w:val="009155F7"/>
    <w:rsid w:val="00915E6E"/>
    <w:rsid w:val="00915EA2"/>
    <w:rsid w:val="00915F3D"/>
    <w:rsid w:val="0091756A"/>
    <w:rsid w:val="0091784D"/>
    <w:rsid w:val="00917AA0"/>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4E"/>
    <w:rsid w:val="00927C5C"/>
    <w:rsid w:val="00927CA6"/>
    <w:rsid w:val="00927CEF"/>
    <w:rsid w:val="009301F9"/>
    <w:rsid w:val="00931854"/>
    <w:rsid w:val="00932B80"/>
    <w:rsid w:val="0093409F"/>
    <w:rsid w:val="00934AA9"/>
    <w:rsid w:val="0093523F"/>
    <w:rsid w:val="009356BA"/>
    <w:rsid w:val="00935723"/>
    <w:rsid w:val="00936D0E"/>
    <w:rsid w:val="009373D3"/>
    <w:rsid w:val="009401FB"/>
    <w:rsid w:val="009407FE"/>
    <w:rsid w:val="009410B7"/>
    <w:rsid w:val="00941710"/>
    <w:rsid w:val="00941A2E"/>
    <w:rsid w:val="00941E3E"/>
    <w:rsid w:val="00942187"/>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1BEE"/>
    <w:rsid w:val="00961CFA"/>
    <w:rsid w:val="0096276A"/>
    <w:rsid w:val="0096316A"/>
    <w:rsid w:val="00963F8F"/>
    <w:rsid w:val="00964013"/>
    <w:rsid w:val="00964263"/>
    <w:rsid w:val="0096487B"/>
    <w:rsid w:val="00964CB5"/>
    <w:rsid w:val="00965358"/>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434E"/>
    <w:rsid w:val="00974CA6"/>
    <w:rsid w:val="009757D1"/>
    <w:rsid w:val="00975EB9"/>
    <w:rsid w:val="00976707"/>
    <w:rsid w:val="00976AB7"/>
    <w:rsid w:val="009771C5"/>
    <w:rsid w:val="009777B0"/>
    <w:rsid w:val="00980381"/>
    <w:rsid w:val="00980754"/>
    <w:rsid w:val="00980F74"/>
    <w:rsid w:val="00981212"/>
    <w:rsid w:val="00981443"/>
    <w:rsid w:val="00981535"/>
    <w:rsid w:val="009825C8"/>
    <w:rsid w:val="00982B12"/>
    <w:rsid w:val="009832B9"/>
    <w:rsid w:val="009832E0"/>
    <w:rsid w:val="00983531"/>
    <w:rsid w:val="00983A38"/>
    <w:rsid w:val="0098409F"/>
    <w:rsid w:val="0098437C"/>
    <w:rsid w:val="00984616"/>
    <w:rsid w:val="00984A55"/>
    <w:rsid w:val="00984BF1"/>
    <w:rsid w:val="00985430"/>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4ECE"/>
    <w:rsid w:val="009A63AE"/>
    <w:rsid w:val="009A65A0"/>
    <w:rsid w:val="009A667A"/>
    <w:rsid w:val="009A6DB2"/>
    <w:rsid w:val="009A7553"/>
    <w:rsid w:val="009A759F"/>
    <w:rsid w:val="009A79BB"/>
    <w:rsid w:val="009A7C0F"/>
    <w:rsid w:val="009A7E31"/>
    <w:rsid w:val="009B03DF"/>
    <w:rsid w:val="009B0675"/>
    <w:rsid w:val="009B069F"/>
    <w:rsid w:val="009B08C9"/>
    <w:rsid w:val="009B1E3A"/>
    <w:rsid w:val="009B1EAB"/>
    <w:rsid w:val="009B208B"/>
    <w:rsid w:val="009B2232"/>
    <w:rsid w:val="009B27A2"/>
    <w:rsid w:val="009B2A43"/>
    <w:rsid w:val="009B2D84"/>
    <w:rsid w:val="009B3E2E"/>
    <w:rsid w:val="009B3FBB"/>
    <w:rsid w:val="009B4B4A"/>
    <w:rsid w:val="009B558C"/>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AB7"/>
    <w:rsid w:val="009C6C4B"/>
    <w:rsid w:val="009C7F43"/>
    <w:rsid w:val="009D0B9E"/>
    <w:rsid w:val="009D0BD7"/>
    <w:rsid w:val="009D0C18"/>
    <w:rsid w:val="009D1035"/>
    <w:rsid w:val="009D13D0"/>
    <w:rsid w:val="009D1B09"/>
    <w:rsid w:val="009D2068"/>
    <w:rsid w:val="009D2836"/>
    <w:rsid w:val="009D29B5"/>
    <w:rsid w:val="009D363D"/>
    <w:rsid w:val="009D38C0"/>
    <w:rsid w:val="009D41CC"/>
    <w:rsid w:val="009D4D46"/>
    <w:rsid w:val="009D515D"/>
    <w:rsid w:val="009D575B"/>
    <w:rsid w:val="009D6193"/>
    <w:rsid w:val="009D6BC5"/>
    <w:rsid w:val="009D6DA4"/>
    <w:rsid w:val="009D7470"/>
    <w:rsid w:val="009D7861"/>
    <w:rsid w:val="009D7C3C"/>
    <w:rsid w:val="009D7D33"/>
    <w:rsid w:val="009D7EA8"/>
    <w:rsid w:val="009E01FC"/>
    <w:rsid w:val="009E0317"/>
    <w:rsid w:val="009E0419"/>
    <w:rsid w:val="009E0685"/>
    <w:rsid w:val="009E0C8D"/>
    <w:rsid w:val="009E1999"/>
    <w:rsid w:val="009E237C"/>
    <w:rsid w:val="009E2A37"/>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5BEC"/>
    <w:rsid w:val="009F6FEF"/>
    <w:rsid w:val="009F71BE"/>
    <w:rsid w:val="009F7706"/>
    <w:rsid w:val="00A00317"/>
    <w:rsid w:val="00A0058B"/>
    <w:rsid w:val="00A00963"/>
    <w:rsid w:val="00A0167D"/>
    <w:rsid w:val="00A01D0B"/>
    <w:rsid w:val="00A01DFE"/>
    <w:rsid w:val="00A0271B"/>
    <w:rsid w:val="00A02A9B"/>
    <w:rsid w:val="00A02D14"/>
    <w:rsid w:val="00A031AA"/>
    <w:rsid w:val="00A0344F"/>
    <w:rsid w:val="00A053F6"/>
    <w:rsid w:val="00A057DA"/>
    <w:rsid w:val="00A057FA"/>
    <w:rsid w:val="00A0598C"/>
    <w:rsid w:val="00A05C7D"/>
    <w:rsid w:val="00A066AE"/>
    <w:rsid w:val="00A072CB"/>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D90"/>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C6A"/>
    <w:rsid w:val="00A36F9C"/>
    <w:rsid w:val="00A3748C"/>
    <w:rsid w:val="00A375EF"/>
    <w:rsid w:val="00A37613"/>
    <w:rsid w:val="00A377CD"/>
    <w:rsid w:val="00A37896"/>
    <w:rsid w:val="00A402F5"/>
    <w:rsid w:val="00A40484"/>
    <w:rsid w:val="00A40643"/>
    <w:rsid w:val="00A40981"/>
    <w:rsid w:val="00A41275"/>
    <w:rsid w:val="00A41757"/>
    <w:rsid w:val="00A41B87"/>
    <w:rsid w:val="00A423C4"/>
    <w:rsid w:val="00A4294B"/>
    <w:rsid w:val="00A43195"/>
    <w:rsid w:val="00A4342E"/>
    <w:rsid w:val="00A444BE"/>
    <w:rsid w:val="00A457C2"/>
    <w:rsid w:val="00A45D1D"/>
    <w:rsid w:val="00A45DBE"/>
    <w:rsid w:val="00A46D7F"/>
    <w:rsid w:val="00A475C5"/>
    <w:rsid w:val="00A47B68"/>
    <w:rsid w:val="00A5001A"/>
    <w:rsid w:val="00A504C7"/>
    <w:rsid w:val="00A51751"/>
    <w:rsid w:val="00A517B6"/>
    <w:rsid w:val="00A517F5"/>
    <w:rsid w:val="00A519B0"/>
    <w:rsid w:val="00A5221B"/>
    <w:rsid w:val="00A528C2"/>
    <w:rsid w:val="00A52B18"/>
    <w:rsid w:val="00A52C78"/>
    <w:rsid w:val="00A53930"/>
    <w:rsid w:val="00A53A5D"/>
    <w:rsid w:val="00A53B8A"/>
    <w:rsid w:val="00A53BEB"/>
    <w:rsid w:val="00A5433A"/>
    <w:rsid w:val="00A54AFD"/>
    <w:rsid w:val="00A54E69"/>
    <w:rsid w:val="00A55857"/>
    <w:rsid w:val="00A567BB"/>
    <w:rsid w:val="00A56BFE"/>
    <w:rsid w:val="00A56D28"/>
    <w:rsid w:val="00A56E16"/>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1B6"/>
    <w:rsid w:val="00A75580"/>
    <w:rsid w:val="00A75733"/>
    <w:rsid w:val="00A76308"/>
    <w:rsid w:val="00A768AA"/>
    <w:rsid w:val="00A776C7"/>
    <w:rsid w:val="00A77717"/>
    <w:rsid w:val="00A7781A"/>
    <w:rsid w:val="00A77AC1"/>
    <w:rsid w:val="00A77C08"/>
    <w:rsid w:val="00A80488"/>
    <w:rsid w:val="00A80ACB"/>
    <w:rsid w:val="00A81431"/>
    <w:rsid w:val="00A81492"/>
    <w:rsid w:val="00A81527"/>
    <w:rsid w:val="00A815B9"/>
    <w:rsid w:val="00A82058"/>
    <w:rsid w:val="00A835D5"/>
    <w:rsid w:val="00A84AE7"/>
    <w:rsid w:val="00A84DAF"/>
    <w:rsid w:val="00A84E8D"/>
    <w:rsid w:val="00A851E6"/>
    <w:rsid w:val="00A8588D"/>
    <w:rsid w:val="00A86576"/>
    <w:rsid w:val="00A8668D"/>
    <w:rsid w:val="00A8672E"/>
    <w:rsid w:val="00A869B0"/>
    <w:rsid w:val="00A869B8"/>
    <w:rsid w:val="00A8734C"/>
    <w:rsid w:val="00A90420"/>
    <w:rsid w:val="00A90AC0"/>
    <w:rsid w:val="00A90EDF"/>
    <w:rsid w:val="00A91051"/>
    <w:rsid w:val="00A910CB"/>
    <w:rsid w:val="00A913F5"/>
    <w:rsid w:val="00A91BF0"/>
    <w:rsid w:val="00A91DC1"/>
    <w:rsid w:val="00A9289F"/>
    <w:rsid w:val="00A92908"/>
    <w:rsid w:val="00A929F4"/>
    <w:rsid w:val="00A929FD"/>
    <w:rsid w:val="00A92C1D"/>
    <w:rsid w:val="00A93307"/>
    <w:rsid w:val="00A93316"/>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A6FF8"/>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1A4E"/>
    <w:rsid w:val="00AC31EA"/>
    <w:rsid w:val="00AC32B7"/>
    <w:rsid w:val="00AC38BD"/>
    <w:rsid w:val="00AC4881"/>
    <w:rsid w:val="00AC5275"/>
    <w:rsid w:val="00AC52F0"/>
    <w:rsid w:val="00AC54A8"/>
    <w:rsid w:val="00AC5BF4"/>
    <w:rsid w:val="00AC5F91"/>
    <w:rsid w:val="00AC6F32"/>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61D"/>
    <w:rsid w:val="00AD6DFC"/>
    <w:rsid w:val="00AD7223"/>
    <w:rsid w:val="00AD7226"/>
    <w:rsid w:val="00AD7746"/>
    <w:rsid w:val="00AD7D5C"/>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E7815"/>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76F"/>
    <w:rsid w:val="00B009CC"/>
    <w:rsid w:val="00B016BB"/>
    <w:rsid w:val="00B01A94"/>
    <w:rsid w:val="00B01CEC"/>
    <w:rsid w:val="00B02655"/>
    <w:rsid w:val="00B0339B"/>
    <w:rsid w:val="00B05094"/>
    <w:rsid w:val="00B05102"/>
    <w:rsid w:val="00B058C6"/>
    <w:rsid w:val="00B05B47"/>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1B7"/>
    <w:rsid w:val="00B1527F"/>
    <w:rsid w:val="00B15884"/>
    <w:rsid w:val="00B15DCD"/>
    <w:rsid w:val="00B165A0"/>
    <w:rsid w:val="00B16A34"/>
    <w:rsid w:val="00B17121"/>
    <w:rsid w:val="00B17635"/>
    <w:rsid w:val="00B2042B"/>
    <w:rsid w:val="00B2064A"/>
    <w:rsid w:val="00B2083E"/>
    <w:rsid w:val="00B20C58"/>
    <w:rsid w:val="00B213F2"/>
    <w:rsid w:val="00B217D6"/>
    <w:rsid w:val="00B21CB5"/>
    <w:rsid w:val="00B22B29"/>
    <w:rsid w:val="00B23933"/>
    <w:rsid w:val="00B24787"/>
    <w:rsid w:val="00B2489C"/>
    <w:rsid w:val="00B2489D"/>
    <w:rsid w:val="00B248CD"/>
    <w:rsid w:val="00B24FAF"/>
    <w:rsid w:val="00B24FB0"/>
    <w:rsid w:val="00B252F7"/>
    <w:rsid w:val="00B25453"/>
    <w:rsid w:val="00B25E56"/>
    <w:rsid w:val="00B25ED6"/>
    <w:rsid w:val="00B26968"/>
    <w:rsid w:val="00B274F7"/>
    <w:rsid w:val="00B27DA7"/>
    <w:rsid w:val="00B27E1D"/>
    <w:rsid w:val="00B300E9"/>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CA6"/>
    <w:rsid w:val="00B40417"/>
    <w:rsid w:val="00B40887"/>
    <w:rsid w:val="00B40E9F"/>
    <w:rsid w:val="00B4118A"/>
    <w:rsid w:val="00B4145D"/>
    <w:rsid w:val="00B416C6"/>
    <w:rsid w:val="00B41AAE"/>
    <w:rsid w:val="00B42C50"/>
    <w:rsid w:val="00B43922"/>
    <w:rsid w:val="00B44766"/>
    <w:rsid w:val="00B44FDB"/>
    <w:rsid w:val="00B45080"/>
    <w:rsid w:val="00B45350"/>
    <w:rsid w:val="00B466DA"/>
    <w:rsid w:val="00B46905"/>
    <w:rsid w:val="00B4696B"/>
    <w:rsid w:val="00B46A92"/>
    <w:rsid w:val="00B47113"/>
    <w:rsid w:val="00B47CC6"/>
    <w:rsid w:val="00B505B6"/>
    <w:rsid w:val="00B51514"/>
    <w:rsid w:val="00B5200E"/>
    <w:rsid w:val="00B52E9D"/>
    <w:rsid w:val="00B530B3"/>
    <w:rsid w:val="00B53195"/>
    <w:rsid w:val="00B537FD"/>
    <w:rsid w:val="00B5384F"/>
    <w:rsid w:val="00B53CCF"/>
    <w:rsid w:val="00B54041"/>
    <w:rsid w:val="00B54421"/>
    <w:rsid w:val="00B54430"/>
    <w:rsid w:val="00B549FB"/>
    <w:rsid w:val="00B54F04"/>
    <w:rsid w:val="00B552E3"/>
    <w:rsid w:val="00B5544F"/>
    <w:rsid w:val="00B55787"/>
    <w:rsid w:val="00B55C9A"/>
    <w:rsid w:val="00B55CFB"/>
    <w:rsid w:val="00B55E5D"/>
    <w:rsid w:val="00B56826"/>
    <w:rsid w:val="00B56FF7"/>
    <w:rsid w:val="00B57426"/>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4B9"/>
    <w:rsid w:val="00B769D7"/>
    <w:rsid w:val="00B76A88"/>
    <w:rsid w:val="00B76B19"/>
    <w:rsid w:val="00B8076D"/>
    <w:rsid w:val="00B80C43"/>
    <w:rsid w:val="00B80DF0"/>
    <w:rsid w:val="00B81141"/>
    <w:rsid w:val="00B815B2"/>
    <w:rsid w:val="00B821F8"/>
    <w:rsid w:val="00B8264D"/>
    <w:rsid w:val="00B8267E"/>
    <w:rsid w:val="00B835A5"/>
    <w:rsid w:val="00B836F5"/>
    <w:rsid w:val="00B83855"/>
    <w:rsid w:val="00B84CF8"/>
    <w:rsid w:val="00B8531C"/>
    <w:rsid w:val="00B8542A"/>
    <w:rsid w:val="00B85B4E"/>
    <w:rsid w:val="00B865DB"/>
    <w:rsid w:val="00B8679B"/>
    <w:rsid w:val="00B867F4"/>
    <w:rsid w:val="00B868E2"/>
    <w:rsid w:val="00B87B6D"/>
    <w:rsid w:val="00B87E7C"/>
    <w:rsid w:val="00B908A3"/>
    <w:rsid w:val="00B90B39"/>
    <w:rsid w:val="00B90DEF"/>
    <w:rsid w:val="00B90DF3"/>
    <w:rsid w:val="00B912C8"/>
    <w:rsid w:val="00B9144F"/>
    <w:rsid w:val="00B91478"/>
    <w:rsid w:val="00B91B43"/>
    <w:rsid w:val="00B921D5"/>
    <w:rsid w:val="00B93FF5"/>
    <w:rsid w:val="00B94552"/>
    <w:rsid w:val="00B94786"/>
    <w:rsid w:val="00B95122"/>
    <w:rsid w:val="00B95189"/>
    <w:rsid w:val="00B9551C"/>
    <w:rsid w:val="00B957A5"/>
    <w:rsid w:val="00B95A7E"/>
    <w:rsid w:val="00B9607E"/>
    <w:rsid w:val="00B97D31"/>
    <w:rsid w:val="00B97DE2"/>
    <w:rsid w:val="00BA0D64"/>
    <w:rsid w:val="00BA152A"/>
    <w:rsid w:val="00BA16F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CB7"/>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107"/>
    <w:rsid w:val="00BB662C"/>
    <w:rsid w:val="00BB6D2B"/>
    <w:rsid w:val="00BB716E"/>
    <w:rsid w:val="00BB7613"/>
    <w:rsid w:val="00BB79BD"/>
    <w:rsid w:val="00BC0DA3"/>
    <w:rsid w:val="00BC0EA7"/>
    <w:rsid w:val="00BC10E6"/>
    <w:rsid w:val="00BC1220"/>
    <w:rsid w:val="00BC1250"/>
    <w:rsid w:val="00BC3211"/>
    <w:rsid w:val="00BC3516"/>
    <w:rsid w:val="00BC39E9"/>
    <w:rsid w:val="00BC3DA6"/>
    <w:rsid w:val="00BC4291"/>
    <w:rsid w:val="00BC444E"/>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444"/>
    <w:rsid w:val="00C029A2"/>
    <w:rsid w:val="00C02DA5"/>
    <w:rsid w:val="00C0303B"/>
    <w:rsid w:val="00C03776"/>
    <w:rsid w:val="00C03C99"/>
    <w:rsid w:val="00C03D4F"/>
    <w:rsid w:val="00C03E66"/>
    <w:rsid w:val="00C04138"/>
    <w:rsid w:val="00C04320"/>
    <w:rsid w:val="00C046A1"/>
    <w:rsid w:val="00C04B9F"/>
    <w:rsid w:val="00C051EF"/>
    <w:rsid w:val="00C0523C"/>
    <w:rsid w:val="00C074D9"/>
    <w:rsid w:val="00C0753E"/>
    <w:rsid w:val="00C07C10"/>
    <w:rsid w:val="00C10A80"/>
    <w:rsid w:val="00C10A86"/>
    <w:rsid w:val="00C10C61"/>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C00"/>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75"/>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C3"/>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9D1"/>
    <w:rsid w:val="00C82D00"/>
    <w:rsid w:val="00C83083"/>
    <w:rsid w:val="00C832EF"/>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4078"/>
    <w:rsid w:val="00C95590"/>
    <w:rsid w:val="00C95698"/>
    <w:rsid w:val="00C9663B"/>
    <w:rsid w:val="00C96D64"/>
    <w:rsid w:val="00C97FB6"/>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3ECA"/>
    <w:rsid w:val="00CA43A5"/>
    <w:rsid w:val="00CA4BC3"/>
    <w:rsid w:val="00CA4EFA"/>
    <w:rsid w:val="00CA515E"/>
    <w:rsid w:val="00CA5715"/>
    <w:rsid w:val="00CA5AB3"/>
    <w:rsid w:val="00CA5FDE"/>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3BE6"/>
    <w:rsid w:val="00CB44E4"/>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33E"/>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BE1"/>
    <w:rsid w:val="00CF4FF0"/>
    <w:rsid w:val="00CF54B6"/>
    <w:rsid w:val="00CF57B0"/>
    <w:rsid w:val="00CF5B47"/>
    <w:rsid w:val="00CF607B"/>
    <w:rsid w:val="00CF6869"/>
    <w:rsid w:val="00CF6D28"/>
    <w:rsid w:val="00CF7D63"/>
    <w:rsid w:val="00D00C6D"/>
    <w:rsid w:val="00D01309"/>
    <w:rsid w:val="00D013CF"/>
    <w:rsid w:val="00D017A0"/>
    <w:rsid w:val="00D01FBC"/>
    <w:rsid w:val="00D020B8"/>
    <w:rsid w:val="00D032BC"/>
    <w:rsid w:val="00D0445E"/>
    <w:rsid w:val="00D04FDD"/>
    <w:rsid w:val="00D0675D"/>
    <w:rsid w:val="00D0746F"/>
    <w:rsid w:val="00D076EF"/>
    <w:rsid w:val="00D1017C"/>
    <w:rsid w:val="00D104F9"/>
    <w:rsid w:val="00D10867"/>
    <w:rsid w:val="00D10A33"/>
    <w:rsid w:val="00D10EEF"/>
    <w:rsid w:val="00D12A6E"/>
    <w:rsid w:val="00D12DD6"/>
    <w:rsid w:val="00D1385B"/>
    <w:rsid w:val="00D139E7"/>
    <w:rsid w:val="00D14323"/>
    <w:rsid w:val="00D1457A"/>
    <w:rsid w:val="00D14763"/>
    <w:rsid w:val="00D14833"/>
    <w:rsid w:val="00D14E10"/>
    <w:rsid w:val="00D15088"/>
    <w:rsid w:val="00D157A7"/>
    <w:rsid w:val="00D1581D"/>
    <w:rsid w:val="00D15B6D"/>
    <w:rsid w:val="00D15D9F"/>
    <w:rsid w:val="00D16008"/>
    <w:rsid w:val="00D166D4"/>
    <w:rsid w:val="00D16AC3"/>
    <w:rsid w:val="00D17095"/>
    <w:rsid w:val="00D1715F"/>
    <w:rsid w:val="00D207DC"/>
    <w:rsid w:val="00D2099C"/>
    <w:rsid w:val="00D20D57"/>
    <w:rsid w:val="00D22631"/>
    <w:rsid w:val="00D239F8"/>
    <w:rsid w:val="00D23F24"/>
    <w:rsid w:val="00D24614"/>
    <w:rsid w:val="00D24991"/>
    <w:rsid w:val="00D24B8F"/>
    <w:rsid w:val="00D2555A"/>
    <w:rsid w:val="00D25B17"/>
    <w:rsid w:val="00D2656C"/>
    <w:rsid w:val="00D2714A"/>
    <w:rsid w:val="00D30254"/>
    <w:rsid w:val="00D3039D"/>
    <w:rsid w:val="00D30ED2"/>
    <w:rsid w:val="00D31778"/>
    <w:rsid w:val="00D32C49"/>
    <w:rsid w:val="00D32D46"/>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3D3"/>
    <w:rsid w:val="00D36B48"/>
    <w:rsid w:val="00D36F5E"/>
    <w:rsid w:val="00D374CE"/>
    <w:rsid w:val="00D37963"/>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0CF"/>
    <w:rsid w:val="00D451D2"/>
    <w:rsid w:val="00D45204"/>
    <w:rsid w:val="00D45DD3"/>
    <w:rsid w:val="00D4647A"/>
    <w:rsid w:val="00D46DAE"/>
    <w:rsid w:val="00D47335"/>
    <w:rsid w:val="00D47717"/>
    <w:rsid w:val="00D504D7"/>
    <w:rsid w:val="00D505C4"/>
    <w:rsid w:val="00D50955"/>
    <w:rsid w:val="00D51346"/>
    <w:rsid w:val="00D5158B"/>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99C"/>
    <w:rsid w:val="00D56D07"/>
    <w:rsid w:val="00D57275"/>
    <w:rsid w:val="00D57302"/>
    <w:rsid w:val="00D57467"/>
    <w:rsid w:val="00D57544"/>
    <w:rsid w:val="00D57973"/>
    <w:rsid w:val="00D60704"/>
    <w:rsid w:val="00D60758"/>
    <w:rsid w:val="00D60CE2"/>
    <w:rsid w:val="00D60CE9"/>
    <w:rsid w:val="00D612EC"/>
    <w:rsid w:val="00D6153E"/>
    <w:rsid w:val="00D61B65"/>
    <w:rsid w:val="00D61B6A"/>
    <w:rsid w:val="00D61D4C"/>
    <w:rsid w:val="00D623C4"/>
    <w:rsid w:val="00D62932"/>
    <w:rsid w:val="00D62BE9"/>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E5B"/>
    <w:rsid w:val="00D72F01"/>
    <w:rsid w:val="00D7314B"/>
    <w:rsid w:val="00D733D6"/>
    <w:rsid w:val="00D7417B"/>
    <w:rsid w:val="00D741FF"/>
    <w:rsid w:val="00D74907"/>
    <w:rsid w:val="00D7538C"/>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4A39"/>
    <w:rsid w:val="00D84FF0"/>
    <w:rsid w:val="00D8526A"/>
    <w:rsid w:val="00D8617A"/>
    <w:rsid w:val="00D86252"/>
    <w:rsid w:val="00D865E6"/>
    <w:rsid w:val="00D86B05"/>
    <w:rsid w:val="00D86EF5"/>
    <w:rsid w:val="00D86FE2"/>
    <w:rsid w:val="00D8720D"/>
    <w:rsid w:val="00D87CC5"/>
    <w:rsid w:val="00D87DA9"/>
    <w:rsid w:val="00D909E0"/>
    <w:rsid w:val="00D910BE"/>
    <w:rsid w:val="00D917F3"/>
    <w:rsid w:val="00D92E61"/>
    <w:rsid w:val="00D935BB"/>
    <w:rsid w:val="00D9360A"/>
    <w:rsid w:val="00D93B33"/>
    <w:rsid w:val="00D93D91"/>
    <w:rsid w:val="00D94136"/>
    <w:rsid w:val="00D95091"/>
    <w:rsid w:val="00D95CB0"/>
    <w:rsid w:val="00D96046"/>
    <w:rsid w:val="00D966F5"/>
    <w:rsid w:val="00D967DE"/>
    <w:rsid w:val="00D96D38"/>
    <w:rsid w:val="00D96E1A"/>
    <w:rsid w:val="00D973B2"/>
    <w:rsid w:val="00D9779A"/>
    <w:rsid w:val="00D97968"/>
    <w:rsid w:val="00D97BAA"/>
    <w:rsid w:val="00D97DE4"/>
    <w:rsid w:val="00DA0146"/>
    <w:rsid w:val="00DA0435"/>
    <w:rsid w:val="00DA0AA0"/>
    <w:rsid w:val="00DA149D"/>
    <w:rsid w:val="00DA1902"/>
    <w:rsid w:val="00DA1B4F"/>
    <w:rsid w:val="00DA1C6F"/>
    <w:rsid w:val="00DA2E7B"/>
    <w:rsid w:val="00DA3358"/>
    <w:rsid w:val="00DA38F9"/>
    <w:rsid w:val="00DA3AF3"/>
    <w:rsid w:val="00DA468D"/>
    <w:rsid w:val="00DA495A"/>
    <w:rsid w:val="00DA4C31"/>
    <w:rsid w:val="00DA4EF3"/>
    <w:rsid w:val="00DA544F"/>
    <w:rsid w:val="00DA5455"/>
    <w:rsid w:val="00DA57F0"/>
    <w:rsid w:val="00DA5C2B"/>
    <w:rsid w:val="00DA5DCC"/>
    <w:rsid w:val="00DA5DD1"/>
    <w:rsid w:val="00DA6AA3"/>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00D"/>
    <w:rsid w:val="00DB422A"/>
    <w:rsid w:val="00DB44D9"/>
    <w:rsid w:val="00DB4568"/>
    <w:rsid w:val="00DB4754"/>
    <w:rsid w:val="00DB4F28"/>
    <w:rsid w:val="00DB57E5"/>
    <w:rsid w:val="00DB5EFB"/>
    <w:rsid w:val="00DB5FE7"/>
    <w:rsid w:val="00DB618A"/>
    <w:rsid w:val="00DB6758"/>
    <w:rsid w:val="00DB6C84"/>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6BDC"/>
    <w:rsid w:val="00DC72B1"/>
    <w:rsid w:val="00DC7B30"/>
    <w:rsid w:val="00DC7B44"/>
    <w:rsid w:val="00DC7CC9"/>
    <w:rsid w:val="00DD04C2"/>
    <w:rsid w:val="00DD09C9"/>
    <w:rsid w:val="00DD113B"/>
    <w:rsid w:val="00DD2324"/>
    <w:rsid w:val="00DD24BD"/>
    <w:rsid w:val="00DD2711"/>
    <w:rsid w:val="00DD2CC2"/>
    <w:rsid w:val="00DD2CF3"/>
    <w:rsid w:val="00DD332A"/>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65E"/>
    <w:rsid w:val="00E04C73"/>
    <w:rsid w:val="00E0520E"/>
    <w:rsid w:val="00E055E3"/>
    <w:rsid w:val="00E06010"/>
    <w:rsid w:val="00E06480"/>
    <w:rsid w:val="00E0651F"/>
    <w:rsid w:val="00E06BB6"/>
    <w:rsid w:val="00E073AC"/>
    <w:rsid w:val="00E0781A"/>
    <w:rsid w:val="00E07929"/>
    <w:rsid w:val="00E10B66"/>
    <w:rsid w:val="00E10B7B"/>
    <w:rsid w:val="00E11475"/>
    <w:rsid w:val="00E116C5"/>
    <w:rsid w:val="00E119E3"/>
    <w:rsid w:val="00E12A46"/>
    <w:rsid w:val="00E13165"/>
    <w:rsid w:val="00E134E0"/>
    <w:rsid w:val="00E138F8"/>
    <w:rsid w:val="00E13E04"/>
    <w:rsid w:val="00E14881"/>
    <w:rsid w:val="00E1494A"/>
    <w:rsid w:val="00E149C5"/>
    <w:rsid w:val="00E15860"/>
    <w:rsid w:val="00E162D9"/>
    <w:rsid w:val="00E167D3"/>
    <w:rsid w:val="00E16CC6"/>
    <w:rsid w:val="00E175A7"/>
    <w:rsid w:val="00E20168"/>
    <w:rsid w:val="00E20695"/>
    <w:rsid w:val="00E20740"/>
    <w:rsid w:val="00E20E92"/>
    <w:rsid w:val="00E21106"/>
    <w:rsid w:val="00E21CFC"/>
    <w:rsid w:val="00E21FA5"/>
    <w:rsid w:val="00E22C01"/>
    <w:rsid w:val="00E23622"/>
    <w:rsid w:val="00E23B4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560"/>
    <w:rsid w:val="00E30BAB"/>
    <w:rsid w:val="00E30C01"/>
    <w:rsid w:val="00E31B92"/>
    <w:rsid w:val="00E31BCB"/>
    <w:rsid w:val="00E32848"/>
    <w:rsid w:val="00E3286C"/>
    <w:rsid w:val="00E32963"/>
    <w:rsid w:val="00E32D9B"/>
    <w:rsid w:val="00E32DF1"/>
    <w:rsid w:val="00E332A7"/>
    <w:rsid w:val="00E33359"/>
    <w:rsid w:val="00E337BC"/>
    <w:rsid w:val="00E34160"/>
    <w:rsid w:val="00E34602"/>
    <w:rsid w:val="00E34E11"/>
    <w:rsid w:val="00E350CD"/>
    <w:rsid w:val="00E35223"/>
    <w:rsid w:val="00E35BE2"/>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50274"/>
    <w:rsid w:val="00E506CB"/>
    <w:rsid w:val="00E507F3"/>
    <w:rsid w:val="00E509CA"/>
    <w:rsid w:val="00E50B9E"/>
    <w:rsid w:val="00E50E3D"/>
    <w:rsid w:val="00E50F64"/>
    <w:rsid w:val="00E51562"/>
    <w:rsid w:val="00E51E10"/>
    <w:rsid w:val="00E51FDE"/>
    <w:rsid w:val="00E5333A"/>
    <w:rsid w:val="00E534B2"/>
    <w:rsid w:val="00E53CBB"/>
    <w:rsid w:val="00E54173"/>
    <w:rsid w:val="00E54730"/>
    <w:rsid w:val="00E55459"/>
    <w:rsid w:val="00E55CD2"/>
    <w:rsid w:val="00E5659E"/>
    <w:rsid w:val="00E56B66"/>
    <w:rsid w:val="00E56EDF"/>
    <w:rsid w:val="00E57320"/>
    <w:rsid w:val="00E57676"/>
    <w:rsid w:val="00E579AF"/>
    <w:rsid w:val="00E57B5A"/>
    <w:rsid w:val="00E57CF3"/>
    <w:rsid w:val="00E602FD"/>
    <w:rsid w:val="00E60537"/>
    <w:rsid w:val="00E60545"/>
    <w:rsid w:val="00E60BE6"/>
    <w:rsid w:val="00E6209A"/>
    <w:rsid w:val="00E622CC"/>
    <w:rsid w:val="00E62523"/>
    <w:rsid w:val="00E63BAC"/>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1BB"/>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991"/>
    <w:rsid w:val="00E84F5C"/>
    <w:rsid w:val="00E84FB3"/>
    <w:rsid w:val="00E856FD"/>
    <w:rsid w:val="00E86A3E"/>
    <w:rsid w:val="00E86E52"/>
    <w:rsid w:val="00E86F68"/>
    <w:rsid w:val="00E87037"/>
    <w:rsid w:val="00E87819"/>
    <w:rsid w:val="00E90092"/>
    <w:rsid w:val="00E90228"/>
    <w:rsid w:val="00E90ED5"/>
    <w:rsid w:val="00E921F3"/>
    <w:rsid w:val="00E92854"/>
    <w:rsid w:val="00E930AA"/>
    <w:rsid w:val="00E93749"/>
    <w:rsid w:val="00E93998"/>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2FC"/>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2540"/>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4D0C"/>
    <w:rsid w:val="00ED5536"/>
    <w:rsid w:val="00ED56CF"/>
    <w:rsid w:val="00ED5B5C"/>
    <w:rsid w:val="00ED68F0"/>
    <w:rsid w:val="00ED6B5A"/>
    <w:rsid w:val="00ED6C38"/>
    <w:rsid w:val="00ED6D18"/>
    <w:rsid w:val="00ED6F1A"/>
    <w:rsid w:val="00ED70BD"/>
    <w:rsid w:val="00ED7934"/>
    <w:rsid w:val="00ED7D28"/>
    <w:rsid w:val="00ED7EE8"/>
    <w:rsid w:val="00EE08FC"/>
    <w:rsid w:val="00EE0B3E"/>
    <w:rsid w:val="00EE0BAA"/>
    <w:rsid w:val="00EE0CF5"/>
    <w:rsid w:val="00EE17DD"/>
    <w:rsid w:val="00EE1FD6"/>
    <w:rsid w:val="00EE26E6"/>
    <w:rsid w:val="00EE3556"/>
    <w:rsid w:val="00EE37BB"/>
    <w:rsid w:val="00EE37C3"/>
    <w:rsid w:val="00EE433C"/>
    <w:rsid w:val="00EE45EA"/>
    <w:rsid w:val="00EE5100"/>
    <w:rsid w:val="00EE5259"/>
    <w:rsid w:val="00EE52BE"/>
    <w:rsid w:val="00EE5E03"/>
    <w:rsid w:val="00EE5E72"/>
    <w:rsid w:val="00EE60E0"/>
    <w:rsid w:val="00EE6135"/>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3BD7"/>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1C4"/>
    <w:rsid w:val="00F102F6"/>
    <w:rsid w:val="00F107A7"/>
    <w:rsid w:val="00F10DA2"/>
    <w:rsid w:val="00F1148B"/>
    <w:rsid w:val="00F11BB3"/>
    <w:rsid w:val="00F11D0A"/>
    <w:rsid w:val="00F122ED"/>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10B"/>
    <w:rsid w:val="00F25267"/>
    <w:rsid w:val="00F261E3"/>
    <w:rsid w:val="00F26398"/>
    <w:rsid w:val="00F26D8C"/>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C8D"/>
    <w:rsid w:val="00F40F06"/>
    <w:rsid w:val="00F41172"/>
    <w:rsid w:val="00F41836"/>
    <w:rsid w:val="00F41929"/>
    <w:rsid w:val="00F41DC3"/>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5738"/>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DBB"/>
    <w:rsid w:val="00F66DD9"/>
    <w:rsid w:val="00F66E30"/>
    <w:rsid w:val="00F670E4"/>
    <w:rsid w:val="00F6719C"/>
    <w:rsid w:val="00F67315"/>
    <w:rsid w:val="00F67501"/>
    <w:rsid w:val="00F67B6E"/>
    <w:rsid w:val="00F7022D"/>
    <w:rsid w:val="00F70B07"/>
    <w:rsid w:val="00F70BBD"/>
    <w:rsid w:val="00F7174B"/>
    <w:rsid w:val="00F71D1A"/>
    <w:rsid w:val="00F728DD"/>
    <w:rsid w:val="00F72953"/>
    <w:rsid w:val="00F72A85"/>
    <w:rsid w:val="00F72B0D"/>
    <w:rsid w:val="00F738B4"/>
    <w:rsid w:val="00F739FD"/>
    <w:rsid w:val="00F73B5B"/>
    <w:rsid w:val="00F73BBF"/>
    <w:rsid w:val="00F745AD"/>
    <w:rsid w:val="00F749AF"/>
    <w:rsid w:val="00F74D3B"/>
    <w:rsid w:val="00F75686"/>
    <w:rsid w:val="00F75EB5"/>
    <w:rsid w:val="00F76A4E"/>
    <w:rsid w:val="00F76E6E"/>
    <w:rsid w:val="00F77765"/>
    <w:rsid w:val="00F77907"/>
    <w:rsid w:val="00F7796D"/>
    <w:rsid w:val="00F77EC3"/>
    <w:rsid w:val="00F80175"/>
    <w:rsid w:val="00F8049C"/>
    <w:rsid w:val="00F816B4"/>
    <w:rsid w:val="00F8182B"/>
    <w:rsid w:val="00F823C6"/>
    <w:rsid w:val="00F82EB4"/>
    <w:rsid w:val="00F83DD8"/>
    <w:rsid w:val="00F842C0"/>
    <w:rsid w:val="00F84E26"/>
    <w:rsid w:val="00F84E2D"/>
    <w:rsid w:val="00F84FB1"/>
    <w:rsid w:val="00F8505B"/>
    <w:rsid w:val="00F85141"/>
    <w:rsid w:val="00F85324"/>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181"/>
    <w:rsid w:val="00F945ED"/>
    <w:rsid w:val="00F94824"/>
    <w:rsid w:val="00F94C4E"/>
    <w:rsid w:val="00F94D42"/>
    <w:rsid w:val="00F95051"/>
    <w:rsid w:val="00F951A5"/>
    <w:rsid w:val="00F9596E"/>
    <w:rsid w:val="00F95989"/>
    <w:rsid w:val="00F96798"/>
    <w:rsid w:val="00F96907"/>
    <w:rsid w:val="00F96919"/>
    <w:rsid w:val="00F97B87"/>
    <w:rsid w:val="00FA0A7C"/>
    <w:rsid w:val="00FA10F4"/>
    <w:rsid w:val="00FA18D9"/>
    <w:rsid w:val="00FA1E4A"/>
    <w:rsid w:val="00FA1E93"/>
    <w:rsid w:val="00FA2F63"/>
    <w:rsid w:val="00FA320A"/>
    <w:rsid w:val="00FA3F05"/>
    <w:rsid w:val="00FA46C9"/>
    <w:rsid w:val="00FA49B5"/>
    <w:rsid w:val="00FA4ED4"/>
    <w:rsid w:val="00FA57AA"/>
    <w:rsid w:val="00FA5C88"/>
    <w:rsid w:val="00FA6372"/>
    <w:rsid w:val="00FA6845"/>
    <w:rsid w:val="00FA7188"/>
    <w:rsid w:val="00FA7554"/>
    <w:rsid w:val="00FA7C8B"/>
    <w:rsid w:val="00FA7D34"/>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655A"/>
    <w:rsid w:val="00FB789B"/>
    <w:rsid w:val="00FB791F"/>
    <w:rsid w:val="00FB793A"/>
    <w:rsid w:val="00FC01F3"/>
    <w:rsid w:val="00FC08E1"/>
    <w:rsid w:val="00FC0B12"/>
    <w:rsid w:val="00FC0E31"/>
    <w:rsid w:val="00FC139C"/>
    <w:rsid w:val="00FC1795"/>
    <w:rsid w:val="00FC2DFD"/>
    <w:rsid w:val="00FC32C9"/>
    <w:rsid w:val="00FC32F4"/>
    <w:rsid w:val="00FC487E"/>
    <w:rsid w:val="00FC4AC2"/>
    <w:rsid w:val="00FC5915"/>
    <w:rsid w:val="00FC5A6C"/>
    <w:rsid w:val="00FC5D6D"/>
    <w:rsid w:val="00FC6209"/>
    <w:rsid w:val="00FC6C0F"/>
    <w:rsid w:val="00FC6D3C"/>
    <w:rsid w:val="00FC7931"/>
    <w:rsid w:val="00FC7A07"/>
    <w:rsid w:val="00FC7AB2"/>
    <w:rsid w:val="00FD0544"/>
    <w:rsid w:val="00FD07DD"/>
    <w:rsid w:val="00FD0B0F"/>
    <w:rsid w:val="00FD169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5B8E"/>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32CE"/>
    <w:rsid w:val="00FF40EF"/>
    <w:rsid w:val="00FF659E"/>
    <w:rsid w:val="00FF6B55"/>
    <w:rsid w:val="00FF75F6"/>
    <w:rsid w:val="00FF7D34"/>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3D543-9916-442B-B3EB-B43DB953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2017-01-19T13:25:00Z</dcterms:created>
  <dcterms:modified xsi:type="dcterms:W3CDTF">2017-03-01T15:11:00Z</dcterms:modified>
</cp:coreProperties>
</file>