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13" w:rsidRDefault="008C3C13" w:rsidP="008C3C13">
      <w:pPr>
        <w:pStyle w:val="Title"/>
        <w:rPr>
          <w:szCs w:val="24"/>
        </w:rPr>
      </w:pPr>
      <w:r>
        <w:rPr>
          <w:szCs w:val="24"/>
        </w:rPr>
        <w:t>BEFORE THE</w:t>
      </w:r>
    </w:p>
    <w:p w:rsidR="008C3C13" w:rsidRDefault="008C3C13" w:rsidP="008C3C13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>: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="002574DA" w:rsidRPr="002574DA">
        <w:t>R-2017-2587526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>Philadelphia Gas Works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pStyle w:val="Heading1"/>
        <w:rPr>
          <w:szCs w:val="24"/>
        </w:rPr>
      </w:pPr>
    </w:p>
    <w:p w:rsidR="008C3C13" w:rsidRPr="00971F50" w:rsidRDefault="008C3C13" w:rsidP="008C3C13">
      <w:pPr>
        <w:pStyle w:val="Heading1"/>
        <w:rPr>
          <w:szCs w:val="24"/>
        </w:rPr>
      </w:pPr>
      <w:r w:rsidRPr="00971F50">
        <w:rPr>
          <w:szCs w:val="24"/>
        </w:rPr>
        <w:t>PREHEARING CONFERENCE ORDER</w:t>
      </w:r>
    </w:p>
    <w:p w:rsidR="008C3C13" w:rsidRPr="00971F50" w:rsidRDefault="008C3C13" w:rsidP="008C3C13">
      <w:pPr>
        <w:jc w:val="center"/>
        <w:rPr>
          <w:szCs w:val="24"/>
        </w:rPr>
      </w:pPr>
    </w:p>
    <w:p w:rsidR="008C3C13" w:rsidRDefault="008C3C13" w:rsidP="008C3C13">
      <w:pPr>
        <w:jc w:val="center"/>
        <w:rPr>
          <w:szCs w:val="24"/>
        </w:rPr>
      </w:pPr>
    </w:p>
    <w:p w:rsidR="008C3C13" w:rsidRPr="00971F50" w:rsidRDefault="008C3C13" w:rsidP="008C3C13">
      <w:pPr>
        <w:jc w:val="center"/>
        <w:rPr>
          <w:caps/>
          <w:szCs w:val="24"/>
          <w:u w:val="single"/>
        </w:rPr>
      </w:pPr>
      <w:r w:rsidRPr="00971F50">
        <w:rPr>
          <w:caps/>
          <w:szCs w:val="24"/>
          <w:u w:val="single"/>
        </w:rPr>
        <w:t>History</w:t>
      </w:r>
    </w:p>
    <w:p w:rsidR="008C3C13" w:rsidRDefault="008C3C13" w:rsidP="008C3C13">
      <w:pPr>
        <w:jc w:val="center"/>
        <w:rPr>
          <w:szCs w:val="24"/>
          <w:u w:val="single"/>
        </w:rPr>
      </w:pPr>
    </w:p>
    <w:p w:rsidR="008C3C13" w:rsidRDefault="008C3C13" w:rsidP="008C3C13">
      <w:pPr>
        <w:jc w:val="center"/>
        <w:rPr>
          <w:szCs w:val="24"/>
          <w:u w:val="single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</w:t>
      </w:r>
      <w:r w:rsidR="002574DA">
        <w:rPr>
          <w:szCs w:val="24"/>
        </w:rPr>
        <w:t>February</w:t>
      </w:r>
      <w:r w:rsidR="00847285">
        <w:rPr>
          <w:szCs w:val="24"/>
        </w:rPr>
        <w:t xml:space="preserve"> </w:t>
      </w:r>
      <w:r w:rsidR="002574DA">
        <w:rPr>
          <w:szCs w:val="24"/>
        </w:rPr>
        <w:t>1, 2017</w:t>
      </w:r>
      <w:r>
        <w:rPr>
          <w:szCs w:val="24"/>
        </w:rPr>
        <w:t xml:space="preserve">, the Philadelphia Gas Works (PGW or company) filed its </w:t>
      </w:r>
      <w:proofErr w:type="spellStart"/>
      <w:r>
        <w:rPr>
          <w:szCs w:val="24"/>
        </w:rPr>
        <w:t>prefiling</w:t>
      </w:r>
      <w:proofErr w:type="spellEnd"/>
      <w:r>
        <w:rPr>
          <w:szCs w:val="24"/>
        </w:rPr>
        <w:t xml:space="preserve"> information required for its annual </w:t>
      </w:r>
      <w:r w:rsidR="002574DA">
        <w:rPr>
          <w:szCs w:val="24"/>
        </w:rPr>
        <w:t>2017-2018</w:t>
      </w:r>
      <w:r>
        <w:rPr>
          <w:szCs w:val="24"/>
        </w:rPr>
        <w:t xml:space="preserve"> Gas Cost Rate Filing. As part of its </w:t>
      </w:r>
      <w:proofErr w:type="spellStart"/>
      <w:r>
        <w:rPr>
          <w:szCs w:val="24"/>
        </w:rPr>
        <w:t>prefiling</w:t>
      </w:r>
      <w:proofErr w:type="spellEnd"/>
      <w:r>
        <w:rPr>
          <w:szCs w:val="24"/>
        </w:rPr>
        <w:t xml:space="preserve">, PGW filed a Petition for Special Permission to Depart from the Requirements of 52 </w:t>
      </w:r>
      <w:proofErr w:type="spellStart"/>
      <w:r>
        <w:rPr>
          <w:szCs w:val="24"/>
        </w:rPr>
        <w:t>Pa.Code</w:t>
      </w:r>
      <w:proofErr w:type="spellEnd"/>
      <w:r>
        <w:rPr>
          <w:szCs w:val="24"/>
        </w:rPr>
        <w:t xml:space="preserve"> §§ 53.45(b), 53.64(c), 53.64(</w:t>
      </w:r>
      <w:proofErr w:type="spellStart"/>
      <w:r>
        <w:rPr>
          <w:szCs w:val="24"/>
        </w:rPr>
        <w:t>i</w:t>
      </w:r>
      <w:proofErr w:type="spellEnd"/>
      <w:proofErr w:type="gramStart"/>
      <w:r>
        <w:rPr>
          <w:szCs w:val="24"/>
        </w:rPr>
        <w:t>)(</w:t>
      </w:r>
      <w:proofErr w:type="gramEnd"/>
      <w:r>
        <w:rPr>
          <w:szCs w:val="24"/>
        </w:rPr>
        <w:t>5)(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) and 53.68(a).  PGW requested permission to notify individual customers by bill insert during a one-month billing </w:t>
      </w:r>
      <w:r w:rsidR="00847285">
        <w:rPr>
          <w:szCs w:val="24"/>
        </w:rPr>
        <w:t>cycle beginning on March 1, 2017</w:t>
      </w:r>
      <w:r>
        <w:rPr>
          <w:szCs w:val="24"/>
        </w:rPr>
        <w:t>, and concludi</w:t>
      </w:r>
      <w:r w:rsidR="00847285">
        <w:rPr>
          <w:szCs w:val="24"/>
        </w:rPr>
        <w:t>ng not later than March 31, 2017</w:t>
      </w:r>
      <w:r>
        <w:rPr>
          <w:szCs w:val="24"/>
        </w:rPr>
        <w:t xml:space="preserve">.  PGW also requested permission to provide public notice, in company offices that accept payments, of the tariff addendum and tariff supplement concerning PGW’s </w:t>
      </w:r>
      <w:r w:rsidR="00847285">
        <w:rPr>
          <w:szCs w:val="24"/>
        </w:rPr>
        <w:t>2017-2018 gas cost rate on March 1, 2017</w:t>
      </w:r>
      <w:r>
        <w:rPr>
          <w:szCs w:val="24"/>
        </w:rPr>
        <w:t>.  Furthermore, PGW requested to provide estimated data for January 20</w:t>
      </w:r>
      <w:r w:rsidR="00847285">
        <w:rPr>
          <w:szCs w:val="24"/>
        </w:rPr>
        <w:t>17</w:t>
      </w:r>
      <w:r>
        <w:rPr>
          <w:szCs w:val="24"/>
        </w:rPr>
        <w:t xml:space="preserve"> and February 2</w:t>
      </w:r>
      <w:r w:rsidR="00847285">
        <w:rPr>
          <w:szCs w:val="24"/>
        </w:rPr>
        <w:t>017 in the March 1, 2017</w:t>
      </w:r>
      <w:r>
        <w:rPr>
          <w:szCs w:val="24"/>
        </w:rPr>
        <w:t xml:space="preserve"> quarterly 1307(f) filing instead of actual data for January </w:t>
      </w:r>
      <w:r w:rsidR="00847285">
        <w:rPr>
          <w:szCs w:val="24"/>
        </w:rPr>
        <w:t>2017</w:t>
      </w:r>
      <w:r>
        <w:rPr>
          <w:szCs w:val="24"/>
        </w:rPr>
        <w:t>.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087249" w:rsidRDefault="00087249" w:rsidP="00087249">
      <w:pPr>
        <w:spacing w:line="360" w:lineRule="auto"/>
        <w:ind w:firstLine="1440"/>
        <w:rPr>
          <w:szCs w:val="24"/>
        </w:rPr>
      </w:pPr>
      <w:r>
        <w:rPr>
          <w:szCs w:val="24"/>
        </w:rPr>
        <w:t>On February 7, 2017, Gina L. Miller, Esquire, filed a notice of appearance on behalf of the Commission’s Bureau of Investigation and Enforcement (I&amp;E).</w:t>
      </w:r>
    </w:p>
    <w:p w:rsidR="00087249" w:rsidRDefault="00087249" w:rsidP="00087249">
      <w:pPr>
        <w:spacing w:line="360" w:lineRule="auto"/>
        <w:rPr>
          <w:szCs w:val="24"/>
        </w:rPr>
      </w:pPr>
    </w:p>
    <w:p w:rsidR="00087249" w:rsidRDefault="00087249" w:rsidP="00087249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10, 2017, the Office of Small Business Advocate (OSBA) filed a Public Statement, a Notice of Appearance on behalf of Sharon Webb, Esq., and a formal Complaint.  The Complaint was docketed by the Secretary’s Bureau at Docket No. </w:t>
      </w:r>
      <w:proofErr w:type="gramStart"/>
      <w:r>
        <w:rPr>
          <w:szCs w:val="24"/>
        </w:rPr>
        <w:t>C-2017-2588484.</w:t>
      </w:r>
      <w:proofErr w:type="gramEnd"/>
    </w:p>
    <w:p w:rsidR="008C3C13" w:rsidRDefault="008C3C13" w:rsidP="008C3C13">
      <w:pPr>
        <w:spacing w:line="360" w:lineRule="auto"/>
        <w:ind w:firstLine="1440"/>
        <w:rPr>
          <w:szCs w:val="24"/>
        </w:rPr>
      </w:pPr>
      <w:r>
        <w:rPr>
          <w:szCs w:val="24"/>
        </w:rPr>
        <w:lastRenderedPageBreak/>
        <w:t xml:space="preserve">On February </w:t>
      </w:r>
      <w:r w:rsidR="008E18F4">
        <w:rPr>
          <w:szCs w:val="24"/>
        </w:rPr>
        <w:t>21, 2017</w:t>
      </w:r>
      <w:r>
        <w:rPr>
          <w:szCs w:val="24"/>
        </w:rPr>
        <w:t xml:space="preserve">, the Philadelphia Industrial and Commercial Gas Users Group (PICGUG) filed a Petition to </w:t>
      </w:r>
      <w:proofErr w:type="gramStart"/>
      <w:r>
        <w:rPr>
          <w:szCs w:val="24"/>
        </w:rPr>
        <w:t>Intervene</w:t>
      </w:r>
      <w:proofErr w:type="gramEnd"/>
      <w:r>
        <w:rPr>
          <w:szCs w:val="24"/>
        </w:rPr>
        <w:t xml:space="preserve"> in this proceeding.</w:t>
      </w:r>
    </w:p>
    <w:p w:rsidR="008E18F4" w:rsidRDefault="008E18F4" w:rsidP="008C3C13">
      <w:pPr>
        <w:spacing w:line="360" w:lineRule="auto"/>
        <w:ind w:firstLine="1440"/>
        <w:rPr>
          <w:szCs w:val="24"/>
        </w:rPr>
      </w:pPr>
    </w:p>
    <w:p w:rsidR="008E18F4" w:rsidRDefault="008E18F4" w:rsidP="008E18F4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On February 21, 2017, the Office of Consumer Advocate (OCA) filed </w:t>
      </w:r>
      <w:r w:rsidR="00087249">
        <w:rPr>
          <w:szCs w:val="24"/>
        </w:rPr>
        <w:t xml:space="preserve">a </w:t>
      </w:r>
      <w:r>
        <w:rPr>
          <w:szCs w:val="24"/>
        </w:rPr>
        <w:t xml:space="preserve">Public Statement, a Notice of Appearance on behalf of Christy M. Appleby, Esq., Harrison W. </w:t>
      </w:r>
      <w:proofErr w:type="spellStart"/>
      <w:r>
        <w:rPr>
          <w:szCs w:val="24"/>
        </w:rPr>
        <w:t>Breitman</w:t>
      </w:r>
      <w:proofErr w:type="spellEnd"/>
      <w:r>
        <w:rPr>
          <w:szCs w:val="24"/>
        </w:rPr>
        <w:t xml:space="preserve">, Esq., and Aron J. Beatty, Esq., and a formal Complaint.  The Complaint was docketed by the Secretary’s Bureau at Docket No. </w:t>
      </w:r>
      <w:proofErr w:type="gramStart"/>
      <w:r>
        <w:rPr>
          <w:szCs w:val="24"/>
        </w:rPr>
        <w:t>C-2017-2589993.</w:t>
      </w:r>
      <w:proofErr w:type="gramEnd"/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</w:t>
      </w:r>
      <w:r w:rsidR="008E18F4">
        <w:rPr>
          <w:szCs w:val="24"/>
        </w:rPr>
        <w:t>March 1, 2017</w:t>
      </w:r>
      <w:r>
        <w:rPr>
          <w:szCs w:val="24"/>
        </w:rPr>
        <w:t xml:space="preserve">, PGW filed its </w:t>
      </w:r>
      <w:r w:rsidR="008E18F4">
        <w:rPr>
          <w:szCs w:val="24"/>
        </w:rPr>
        <w:t>201-2018</w:t>
      </w:r>
      <w:r>
        <w:rPr>
          <w:szCs w:val="24"/>
        </w:rPr>
        <w:t xml:space="preserve"> Gas Cost Rate Filing.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The gas cost rate filing was assigned to the Office of Administrative Law Judge for resolution by hearings and for issuance of a Recommended Decision.  The matter was assigned to Administrative Law Judge Marta Guhl.  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Pr="00A031D0" w:rsidRDefault="008C3C13" w:rsidP="008C3C13">
      <w:pPr>
        <w:spacing w:line="360" w:lineRule="auto"/>
      </w:pPr>
      <w:r>
        <w:tab/>
      </w:r>
      <w:r>
        <w:tab/>
      </w:r>
      <w:r w:rsidRPr="00A031D0">
        <w:t xml:space="preserve">A telephonic prehearing conference in this matter is scheduled to be held on </w:t>
      </w:r>
      <w:r w:rsidR="008E18F4">
        <w:t>Wednesday, March 15, 2017</w:t>
      </w:r>
      <w:r w:rsidRPr="00A031D0">
        <w:t xml:space="preserve"> at 10:00 a.m.  To participate in the prehearing conference, the parties must contact the </w:t>
      </w:r>
      <w:r>
        <w:t xml:space="preserve">Toll-free Bridge Number </w:t>
      </w:r>
      <w:r>
        <w:rPr>
          <w:b/>
          <w:u w:val="single"/>
        </w:rPr>
        <w:t>1-855-750-</w:t>
      </w:r>
      <w:r w:rsidRPr="00A031D0">
        <w:rPr>
          <w:b/>
          <w:u w:val="single"/>
        </w:rPr>
        <w:t>1027</w:t>
      </w:r>
      <w:r w:rsidRPr="00A031D0">
        <w:t xml:space="preserve"> and then enter the </w:t>
      </w:r>
      <w:r>
        <w:t xml:space="preserve">PIN Number </w:t>
      </w:r>
      <w:r w:rsidRPr="00A031D0">
        <w:rPr>
          <w:b/>
          <w:u w:val="single"/>
        </w:rPr>
        <w:t>947571</w:t>
      </w:r>
      <w:r w:rsidRPr="00A031D0">
        <w:t xml:space="preserve"> to join the conference</w:t>
      </w:r>
      <w:r>
        <w:t xml:space="preserve">.  </w:t>
      </w:r>
    </w:p>
    <w:p w:rsidR="008C3C13" w:rsidRDefault="008C3C13" w:rsidP="008C3C13">
      <w:pPr>
        <w:pStyle w:val="BodyText"/>
        <w:tabs>
          <w:tab w:val="left" w:pos="0"/>
        </w:tabs>
        <w:spacing w:line="360" w:lineRule="auto"/>
        <w:rPr>
          <w:szCs w:val="24"/>
        </w:rPr>
      </w:pPr>
      <w:r>
        <w:rPr>
          <w:szCs w:val="24"/>
        </w:rPr>
        <w:t>.</w:t>
      </w:r>
    </w:p>
    <w:p w:rsidR="008C3C13" w:rsidRDefault="008C3C13" w:rsidP="008C3C13">
      <w:pPr>
        <w:pStyle w:val="NoSpacing"/>
        <w:spacing w:line="360" w:lineRule="auto"/>
        <w:rPr>
          <w:rStyle w:val="Strong"/>
        </w:rPr>
      </w:pPr>
    </w:p>
    <w:p w:rsidR="008C3C13" w:rsidRPr="00971F50" w:rsidRDefault="008C3C13" w:rsidP="008C3C13">
      <w:pPr>
        <w:pStyle w:val="NoSpacing"/>
        <w:spacing w:line="360" w:lineRule="auto"/>
        <w:jc w:val="center"/>
        <w:rPr>
          <w:rStyle w:val="Strong"/>
          <w:b w:val="0"/>
          <w:caps/>
          <w:szCs w:val="24"/>
          <w:u w:val="single"/>
        </w:rPr>
      </w:pPr>
      <w:r w:rsidRPr="00971F50">
        <w:rPr>
          <w:rStyle w:val="Strong"/>
          <w:b w:val="0"/>
          <w:caps/>
          <w:szCs w:val="24"/>
          <w:u w:val="single"/>
        </w:rPr>
        <w:t>Discussion</w:t>
      </w:r>
    </w:p>
    <w:p w:rsidR="008C3C13" w:rsidRDefault="008C3C13" w:rsidP="008C3C13">
      <w:pPr>
        <w:pStyle w:val="NoSpacing"/>
        <w:spacing w:line="360" w:lineRule="auto"/>
        <w:jc w:val="center"/>
        <w:rPr>
          <w:rStyle w:val="Strong"/>
          <w:b w:val="0"/>
          <w:szCs w:val="24"/>
        </w:rPr>
      </w:pPr>
    </w:p>
    <w:p w:rsidR="008C3C13" w:rsidRDefault="008C3C13" w:rsidP="008C3C13">
      <w:pPr>
        <w:spacing w:line="360" w:lineRule="auto"/>
      </w:pPr>
      <w:r>
        <w:rPr>
          <w:szCs w:val="24"/>
        </w:rPr>
        <w:tab/>
      </w:r>
      <w:r>
        <w:rPr>
          <w:szCs w:val="24"/>
        </w:rPr>
        <w:tab/>
        <w:t xml:space="preserve">No one has objected to PGW’s Petition for Special Permission to Depart from the Requirements of 52 </w:t>
      </w:r>
      <w:proofErr w:type="spellStart"/>
      <w:r>
        <w:rPr>
          <w:szCs w:val="24"/>
        </w:rPr>
        <w:t>Pa.Code</w:t>
      </w:r>
      <w:proofErr w:type="spellEnd"/>
      <w:r>
        <w:rPr>
          <w:szCs w:val="24"/>
        </w:rPr>
        <w:t xml:space="preserve"> §§ 53.45(b), 53.64(c), 53.64(</w:t>
      </w:r>
      <w:proofErr w:type="spellStart"/>
      <w:r>
        <w:rPr>
          <w:szCs w:val="24"/>
        </w:rPr>
        <w:t>i</w:t>
      </w:r>
      <w:proofErr w:type="spellEnd"/>
      <w:proofErr w:type="gramStart"/>
      <w:r>
        <w:rPr>
          <w:szCs w:val="24"/>
        </w:rPr>
        <w:t>)(</w:t>
      </w:r>
      <w:proofErr w:type="gramEnd"/>
      <w:r>
        <w:rPr>
          <w:szCs w:val="24"/>
        </w:rPr>
        <w:t>5)(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) and 53.68(a).  Accordingly, the Petition is granted.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Commission's regulation concerning prehearing conferen</w:t>
      </w:r>
      <w:bookmarkStart w:id="0" w:name="_GoBack"/>
      <w:bookmarkEnd w:id="0"/>
      <w:r>
        <w:rPr>
          <w:szCs w:val="24"/>
        </w:rPr>
        <w:t xml:space="preserve">ces in rate proceedings is located at 52 </w:t>
      </w:r>
      <w:proofErr w:type="spellStart"/>
      <w:r>
        <w:rPr>
          <w:szCs w:val="24"/>
        </w:rPr>
        <w:t>Pa.Code</w:t>
      </w:r>
      <w:proofErr w:type="spellEnd"/>
      <w:r>
        <w:rPr>
          <w:szCs w:val="24"/>
        </w:rPr>
        <w:t xml:space="preserve"> §5.224.  We will discuss the following: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1)</w:t>
      </w:r>
      <w:r>
        <w:rPr>
          <w:szCs w:val="24"/>
        </w:rPr>
        <w:tab/>
        <w:t>A proposed plan and schedule of discovery;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2)</w:t>
      </w:r>
      <w:r>
        <w:rPr>
          <w:szCs w:val="24"/>
        </w:rPr>
        <w:tab/>
        <w:t>Possibility of settlement;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3)</w:t>
      </w:r>
      <w:r>
        <w:rPr>
          <w:szCs w:val="24"/>
        </w:rPr>
        <w:tab/>
        <w:t>Issues;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4)</w:t>
      </w:r>
      <w:r>
        <w:rPr>
          <w:szCs w:val="24"/>
        </w:rPr>
        <w:tab/>
        <w:t>Amount of hearing time needed;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5)</w:t>
      </w:r>
      <w:r>
        <w:rPr>
          <w:szCs w:val="24"/>
        </w:rPr>
        <w:tab/>
        <w:t>Witnesses;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6)</w:t>
      </w:r>
      <w:r>
        <w:rPr>
          <w:szCs w:val="24"/>
        </w:rPr>
        <w:tab/>
        <w:t>Schedule for submission of testimony, hearings and briefs; and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7)</w:t>
      </w:r>
      <w:r>
        <w:rPr>
          <w:szCs w:val="24"/>
        </w:rPr>
        <w:tab/>
        <w:t>Any other appropriate matter.</w:t>
      </w:r>
    </w:p>
    <w:p w:rsidR="008C3C13" w:rsidRDefault="008C3C13" w:rsidP="00971F50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Counsel should submit a prehearing memorandum addressing the agenda items on or before noon on Monday, March </w:t>
      </w:r>
      <w:r w:rsidR="008E18F4">
        <w:rPr>
          <w:szCs w:val="24"/>
        </w:rPr>
        <w:t>13, 2017</w:t>
      </w:r>
      <w:r>
        <w:rPr>
          <w:szCs w:val="24"/>
        </w:rPr>
        <w:t>.  Counsel can e-mail the memoranda to the presiding officer and the other counsel.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following is a proposed schedule for hearings and briefs: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ind w:left="5760" w:hanging="4320"/>
        <w:rPr>
          <w:szCs w:val="24"/>
        </w:rPr>
      </w:pPr>
      <w:r>
        <w:rPr>
          <w:szCs w:val="24"/>
        </w:rPr>
        <w:t>Hearings for cross-examination of all</w:t>
      </w:r>
      <w:r>
        <w:rPr>
          <w:szCs w:val="24"/>
        </w:rPr>
        <w:tab/>
        <w:t xml:space="preserve">Week of </w:t>
      </w:r>
      <w:r w:rsidR="00087249">
        <w:rPr>
          <w:szCs w:val="24"/>
        </w:rPr>
        <w:t>May 15, 2017</w:t>
      </w:r>
    </w:p>
    <w:p w:rsidR="008C3C13" w:rsidRDefault="008C3C13" w:rsidP="008C3C13">
      <w:pPr>
        <w:ind w:left="5760" w:hanging="4320"/>
        <w:rPr>
          <w:szCs w:val="24"/>
        </w:rPr>
      </w:pPr>
      <w:proofErr w:type="gramStart"/>
      <w:r>
        <w:rPr>
          <w:szCs w:val="24"/>
        </w:rPr>
        <w:t>witnesses</w:t>
      </w:r>
      <w:proofErr w:type="gramEnd"/>
      <w:r>
        <w:rPr>
          <w:szCs w:val="24"/>
        </w:rPr>
        <w:t>, oral Rebuttal/</w:t>
      </w:r>
      <w:proofErr w:type="spellStart"/>
      <w:r>
        <w:rPr>
          <w:szCs w:val="24"/>
        </w:rPr>
        <w:t>Surrebuttal</w:t>
      </w:r>
      <w:proofErr w:type="spellEnd"/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ind w:left="720" w:firstLine="720"/>
        <w:rPr>
          <w:szCs w:val="24"/>
        </w:rPr>
      </w:pPr>
      <w:r>
        <w:rPr>
          <w:szCs w:val="24"/>
        </w:rPr>
        <w:t>Close of Record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Thursday, </w:t>
      </w:r>
      <w:r w:rsidR="00087249">
        <w:rPr>
          <w:szCs w:val="24"/>
        </w:rPr>
        <w:t>May 18, 2017</w:t>
      </w: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ind w:left="1440"/>
        <w:rPr>
          <w:szCs w:val="24"/>
        </w:rPr>
      </w:pPr>
      <w:r>
        <w:rPr>
          <w:szCs w:val="24"/>
        </w:rPr>
        <w:t xml:space="preserve">Main Briefs </w:t>
      </w:r>
      <w:r w:rsidR="00087249">
        <w:rPr>
          <w:szCs w:val="24"/>
        </w:rPr>
        <w:t>Due</w:t>
      </w:r>
      <w:r w:rsidR="00087249">
        <w:rPr>
          <w:szCs w:val="24"/>
        </w:rPr>
        <w:tab/>
      </w:r>
      <w:r w:rsidR="00087249">
        <w:rPr>
          <w:szCs w:val="24"/>
        </w:rPr>
        <w:tab/>
      </w:r>
      <w:r w:rsidR="00087249">
        <w:rPr>
          <w:szCs w:val="24"/>
        </w:rPr>
        <w:tab/>
      </w:r>
      <w:r w:rsidR="00087249">
        <w:rPr>
          <w:szCs w:val="24"/>
        </w:rPr>
        <w:tab/>
        <w:t>Tuesday, May 30, 2017</w:t>
      </w: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ind w:left="1440"/>
        <w:rPr>
          <w:szCs w:val="24"/>
        </w:rPr>
      </w:pPr>
      <w:r>
        <w:rPr>
          <w:szCs w:val="24"/>
        </w:rPr>
        <w:t xml:space="preserve">Reply Briefs </w:t>
      </w:r>
      <w:proofErr w:type="gramStart"/>
      <w:r>
        <w:rPr>
          <w:szCs w:val="24"/>
        </w:rPr>
        <w:t>Due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Wednesday, </w:t>
      </w:r>
      <w:r w:rsidR="00087249">
        <w:rPr>
          <w:szCs w:val="24"/>
        </w:rPr>
        <w:t>June 7</w:t>
      </w:r>
      <w:r>
        <w:rPr>
          <w:szCs w:val="24"/>
        </w:rPr>
        <w:t>, 201</w:t>
      </w:r>
      <w:r w:rsidR="00087249">
        <w:rPr>
          <w:szCs w:val="24"/>
        </w:rPr>
        <w:t>7</w:t>
      </w: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ind w:left="1440"/>
        <w:rPr>
          <w:szCs w:val="24"/>
        </w:rPr>
      </w:pPr>
      <w:r>
        <w:rPr>
          <w:szCs w:val="24"/>
        </w:rPr>
        <w:t>Public Meeting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August </w:t>
      </w:r>
      <w:r w:rsidR="00087249">
        <w:rPr>
          <w:szCs w:val="24"/>
        </w:rPr>
        <w:t>31, 2017</w:t>
      </w:r>
    </w:p>
    <w:p w:rsidR="008C3C13" w:rsidRDefault="008C3C13" w:rsidP="008C3C13">
      <w:pPr>
        <w:rPr>
          <w:szCs w:val="24"/>
        </w:rPr>
      </w:pPr>
    </w:p>
    <w:p w:rsidR="008C3C13" w:rsidRDefault="008C3C13" w:rsidP="008C3C13">
      <w:pPr>
        <w:ind w:left="1440"/>
        <w:rPr>
          <w:szCs w:val="24"/>
        </w:rPr>
      </w:pPr>
      <w:r>
        <w:rPr>
          <w:szCs w:val="24"/>
        </w:rPr>
        <w:t>End of Suspension Period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</w:t>
      </w:r>
      <w:r w:rsidR="00087249">
        <w:rPr>
          <w:szCs w:val="24"/>
        </w:rPr>
        <w:t xml:space="preserve"> 1, 2017</w:t>
      </w:r>
    </w:p>
    <w:p w:rsidR="008C3C13" w:rsidRDefault="008C3C13" w:rsidP="00971F50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Any documents filed in this proceeding should be served on the presiding officer at the Philadelphia office and the active participants.  </w:t>
      </w:r>
      <w:proofErr w:type="gramStart"/>
      <w:r>
        <w:rPr>
          <w:szCs w:val="24"/>
        </w:rPr>
        <w:t xml:space="preserve">52 </w:t>
      </w:r>
      <w:proofErr w:type="spellStart"/>
      <w:r>
        <w:rPr>
          <w:szCs w:val="24"/>
        </w:rPr>
        <w:t>Pa.Code</w:t>
      </w:r>
      <w:proofErr w:type="spellEnd"/>
      <w:r>
        <w:rPr>
          <w:szCs w:val="24"/>
        </w:rPr>
        <w:t xml:space="preserve"> § 1.54(a) and (d).</w:t>
      </w:r>
      <w:proofErr w:type="gramEnd"/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 xml:space="preserve">Since documents can be submitted to the presiding officer and the participants by e-mail, available e-mail addresses will be included on the counsel service list.  Please check the list for omissions and errors and contact our office to make corrections.  My e-mail address is </w:t>
      </w:r>
      <w:hyperlink r:id="rId7" w:history="1">
        <w:r>
          <w:rPr>
            <w:rStyle w:val="Hyperlink"/>
            <w:szCs w:val="24"/>
          </w:rPr>
          <w:t>mguhl@pa.gov</w:t>
        </w:r>
      </w:hyperlink>
      <w:r>
        <w:rPr>
          <w:sz w:val="24"/>
          <w:szCs w:val="24"/>
        </w:rPr>
        <w:t xml:space="preserve">. </w:t>
      </w:r>
    </w:p>
    <w:p w:rsidR="00971F50" w:rsidRDefault="00971F50">
      <w:pPr>
        <w:spacing w:after="200" w:line="276" w:lineRule="auto"/>
        <w:rPr>
          <w:szCs w:val="24"/>
          <w:u w:val="single"/>
        </w:rPr>
      </w:pPr>
      <w:r>
        <w:rPr>
          <w:szCs w:val="24"/>
        </w:rPr>
        <w:br w:type="page"/>
      </w:r>
    </w:p>
    <w:p w:rsidR="008C3C13" w:rsidRDefault="008C3C13" w:rsidP="008C3C13">
      <w:pPr>
        <w:pStyle w:val="Heading1"/>
        <w:spacing w:line="360" w:lineRule="auto"/>
        <w:rPr>
          <w:szCs w:val="24"/>
        </w:rPr>
      </w:pPr>
      <w:r>
        <w:rPr>
          <w:szCs w:val="24"/>
        </w:rPr>
        <w:lastRenderedPageBreak/>
        <w:t>ORDER</w:t>
      </w:r>
    </w:p>
    <w:p w:rsidR="008C3C13" w:rsidRDefault="008C3C13" w:rsidP="008C3C13">
      <w:pPr>
        <w:spacing w:line="360" w:lineRule="auto"/>
        <w:jc w:val="center"/>
        <w:rPr>
          <w:szCs w:val="24"/>
        </w:rPr>
      </w:pPr>
    </w:p>
    <w:p w:rsidR="001F5859" w:rsidRDefault="001F5859" w:rsidP="008C3C13">
      <w:pPr>
        <w:spacing w:line="360" w:lineRule="auto"/>
        <w:jc w:val="center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>
        <w:rPr>
          <w:szCs w:val="24"/>
        </w:rPr>
        <w:tab/>
        <w:t>That the Petition for Special Permission to Depart from the Requirements of 52 Pa. Code §§ 53.45(b), 53.64(c), 53.64(</w:t>
      </w:r>
      <w:proofErr w:type="spellStart"/>
      <w:r>
        <w:rPr>
          <w:szCs w:val="24"/>
        </w:rPr>
        <w:t>i</w:t>
      </w:r>
      <w:proofErr w:type="spellEnd"/>
      <w:proofErr w:type="gramStart"/>
      <w:r>
        <w:rPr>
          <w:szCs w:val="24"/>
        </w:rPr>
        <w:t>)(</w:t>
      </w:r>
      <w:proofErr w:type="gramEnd"/>
      <w:r>
        <w:rPr>
          <w:szCs w:val="24"/>
        </w:rPr>
        <w:t>5)(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) and 53.68(a) filed by the Philadelphia Gas Works (PGW) is granted; and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</w:t>
      </w:r>
      <w:r>
        <w:rPr>
          <w:szCs w:val="24"/>
        </w:rPr>
        <w:tab/>
        <w:t>That the parties shall comply with the procedural rules and regulations discussed herein.</w:t>
      </w:r>
    </w:p>
    <w:p w:rsidR="008C3C13" w:rsidRDefault="008C3C13" w:rsidP="008C3C13">
      <w:pPr>
        <w:spacing w:line="360" w:lineRule="auto"/>
        <w:rPr>
          <w:szCs w:val="24"/>
        </w:rPr>
      </w:pPr>
    </w:p>
    <w:p w:rsidR="008C3C13" w:rsidRDefault="008C3C13" w:rsidP="008C3C13">
      <w:pPr>
        <w:rPr>
          <w:b/>
          <w:szCs w:val="24"/>
        </w:rPr>
      </w:pPr>
    </w:p>
    <w:p w:rsidR="008C3C13" w:rsidRDefault="001F5859" w:rsidP="008C3C13">
      <w:pPr>
        <w:rPr>
          <w:szCs w:val="24"/>
        </w:rPr>
      </w:pPr>
      <w:r w:rsidRPr="001F5859">
        <w:rPr>
          <w:szCs w:val="24"/>
          <w:u w:val="single"/>
        </w:rPr>
        <w:t>Date:  March 6, 2017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8C3C13">
        <w:rPr>
          <w:szCs w:val="24"/>
        </w:rPr>
        <w:t>__________________________________</w:t>
      </w:r>
    </w:p>
    <w:p w:rsidR="008C3C13" w:rsidRDefault="008C3C13" w:rsidP="008C3C13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Marta Guhl</w:t>
      </w:r>
    </w:p>
    <w:p w:rsidR="008C3C13" w:rsidRDefault="008C3C13" w:rsidP="008C3C1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:rsidR="008C3C13" w:rsidRDefault="008C3C13" w:rsidP="008C3C13"/>
    <w:p w:rsidR="001F5859" w:rsidRDefault="001F5859">
      <w:pPr>
        <w:spacing w:after="200" w:line="276" w:lineRule="auto"/>
      </w:pPr>
      <w:r>
        <w:br w:type="page"/>
      </w:r>
    </w:p>
    <w:p w:rsidR="00DB2610" w:rsidRDefault="00DB2610" w:rsidP="00DB2610">
      <w:pPr>
        <w:pStyle w:val="Footer"/>
        <w:tabs>
          <w:tab w:val="left" w:pos="720"/>
        </w:tabs>
        <w:rPr>
          <w:szCs w:val="24"/>
        </w:rPr>
      </w:pPr>
      <w:r>
        <w:rPr>
          <w:szCs w:val="24"/>
        </w:rPr>
        <w:lastRenderedPageBreak/>
        <w:t>Pennsylvania Public Utility Commission v. Philadelphia Gas Works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Docket Number R-2017-2587526</w:t>
      </w:r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pStyle w:val="Heading1"/>
      </w:pPr>
    </w:p>
    <w:p w:rsidR="00DB2610" w:rsidRDefault="00DB2610" w:rsidP="00DB2610">
      <w:pPr>
        <w:pStyle w:val="Heading1"/>
      </w:pPr>
    </w:p>
    <w:p w:rsidR="00DB2610" w:rsidRDefault="00DB2610" w:rsidP="00DB2610">
      <w:pPr>
        <w:pStyle w:val="Heading1"/>
        <w:rPr>
          <w:szCs w:val="24"/>
        </w:rPr>
      </w:pPr>
      <w:r>
        <w:rPr>
          <w:szCs w:val="24"/>
        </w:rPr>
        <w:t>SERVICE LIST</w:t>
      </w:r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rPr>
          <w:szCs w:val="24"/>
        </w:rPr>
      </w:pPr>
      <w:r>
        <w:rPr>
          <w:szCs w:val="24"/>
        </w:rPr>
        <w:t>Brandon J. Pierce,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Philadelphia Gas Works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800 West Montgomery Avenue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Philadelphia, PA   19122</w:t>
      </w:r>
    </w:p>
    <w:p w:rsidR="00DB2610" w:rsidRDefault="00DB2610" w:rsidP="00DB2610">
      <w:pPr>
        <w:rPr>
          <w:szCs w:val="24"/>
          <w:u w:val="single"/>
        </w:rPr>
      </w:pPr>
      <w:r>
        <w:rPr>
          <w:szCs w:val="24"/>
          <w:u w:val="single"/>
        </w:rPr>
        <w:t>Brandon.Pierce@pgworks.com</w:t>
      </w:r>
    </w:p>
    <w:p w:rsidR="00DB2610" w:rsidRDefault="00DB2610" w:rsidP="00DB2610">
      <w:pPr>
        <w:rPr>
          <w:b/>
          <w:szCs w:val="24"/>
        </w:rPr>
      </w:pPr>
    </w:p>
    <w:p w:rsidR="00DB2610" w:rsidRDefault="00DB2610" w:rsidP="00DB2610">
      <w:pPr>
        <w:rPr>
          <w:szCs w:val="24"/>
        </w:rPr>
      </w:pPr>
      <w:r>
        <w:rPr>
          <w:szCs w:val="24"/>
        </w:rPr>
        <w:t>Gina L. Miller,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Bureau of Investigation &amp; Enforcement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PA Public Utility Commission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P.O. Box 3265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Harrisburg, PA   17105-3265</w:t>
      </w:r>
    </w:p>
    <w:p w:rsidR="00DB2610" w:rsidRDefault="00DB2610" w:rsidP="00DB2610">
      <w:pPr>
        <w:rPr>
          <w:szCs w:val="24"/>
        </w:rPr>
      </w:pPr>
      <w:hyperlink r:id="rId8" w:history="1">
        <w:r>
          <w:rPr>
            <w:rStyle w:val="Hyperlink"/>
            <w:szCs w:val="24"/>
          </w:rPr>
          <w:t>ginlauffer@pa.gov</w:t>
        </w:r>
      </w:hyperlink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rPr>
          <w:szCs w:val="24"/>
        </w:rPr>
      </w:pPr>
      <w:r>
        <w:rPr>
          <w:szCs w:val="24"/>
        </w:rPr>
        <w:t>Aron J. Beatty,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Christy M. Appleby,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 xml:space="preserve">Harrison W. </w:t>
      </w:r>
      <w:proofErr w:type="spellStart"/>
      <w:r>
        <w:rPr>
          <w:szCs w:val="24"/>
        </w:rPr>
        <w:t>Breitman</w:t>
      </w:r>
      <w:proofErr w:type="spellEnd"/>
      <w:r>
        <w:rPr>
          <w:szCs w:val="24"/>
        </w:rPr>
        <w:t>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Office of Consumer Advocate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555 Walnut Street, 5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Forum Place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Harrisburg, PA   17101-1923</w:t>
      </w:r>
    </w:p>
    <w:p w:rsidR="00DB2610" w:rsidRDefault="00DB2610" w:rsidP="00DB2610">
      <w:pPr>
        <w:rPr>
          <w:szCs w:val="24"/>
        </w:rPr>
      </w:pPr>
      <w:hyperlink r:id="rId9" w:history="1">
        <w:r>
          <w:rPr>
            <w:rStyle w:val="Hyperlink"/>
            <w:szCs w:val="24"/>
          </w:rPr>
          <w:t>ABeatty@paoca.org</w:t>
        </w:r>
      </w:hyperlink>
    </w:p>
    <w:p w:rsidR="00DB2610" w:rsidRDefault="00DB2610" w:rsidP="00DB2610">
      <w:hyperlink r:id="rId10" w:history="1">
        <w:r>
          <w:rPr>
            <w:rStyle w:val="Hyperlink"/>
            <w:szCs w:val="24"/>
          </w:rPr>
          <w:t>CAppleby@paoca.org</w:t>
        </w:r>
      </w:hyperlink>
    </w:p>
    <w:p w:rsidR="00DB2610" w:rsidRDefault="00DB2610" w:rsidP="00DB2610">
      <w:pPr>
        <w:rPr>
          <w:szCs w:val="24"/>
          <w:u w:val="single"/>
        </w:rPr>
      </w:pPr>
      <w:r>
        <w:rPr>
          <w:u w:val="single"/>
        </w:rPr>
        <w:t>HBreitman@paoca.org</w:t>
      </w:r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rPr>
          <w:szCs w:val="24"/>
        </w:rPr>
      </w:pPr>
      <w:r>
        <w:rPr>
          <w:szCs w:val="24"/>
        </w:rPr>
        <w:t>Sharon E. Webb,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Office of Small Business Advocate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 xml:space="preserve">300 North Second </w:t>
      </w:r>
      <w:proofErr w:type="gramStart"/>
      <w:r>
        <w:rPr>
          <w:szCs w:val="24"/>
        </w:rPr>
        <w:t>Street</w:t>
      </w:r>
      <w:proofErr w:type="gramEnd"/>
      <w:r>
        <w:rPr>
          <w:szCs w:val="24"/>
        </w:rPr>
        <w:t xml:space="preserve"> - Suite 202 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Harrisburg, PA   17101</w:t>
      </w:r>
    </w:p>
    <w:p w:rsidR="00DB2610" w:rsidRDefault="00DB2610" w:rsidP="00DB2610">
      <w:pPr>
        <w:rPr>
          <w:szCs w:val="24"/>
        </w:rPr>
      </w:pPr>
      <w:hyperlink r:id="rId11" w:history="1">
        <w:r>
          <w:rPr>
            <w:rStyle w:val="Hyperlink"/>
            <w:szCs w:val="24"/>
          </w:rPr>
          <w:t>swebb@pa.gov</w:t>
        </w:r>
      </w:hyperlink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rPr>
          <w:szCs w:val="24"/>
        </w:rPr>
      </w:pPr>
      <w:r>
        <w:rPr>
          <w:szCs w:val="24"/>
        </w:rPr>
        <w:t xml:space="preserve">Charis </w:t>
      </w:r>
      <w:proofErr w:type="spellStart"/>
      <w:r>
        <w:rPr>
          <w:szCs w:val="24"/>
        </w:rPr>
        <w:t>Mincavage</w:t>
      </w:r>
      <w:proofErr w:type="spellEnd"/>
      <w:r>
        <w:rPr>
          <w:szCs w:val="24"/>
        </w:rPr>
        <w:t>, Esquire</w:t>
      </w:r>
    </w:p>
    <w:p w:rsidR="00DB2610" w:rsidRDefault="00DB2610" w:rsidP="00DB2610">
      <w:pPr>
        <w:rPr>
          <w:szCs w:val="24"/>
        </w:rPr>
      </w:pPr>
      <w:proofErr w:type="spellStart"/>
      <w:r>
        <w:rPr>
          <w:szCs w:val="24"/>
        </w:rPr>
        <w:t>Adeolu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Bakare</w:t>
      </w:r>
      <w:proofErr w:type="spellEnd"/>
      <w:r>
        <w:rPr>
          <w:szCs w:val="24"/>
        </w:rPr>
        <w:t>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 xml:space="preserve">Alessandra L. </w:t>
      </w:r>
      <w:proofErr w:type="spellStart"/>
      <w:r>
        <w:rPr>
          <w:szCs w:val="24"/>
        </w:rPr>
        <w:t>Hylander</w:t>
      </w:r>
      <w:proofErr w:type="spellEnd"/>
      <w:r>
        <w:rPr>
          <w:szCs w:val="24"/>
        </w:rPr>
        <w:t>, Esquire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 xml:space="preserve">McNees Wallace &amp; </w:t>
      </w:r>
      <w:proofErr w:type="spellStart"/>
      <w:r>
        <w:rPr>
          <w:szCs w:val="24"/>
        </w:rPr>
        <w:t>Nurick</w:t>
      </w:r>
      <w:proofErr w:type="spellEnd"/>
      <w:r>
        <w:rPr>
          <w:szCs w:val="24"/>
        </w:rPr>
        <w:t>, LLC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100 Pine Street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P.O. Box 1166</w:t>
      </w:r>
    </w:p>
    <w:p w:rsidR="00DB2610" w:rsidRDefault="00DB2610" w:rsidP="00DB2610">
      <w:pPr>
        <w:rPr>
          <w:szCs w:val="24"/>
        </w:rPr>
      </w:pPr>
      <w:r>
        <w:rPr>
          <w:szCs w:val="24"/>
        </w:rPr>
        <w:t>Harrisburg, PA   17108-1166</w:t>
      </w:r>
    </w:p>
    <w:p w:rsidR="00DB2610" w:rsidRDefault="00DB2610" w:rsidP="00DB2610">
      <w:pPr>
        <w:rPr>
          <w:szCs w:val="24"/>
        </w:rPr>
      </w:pPr>
      <w:hyperlink r:id="rId12" w:history="1">
        <w:r>
          <w:rPr>
            <w:rStyle w:val="Hyperlink"/>
            <w:szCs w:val="24"/>
          </w:rPr>
          <w:t>cmincavage@mwn.com</w:t>
        </w:r>
      </w:hyperlink>
    </w:p>
    <w:p w:rsidR="00DB2610" w:rsidRDefault="00DB2610" w:rsidP="00DB2610">
      <w:pPr>
        <w:rPr>
          <w:szCs w:val="24"/>
        </w:rPr>
      </w:pPr>
      <w:hyperlink r:id="rId13" w:history="1">
        <w:r>
          <w:rPr>
            <w:rStyle w:val="Hyperlink"/>
            <w:szCs w:val="24"/>
          </w:rPr>
          <w:t>abakare@mwn.com</w:t>
        </w:r>
      </w:hyperlink>
    </w:p>
    <w:p w:rsidR="00DB2610" w:rsidRDefault="00DB2610" w:rsidP="00DB2610">
      <w:pPr>
        <w:rPr>
          <w:szCs w:val="24"/>
        </w:rPr>
      </w:pPr>
      <w:hyperlink r:id="rId14" w:history="1">
        <w:r>
          <w:rPr>
            <w:rStyle w:val="Hyperlink"/>
            <w:szCs w:val="24"/>
          </w:rPr>
          <w:t>ahylander@mwn.com</w:t>
        </w:r>
      </w:hyperlink>
      <w:r>
        <w:rPr>
          <w:szCs w:val="24"/>
        </w:rPr>
        <w:tab/>
      </w:r>
    </w:p>
    <w:p w:rsidR="00DB2610" w:rsidRDefault="00DB2610" w:rsidP="00DB2610">
      <w:pPr>
        <w:rPr>
          <w:i/>
          <w:szCs w:val="24"/>
        </w:rPr>
      </w:pPr>
      <w:r>
        <w:rPr>
          <w:i/>
          <w:szCs w:val="24"/>
        </w:rPr>
        <w:t xml:space="preserve">Counsel for Philadelphia Industrial </w:t>
      </w:r>
    </w:p>
    <w:p w:rsidR="00DB2610" w:rsidRDefault="00DB2610" w:rsidP="00DB2610">
      <w:pPr>
        <w:rPr>
          <w:szCs w:val="24"/>
        </w:rPr>
      </w:pPr>
      <w:proofErr w:type="gramStart"/>
      <w:r>
        <w:rPr>
          <w:i/>
          <w:szCs w:val="24"/>
        </w:rPr>
        <w:t>and</w:t>
      </w:r>
      <w:proofErr w:type="gramEnd"/>
      <w:r>
        <w:rPr>
          <w:i/>
          <w:szCs w:val="24"/>
        </w:rPr>
        <w:t xml:space="preserve"> Commercial Gas Users Group</w:t>
      </w:r>
    </w:p>
    <w:p w:rsidR="00DB2610" w:rsidRDefault="00DB2610" w:rsidP="00DB2610">
      <w:pPr>
        <w:rPr>
          <w:szCs w:val="24"/>
        </w:rPr>
      </w:pPr>
    </w:p>
    <w:p w:rsidR="00DB2610" w:rsidRDefault="00DB2610" w:rsidP="00DB2610">
      <w:pPr>
        <w:rPr>
          <w:szCs w:val="24"/>
        </w:rPr>
      </w:pPr>
    </w:p>
    <w:p w:rsidR="00DB2610" w:rsidRDefault="00DB2610" w:rsidP="00DB2610"/>
    <w:p w:rsidR="00DB2610" w:rsidRDefault="00DB2610" w:rsidP="00DB2610"/>
    <w:p w:rsidR="00AC53C7" w:rsidRDefault="00AC53C7"/>
    <w:sectPr w:rsidR="00AC53C7" w:rsidSect="00971F50"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2D" w:rsidRDefault="0058722D" w:rsidP="00971F50">
      <w:r>
        <w:separator/>
      </w:r>
    </w:p>
  </w:endnote>
  <w:endnote w:type="continuationSeparator" w:id="0">
    <w:p w:rsidR="0058722D" w:rsidRDefault="0058722D" w:rsidP="0097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84105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71F50" w:rsidRPr="00971F50" w:rsidRDefault="00971F50">
        <w:pPr>
          <w:pStyle w:val="Footer"/>
          <w:jc w:val="center"/>
          <w:rPr>
            <w:sz w:val="20"/>
          </w:rPr>
        </w:pPr>
        <w:r w:rsidRPr="00971F50">
          <w:rPr>
            <w:sz w:val="20"/>
          </w:rPr>
          <w:fldChar w:fldCharType="begin"/>
        </w:r>
        <w:r w:rsidRPr="00971F50">
          <w:rPr>
            <w:sz w:val="20"/>
          </w:rPr>
          <w:instrText xml:space="preserve"> PAGE   \* MERGEFORMAT </w:instrText>
        </w:r>
        <w:r w:rsidRPr="00971F50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971F50">
          <w:rPr>
            <w:noProof/>
            <w:sz w:val="20"/>
          </w:rPr>
          <w:fldChar w:fldCharType="end"/>
        </w:r>
      </w:p>
    </w:sdtContent>
  </w:sdt>
  <w:p w:rsidR="00971F50" w:rsidRDefault="00971F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2D" w:rsidRDefault="0058722D" w:rsidP="00971F50">
      <w:r>
        <w:separator/>
      </w:r>
    </w:p>
  </w:footnote>
  <w:footnote w:type="continuationSeparator" w:id="0">
    <w:p w:rsidR="0058722D" w:rsidRDefault="0058722D" w:rsidP="00971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13"/>
    <w:rsid w:val="00087249"/>
    <w:rsid w:val="001F5859"/>
    <w:rsid w:val="002574DA"/>
    <w:rsid w:val="0058722D"/>
    <w:rsid w:val="00847285"/>
    <w:rsid w:val="008C3C13"/>
    <w:rsid w:val="008E18F4"/>
    <w:rsid w:val="00971F50"/>
    <w:rsid w:val="00AC53C7"/>
    <w:rsid w:val="00D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C3C13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C13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8C3C1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C3C1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C3C1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8C3C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C3C13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8C3C13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8C3C13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3C13"/>
    <w:pPr>
      <w:spacing w:line="360" w:lineRule="auto"/>
      <w:ind w:firstLine="144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3C13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8C3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8C3C1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B2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61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F5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C3C13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C13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8C3C1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C3C1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C3C1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8C3C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C3C13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8C3C13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8C3C13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3C13"/>
    <w:pPr>
      <w:spacing w:line="360" w:lineRule="auto"/>
      <w:ind w:firstLine="144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3C13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8C3C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8C3C1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B2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61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F5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naskie@pa.gov" TargetMode="External"/><Relationship Id="rId13" Type="http://schemas.openxmlformats.org/officeDocument/2006/relationships/hyperlink" Target="mailto:abakare@mw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uhl@pa.gov" TargetMode="External"/><Relationship Id="rId12" Type="http://schemas.openxmlformats.org/officeDocument/2006/relationships/hyperlink" Target="mailto:cmincavage@mwn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webb@pa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Pierce@pao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atty@paoca.org" TargetMode="External"/><Relationship Id="rId14" Type="http://schemas.openxmlformats.org/officeDocument/2006/relationships/hyperlink" Target="mailto:ahylander@m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Guhl, Marta</dc:creator>
  <cp:lastModifiedBy>McNeal, Pamela</cp:lastModifiedBy>
  <cp:revision>3</cp:revision>
  <dcterms:created xsi:type="dcterms:W3CDTF">2017-03-06T18:20:00Z</dcterms:created>
  <dcterms:modified xsi:type="dcterms:W3CDTF">2017-03-06T18:26:00Z</dcterms:modified>
</cp:coreProperties>
</file>