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B1B" w:rsidRDefault="006D3B1B" w:rsidP="006D3B1B">
      <w:pPr>
        <w:tabs>
          <w:tab w:val="center" w:pos="5148"/>
        </w:tabs>
        <w:suppressAutoHyphens/>
        <w:jc w:val="center"/>
        <w:rPr>
          <w:rFonts w:ascii="Arial" w:hAnsi="Arial"/>
        </w:rPr>
      </w:pPr>
    </w:p>
    <w:p w:rsidR="006D3B1B" w:rsidRDefault="006D3B1B" w:rsidP="006D3B1B">
      <w:pPr>
        <w:tabs>
          <w:tab w:val="center" w:pos="5148"/>
        </w:tabs>
        <w:suppressAutoHyphens/>
        <w:jc w:val="center"/>
        <w:rPr>
          <w:rFonts w:ascii="Arial" w:hAnsi="Arial"/>
        </w:rPr>
      </w:pPr>
      <w:r>
        <w:rPr>
          <w:rFonts w:ascii="Arial" w:hAnsi="Arial"/>
        </w:rPr>
        <w:t>BEFORE THE</w:t>
      </w:r>
    </w:p>
    <w:p w:rsidR="006D3B1B" w:rsidRDefault="006D3B1B" w:rsidP="006D3B1B">
      <w:pPr>
        <w:tabs>
          <w:tab w:val="center" w:pos="5148"/>
        </w:tabs>
        <w:suppressAutoHyphens/>
        <w:jc w:val="center"/>
        <w:rPr>
          <w:rFonts w:ascii="Arial" w:hAnsi="Arial"/>
        </w:rPr>
      </w:pPr>
      <w:r>
        <w:rPr>
          <w:rFonts w:ascii="Arial" w:hAnsi="Arial"/>
        </w:rPr>
        <w:t>PENNSYLVANIA PUBLIC UTILITY COMMISSION</w:t>
      </w:r>
    </w:p>
    <w:p w:rsidR="006D3B1B" w:rsidRDefault="006D3B1B" w:rsidP="006D3B1B">
      <w:pPr>
        <w:tabs>
          <w:tab w:val="left" w:pos="-720"/>
        </w:tabs>
        <w:suppressAutoHyphens/>
        <w:rPr>
          <w:rFonts w:ascii="Arial" w:hAnsi="Arial"/>
        </w:rPr>
      </w:pPr>
    </w:p>
    <w:p w:rsidR="006D3B1B" w:rsidRDefault="006D3B1B" w:rsidP="006D3B1B">
      <w:pPr>
        <w:tabs>
          <w:tab w:val="left" w:pos="-720"/>
        </w:tabs>
        <w:suppressAutoHyphens/>
        <w:rPr>
          <w:rFonts w:ascii="Arial" w:hAnsi="Arial"/>
        </w:rPr>
      </w:pPr>
    </w:p>
    <w:p w:rsidR="006D3B1B" w:rsidRDefault="006D3B1B" w:rsidP="006D3B1B">
      <w:pPr>
        <w:tabs>
          <w:tab w:val="left" w:pos="-720"/>
        </w:tabs>
        <w:suppressAutoHyphens/>
        <w:rPr>
          <w:rFonts w:ascii="Arial" w:hAnsi="Arial"/>
        </w:rPr>
      </w:pPr>
    </w:p>
    <w:p w:rsidR="006D3B1B" w:rsidRDefault="006D3B1B" w:rsidP="006D3B1B">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6D3B1B" w:rsidRDefault="006D3B1B" w:rsidP="006D3B1B">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6D3B1B" w:rsidRDefault="006D3B1B" w:rsidP="006D3B1B">
      <w:pPr>
        <w:tabs>
          <w:tab w:val="left" w:pos="-720"/>
          <w:tab w:val="left" w:pos="5040"/>
        </w:tabs>
        <w:suppressAutoHyphens/>
        <w:rPr>
          <w:rFonts w:ascii="Arial" w:hAnsi="Arial"/>
        </w:rPr>
      </w:pPr>
      <w:r>
        <w:rPr>
          <w:rFonts w:ascii="Arial" w:hAnsi="Arial"/>
        </w:rPr>
        <w:tab/>
        <w:t>:</w:t>
      </w:r>
    </w:p>
    <w:p w:rsidR="006D3B1B" w:rsidRDefault="006D3B1B" w:rsidP="006D3B1B">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D60570" w:rsidRPr="00D60570">
        <w:rPr>
          <w:rFonts w:ascii="Arial" w:hAnsi="Arial"/>
        </w:rPr>
        <w:t>2592010</w:t>
      </w:r>
    </w:p>
    <w:p w:rsidR="006D3B1B" w:rsidRDefault="006D3B1B" w:rsidP="006D3B1B">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6D3B1B" w:rsidRDefault="006D3B1B" w:rsidP="006D3B1B">
      <w:pPr>
        <w:tabs>
          <w:tab w:val="left" w:pos="-720"/>
          <w:tab w:val="left" w:pos="5040"/>
        </w:tabs>
        <w:suppressAutoHyphens/>
        <w:rPr>
          <w:rFonts w:ascii="Arial" w:hAnsi="Arial"/>
        </w:rPr>
      </w:pPr>
      <w:r w:rsidRPr="006D3B1B">
        <w:rPr>
          <w:rFonts w:ascii="Arial" w:hAnsi="Arial"/>
        </w:rPr>
        <w:t xml:space="preserve">G W RESSLER </w:t>
      </w:r>
      <w:proofErr w:type="gramStart"/>
      <w:r w:rsidRPr="006D3B1B">
        <w:rPr>
          <w:rFonts w:ascii="Arial" w:hAnsi="Arial"/>
        </w:rPr>
        <w:t xml:space="preserve">TRUCKING </w:t>
      </w:r>
      <w:r>
        <w:rPr>
          <w:rFonts w:ascii="Arial" w:hAnsi="Arial"/>
        </w:rPr>
        <w:t xml:space="preserve"> </w:t>
      </w:r>
      <w:r w:rsidRPr="006D3B1B">
        <w:rPr>
          <w:rFonts w:ascii="Arial" w:hAnsi="Arial"/>
        </w:rPr>
        <w:t>LLC</w:t>
      </w:r>
      <w:proofErr w:type="gramEnd"/>
      <w:r>
        <w:rPr>
          <w:rFonts w:ascii="Arial" w:hAnsi="Arial"/>
        </w:rPr>
        <w:tab/>
        <w:t>:</w:t>
      </w:r>
    </w:p>
    <w:p w:rsidR="006D3B1B" w:rsidRDefault="006D3B1B" w:rsidP="006D3B1B">
      <w:pPr>
        <w:tabs>
          <w:tab w:val="left" w:pos="-720"/>
          <w:tab w:val="left" w:pos="5040"/>
        </w:tabs>
        <w:suppressAutoHyphens/>
        <w:rPr>
          <w:rFonts w:ascii="Arial" w:hAnsi="Arial"/>
        </w:rPr>
      </w:pPr>
      <w:bookmarkStart w:id="2" w:name="CompLine2"/>
      <w:bookmarkEnd w:id="2"/>
      <w:r>
        <w:rPr>
          <w:rFonts w:ascii="Arial" w:hAnsi="Arial"/>
        </w:rPr>
        <w:t>4513 MOUNTAIN ROAD</w:t>
      </w:r>
      <w:r>
        <w:rPr>
          <w:rFonts w:ascii="Arial" w:hAnsi="Arial"/>
        </w:rPr>
        <w:tab/>
        <w:t>:</w:t>
      </w:r>
    </w:p>
    <w:p w:rsidR="006D3B1B" w:rsidRDefault="006D3B1B" w:rsidP="006D3B1B">
      <w:pPr>
        <w:tabs>
          <w:tab w:val="left" w:pos="-720"/>
          <w:tab w:val="left" w:pos="5040"/>
        </w:tabs>
        <w:suppressAutoHyphens/>
        <w:rPr>
          <w:rFonts w:ascii="Arial" w:hAnsi="Arial"/>
        </w:rPr>
      </w:pPr>
      <w:proofErr w:type="gramStart"/>
      <w:r>
        <w:rPr>
          <w:rFonts w:ascii="Arial" w:hAnsi="Arial"/>
        </w:rPr>
        <w:t>SLATINGTON  PA</w:t>
      </w:r>
      <w:proofErr w:type="gramEnd"/>
      <w:r>
        <w:rPr>
          <w:rFonts w:ascii="Arial" w:hAnsi="Arial"/>
        </w:rPr>
        <w:t xml:space="preserve">  18080</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A93ED4">
        <w:rPr>
          <w:rFonts w:ascii="Arial" w:hAnsi="Arial"/>
        </w:rPr>
        <w:t>G</w:t>
      </w:r>
      <w:r w:rsidR="006D3B1B">
        <w:rPr>
          <w:rFonts w:ascii="Arial" w:hAnsi="Arial"/>
        </w:rPr>
        <w:t xml:space="preserve"> </w:t>
      </w:r>
      <w:r w:rsidR="00A93ED4">
        <w:rPr>
          <w:rFonts w:ascii="Arial" w:hAnsi="Arial"/>
        </w:rPr>
        <w:t>W RESSLER TRUCKING</w:t>
      </w:r>
      <w:r w:rsidR="006D3B1B">
        <w:rPr>
          <w:rFonts w:ascii="Arial" w:hAnsi="Arial"/>
        </w:rPr>
        <w:t>,</w:t>
      </w:r>
      <w:r w:rsidR="00A93ED4">
        <w:rPr>
          <w:rFonts w:ascii="Arial" w:hAnsi="Arial"/>
        </w:rPr>
        <w:t xml:space="preserve"> LLC</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A93ED4">
        <w:rPr>
          <w:rFonts w:ascii="Arial" w:hAnsi="Arial"/>
        </w:rPr>
        <w:t>December 20,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A93ED4">
        <w:rPr>
          <w:rFonts w:ascii="Arial" w:hAnsi="Arial"/>
        </w:rPr>
        <w:t>4513 MOUNTAIN ROAD, SLATINGTON, PA  18080</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A93ED4">
        <w:rPr>
          <w:rFonts w:ascii="Arial" w:hAnsi="Arial"/>
        </w:rPr>
        <w:t>April 12, 2016</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A93ED4">
        <w:rPr>
          <w:rFonts w:ascii="Arial" w:hAnsi="Arial"/>
        </w:rPr>
        <w:t>A-</w:t>
      </w:r>
      <w:r w:rsidR="006D3B1B">
        <w:rPr>
          <w:rFonts w:ascii="Arial" w:hAnsi="Arial"/>
        </w:rPr>
        <w:t>8918691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A93ED4">
        <w:rPr>
          <w:rFonts w:ascii="Arial" w:hAnsi="Arial"/>
        </w:rPr>
        <w:t>Liability</w:t>
      </w:r>
      <w:r w:rsidR="00BD2DC2">
        <w:rPr>
          <w:rFonts w:ascii="Arial" w:hAnsi="Arial"/>
        </w:rPr>
        <w:t xml:space="preserve"> insurance </w:t>
      </w:r>
      <w:r w:rsidR="006D3B1B">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6D3B1B">
        <w:rPr>
          <w:rFonts w:ascii="Arial" w:hAnsi="Arial"/>
        </w:rPr>
        <w:t>A</w:t>
      </w:r>
      <w:r w:rsidR="006D3B1B">
        <w:rPr>
          <w:rFonts w:ascii="Arial" w:hAnsi="Arial"/>
        </w:rPr>
        <w:noBreakHyphen/>
        <w:t>8918691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E9119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8493778" wp14:editId="5BE1F2D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6D3B1B">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E9119C">
        <w:rPr>
          <w:rFonts w:ascii="Arial" w:hAnsi="Arial" w:cs="Arial"/>
        </w:rPr>
        <w:t>3/8/2017</w:t>
      </w:r>
      <w:bookmarkStart w:id="11" w:name="_GoBack"/>
      <w:bookmarkEnd w:id="11"/>
      <w:r>
        <w:rPr>
          <w:rFonts w:ascii="Arial" w:hAnsi="Arial" w:cs="Arial"/>
        </w:rPr>
        <w:tab/>
      </w:r>
      <w:r w:rsidR="00E9119C">
        <w:rPr>
          <w:noProof/>
        </w:rPr>
        <w:drawing>
          <wp:inline distT="0" distB="0" distL="0" distR="0" wp14:anchorId="68493778" wp14:editId="5BE1F2D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6D3B1B"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6D3B1B">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D3B1B">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D3B1B">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D3B1B">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D3B1B">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6D3B1B"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D3B1B">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D3B1B">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D3B1B">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D3B1B">
        <w:rPr>
          <w:rFonts w:ascii="Arial" w:hAnsi="Arial" w:cs="Arial"/>
          <w:sz w:val="18"/>
          <w:szCs w:val="18"/>
        </w:rPr>
        <w:tab/>
      </w:r>
      <w:r w:rsidRPr="00905337">
        <w:rPr>
          <w:rFonts w:ascii="Arial" w:hAnsi="Arial" w:cs="Arial"/>
          <w:sz w:val="18"/>
          <w:szCs w:val="18"/>
        </w:rPr>
        <w:t>Harrisburg, PA</w:t>
      </w:r>
      <w:proofErr w:type="gramStart"/>
      <w:r w:rsidRPr="00905337">
        <w:rPr>
          <w:rFonts w:ascii="Arial" w:hAnsi="Arial" w:cs="Arial"/>
          <w:sz w:val="18"/>
          <w:szCs w:val="18"/>
        </w:rPr>
        <w:t>  17105</w:t>
      </w:r>
      <w:proofErr w:type="gramEnd"/>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D3B1B">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D3B1B">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D3B1B">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D3B1B">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6D3B1B">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439" w:rsidRDefault="00887439">
      <w:pPr>
        <w:spacing w:line="20" w:lineRule="exact"/>
        <w:rPr>
          <w:sz w:val="24"/>
        </w:rPr>
      </w:pPr>
    </w:p>
  </w:endnote>
  <w:endnote w:type="continuationSeparator" w:id="0">
    <w:p w:rsidR="00887439" w:rsidRDefault="00887439">
      <w:r>
        <w:rPr>
          <w:sz w:val="24"/>
        </w:rPr>
        <w:t xml:space="preserve"> </w:t>
      </w:r>
    </w:p>
  </w:endnote>
  <w:endnote w:type="continuationNotice" w:id="1">
    <w:p w:rsidR="00887439" w:rsidRDefault="0088743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6D3B1B">
    <w:pPr>
      <w:tabs>
        <w:tab w:val="center" w:pos="5148"/>
      </w:tabs>
      <w:suppressAutoHyphens/>
      <w:jc w:val="center"/>
    </w:pPr>
    <w:r>
      <w:t xml:space="preserve">- </w:t>
    </w:r>
    <w:r>
      <w:fldChar w:fldCharType="begin"/>
    </w:r>
    <w:r>
      <w:instrText>page \* arabic</w:instrText>
    </w:r>
    <w:r>
      <w:fldChar w:fldCharType="separate"/>
    </w:r>
    <w:r w:rsidR="00E9119C">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439" w:rsidRDefault="00887439">
      <w:r>
        <w:rPr>
          <w:sz w:val="24"/>
        </w:rPr>
        <w:separator/>
      </w:r>
    </w:p>
  </w:footnote>
  <w:footnote w:type="continuationSeparator" w:id="0">
    <w:p w:rsidR="00887439" w:rsidRDefault="008874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C5E8E"/>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D3B1B"/>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87439"/>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93ED4"/>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60570"/>
    <w:rsid w:val="00DA2706"/>
    <w:rsid w:val="00DB467F"/>
    <w:rsid w:val="00DD3D8B"/>
    <w:rsid w:val="00E03AFB"/>
    <w:rsid w:val="00E10CB2"/>
    <w:rsid w:val="00E240E2"/>
    <w:rsid w:val="00E4265A"/>
    <w:rsid w:val="00E86433"/>
    <w:rsid w:val="00E9119C"/>
    <w:rsid w:val="00F05E4E"/>
    <w:rsid w:val="00F06104"/>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6D3B1B"/>
    <w:pPr>
      <w:tabs>
        <w:tab w:val="center" w:pos="4680"/>
        <w:tab w:val="right" w:pos="9360"/>
      </w:tabs>
    </w:pPr>
  </w:style>
  <w:style w:type="character" w:customStyle="1" w:styleId="HeaderChar">
    <w:name w:val="Header Char"/>
    <w:basedOn w:val="DefaultParagraphFont"/>
    <w:link w:val="Header"/>
    <w:rsid w:val="006D3B1B"/>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2016-12-30T11:35:00Z</dcterms:created>
  <dcterms:modified xsi:type="dcterms:W3CDTF">2017-03-08T15:10:00Z</dcterms:modified>
</cp:coreProperties>
</file>