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250"/>
        <w:gridCol w:w="1440"/>
        <w:gridCol w:w="540"/>
        <w:gridCol w:w="2880"/>
      </w:tblGrid>
      <w:tr w:rsidR="00DF7EBB" w:rsidRPr="00A05F32">
        <w:tc>
          <w:tcPr>
            <w:tcW w:w="2448" w:type="dxa"/>
          </w:tcPr>
          <w:p w:rsidR="00DF7EBB" w:rsidRPr="00A05F32" w:rsidRDefault="00DF7EB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DF7EBB" w:rsidRPr="00A05F32" w:rsidRDefault="00DF7EB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05F32">
              <w:rPr>
                <w:b/>
                <w:color w:val="000000"/>
                <w:sz w:val="26"/>
                <w:szCs w:val="26"/>
              </w:rPr>
              <w:t>PENNSYLVANIA</w:t>
            </w:r>
          </w:p>
          <w:p w:rsidR="00DF7EBB" w:rsidRPr="00A05F32" w:rsidRDefault="00DF7EB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05F32">
              <w:rPr>
                <w:b/>
                <w:color w:val="000000"/>
                <w:sz w:val="26"/>
                <w:szCs w:val="26"/>
              </w:rPr>
              <w:t>PUBLIC UTILITY COMMISSION</w:t>
            </w:r>
          </w:p>
          <w:p w:rsidR="00DF7EBB" w:rsidRPr="00A05F32" w:rsidRDefault="00DF7EBB">
            <w:pPr>
              <w:jc w:val="center"/>
              <w:rPr>
                <w:color w:val="000000"/>
                <w:sz w:val="26"/>
                <w:szCs w:val="26"/>
              </w:rPr>
            </w:pPr>
            <w:r w:rsidRPr="00A05F32">
              <w:rPr>
                <w:b/>
                <w:color w:val="000000"/>
                <w:sz w:val="26"/>
                <w:szCs w:val="26"/>
              </w:rPr>
              <w:t>Harrisburg</w:t>
            </w:r>
            <w:r w:rsidR="00091554" w:rsidRPr="00A05F32">
              <w:rPr>
                <w:b/>
                <w:color w:val="000000"/>
                <w:sz w:val="26"/>
                <w:szCs w:val="26"/>
              </w:rPr>
              <w:t>, PA</w:t>
            </w:r>
            <w:r w:rsidRPr="00A05F32">
              <w:rPr>
                <w:b/>
                <w:color w:val="000000"/>
                <w:sz w:val="26"/>
                <w:szCs w:val="26"/>
              </w:rPr>
              <w:t xml:space="preserve">  17105-3265</w:t>
            </w:r>
          </w:p>
        </w:tc>
        <w:tc>
          <w:tcPr>
            <w:tcW w:w="2880" w:type="dxa"/>
          </w:tcPr>
          <w:p w:rsidR="00DF7EBB" w:rsidRPr="00A05F32" w:rsidRDefault="00DF7EBB">
            <w:pPr>
              <w:rPr>
                <w:color w:val="000000"/>
                <w:sz w:val="26"/>
                <w:szCs w:val="26"/>
              </w:rPr>
            </w:pPr>
          </w:p>
        </w:tc>
      </w:tr>
      <w:tr w:rsidR="00C9585E" w:rsidRPr="00A05F32">
        <w:tc>
          <w:tcPr>
            <w:tcW w:w="2448" w:type="dxa"/>
          </w:tcPr>
          <w:p w:rsidR="00C9585E" w:rsidRPr="00A05F32" w:rsidRDefault="00C9585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C9585E" w:rsidRPr="00A05F32" w:rsidRDefault="00C9585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C9585E" w:rsidRPr="00A05F32" w:rsidRDefault="00C9585E">
            <w:pPr>
              <w:rPr>
                <w:color w:val="000000"/>
                <w:sz w:val="26"/>
                <w:szCs w:val="26"/>
              </w:rPr>
            </w:pPr>
          </w:p>
        </w:tc>
      </w:tr>
      <w:tr w:rsidR="00DF7EBB" w:rsidRPr="00A05F32">
        <w:tc>
          <w:tcPr>
            <w:tcW w:w="4698" w:type="dxa"/>
            <w:gridSpan w:val="2"/>
          </w:tcPr>
          <w:p w:rsidR="00DF7EBB" w:rsidRPr="00A05F32" w:rsidRDefault="00DF7EB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60" w:type="dxa"/>
            <w:gridSpan w:val="3"/>
          </w:tcPr>
          <w:p w:rsidR="00DF7EBB" w:rsidRPr="00A05F32" w:rsidRDefault="00DF7EBB" w:rsidP="00AB0E77">
            <w:pPr>
              <w:jc w:val="right"/>
              <w:rPr>
                <w:color w:val="000000"/>
                <w:sz w:val="26"/>
                <w:szCs w:val="26"/>
              </w:rPr>
            </w:pPr>
            <w:r w:rsidRPr="00A05F32">
              <w:rPr>
                <w:color w:val="000000"/>
                <w:sz w:val="26"/>
                <w:szCs w:val="26"/>
              </w:rPr>
              <w:t xml:space="preserve">Public Meeting held </w:t>
            </w:r>
            <w:r w:rsidR="00024498">
              <w:rPr>
                <w:color w:val="000000"/>
                <w:sz w:val="26"/>
                <w:szCs w:val="26"/>
              </w:rPr>
              <w:t>March 16</w:t>
            </w:r>
            <w:r w:rsidR="00AB0E77">
              <w:rPr>
                <w:color w:val="000000"/>
                <w:sz w:val="26"/>
                <w:szCs w:val="26"/>
              </w:rPr>
              <w:t>, 201</w:t>
            </w:r>
            <w:r w:rsidR="00024498">
              <w:rPr>
                <w:color w:val="000000"/>
                <w:sz w:val="26"/>
                <w:szCs w:val="26"/>
              </w:rPr>
              <w:t>7</w:t>
            </w:r>
          </w:p>
        </w:tc>
      </w:tr>
      <w:tr w:rsidR="00DF7EBB" w:rsidRPr="00A05F32">
        <w:tc>
          <w:tcPr>
            <w:tcW w:w="4698" w:type="dxa"/>
            <w:gridSpan w:val="2"/>
          </w:tcPr>
          <w:p w:rsidR="00DF7EBB" w:rsidRPr="00A05F32" w:rsidRDefault="00DF7EBB">
            <w:pPr>
              <w:rPr>
                <w:color w:val="000000"/>
                <w:sz w:val="26"/>
                <w:szCs w:val="26"/>
              </w:rPr>
            </w:pPr>
            <w:r w:rsidRPr="00A05F32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4860" w:type="dxa"/>
            <w:gridSpan w:val="3"/>
          </w:tcPr>
          <w:p w:rsidR="00DF7EBB" w:rsidRPr="00A05F32" w:rsidRDefault="00DF7EBB">
            <w:pPr>
              <w:rPr>
                <w:color w:val="000000"/>
                <w:sz w:val="26"/>
                <w:szCs w:val="26"/>
              </w:rPr>
            </w:pPr>
          </w:p>
        </w:tc>
      </w:tr>
      <w:tr w:rsidR="00C9585E" w:rsidRPr="00A05F32">
        <w:tc>
          <w:tcPr>
            <w:tcW w:w="4698" w:type="dxa"/>
            <w:gridSpan w:val="2"/>
          </w:tcPr>
          <w:p w:rsidR="00C9585E" w:rsidRPr="00A05F32" w:rsidRDefault="00C9585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60" w:type="dxa"/>
            <w:gridSpan w:val="3"/>
          </w:tcPr>
          <w:p w:rsidR="00C9585E" w:rsidRPr="00A05F32" w:rsidRDefault="00C9585E">
            <w:pPr>
              <w:rPr>
                <w:color w:val="000000"/>
                <w:sz w:val="26"/>
                <w:szCs w:val="26"/>
              </w:rPr>
            </w:pPr>
          </w:p>
        </w:tc>
      </w:tr>
      <w:tr w:rsidR="000B0EF6" w:rsidRPr="00A05F32" w:rsidTr="000B0EF6">
        <w:tc>
          <w:tcPr>
            <w:tcW w:w="9558" w:type="dxa"/>
            <w:gridSpan w:val="5"/>
          </w:tcPr>
          <w:p w:rsidR="000B0EF6" w:rsidRPr="005706F6" w:rsidRDefault="000B0EF6" w:rsidP="000B0EF6">
            <w:pPr>
              <w:rPr>
                <w:color w:val="auto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 w:rsidR="00930C28">
              <w:rPr>
                <w:color w:val="000000"/>
                <w:sz w:val="26"/>
                <w:szCs w:val="26"/>
              </w:rPr>
              <w:t xml:space="preserve">     </w:t>
            </w:r>
            <w:r w:rsidRPr="000B0EF6">
              <w:rPr>
                <w:color w:val="000000"/>
                <w:sz w:val="26"/>
                <w:szCs w:val="26"/>
              </w:rPr>
              <w:t>Gladys M. Brown, Chairman</w:t>
            </w:r>
            <w:r w:rsidR="005706F6">
              <w:rPr>
                <w:color w:val="000000"/>
                <w:sz w:val="26"/>
                <w:szCs w:val="26"/>
              </w:rPr>
              <w:t xml:space="preserve">, </w:t>
            </w:r>
            <w:r w:rsidR="005706F6" w:rsidRPr="005706F6">
              <w:rPr>
                <w:color w:val="auto"/>
              </w:rPr>
              <w:t>Statement, recusal</w:t>
            </w:r>
          </w:p>
          <w:p w:rsidR="000B0EF6" w:rsidRPr="000B0EF6" w:rsidRDefault="000B0EF6" w:rsidP="000B0E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 w:rsidR="00930C28">
              <w:rPr>
                <w:color w:val="000000"/>
                <w:sz w:val="26"/>
                <w:szCs w:val="26"/>
              </w:rPr>
              <w:t xml:space="preserve">     </w:t>
            </w:r>
            <w:r w:rsidRPr="000B0EF6">
              <w:rPr>
                <w:color w:val="000000"/>
                <w:sz w:val="26"/>
                <w:szCs w:val="26"/>
              </w:rPr>
              <w:t>Andrew G. Place, Vice Chairman</w:t>
            </w:r>
          </w:p>
          <w:p w:rsidR="000B0EF6" w:rsidRPr="000B0EF6" w:rsidRDefault="000B0EF6" w:rsidP="000B0E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930C28">
              <w:rPr>
                <w:color w:val="000000"/>
                <w:sz w:val="26"/>
                <w:szCs w:val="26"/>
              </w:rPr>
              <w:t xml:space="preserve">  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B0EF6">
              <w:rPr>
                <w:color w:val="000000"/>
                <w:sz w:val="26"/>
                <w:szCs w:val="26"/>
              </w:rPr>
              <w:t>John F. Coleman, Jr.</w:t>
            </w:r>
          </w:p>
          <w:p w:rsidR="000B0EF6" w:rsidRPr="000B0EF6" w:rsidRDefault="000B0EF6" w:rsidP="000B0E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930C28">
              <w:rPr>
                <w:color w:val="000000"/>
                <w:sz w:val="26"/>
                <w:szCs w:val="26"/>
              </w:rPr>
              <w:t xml:space="preserve">    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Pr="000B0EF6">
              <w:rPr>
                <w:color w:val="000000"/>
                <w:sz w:val="26"/>
                <w:szCs w:val="26"/>
              </w:rPr>
              <w:t xml:space="preserve">Robert F. Powelson </w:t>
            </w:r>
          </w:p>
          <w:p w:rsidR="000B0EF6" w:rsidRPr="00A05F32" w:rsidRDefault="000B0EF6" w:rsidP="00930C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930C28">
              <w:rPr>
                <w:color w:val="000000"/>
                <w:sz w:val="26"/>
                <w:szCs w:val="26"/>
              </w:rPr>
              <w:t xml:space="preserve">  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B0EF6">
              <w:rPr>
                <w:color w:val="000000"/>
                <w:sz w:val="26"/>
                <w:szCs w:val="26"/>
              </w:rPr>
              <w:t>David W. Sweet</w:t>
            </w:r>
          </w:p>
        </w:tc>
      </w:tr>
      <w:tr w:rsidR="000B0EF6" w:rsidRPr="00A05F32" w:rsidTr="000B0EF6">
        <w:tc>
          <w:tcPr>
            <w:tcW w:w="9558" w:type="dxa"/>
            <w:gridSpan w:val="5"/>
          </w:tcPr>
          <w:p w:rsidR="000B0EF6" w:rsidRPr="00A05F32" w:rsidRDefault="000B0EF6" w:rsidP="00C9585E">
            <w:pPr>
              <w:ind w:firstLine="540"/>
              <w:rPr>
                <w:color w:val="000000"/>
                <w:sz w:val="26"/>
                <w:szCs w:val="26"/>
              </w:rPr>
            </w:pPr>
          </w:p>
        </w:tc>
      </w:tr>
      <w:tr w:rsidR="00AB0E77" w:rsidRPr="00A05F32" w:rsidTr="00FB4F9F">
        <w:tc>
          <w:tcPr>
            <w:tcW w:w="6138" w:type="dxa"/>
            <w:gridSpan w:val="3"/>
          </w:tcPr>
          <w:p w:rsidR="00AB0E77" w:rsidRDefault="005C2E20" w:rsidP="007011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2017</w:t>
            </w:r>
            <w:r w:rsidRPr="004D3D48">
              <w:rPr>
                <w:color w:val="000000"/>
                <w:sz w:val="26"/>
                <w:szCs w:val="26"/>
              </w:rPr>
              <w:t xml:space="preserve"> </w:t>
            </w:r>
            <w:r w:rsidR="00AB0E77" w:rsidRPr="004D3D48">
              <w:rPr>
                <w:color w:val="000000"/>
                <w:sz w:val="26"/>
                <w:szCs w:val="26"/>
              </w:rPr>
              <w:t>Joint Price Stability In</w:t>
            </w:r>
            <w:r w:rsidR="00AB0E77">
              <w:rPr>
                <w:color w:val="000000"/>
                <w:sz w:val="26"/>
                <w:szCs w:val="26"/>
              </w:rPr>
              <w:t>dex/Service Price Index Report F</w:t>
            </w:r>
            <w:r w:rsidR="00AB0E77" w:rsidRPr="004D3D48">
              <w:rPr>
                <w:color w:val="000000"/>
                <w:sz w:val="26"/>
                <w:szCs w:val="26"/>
              </w:rPr>
              <w:t>iling of Frontier Communications of Breezewood, LLC; Canton, LLC; Lakewood, LLC; Oswayo River, LLC; and Pennsylvania, LLC</w:t>
            </w:r>
          </w:p>
          <w:p w:rsidR="00AB0E77" w:rsidRPr="0083457C" w:rsidRDefault="00AB0E77" w:rsidP="007011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gridSpan w:val="2"/>
          </w:tcPr>
          <w:p w:rsidR="00AB0E77" w:rsidRPr="00D62502" w:rsidRDefault="00024498" w:rsidP="00AB0E77">
            <w:pPr>
              <w:jc w:val="right"/>
              <w:rPr>
                <w:color w:val="000000"/>
                <w:sz w:val="26"/>
                <w:szCs w:val="26"/>
                <w:highlight w:val="yellow"/>
              </w:rPr>
            </w:pPr>
            <w:r w:rsidRPr="00024498">
              <w:rPr>
                <w:color w:val="000000"/>
                <w:sz w:val="26"/>
                <w:szCs w:val="26"/>
              </w:rPr>
              <w:t>R-2017-2584553</w:t>
            </w:r>
          </w:p>
        </w:tc>
      </w:tr>
      <w:tr w:rsidR="00AB0E77" w:rsidRPr="007539F1" w:rsidTr="00FB4F9F">
        <w:trPr>
          <w:trHeight w:val="1917"/>
        </w:trPr>
        <w:tc>
          <w:tcPr>
            <w:tcW w:w="6138" w:type="dxa"/>
            <w:gridSpan w:val="3"/>
          </w:tcPr>
          <w:p w:rsidR="00AB0E77" w:rsidRDefault="00AB0E77" w:rsidP="007011EF">
            <w:pPr>
              <w:rPr>
                <w:color w:val="000000"/>
                <w:sz w:val="26"/>
                <w:szCs w:val="26"/>
              </w:rPr>
            </w:pPr>
            <w:r w:rsidRPr="00A05F32">
              <w:rPr>
                <w:color w:val="000000"/>
                <w:sz w:val="26"/>
                <w:szCs w:val="26"/>
              </w:rPr>
              <w:t>Petition for Streamlined Form of Regulation and Network Modernization Plan of</w:t>
            </w:r>
            <w:r>
              <w:rPr>
                <w:color w:val="000000"/>
                <w:sz w:val="26"/>
                <w:szCs w:val="26"/>
              </w:rPr>
              <w:t xml:space="preserve"> Frontier</w:t>
            </w:r>
            <w:r w:rsidRPr="00A05F3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B0E77" w:rsidRPr="00FB4F9F" w:rsidRDefault="00AB0E77" w:rsidP="00FB4F9F">
            <w:pPr>
              <w:rPr>
                <w:color w:val="000000"/>
                <w:sz w:val="26"/>
                <w:szCs w:val="26"/>
              </w:rPr>
            </w:pPr>
            <w:r w:rsidRPr="004D3D48">
              <w:rPr>
                <w:color w:val="000000"/>
                <w:sz w:val="26"/>
                <w:szCs w:val="26"/>
              </w:rPr>
              <w:t>Communications of Breezewood, LLC; Canton, LLC; Lakewood, LLC; Oswayo River, LLC; and Pennsylvania, LLC</w:t>
            </w:r>
          </w:p>
        </w:tc>
        <w:tc>
          <w:tcPr>
            <w:tcW w:w="3420" w:type="dxa"/>
            <w:gridSpan w:val="2"/>
          </w:tcPr>
          <w:p w:rsidR="00AB0E77" w:rsidRPr="004D3D48" w:rsidRDefault="00AB0E77" w:rsidP="007011E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P-00951005F1000</w:t>
            </w:r>
          </w:p>
        </w:tc>
      </w:tr>
    </w:tbl>
    <w:p w:rsidR="00DF7EBB" w:rsidRPr="00A05F32" w:rsidRDefault="00DF7EBB" w:rsidP="006C3DD2">
      <w:pPr>
        <w:spacing w:after="240" w:line="360" w:lineRule="auto"/>
        <w:jc w:val="center"/>
        <w:rPr>
          <w:b/>
          <w:color w:val="000000"/>
          <w:sz w:val="26"/>
          <w:szCs w:val="26"/>
        </w:rPr>
      </w:pPr>
      <w:r w:rsidRPr="00A05F32">
        <w:rPr>
          <w:b/>
          <w:color w:val="000000"/>
          <w:sz w:val="26"/>
          <w:szCs w:val="26"/>
        </w:rPr>
        <w:t>ORDER</w:t>
      </w:r>
    </w:p>
    <w:p w:rsidR="0068247C" w:rsidRDefault="0068247C" w:rsidP="006C3DD2">
      <w:pPr>
        <w:spacing w:after="240" w:line="360" w:lineRule="auto"/>
        <w:rPr>
          <w:b/>
          <w:color w:val="000000"/>
          <w:sz w:val="26"/>
          <w:szCs w:val="26"/>
        </w:rPr>
      </w:pPr>
    </w:p>
    <w:p w:rsidR="00DF7EBB" w:rsidRPr="00A05F32" w:rsidRDefault="00DF7EBB" w:rsidP="006C3DD2">
      <w:pPr>
        <w:spacing w:after="240" w:line="360" w:lineRule="auto"/>
        <w:rPr>
          <w:color w:val="000000"/>
          <w:sz w:val="26"/>
          <w:szCs w:val="26"/>
        </w:rPr>
      </w:pPr>
      <w:r w:rsidRPr="00A05F32">
        <w:rPr>
          <w:b/>
          <w:color w:val="000000"/>
          <w:sz w:val="26"/>
          <w:szCs w:val="26"/>
        </w:rPr>
        <w:t>BY THE COMMISSION:</w:t>
      </w:r>
    </w:p>
    <w:p w:rsidR="001D0FBE" w:rsidRPr="00014F2B" w:rsidRDefault="003228D7" w:rsidP="006C3DD2">
      <w:pPr>
        <w:spacing w:after="240" w:line="360" w:lineRule="auto"/>
        <w:rPr>
          <w:b/>
          <w:color w:val="000000"/>
          <w:sz w:val="26"/>
          <w:szCs w:val="26"/>
        </w:rPr>
      </w:pPr>
      <w:r w:rsidRPr="00014F2B">
        <w:rPr>
          <w:b/>
          <w:color w:val="000000"/>
          <w:sz w:val="26"/>
          <w:szCs w:val="26"/>
        </w:rPr>
        <w:t>I.</w:t>
      </w:r>
      <w:r w:rsidR="001D0FBE" w:rsidRPr="00014F2B">
        <w:rPr>
          <w:b/>
          <w:color w:val="000000"/>
          <w:sz w:val="26"/>
          <w:szCs w:val="26"/>
        </w:rPr>
        <w:tab/>
        <w:t>BACKGROUND</w:t>
      </w:r>
    </w:p>
    <w:p w:rsidR="00EA4F46" w:rsidRDefault="001D0FBE" w:rsidP="006C3DD2">
      <w:pPr>
        <w:spacing w:after="240"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ab/>
      </w:r>
      <w:r w:rsidR="00A563F6">
        <w:rPr>
          <w:color w:val="000000"/>
          <w:sz w:val="26"/>
          <w:szCs w:val="26"/>
        </w:rPr>
        <w:t xml:space="preserve">Before us for disposition </w:t>
      </w:r>
      <w:r w:rsidR="000F431D">
        <w:rPr>
          <w:color w:val="000000"/>
          <w:sz w:val="26"/>
          <w:szCs w:val="26"/>
        </w:rPr>
        <w:t>is</w:t>
      </w:r>
      <w:r w:rsidR="00EA4F46" w:rsidRPr="00A05F32">
        <w:rPr>
          <w:color w:val="000000"/>
          <w:sz w:val="26"/>
          <w:szCs w:val="26"/>
        </w:rPr>
        <w:t xml:space="preserve"> the</w:t>
      </w:r>
      <w:r w:rsidR="008968D2">
        <w:rPr>
          <w:color w:val="000000"/>
          <w:sz w:val="26"/>
          <w:szCs w:val="26"/>
        </w:rPr>
        <w:t xml:space="preserve"> </w:t>
      </w:r>
      <w:r w:rsidR="005C2E20">
        <w:rPr>
          <w:color w:val="000000"/>
          <w:sz w:val="26"/>
          <w:szCs w:val="26"/>
        </w:rPr>
        <w:t>combined</w:t>
      </w:r>
      <w:r w:rsidR="002962A3">
        <w:rPr>
          <w:color w:val="000000"/>
          <w:sz w:val="26"/>
          <w:szCs w:val="26"/>
        </w:rPr>
        <w:t xml:space="preserve"> </w:t>
      </w:r>
      <w:r w:rsidR="00024498">
        <w:rPr>
          <w:color w:val="000000"/>
          <w:sz w:val="26"/>
          <w:szCs w:val="26"/>
        </w:rPr>
        <w:t>2017</w:t>
      </w:r>
      <w:r w:rsidR="00767395" w:rsidRPr="00A05F32">
        <w:rPr>
          <w:color w:val="000000"/>
          <w:sz w:val="26"/>
          <w:szCs w:val="26"/>
        </w:rPr>
        <w:t xml:space="preserve"> Price</w:t>
      </w:r>
      <w:r w:rsidR="00EA4F46" w:rsidRPr="00A05F32">
        <w:rPr>
          <w:color w:val="000000"/>
          <w:sz w:val="26"/>
          <w:szCs w:val="26"/>
        </w:rPr>
        <w:t xml:space="preserve"> Stability Index (PSI) and Service Price Index (SPI</w:t>
      </w:r>
      <w:r w:rsidR="000F431D">
        <w:rPr>
          <w:color w:val="000000"/>
          <w:sz w:val="26"/>
          <w:szCs w:val="26"/>
        </w:rPr>
        <w:t>) Report</w:t>
      </w:r>
      <w:r w:rsidR="00EA4F46" w:rsidRPr="00A05F32">
        <w:rPr>
          <w:color w:val="000000"/>
          <w:sz w:val="26"/>
          <w:szCs w:val="26"/>
        </w:rPr>
        <w:t xml:space="preserve"> for Frontier Communications of Breezewood, LLC; </w:t>
      </w:r>
      <w:r w:rsidR="0045526C">
        <w:rPr>
          <w:color w:val="000000"/>
          <w:sz w:val="26"/>
          <w:szCs w:val="26"/>
        </w:rPr>
        <w:t xml:space="preserve">Frontier Communications of </w:t>
      </w:r>
      <w:r w:rsidR="00EA4F46" w:rsidRPr="00A05F32">
        <w:rPr>
          <w:color w:val="000000"/>
          <w:sz w:val="26"/>
          <w:szCs w:val="26"/>
        </w:rPr>
        <w:t xml:space="preserve">Canton, LLC; </w:t>
      </w:r>
      <w:r w:rsidR="0045526C">
        <w:rPr>
          <w:color w:val="000000"/>
          <w:sz w:val="26"/>
          <w:szCs w:val="26"/>
        </w:rPr>
        <w:t xml:space="preserve">Frontier Communications of </w:t>
      </w:r>
      <w:r w:rsidR="00EA4F46" w:rsidRPr="00A05F32">
        <w:rPr>
          <w:color w:val="000000"/>
          <w:sz w:val="26"/>
          <w:szCs w:val="26"/>
        </w:rPr>
        <w:t xml:space="preserve">Lakewood, LLC; </w:t>
      </w:r>
      <w:r w:rsidR="0045526C">
        <w:rPr>
          <w:color w:val="000000"/>
          <w:sz w:val="26"/>
          <w:szCs w:val="26"/>
        </w:rPr>
        <w:t xml:space="preserve">Frontier Communications of </w:t>
      </w:r>
      <w:r w:rsidR="00EA4F46" w:rsidRPr="00A05F32">
        <w:rPr>
          <w:color w:val="000000"/>
          <w:sz w:val="26"/>
          <w:szCs w:val="26"/>
        </w:rPr>
        <w:t xml:space="preserve">Oswayo River, LLC; and </w:t>
      </w:r>
      <w:bookmarkStart w:id="0" w:name="OLE_LINK1"/>
      <w:bookmarkStart w:id="1" w:name="OLE_LINK2"/>
      <w:r w:rsidR="0045526C">
        <w:rPr>
          <w:color w:val="000000"/>
          <w:sz w:val="26"/>
          <w:szCs w:val="26"/>
        </w:rPr>
        <w:t xml:space="preserve">Frontier Communications of </w:t>
      </w:r>
      <w:r w:rsidR="00EA4F46" w:rsidRPr="00A05F32">
        <w:rPr>
          <w:color w:val="000000"/>
          <w:sz w:val="26"/>
          <w:szCs w:val="26"/>
        </w:rPr>
        <w:t>Pennsylvania</w:t>
      </w:r>
      <w:bookmarkEnd w:id="0"/>
      <w:bookmarkEnd w:id="1"/>
      <w:r w:rsidR="00217678">
        <w:rPr>
          <w:color w:val="000000"/>
          <w:sz w:val="26"/>
          <w:szCs w:val="26"/>
        </w:rPr>
        <w:t>, LLC (</w:t>
      </w:r>
      <w:r w:rsidR="00EA4F46" w:rsidRPr="00A05F32">
        <w:rPr>
          <w:color w:val="000000"/>
          <w:sz w:val="26"/>
          <w:szCs w:val="26"/>
        </w:rPr>
        <w:t xml:space="preserve">collectively </w:t>
      </w:r>
      <w:r w:rsidR="005C2E20">
        <w:rPr>
          <w:color w:val="000000"/>
          <w:sz w:val="26"/>
          <w:szCs w:val="26"/>
        </w:rPr>
        <w:t>“</w:t>
      </w:r>
      <w:r w:rsidR="00EA4F46" w:rsidRPr="00A05F32">
        <w:rPr>
          <w:color w:val="000000"/>
          <w:sz w:val="26"/>
          <w:szCs w:val="26"/>
        </w:rPr>
        <w:t>Frontier</w:t>
      </w:r>
      <w:r w:rsidR="005C2E20">
        <w:rPr>
          <w:color w:val="000000"/>
          <w:sz w:val="26"/>
          <w:szCs w:val="26"/>
        </w:rPr>
        <w:t>”</w:t>
      </w:r>
      <w:r w:rsidR="00EA4F46" w:rsidRPr="00A05F32">
        <w:rPr>
          <w:color w:val="000000"/>
          <w:sz w:val="26"/>
          <w:szCs w:val="26"/>
        </w:rPr>
        <w:t xml:space="preserve"> or</w:t>
      </w:r>
      <w:r w:rsidR="00D41582" w:rsidRPr="00A05F32">
        <w:rPr>
          <w:color w:val="000000"/>
          <w:sz w:val="26"/>
          <w:szCs w:val="26"/>
        </w:rPr>
        <w:t xml:space="preserve"> </w:t>
      </w:r>
      <w:r w:rsidR="005C2E20">
        <w:rPr>
          <w:color w:val="000000"/>
          <w:sz w:val="26"/>
          <w:szCs w:val="26"/>
        </w:rPr>
        <w:t>“</w:t>
      </w:r>
      <w:r w:rsidR="00D41582" w:rsidRPr="00A05F32">
        <w:rPr>
          <w:color w:val="000000"/>
          <w:sz w:val="26"/>
          <w:szCs w:val="26"/>
        </w:rPr>
        <w:t>the</w:t>
      </w:r>
      <w:r w:rsidR="00EA4F46" w:rsidRPr="00A05F32">
        <w:rPr>
          <w:color w:val="000000"/>
          <w:sz w:val="26"/>
          <w:szCs w:val="26"/>
        </w:rPr>
        <w:t xml:space="preserve"> Companies</w:t>
      </w:r>
      <w:r w:rsidR="005C2E20">
        <w:rPr>
          <w:color w:val="000000"/>
          <w:sz w:val="26"/>
          <w:szCs w:val="26"/>
        </w:rPr>
        <w:t>”</w:t>
      </w:r>
      <w:r w:rsidR="00EA4F46" w:rsidRPr="00A05F32">
        <w:rPr>
          <w:color w:val="000000"/>
          <w:sz w:val="26"/>
          <w:szCs w:val="26"/>
        </w:rPr>
        <w:t>).  The Companies’</w:t>
      </w:r>
      <w:r w:rsidR="00217678">
        <w:rPr>
          <w:color w:val="000000"/>
          <w:sz w:val="26"/>
          <w:szCs w:val="26"/>
        </w:rPr>
        <w:t xml:space="preserve"> combined</w:t>
      </w:r>
      <w:r w:rsidR="00EA4F46" w:rsidRPr="00A05F32">
        <w:rPr>
          <w:color w:val="000000"/>
          <w:sz w:val="26"/>
          <w:szCs w:val="26"/>
        </w:rPr>
        <w:t xml:space="preserve"> annual PSI/SPI</w:t>
      </w:r>
      <w:r w:rsidR="000F431D">
        <w:rPr>
          <w:color w:val="000000"/>
          <w:sz w:val="26"/>
          <w:szCs w:val="26"/>
        </w:rPr>
        <w:t xml:space="preserve"> Report</w:t>
      </w:r>
      <w:r w:rsidR="00217678">
        <w:rPr>
          <w:color w:val="000000"/>
          <w:sz w:val="26"/>
          <w:szCs w:val="26"/>
        </w:rPr>
        <w:t xml:space="preserve"> was</w:t>
      </w:r>
      <w:r w:rsidR="00EA4F46" w:rsidRPr="00A05F32">
        <w:rPr>
          <w:color w:val="000000"/>
          <w:sz w:val="26"/>
          <w:szCs w:val="26"/>
        </w:rPr>
        <w:t xml:space="preserve"> made under the provisions of Act 183 of 2004, </w:t>
      </w:r>
      <w:r w:rsidR="003F620D">
        <w:rPr>
          <w:color w:val="000000"/>
          <w:sz w:val="26"/>
          <w:szCs w:val="26"/>
        </w:rPr>
        <w:t xml:space="preserve"> </w:t>
      </w:r>
      <w:r w:rsidR="00EA4F46" w:rsidRPr="00A05F32">
        <w:rPr>
          <w:color w:val="000000"/>
          <w:sz w:val="26"/>
          <w:szCs w:val="26"/>
        </w:rPr>
        <w:lastRenderedPageBreak/>
        <w:t>P.L. 1</w:t>
      </w:r>
      <w:r w:rsidR="003F620D">
        <w:rPr>
          <w:color w:val="000000"/>
          <w:sz w:val="26"/>
          <w:szCs w:val="26"/>
        </w:rPr>
        <w:t xml:space="preserve">398 </w:t>
      </w:r>
      <w:r w:rsidR="00842778">
        <w:rPr>
          <w:color w:val="000000"/>
          <w:sz w:val="26"/>
          <w:szCs w:val="26"/>
        </w:rPr>
        <w:t>(66 Pa. C.S. §§ </w:t>
      </w:r>
      <w:r w:rsidR="00B05832">
        <w:rPr>
          <w:color w:val="000000"/>
          <w:sz w:val="26"/>
          <w:szCs w:val="26"/>
        </w:rPr>
        <w:t>3011-3019)</w:t>
      </w:r>
      <w:r w:rsidR="00D27DBF">
        <w:rPr>
          <w:color w:val="000000"/>
          <w:sz w:val="26"/>
          <w:szCs w:val="26"/>
        </w:rPr>
        <w:t xml:space="preserve"> (Chapter 30</w:t>
      </w:r>
      <w:r w:rsidR="00127AF1">
        <w:rPr>
          <w:color w:val="000000"/>
          <w:sz w:val="26"/>
          <w:szCs w:val="26"/>
        </w:rPr>
        <w:t>)</w:t>
      </w:r>
      <w:r w:rsidR="00B05832">
        <w:rPr>
          <w:color w:val="000000"/>
          <w:sz w:val="26"/>
          <w:szCs w:val="26"/>
        </w:rPr>
        <w:t xml:space="preserve"> </w:t>
      </w:r>
      <w:r w:rsidR="00EA4F46" w:rsidRPr="00A05F32">
        <w:rPr>
          <w:color w:val="000000"/>
          <w:sz w:val="26"/>
          <w:szCs w:val="26"/>
        </w:rPr>
        <w:t xml:space="preserve">and pursuant to the Companies’ </w:t>
      </w:r>
      <w:r w:rsidR="00127AF1">
        <w:rPr>
          <w:color w:val="000000"/>
          <w:sz w:val="26"/>
          <w:szCs w:val="26"/>
        </w:rPr>
        <w:t>Amended Joint</w:t>
      </w:r>
      <w:r w:rsidR="00EA4F46" w:rsidRPr="00A05F32">
        <w:rPr>
          <w:color w:val="000000"/>
          <w:sz w:val="26"/>
          <w:szCs w:val="26"/>
        </w:rPr>
        <w:t xml:space="preserve"> Streamlined Regulation and Network Modernization Plan (Chapter 30 Plan) that this Commission approved at Docket No. P</w:t>
      </w:r>
      <w:r w:rsidR="00EA4F46" w:rsidRPr="00A05F32">
        <w:rPr>
          <w:color w:val="000000"/>
          <w:sz w:val="26"/>
          <w:szCs w:val="26"/>
        </w:rPr>
        <w:noBreakHyphen/>
        <w:t>00951005F1000.</w:t>
      </w:r>
      <w:r w:rsidR="00EA4F46" w:rsidRPr="00A05F32">
        <w:rPr>
          <w:rStyle w:val="FootnoteReference"/>
          <w:color w:val="000000"/>
          <w:sz w:val="26"/>
          <w:szCs w:val="26"/>
        </w:rPr>
        <w:footnoteReference w:id="1"/>
      </w:r>
    </w:p>
    <w:p w:rsidR="005C2E20" w:rsidRDefault="005C2E20" w:rsidP="006C3DD2">
      <w:pPr>
        <w:spacing w:after="240"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ab/>
        <w:t>The Companies possess t</w:t>
      </w:r>
      <w:r>
        <w:rPr>
          <w:color w:val="000000"/>
          <w:sz w:val="26"/>
          <w:szCs w:val="26"/>
        </w:rPr>
        <w:t xml:space="preserve">he statutory right under 66 Pa. </w:t>
      </w:r>
      <w:r w:rsidRPr="00A05F32">
        <w:rPr>
          <w:color w:val="000000"/>
          <w:sz w:val="26"/>
          <w:szCs w:val="26"/>
        </w:rPr>
        <w:t>C.S. §</w:t>
      </w:r>
      <w:r>
        <w:rPr>
          <w:color w:val="000000"/>
          <w:sz w:val="26"/>
          <w:szCs w:val="26"/>
        </w:rPr>
        <w:t> </w:t>
      </w:r>
      <w:r w:rsidRPr="00A05F32">
        <w:rPr>
          <w:color w:val="000000"/>
          <w:sz w:val="26"/>
          <w:szCs w:val="26"/>
        </w:rPr>
        <w:t xml:space="preserve">3015(a)(1)(iii) and their approved Chapter 30 Plan to seek and obtain an automatic revenue and rate increase as contemplated by </w:t>
      </w:r>
      <w:r>
        <w:rPr>
          <w:color w:val="000000"/>
          <w:sz w:val="26"/>
          <w:szCs w:val="26"/>
        </w:rPr>
        <w:t>Chapter 30</w:t>
      </w:r>
      <w:r w:rsidRPr="00A05F32">
        <w:rPr>
          <w:color w:val="000000"/>
          <w:sz w:val="26"/>
          <w:szCs w:val="26"/>
        </w:rPr>
        <w:t xml:space="preserve">.  Under the Companies’ Price Stability Plan (PSP), the PSI calculates the allowable change in </w:t>
      </w:r>
      <w:r>
        <w:rPr>
          <w:color w:val="000000"/>
          <w:sz w:val="26"/>
          <w:szCs w:val="26"/>
        </w:rPr>
        <w:t>non</w:t>
      </w:r>
      <w:r w:rsidRPr="00A05F32">
        <w:rPr>
          <w:color w:val="000000"/>
          <w:sz w:val="26"/>
          <w:szCs w:val="26"/>
        </w:rPr>
        <w:t>competitive rates based, in pa</w:t>
      </w:r>
      <w:r>
        <w:rPr>
          <w:color w:val="000000"/>
          <w:sz w:val="26"/>
          <w:szCs w:val="26"/>
        </w:rPr>
        <w:t xml:space="preserve">rt, on the annual change in </w:t>
      </w:r>
      <w:r w:rsidRPr="00A05F32">
        <w:rPr>
          <w:color w:val="000000"/>
          <w:sz w:val="26"/>
          <w:szCs w:val="26"/>
        </w:rPr>
        <w:t xml:space="preserve">the Gross Domestic Product Price Index (GDP-PI).  The SPI tracks the prior </w:t>
      </w:r>
      <w:r>
        <w:rPr>
          <w:color w:val="000000"/>
          <w:sz w:val="26"/>
          <w:szCs w:val="26"/>
        </w:rPr>
        <w:t xml:space="preserve">rate </w:t>
      </w:r>
      <w:r w:rsidRPr="00A05F32">
        <w:rPr>
          <w:color w:val="000000"/>
          <w:sz w:val="26"/>
          <w:szCs w:val="26"/>
        </w:rPr>
        <w:t>changes for noncompetitive services related to the PSI.  The PSP also addresses revenue neutral rate rebalancing/restructuring.  The PSP set forth in the Companies’ Chapter 30 Plan is a complete substitution of the rate base/rate of return regulation.  Further, the Companies’ Chapter 30 Plan acknowledges that nothing in their Plan shall be construed to limit the requirement under 66 Pa. C.S. §</w:t>
      </w:r>
      <w:r>
        <w:rPr>
          <w:color w:val="000000"/>
          <w:sz w:val="26"/>
          <w:szCs w:val="26"/>
        </w:rPr>
        <w:t xml:space="preserve"> </w:t>
      </w:r>
      <w:r w:rsidRPr="00A05F32">
        <w:rPr>
          <w:color w:val="000000"/>
          <w:sz w:val="26"/>
          <w:szCs w:val="26"/>
        </w:rPr>
        <w:t>1301 that rates shall be just and reasonable.</w:t>
      </w:r>
    </w:p>
    <w:p w:rsidR="00960C27" w:rsidRPr="00A05F32" w:rsidRDefault="005C2E20" w:rsidP="006C3DD2">
      <w:pPr>
        <w:spacing w:after="24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960C27">
        <w:rPr>
          <w:color w:val="000000"/>
          <w:sz w:val="26"/>
          <w:szCs w:val="26"/>
        </w:rPr>
        <w:t>The Companies</w:t>
      </w:r>
      <w:r w:rsidR="00960C27">
        <w:rPr>
          <w:rStyle w:val="FootnoteReference"/>
          <w:color w:val="000000"/>
          <w:sz w:val="26"/>
          <w:szCs w:val="26"/>
        </w:rPr>
        <w:footnoteReference w:id="2"/>
      </w:r>
      <w:r w:rsidR="00960C27">
        <w:rPr>
          <w:color w:val="000000"/>
          <w:sz w:val="26"/>
          <w:szCs w:val="26"/>
        </w:rPr>
        <w:t xml:space="preserve"> are local exchange carriers operating in various portions of the Commonwealth and serve primarily rural territory and a rural customer base.  The Companies serve customers in Bedford, Fulton, Bradford, Lycoming, Tioga, Schuylkill, McKean, Potter, Lancaster and Berks Counties.  The Companies have operated under Chapter 30</w:t>
      </w:r>
      <w:r w:rsidR="00960C27">
        <w:rPr>
          <w:rStyle w:val="FootnoteReference"/>
          <w:color w:val="000000"/>
          <w:sz w:val="26"/>
          <w:szCs w:val="26"/>
        </w:rPr>
        <w:footnoteReference w:id="3"/>
      </w:r>
      <w:r w:rsidR="00960C27">
        <w:rPr>
          <w:color w:val="000000"/>
          <w:sz w:val="26"/>
          <w:szCs w:val="26"/>
        </w:rPr>
        <w:t xml:space="preserve"> since 1997 and achieved 100% broadband deployment in 2008.</w:t>
      </w:r>
    </w:p>
    <w:p w:rsidR="00FB12E2" w:rsidRDefault="008B0596" w:rsidP="00FB12E2">
      <w:pPr>
        <w:spacing w:after="240" w:line="360" w:lineRule="auto"/>
        <w:rPr>
          <w:b/>
          <w:color w:val="000000"/>
          <w:sz w:val="26"/>
          <w:szCs w:val="26"/>
        </w:rPr>
      </w:pPr>
      <w:r w:rsidRPr="00014F2B">
        <w:rPr>
          <w:b/>
          <w:color w:val="000000"/>
          <w:sz w:val="26"/>
          <w:szCs w:val="26"/>
        </w:rPr>
        <w:t>II.</w:t>
      </w:r>
      <w:r w:rsidRPr="00014F2B">
        <w:rPr>
          <w:b/>
          <w:color w:val="000000"/>
          <w:sz w:val="26"/>
          <w:szCs w:val="26"/>
        </w:rPr>
        <w:tab/>
      </w:r>
      <w:r w:rsidR="0083477E" w:rsidRPr="00014F2B">
        <w:rPr>
          <w:b/>
          <w:color w:val="000000"/>
          <w:sz w:val="26"/>
          <w:szCs w:val="26"/>
        </w:rPr>
        <w:t>COMPANIES’</w:t>
      </w:r>
      <w:r w:rsidR="003228D7" w:rsidRPr="00014F2B">
        <w:rPr>
          <w:b/>
          <w:color w:val="000000"/>
          <w:sz w:val="26"/>
          <w:szCs w:val="26"/>
        </w:rPr>
        <w:t xml:space="preserve"> FILING</w:t>
      </w:r>
    </w:p>
    <w:p w:rsidR="00FB12E2" w:rsidRDefault="00FB12E2" w:rsidP="00FB12E2">
      <w:pPr>
        <w:spacing w:after="24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B4122C">
        <w:rPr>
          <w:color w:val="000000"/>
          <w:sz w:val="26"/>
          <w:szCs w:val="26"/>
        </w:rPr>
        <w:t>Pursuant to the provisions of the Companies’ Chapter 30 Plan, Advance Notice was issued January 1</w:t>
      </w:r>
      <w:r w:rsidR="00024498">
        <w:rPr>
          <w:color w:val="000000"/>
          <w:sz w:val="26"/>
          <w:szCs w:val="26"/>
        </w:rPr>
        <w:t>3, 2017</w:t>
      </w:r>
      <w:r w:rsidR="00B4122C">
        <w:rPr>
          <w:color w:val="000000"/>
          <w:sz w:val="26"/>
          <w:szCs w:val="26"/>
        </w:rPr>
        <w:t xml:space="preserve">, informing the Commission of the forthcoming filing.  </w:t>
      </w:r>
      <w:r w:rsidR="006A572B" w:rsidRPr="00A05F32">
        <w:rPr>
          <w:color w:val="000000"/>
          <w:sz w:val="26"/>
          <w:szCs w:val="26"/>
        </w:rPr>
        <w:t xml:space="preserve">On </w:t>
      </w:r>
      <w:r w:rsidR="00DC2FA7">
        <w:rPr>
          <w:color w:val="000000"/>
          <w:sz w:val="26"/>
          <w:szCs w:val="26"/>
        </w:rPr>
        <w:lastRenderedPageBreak/>
        <w:t>February 1,</w:t>
      </w:r>
      <w:r w:rsidR="00024498">
        <w:rPr>
          <w:color w:val="000000"/>
          <w:sz w:val="26"/>
          <w:szCs w:val="26"/>
        </w:rPr>
        <w:t xml:space="preserve"> 2017</w:t>
      </w:r>
      <w:r w:rsidR="00EF74DA" w:rsidRPr="00A05F32">
        <w:rPr>
          <w:color w:val="000000"/>
          <w:sz w:val="26"/>
          <w:szCs w:val="26"/>
        </w:rPr>
        <w:t>,</w:t>
      </w:r>
      <w:r w:rsidR="006A572B" w:rsidRPr="00A05F32">
        <w:rPr>
          <w:color w:val="000000"/>
          <w:sz w:val="26"/>
          <w:szCs w:val="26"/>
        </w:rPr>
        <w:t xml:space="preserve"> the Compan</w:t>
      </w:r>
      <w:r w:rsidR="0083477E" w:rsidRPr="00A05F32">
        <w:rPr>
          <w:color w:val="000000"/>
          <w:sz w:val="26"/>
          <w:szCs w:val="26"/>
        </w:rPr>
        <w:t>ies</w:t>
      </w:r>
      <w:r w:rsidR="006A572B" w:rsidRPr="00A05F32">
        <w:rPr>
          <w:color w:val="000000"/>
          <w:sz w:val="26"/>
          <w:szCs w:val="26"/>
        </w:rPr>
        <w:t xml:space="preserve"> filed </w:t>
      </w:r>
      <w:r w:rsidR="0083477E" w:rsidRPr="00A05F32">
        <w:rPr>
          <w:color w:val="000000"/>
          <w:sz w:val="26"/>
          <w:szCs w:val="26"/>
        </w:rPr>
        <w:t>their</w:t>
      </w:r>
      <w:r w:rsidR="006A572B" w:rsidRPr="00A05F32">
        <w:rPr>
          <w:color w:val="000000"/>
          <w:sz w:val="26"/>
          <w:szCs w:val="26"/>
        </w:rPr>
        <w:t xml:space="preserve"> annual </w:t>
      </w:r>
      <w:r w:rsidR="002E7B80" w:rsidRPr="00A05F32">
        <w:rPr>
          <w:color w:val="000000"/>
          <w:sz w:val="26"/>
          <w:szCs w:val="26"/>
        </w:rPr>
        <w:t xml:space="preserve">combined </w:t>
      </w:r>
      <w:r w:rsidR="006A572B" w:rsidRPr="00A05F32">
        <w:rPr>
          <w:color w:val="000000"/>
          <w:sz w:val="26"/>
          <w:szCs w:val="26"/>
        </w:rPr>
        <w:t>P</w:t>
      </w:r>
      <w:r w:rsidR="007E1113" w:rsidRPr="00A05F32">
        <w:rPr>
          <w:color w:val="000000"/>
          <w:sz w:val="26"/>
          <w:szCs w:val="26"/>
        </w:rPr>
        <w:t>S</w:t>
      </w:r>
      <w:r w:rsidR="006A572B" w:rsidRPr="00A05F32">
        <w:rPr>
          <w:color w:val="000000"/>
          <w:sz w:val="26"/>
          <w:szCs w:val="26"/>
        </w:rPr>
        <w:t>I/</w:t>
      </w:r>
      <w:r w:rsidR="002E4366" w:rsidRPr="00A05F32">
        <w:rPr>
          <w:color w:val="000000"/>
          <w:sz w:val="26"/>
          <w:szCs w:val="26"/>
        </w:rPr>
        <w:t>SPI Report</w:t>
      </w:r>
      <w:r w:rsidR="004D288D">
        <w:rPr>
          <w:color w:val="000000"/>
          <w:sz w:val="26"/>
          <w:szCs w:val="26"/>
        </w:rPr>
        <w:t xml:space="preserve"> using the change </w:t>
      </w:r>
      <w:r w:rsidR="004D288D" w:rsidRPr="00D62502">
        <w:rPr>
          <w:color w:val="000000"/>
          <w:sz w:val="26"/>
          <w:szCs w:val="26"/>
        </w:rPr>
        <w:t xml:space="preserve">in </w:t>
      </w:r>
      <w:r w:rsidR="00024498">
        <w:rPr>
          <w:color w:val="000000"/>
          <w:sz w:val="26"/>
          <w:szCs w:val="26"/>
        </w:rPr>
        <w:t>2015 and 2016</w:t>
      </w:r>
      <w:r w:rsidR="00030873" w:rsidRPr="00D62502">
        <w:rPr>
          <w:color w:val="000000"/>
          <w:sz w:val="26"/>
          <w:szCs w:val="26"/>
        </w:rPr>
        <w:t xml:space="preserve"> </w:t>
      </w:r>
      <w:r w:rsidR="005C2E20">
        <w:rPr>
          <w:color w:val="000000"/>
          <w:sz w:val="26"/>
          <w:szCs w:val="26"/>
        </w:rPr>
        <w:t>third</w:t>
      </w:r>
      <w:r w:rsidR="00030873" w:rsidRPr="00D62502">
        <w:rPr>
          <w:color w:val="000000"/>
          <w:sz w:val="26"/>
          <w:szCs w:val="26"/>
        </w:rPr>
        <w:t xml:space="preserve"> quarter GDP-PI that produced a </w:t>
      </w:r>
      <w:r w:rsidR="00E50000" w:rsidRPr="00E50000">
        <w:rPr>
          <w:color w:val="000000"/>
          <w:sz w:val="26"/>
          <w:szCs w:val="26"/>
        </w:rPr>
        <w:t>1</w:t>
      </w:r>
      <w:r w:rsidR="005C2E20">
        <w:rPr>
          <w:color w:val="000000"/>
          <w:sz w:val="26"/>
          <w:szCs w:val="26"/>
        </w:rPr>
        <w:t>.</w:t>
      </w:r>
      <w:r w:rsidR="00E50000" w:rsidRPr="00E50000">
        <w:rPr>
          <w:color w:val="000000"/>
          <w:sz w:val="26"/>
          <w:szCs w:val="26"/>
        </w:rPr>
        <w:t>26</w:t>
      </w:r>
      <w:r w:rsidR="00030873" w:rsidRPr="00D62502">
        <w:rPr>
          <w:color w:val="000000"/>
          <w:sz w:val="26"/>
          <w:szCs w:val="26"/>
        </w:rPr>
        <w:t>%</w:t>
      </w:r>
      <w:r w:rsidR="00FF2F98" w:rsidRPr="00D62502">
        <w:rPr>
          <w:color w:val="000000"/>
          <w:sz w:val="26"/>
          <w:szCs w:val="26"/>
        </w:rPr>
        <w:t xml:space="preserve"> increase</w:t>
      </w:r>
      <w:r w:rsidR="0083477E" w:rsidRPr="00D62502">
        <w:rPr>
          <w:color w:val="000000"/>
          <w:sz w:val="26"/>
          <w:szCs w:val="26"/>
        </w:rPr>
        <w:t xml:space="preserve"> in the</w:t>
      </w:r>
      <w:r w:rsidR="003B05E8" w:rsidRPr="00D62502">
        <w:rPr>
          <w:color w:val="000000"/>
          <w:sz w:val="26"/>
          <w:szCs w:val="26"/>
        </w:rPr>
        <w:t xml:space="preserve"> </w:t>
      </w:r>
      <w:r w:rsidR="00D62502" w:rsidRPr="00D62502">
        <w:rPr>
          <w:color w:val="000000"/>
          <w:sz w:val="26"/>
          <w:szCs w:val="26"/>
        </w:rPr>
        <w:t xml:space="preserve">GDP-PI, which equates to a </w:t>
      </w:r>
      <w:r w:rsidR="00E50000" w:rsidRPr="00E50000">
        <w:rPr>
          <w:color w:val="000000"/>
          <w:sz w:val="26"/>
          <w:szCs w:val="26"/>
        </w:rPr>
        <w:t>1</w:t>
      </w:r>
      <w:r w:rsidR="005C2E20">
        <w:rPr>
          <w:color w:val="000000"/>
          <w:sz w:val="26"/>
          <w:szCs w:val="26"/>
        </w:rPr>
        <w:t>.</w:t>
      </w:r>
      <w:r w:rsidR="00E50000" w:rsidRPr="00E50000">
        <w:rPr>
          <w:color w:val="000000"/>
          <w:sz w:val="26"/>
          <w:szCs w:val="26"/>
        </w:rPr>
        <w:t>26</w:t>
      </w:r>
      <w:r w:rsidR="00030873" w:rsidRPr="00D62502">
        <w:rPr>
          <w:color w:val="000000"/>
          <w:sz w:val="26"/>
          <w:szCs w:val="26"/>
        </w:rPr>
        <w:t>%</w:t>
      </w:r>
      <w:r w:rsidR="007E1113" w:rsidRPr="00D62502">
        <w:rPr>
          <w:color w:val="000000"/>
          <w:sz w:val="26"/>
          <w:szCs w:val="26"/>
        </w:rPr>
        <w:t xml:space="preserve"> increase</w:t>
      </w:r>
      <w:r w:rsidR="00615EAC" w:rsidRPr="00D62502">
        <w:rPr>
          <w:color w:val="000000"/>
          <w:sz w:val="26"/>
          <w:szCs w:val="26"/>
        </w:rPr>
        <w:t xml:space="preserve"> in the PS</w:t>
      </w:r>
      <w:r w:rsidR="002757B4" w:rsidRPr="00D62502">
        <w:rPr>
          <w:color w:val="000000"/>
          <w:sz w:val="26"/>
          <w:szCs w:val="26"/>
        </w:rPr>
        <w:t>I</w:t>
      </w:r>
      <w:r w:rsidR="00030873" w:rsidRPr="00D62502">
        <w:rPr>
          <w:color w:val="000000"/>
          <w:sz w:val="26"/>
          <w:szCs w:val="26"/>
        </w:rPr>
        <w:t xml:space="preserve">.  </w:t>
      </w:r>
      <w:r w:rsidR="00FF2F98" w:rsidRPr="00D62502">
        <w:rPr>
          <w:color w:val="000000"/>
          <w:sz w:val="26"/>
          <w:szCs w:val="26"/>
        </w:rPr>
        <w:t xml:space="preserve">When applied to the previous PSI of </w:t>
      </w:r>
      <w:r w:rsidR="008C149C" w:rsidRPr="008C149C">
        <w:rPr>
          <w:color w:val="000000"/>
          <w:sz w:val="26"/>
          <w:szCs w:val="26"/>
        </w:rPr>
        <w:t>124.435</w:t>
      </w:r>
      <w:r w:rsidR="00FF2F98" w:rsidRPr="00D62502">
        <w:rPr>
          <w:color w:val="000000"/>
          <w:sz w:val="26"/>
          <w:szCs w:val="26"/>
        </w:rPr>
        <w:t xml:space="preserve">, this produces a new PSI of </w:t>
      </w:r>
      <w:r w:rsidR="008C149C" w:rsidRPr="008C149C">
        <w:rPr>
          <w:color w:val="000000"/>
          <w:sz w:val="26"/>
          <w:szCs w:val="26"/>
        </w:rPr>
        <w:t>126.008</w:t>
      </w:r>
      <w:r w:rsidR="00FF2F98" w:rsidRPr="00D62502">
        <w:rPr>
          <w:color w:val="000000"/>
          <w:sz w:val="26"/>
          <w:szCs w:val="26"/>
        </w:rPr>
        <w:t xml:space="preserve">. </w:t>
      </w:r>
      <w:r w:rsidR="00677ACA" w:rsidRPr="00D62502">
        <w:rPr>
          <w:color w:val="000000"/>
          <w:sz w:val="26"/>
          <w:szCs w:val="26"/>
        </w:rPr>
        <w:t xml:space="preserve"> </w:t>
      </w:r>
      <w:r w:rsidR="00FF2F98" w:rsidRPr="00D62502">
        <w:rPr>
          <w:color w:val="000000"/>
          <w:sz w:val="26"/>
          <w:szCs w:val="26"/>
        </w:rPr>
        <w:t>Applying this change to</w:t>
      </w:r>
      <w:r w:rsidR="00D41582" w:rsidRPr="00D62502">
        <w:rPr>
          <w:color w:val="000000"/>
          <w:sz w:val="26"/>
          <w:szCs w:val="26"/>
        </w:rPr>
        <w:t xml:space="preserve"> the</w:t>
      </w:r>
      <w:r w:rsidR="00677ACA" w:rsidRPr="00D62502">
        <w:rPr>
          <w:color w:val="000000"/>
          <w:sz w:val="26"/>
          <w:szCs w:val="26"/>
        </w:rPr>
        <w:t xml:space="preserve"> Companies’</w:t>
      </w:r>
      <w:r w:rsidR="00FF2F98" w:rsidRPr="00D62502">
        <w:rPr>
          <w:color w:val="000000"/>
          <w:sz w:val="26"/>
          <w:szCs w:val="26"/>
        </w:rPr>
        <w:t xml:space="preserve"> current </w:t>
      </w:r>
      <w:r w:rsidR="0065690E" w:rsidRPr="00D62502">
        <w:rPr>
          <w:color w:val="000000"/>
          <w:sz w:val="26"/>
          <w:szCs w:val="26"/>
        </w:rPr>
        <w:t>annual</w:t>
      </w:r>
      <w:r w:rsidR="0079117C" w:rsidRPr="00D62502">
        <w:rPr>
          <w:color w:val="000000"/>
          <w:sz w:val="26"/>
          <w:szCs w:val="26"/>
        </w:rPr>
        <w:t xml:space="preserve"> aggregate</w:t>
      </w:r>
      <w:r w:rsidR="0065690E" w:rsidRPr="00D62502">
        <w:rPr>
          <w:color w:val="000000"/>
          <w:sz w:val="26"/>
          <w:szCs w:val="26"/>
        </w:rPr>
        <w:t xml:space="preserve"> </w:t>
      </w:r>
      <w:r w:rsidR="00A11D0E" w:rsidRPr="00D62502">
        <w:rPr>
          <w:color w:val="000000"/>
          <w:sz w:val="26"/>
          <w:szCs w:val="26"/>
        </w:rPr>
        <w:t>non</w:t>
      </w:r>
      <w:r w:rsidR="00FF2F98" w:rsidRPr="00D62502">
        <w:rPr>
          <w:color w:val="000000"/>
          <w:sz w:val="26"/>
          <w:szCs w:val="26"/>
        </w:rPr>
        <w:t>competitive revenues</w:t>
      </w:r>
      <w:r w:rsidR="0079117C" w:rsidRPr="00D62502">
        <w:rPr>
          <w:color w:val="000000"/>
          <w:sz w:val="26"/>
          <w:szCs w:val="26"/>
        </w:rPr>
        <w:t xml:space="preserve"> </w:t>
      </w:r>
      <w:r w:rsidR="00FF2F98" w:rsidRPr="00D62502">
        <w:rPr>
          <w:color w:val="000000"/>
          <w:sz w:val="26"/>
          <w:szCs w:val="26"/>
        </w:rPr>
        <w:t xml:space="preserve">of </w:t>
      </w:r>
      <w:r w:rsidR="008C149C" w:rsidRPr="008C149C">
        <w:rPr>
          <w:color w:val="000000"/>
          <w:sz w:val="26"/>
          <w:szCs w:val="26"/>
        </w:rPr>
        <w:t>$3,325,133.00</w:t>
      </w:r>
      <w:r w:rsidR="008C149C">
        <w:rPr>
          <w:color w:val="000000"/>
          <w:sz w:val="26"/>
          <w:szCs w:val="26"/>
        </w:rPr>
        <w:t xml:space="preserve"> </w:t>
      </w:r>
      <w:r w:rsidR="00D41582" w:rsidRPr="00D62502">
        <w:rPr>
          <w:color w:val="000000"/>
          <w:sz w:val="26"/>
          <w:szCs w:val="26"/>
        </w:rPr>
        <w:t>yields</w:t>
      </w:r>
      <w:r w:rsidR="00FF2F98" w:rsidRPr="00D62502">
        <w:rPr>
          <w:color w:val="000000"/>
          <w:sz w:val="26"/>
          <w:szCs w:val="26"/>
        </w:rPr>
        <w:t xml:space="preserve"> a maximum allowed revenue increase of </w:t>
      </w:r>
      <w:r w:rsidR="008C149C" w:rsidRPr="008C149C">
        <w:rPr>
          <w:color w:val="000000"/>
          <w:sz w:val="26"/>
          <w:szCs w:val="26"/>
        </w:rPr>
        <w:t>$41,896.68</w:t>
      </w:r>
      <w:r w:rsidR="003C27FD">
        <w:rPr>
          <w:color w:val="000000"/>
          <w:sz w:val="26"/>
          <w:szCs w:val="26"/>
        </w:rPr>
        <w:t xml:space="preserve"> </w:t>
      </w:r>
      <w:r w:rsidR="008C149C">
        <w:rPr>
          <w:color w:val="000000"/>
          <w:sz w:val="26"/>
          <w:szCs w:val="26"/>
        </w:rPr>
        <w:t>for 2017</w:t>
      </w:r>
      <w:r w:rsidR="00D62502" w:rsidRPr="00D62502">
        <w:rPr>
          <w:color w:val="000000"/>
          <w:sz w:val="26"/>
          <w:szCs w:val="26"/>
        </w:rPr>
        <w:t>.</w:t>
      </w:r>
      <w:r w:rsidR="00051AE1">
        <w:rPr>
          <w:color w:val="000000"/>
          <w:sz w:val="26"/>
          <w:szCs w:val="26"/>
        </w:rPr>
        <w:t xml:space="preserve">  </w:t>
      </w:r>
    </w:p>
    <w:p w:rsidR="00030873" w:rsidRDefault="00FB12E2" w:rsidP="00FB12E2">
      <w:pPr>
        <w:spacing w:after="240"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133BE1" w:rsidRPr="00A05F32">
        <w:rPr>
          <w:color w:val="000000"/>
          <w:sz w:val="26"/>
          <w:szCs w:val="26"/>
        </w:rPr>
        <w:t>The table b</w:t>
      </w:r>
      <w:r w:rsidR="00E45D16" w:rsidRPr="00A05F32">
        <w:rPr>
          <w:color w:val="000000"/>
          <w:sz w:val="26"/>
          <w:szCs w:val="26"/>
        </w:rPr>
        <w:t>elow shows the breakdown of the</w:t>
      </w:r>
      <w:r w:rsidR="00133BE1" w:rsidRPr="00A05F32">
        <w:rPr>
          <w:color w:val="000000"/>
          <w:sz w:val="26"/>
          <w:szCs w:val="26"/>
        </w:rPr>
        <w:t xml:space="preserve"> aggregate</w:t>
      </w:r>
      <w:r w:rsidR="00B32E7D">
        <w:rPr>
          <w:color w:val="000000"/>
          <w:sz w:val="26"/>
          <w:szCs w:val="26"/>
        </w:rPr>
        <w:t xml:space="preserve"> revenue and maximum allowed increase</w:t>
      </w:r>
      <w:r w:rsidR="00133BE1" w:rsidRPr="00A05F32">
        <w:rPr>
          <w:color w:val="000000"/>
          <w:sz w:val="26"/>
          <w:szCs w:val="26"/>
        </w:rPr>
        <w:t xml:space="preserve"> amount</w:t>
      </w:r>
      <w:r w:rsidR="00E45D16" w:rsidRPr="00A05F32">
        <w:rPr>
          <w:color w:val="000000"/>
          <w:sz w:val="26"/>
          <w:szCs w:val="26"/>
        </w:rPr>
        <w:t>s</w:t>
      </w:r>
      <w:r w:rsidR="00B4122C">
        <w:rPr>
          <w:color w:val="000000"/>
          <w:sz w:val="26"/>
          <w:szCs w:val="26"/>
        </w:rPr>
        <w:t xml:space="preserve"> by C</w:t>
      </w:r>
      <w:r w:rsidR="00133BE1" w:rsidRPr="00A05F32">
        <w:rPr>
          <w:color w:val="000000"/>
          <w:sz w:val="26"/>
          <w:szCs w:val="26"/>
        </w:rPr>
        <w:t>ompa</w:t>
      </w:r>
      <w:r w:rsidR="00D41582" w:rsidRPr="00A05F32">
        <w:rPr>
          <w:color w:val="000000"/>
          <w:sz w:val="26"/>
          <w:szCs w:val="26"/>
        </w:rPr>
        <w:t>ny</w:t>
      </w:r>
      <w:r w:rsidR="00B32E7D">
        <w:rPr>
          <w:color w:val="000000"/>
          <w:sz w:val="26"/>
          <w:szCs w:val="26"/>
        </w:rPr>
        <w:t>.</w:t>
      </w:r>
      <w:r w:rsidR="002C3CD9">
        <w:rPr>
          <w:color w:val="000000"/>
          <w:sz w:val="26"/>
          <w:szCs w:val="26"/>
        </w:rPr>
        <w:t xml:space="preserve"> </w:t>
      </w:r>
      <w:r w:rsidR="00B32E7D">
        <w:rPr>
          <w:color w:val="000000"/>
          <w:sz w:val="26"/>
          <w:szCs w:val="26"/>
        </w:rPr>
        <w:t xml:space="preserve"> </w:t>
      </w:r>
      <w:r w:rsidR="00B32E7D" w:rsidRPr="00A05F32">
        <w:rPr>
          <w:color w:val="000000"/>
          <w:sz w:val="26"/>
          <w:szCs w:val="26"/>
        </w:rPr>
        <w:t xml:space="preserve">It should be noted that each </w:t>
      </w:r>
      <w:r w:rsidR="00A11D0E">
        <w:rPr>
          <w:color w:val="000000"/>
          <w:sz w:val="26"/>
          <w:szCs w:val="26"/>
        </w:rPr>
        <w:t>individual Company’s annual non</w:t>
      </w:r>
      <w:r w:rsidR="00B32E7D" w:rsidRPr="00A05F32">
        <w:rPr>
          <w:color w:val="000000"/>
          <w:sz w:val="26"/>
          <w:szCs w:val="26"/>
        </w:rPr>
        <w:t>competitive revenues</w:t>
      </w:r>
      <w:r w:rsidR="00E64AA4">
        <w:rPr>
          <w:color w:val="000000"/>
          <w:sz w:val="26"/>
          <w:szCs w:val="26"/>
        </w:rPr>
        <w:t xml:space="preserve"> </w:t>
      </w:r>
      <w:r w:rsidR="00B32E7D" w:rsidRPr="00A05F32">
        <w:rPr>
          <w:color w:val="000000"/>
          <w:sz w:val="26"/>
          <w:szCs w:val="26"/>
        </w:rPr>
        <w:t xml:space="preserve">and maximum allowed revenue increase amount may not be shared among the Companies.  </w:t>
      </w:r>
    </w:p>
    <w:tbl>
      <w:tblPr>
        <w:tblW w:w="9666" w:type="dxa"/>
        <w:jc w:val="center"/>
        <w:tblInd w:w="93" w:type="dxa"/>
        <w:tblLook w:val="04A0" w:firstRow="1" w:lastRow="0" w:firstColumn="1" w:lastColumn="0" w:noHBand="0" w:noVBand="1"/>
      </w:tblPr>
      <w:tblGrid>
        <w:gridCol w:w="1729"/>
        <w:gridCol w:w="2204"/>
        <w:gridCol w:w="1488"/>
        <w:gridCol w:w="4245"/>
      </w:tblGrid>
      <w:tr w:rsidR="008C149C" w:rsidRPr="008C149C" w:rsidTr="00FD581F">
        <w:trPr>
          <w:trHeight w:val="300"/>
          <w:jc w:val="center"/>
        </w:trPr>
        <w:tc>
          <w:tcPr>
            <w:tcW w:w="9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7D2E3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Current Non-Competitive Revenue</w:t>
            </w:r>
            <w:r w:rsidR="007D2E3A">
              <w:rPr>
                <w:b/>
                <w:bCs/>
                <w:color w:val="auto"/>
                <w:szCs w:val="24"/>
              </w:rPr>
              <w:t xml:space="preserve">s </w:t>
            </w:r>
            <w:r w:rsidRPr="007D2E3A">
              <w:rPr>
                <w:b/>
                <w:bCs/>
                <w:color w:val="auto"/>
                <w:szCs w:val="24"/>
              </w:rPr>
              <w:t>and Allowable Increases for all Frontier Companies</w:t>
            </w:r>
          </w:p>
        </w:tc>
      </w:tr>
      <w:tr w:rsidR="008C149C" w:rsidRPr="008C149C" w:rsidTr="007D2E3A">
        <w:trPr>
          <w:trHeight w:val="300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Company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7D2E3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Annual Revenue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%∆GDP-PI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 xml:space="preserve">  Maximum Allowed Revenue Increase</w:t>
            </w:r>
          </w:p>
        </w:tc>
      </w:tr>
      <w:tr w:rsidR="008C149C" w:rsidRPr="008C149C" w:rsidTr="007D2E3A">
        <w:trPr>
          <w:trHeight w:val="31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Breezewood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right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$341,774.00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1.26%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$4,306.35</w:t>
            </w:r>
          </w:p>
        </w:tc>
      </w:tr>
      <w:tr w:rsidR="008C149C" w:rsidRPr="008C149C" w:rsidTr="007D2E3A">
        <w:trPr>
          <w:trHeight w:val="31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Pennsylvania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right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$1,971,553.00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1.26%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$24,841.57</w:t>
            </w:r>
          </w:p>
        </w:tc>
      </w:tr>
      <w:tr w:rsidR="008C149C" w:rsidRPr="008C149C" w:rsidTr="007D2E3A">
        <w:trPr>
          <w:trHeight w:val="31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Canton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right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$525,060.00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1.26%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$6,615.76</w:t>
            </w:r>
          </w:p>
        </w:tc>
      </w:tr>
      <w:tr w:rsidR="008C149C" w:rsidRPr="008C149C" w:rsidTr="007D2E3A">
        <w:trPr>
          <w:trHeight w:val="31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Lakewood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right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$216,553.00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1.26%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$2,728.57</w:t>
            </w:r>
          </w:p>
        </w:tc>
      </w:tr>
      <w:tr w:rsidR="008C149C" w:rsidRPr="008C149C" w:rsidTr="007D2E3A">
        <w:trPr>
          <w:trHeight w:val="315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7D2E3A" w:rsidP="008C149C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Oswayo </w:t>
            </w:r>
            <w:r w:rsidR="008C149C" w:rsidRPr="007D2E3A">
              <w:rPr>
                <w:color w:val="auto"/>
                <w:szCs w:val="24"/>
              </w:rPr>
              <w:t>River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right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$270,193.00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1.26%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color w:val="auto"/>
                <w:szCs w:val="24"/>
              </w:rPr>
            </w:pPr>
            <w:r w:rsidRPr="007D2E3A">
              <w:rPr>
                <w:color w:val="auto"/>
                <w:szCs w:val="24"/>
              </w:rPr>
              <w:t>$3,404.43</w:t>
            </w:r>
          </w:p>
        </w:tc>
      </w:tr>
      <w:tr w:rsidR="008C149C" w:rsidRPr="008C149C" w:rsidTr="007D2E3A">
        <w:trPr>
          <w:trHeight w:val="300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Total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$3,325,133.00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9C" w:rsidRPr="007D2E3A" w:rsidRDefault="008C149C" w:rsidP="008C149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D2E3A">
              <w:rPr>
                <w:b/>
                <w:bCs/>
                <w:color w:val="auto"/>
                <w:szCs w:val="24"/>
              </w:rPr>
              <w:t>$41,896.68</w:t>
            </w:r>
          </w:p>
        </w:tc>
      </w:tr>
    </w:tbl>
    <w:p w:rsidR="009B00B7" w:rsidRPr="00F96458" w:rsidRDefault="009B00B7" w:rsidP="00FB12E2">
      <w:pPr>
        <w:spacing w:before="280" w:after="240" w:line="360" w:lineRule="auto"/>
        <w:ind w:firstLine="720"/>
        <w:rPr>
          <w:color w:val="000000"/>
          <w:sz w:val="26"/>
          <w:szCs w:val="26"/>
        </w:rPr>
      </w:pPr>
      <w:r>
        <w:rPr>
          <w:color w:val="auto"/>
          <w:sz w:val="26"/>
          <w:szCs w:val="26"/>
        </w:rPr>
        <w:t>Consistent with the Commission-</w:t>
      </w:r>
      <w:r w:rsidRPr="00F96458">
        <w:rPr>
          <w:color w:val="auto"/>
          <w:sz w:val="26"/>
          <w:szCs w:val="26"/>
        </w:rPr>
        <w:t xml:space="preserve">approved Protective Order entered </w:t>
      </w:r>
      <w:r>
        <w:rPr>
          <w:color w:val="auto"/>
          <w:sz w:val="26"/>
          <w:szCs w:val="26"/>
        </w:rPr>
        <w:t>February 2</w:t>
      </w:r>
      <w:r w:rsidRPr="00F96458">
        <w:rPr>
          <w:color w:val="auto"/>
          <w:sz w:val="26"/>
          <w:szCs w:val="26"/>
        </w:rPr>
        <w:t>8</w:t>
      </w:r>
      <w:r>
        <w:rPr>
          <w:color w:val="auto"/>
          <w:sz w:val="26"/>
          <w:szCs w:val="26"/>
        </w:rPr>
        <w:t>, 2008</w:t>
      </w:r>
      <w:r w:rsidRPr="00F96458">
        <w:rPr>
          <w:color w:val="auto"/>
          <w:sz w:val="26"/>
          <w:szCs w:val="26"/>
        </w:rPr>
        <w:t>, at Docket No. P-2008-20</w:t>
      </w:r>
      <w:r>
        <w:rPr>
          <w:color w:val="auto"/>
          <w:sz w:val="26"/>
          <w:szCs w:val="26"/>
        </w:rPr>
        <w:t>22866</w:t>
      </w:r>
      <w:r w:rsidR="003F620D">
        <w:rPr>
          <w:color w:val="auto"/>
          <w:sz w:val="26"/>
          <w:szCs w:val="26"/>
        </w:rPr>
        <w:t>,</w:t>
      </w:r>
      <w:r w:rsidRPr="00F96458">
        <w:rPr>
          <w:color w:val="auto"/>
          <w:sz w:val="26"/>
          <w:szCs w:val="26"/>
        </w:rPr>
        <w:t xml:space="preserve"> and</w:t>
      </w:r>
      <w:r w:rsidR="00E830E1">
        <w:rPr>
          <w:color w:val="auto"/>
          <w:sz w:val="26"/>
          <w:szCs w:val="26"/>
        </w:rPr>
        <w:t xml:space="preserve"> pursuant to 52 Pa. Code § 5.365</w:t>
      </w:r>
      <w:r w:rsidRPr="00F96458">
        <w:rPr>
          <w:color w:val="auto"/>
          <w:sz w:val="26"/>
          <w:szCs w:val="26"/>
        </w:rPr>
        <w:t xml:space="preserve">, the </w:t>
      </w:r>
      <w:r w:rsidR="007B490C">
        <w:rPr>
          <w:color w:val="auto"/>
          <w:sz w:val="26"/>
          <w:szCs w:val="26"/>
        </w:rPr>
        <w:t>Companies have</w:t>
      </w:r>
      <w:r w:rsidRPr="00F96458">
        <w:rPr>
          <w:color w:val="auto"/>
          <w:sz w:val="26"/>
          <w:szCs w:val="26"/>
        </w:rPr>
        <w:t xml:space="preserve"> marked sp</w:t>
      </w:r>
      <w:r>
        <w:rPr>
          <w:color w:val="auto"/>
          <w:sz w:val="26"/>
          <w:szCs w:val="26"/>
        </w:rPr>
        <w:t>ecific informatio</w:t>
      </w:r>
      <w:r w:rsidR="007B490C">
        <w:rPr>
          <w:color w:val="auto"/>
          <w:sz w:val="26"/>
          <w:szCs w:val="26"/>
        </w:rPr>
        <w:t>n in their</w:t>
      </w:r>
      <w:r>
        <w:rPr>
          <w:color w:val="auto"/>
          <w:sz w:val="26"/>
          <w:szCs w:val="26"/>
        </w:rPr>
        <w:t xml:space="preserve"> PSI/SPI Report</w:t>
      </w:r>
      <w:r w:rsidRPr="00F96458">
        <w:rPr>
          <w:color w:val="auto"/>
          <w:sz w:val="26"/>
          <w:szCs w:val="26"/>
        </w:rPr>
        <w:t xml:space="preserve"> as proprietary.</w:t>
      </w:r>
      <w:r w:rsidRPr="00F96458">
        <w:rPr>
          <w:rStyle w:val="FootnoteReference"/>
          <w:color w:val="auto"/>
          <w:sz w:val="26"/>
          <w:szCs w:val="26"/>
        </w:rPr>
        <w:t xml:space="preserve"> </w:t>
      </w:r>
    </w:p>
    <w:p w:rsidR="0068247C" w:rsidRDefault="001A5B48" w:rsidP="00120E17">
      <w:pPr>
        <w:pStyle w:val="Style"/>
        <w:spacing w:after="240" w:line="360" w:lineRule="auto"/>
        <w:rPr>
          <w:color w:val="0B0B0B"/>
          <w:sz w:val="26"/>
          <w:szCs w:val="26"/>
          <w:lang w:bidi="he-IL"/>
        </w:rPr>
      </w:pPr>
      <w:r>
        <w:rPr>
          <w:color w:val="000000"/>
          <w:sz w:val="26"/>
          <w:szCs w:val="26"/>
        </w:rPr>
        <w:tab/>
      </w:r>
      <w:r w:rsidR="00E2386A">
        <w:rPr>
          <w:color w:val="000000"/>
          <w:sz w:val="26"/>
          <w:szCs w:val="26"/>
        </w:rPr>
        <w:t>On January 13, 2017</w:t>
      </w:r>
      <w:r w:rsidR="00B83ECC">
        <w:rPr>
          <w:color w:val="000000"/>
          <w:sz w:val="26"/>
          <w:szCs w:val="26"/>
        </w:rPr>
        <w:t>, the Companies filed updated banking reports to reflect the amounts retired from each Company’s respective bank as a result of State Tax Adjustment Surcharge</w:t>
      </w:r>
      <w:r w:rsidR="00217D01">
        <w:rPr>
          <w:color w:val="000000"/>
          <w:sz w:val="26"/>
          <w:szCs w:val="26"/>
        </w:rPr>
        <w:t xml:space="preserve"> (STAS)</w:t>
      </w:r>
      <w:r w:rsidR="00B83ECC">
        <w:rPr>
          <w:color w:val="000000"/>
          <w:sz w:val="26"/>
          <w:szCs w:val="26"/>
        </w:rPr>
        <w:t xml:space="preserve"> recalculations</w:t>
      </w:r>
      <w:r w:rsidR="00B83ECC" w:rsidRPr="001A5B48">
        <w:rPr>
          <w:color w:val="000000"/>
          <w:sz w:val="26"/>
          <w:szCs w:val="26"/>
        </w:rPr>
        <w:t>.</w:t>
      </w:r>
      <w:r w:rsidRPr="001A5B48">
        <w:rPr>
          <w:color w:val="000000"/>
          <w:sz w:val="26"/>
          <w:szCs w:val="26"/>
        </w:rPr>
        <w:t xml:space="preserve">  </w:t>
      </w:r>
      <w:r w:rsidR="00E64AA4">
        <w:rPr>
          <w:color w:val="0B0B0B"/>
          <w:sz w:val="26"/>
          <w:szCs w:val="26"/>
          <w:lang w:bidi="he-IL"/>
        </w:rPr>
        <w:t xml:space="preserve">Each Company’s respective bank was reduced to account for its 2016 </w:t>
      </w:r>
      <w:r w:rsidR="00D62502">
        <w:rPr>
          <w:color w:val="0B0B0B"/>
          <w:sz w:val="26"/>
          <w:szCs w:val="26"/>
          <w:lang w:bidi="he-IL"/>
        </w:rPr>
        <w:t>STAS recalculation</w:t>
      </w:r>
      <w:r w:rsidR="00E64AA4">
        <w:rPr>
          <w:color w:val="0B0B0B"/>
          <w:sz w:val="26"/>
          <w:szCs w:val="26"/>
          <w:lang w:bidi="he-IL"/>
        </w:rPr>
        <w:t xml:space="preserve"> as well as the cumulative impact of its 2015 STAS recalculation.  </w:t>
      </w:r>
    </w:p>
    <w:p w:rsidR="0068247C" w:rsidRDefault="0068247C">
      <w:pPr>
        <w:rPr>
          <w:color w:val="0B0B0B"/>
          <w:sz w:val="26"/>
          <w:szCs w:val="26"/>
          <w:lang w:bidi="he-IL"/>
        </w:rPr>
      </w:pPr>
      <w:r>
        <w:rPr>
          <w:color w:val="0B0B0B"/>
          <w:sz w:val="26"/>
          <w:szCs w:val="26"/>
          <w:lang w:bidi="he-IL"/>
        </w:rPr>
        <w:br w:type="page"/>
      </w:r>
    </w:p>
    <w:p w:rsidR="00FB4F9F" w:rsidRDefault="0068247C" w:rsidP="00120E17">
      <w:pPr>
        <w:pStyle w:val="Style"/>
        <w:spacing w:after="240" w:line="360" w:lineRule="auto"/>
        <w:rPr>
          <w:color w:val="0B0B0B"/>
          <w:sz w:val="26"/>
          <w:szCs w:val="26"/>
          <w:lang w:bidi="he-IL"/>
        </w:rPr>
      </w:pPr>
      <w:r>
        <w:rPr>
          <w:color w:val="0B0B0B"/>
          <w:sz w:val="26"/>
          <w:szCs w:val="26"/>
          <w:lang w:bidi="he-IL"/>
        </w:rPr>
        <w:lastRenderedPageBreak/>
        <w:tab/>
      </w:r>
      <w:r w:rsidR="004335FD">
        <w:rPr>
          <w:color w:val="0B0B0B"/>
          <w:sz w:val="26"/>
          <w:szCs w:val="26"/>
          <w:lang w:bidi="he-IL"/>
        </w:rPr>
        <w:t>The table</w:t>
      </w:r>
      <w:r w:rsidR="00564729">
        <w:rPr>
          <w:color w:val="0B0B0B"/>
          <w:sz w:val="26"/>
          <w:szCs w:val="26"/>
          <w:lang w:bidi="he-IL"/>
        </w:rPr>
        <w:t xml:space="preserve"> below reflects</w:t>
      </w:r>
      <w:r w:rsidR="004335FD">
        <w:rPr>
          <w:color w:val="0B0B0B"/>
          <w:sz w:val="26"/>
          <w:szCs w:val="26"/>
          <w:lang w:bidi="he-IL"/>
        </w:rPr>
        <w:t xml:space="preserve"> the STAS recalculation amounts retired from each Company’s respective </w:t>
      </w:r>
      <w:r w:rsidR="00564729">
        <w:rPr>
          <w:color w:val="0B0B0B"/>
          <w:sz w:val="26"/>
          <w:szCs w:val="26"/>
          <w:lang w:bidi="he-IL"/>
        </w:rPr>
        <w:t>bank.</w:t>
      </w:r>
    </w:p>
    <w:p w:rsidR="0068247C" w:rsidRDefault="0068247C" w:rsidP="0068247C">
      <w:pPr>
        <w:pStyle w:val="Style"/>
        <w:spacing w:after="240"/>
        <w:rPr>
          <w:color w:val="0B0B0B"/>
          <w:sz w:val="26"/>
          <w:szCs w:val="26"/>
          <w:lang w:bidi="he-IL"/>
        </w:rPr>
      </w:pPr>
    </w:p>
    <w:tbl>
      <w:tblPr>
        <w:tblW w:w="4260" w:type="dxa"/>
        <w:jc w:val="center"/>
        <w:tblInd w:w="93" w:type="dxa"/>
        <w:tblLook w:val="04A0" w:firstRow="1" w:lastRow="0" w:firstColumn="1" w:lastColumn="0" w:noHBand="0" w:noVBand="1"/>
      </w:tblPr>
      <w:tblGrid>
        <w:gridCol w:w="1740"/>
        <w:gridCol w:w="2520"/>
      </w:tblGrid>
      <w:tr w:rsidR="000B0EF6" w:rsidRPr="000B0EF6" w:rsidTr="000B0EF6">
        <w:trPr>
          <w:trHeight w:val="330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0B0EF6">
              <w:rPr>
                <w:b/>
                <w:bCs/>
                <w:color w:val="auto"/>
                <w:szCs w:val="24"/>
              </w:rPr>
              <w:t>Company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0B0EF6">
              <w:rPr>
                <w:b/>
                <w:bCs/>
                <w:color w:val="auto"/>
                <w:szCs w:val="24"/>
              </w:rPr>
              <w:t>STAS Adjustment</w:t>
            </w:r>
          </w:p>
        </w:tc>
      </w:tr>
      <w:tr w:rsidR="000B0EF6" w:rsidRPr="000B0EF6" w:rsidTr="000B0EF6">
        <w:trPr>
          <w:trHeight w:val="33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>Breezewood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jc w:val="right"/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 xml:space="preserve">$1,816.00 </w:t>
            </w:r>
          </w:p>
        </w:tc>
      </w:tr>
      <w:tr w:rsidR="000B0EF6" w:rsidRPr="000B0EF6" w:rsidTr="000B0EF6">
        <w:trPr>
          <w:trHeight w:val="33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>Pennsylvania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jc w:val="right"/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 xml:space="preserve">$11,398.00 </w:t>
            </w:r>
          </w:p>
        </w:tc>
      </w:tr>
      <w:tr w:rsidR="000B0EF6" w:rsidRPr="000B0EF6" w:rsidTr="000B0EF6">
        <w:trPr>
          <w:trHeight w:val="33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>Canton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jc w:val="right"/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 xml:space="preserve">$2,512.00 </w:t>
            </w:r>
          </w:p>
        </w:tc>
      </w:tr>
      <w:tr w:rsidR="000B0EF6" w:rsidRPr="000B0EF6" w:rsidTr="000B0EF6">
        <w:trPr>
          <w:trHeight w:val="33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>Lakewood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jc w:val="right"/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 xml:space="preserve">$328.00 </w:t>
            </w:r>
          </w:p>
        </w:tc>
      </w:tr>
      <w:tr w:rsidR="000B0EF6" w:rsidRPr="000B0EF6" w:rsidTr="000B0EF6">
        <w:trPr>
          <w:trHeight w:val="33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>Oswayo River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F6" w:rsidRPr="000B0EF6" w:rsidRDefault="000B0EF6" w:rsidP="000B0EF6">
            <w:pPr>
              <w:jc w:val="right"/>
              <w:rPr>
                <w:color w:val="auto"/>
                <w:szCs w:val="24"/>
              </w:rPr>
            </w:pPr>
            <w:r w:rsidRPr="000B0EF6">
              <w:rPr>
                <w:color w:val="auto"/>
                <w:szCs w:val="24"/>
              </w:rPr>
              <w:t xml:space="preserve">$1,025.00 </w:t>
            </w:r>
          </w:p>
        </w:tc>
      </w:tr>
    </w:tbl>
    <w:p w:rsidR="00EE1C12" w:rsidRDefault="00EE1C12" w:rsidP="00B900EF">
      <w:pPr>
        <w:pStyle w:val="Style"/>
        <w:spacing w:line="360" w:lineRule="auto"/>
        <w:rPr>
          <w:color w:val="0B0B0B"/>
          <w:sz w:val="26"/>
          <w:szCs w:val="26"/>
          <w:lang w:bidi="he-IL"/>
        </w:rPr>
      </w:pPr>
    </w:p>
    <w:p w:rsidR="0068247C" w:rsidRDefault="00B83ECC" w:rsidP="0068247C">
      <w:pPr>
        <w:tabs>
          <w:tab w:val="left" w:pos="0"/>
        </w:tabs>
        <w:spacing w:after="240"/>
        <w:ind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B32E7D" w:rsidRDefault="00B900EF" w:rsidP="006C3DD2">
      <w:pPr>
        <w:tabs>
          <w:tab w:val="left" w:pos="0"/>
        </w:tabs>
        <w:spacing w:after="240" w:line="360" w:lineRule="auto"/>
        <w:ind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68247C">
        <w:rPr>
          <w:color w:val="000000"/>
          <w:sz w:val="26"/>
          <w:szCs w:val="26"/>
        </w:rPr>
        <w:tab/>
      </w:r>
      <w:r w:rsidR="00E300E3">
        <w:rPr>
          <w:color w:val="000000"/>
          <w:sz w:val="26"/>
          <w:szCs w:val="26"/>
        </w:rPr>
        <w:t>On</w:t>
      </w:r>
      <w:r w:rsidR="00E149E6">
        <w:rPr>
          <w:color w:val="000000"/>
          <w:sz w:val="26"/>
          <w:szCs w:val="26"/>
        </w:rPr>
        <w:t xml:space="preserve"> </w:t>
      </w:r>
      <w:r w:rsidR="00DC2FA7">
        <w:rPr>
          <w:color w:val="000000"/>
          <w:sz w:val="26"/>
          <w:szCs w:val="26"/>
        </w:rPr>
        <w:t>February 1</w:t>
      </w:r>
      <w:r w:rsidR="00F410D7">
        <w:rPr>
          <w:color w:val="000000"/>
          <w:sz w:val="26"/>
          <w:szCs w:val="26"/>
        </w:rPr>
        <w:t>, 2017</w:t>
      </w:r>
      <w:r w:rsidR="005F74CC">
        <w:rPr>
          <w:color w:val="000000"/>
          <w:sz w:val="26"/>
          <w:szCs w:val="26"/>
        </w:rPr>
        <w:t>, Frontier served a copy of its</w:t>
      </w:r>
      <w:r w:rsidR="008968D2">
        <w:rPr>
          <w:color w:val="000000"/>
          <w:sz w:val="26"/>
          <w:szCs w:val="26"/>
        </w:rPr>
        <w:t xml:space="preserve"> combined </w:t>
      </w:r>
      <w:r w:rsidR="00B21E50">
        <w:rPr>
          <w:color w:val="000000"/>
          <w:sz w:val="26"/>
          <w:szCs w:val="26"/>
        </w:rPr>
        <w:t>PSI/SPI</w:t>
      </w:r>
      <w:r w:rsidR="00B32E7D" w:rsidRPr="00A05F32">
        <w:rPr>
          <w:color w:val="000000"/>
          <w:sz w:val="26"/>
          <w:szCs w:val="26"/>
        </w:rPr>
        <w:t xml:space="preserve"> </w:t>
      </w:r>
      <w:r w:rsidR="009936BA">
        <w:rPr>
          <w:color w:val="000000"/>
          <w:sz w:val="26"/>
          <w:szCs w:val="26"/>
        </w:rPr>
        <w:t>Report</w:t>
      </w:r>
      <w:r w:rsidR="00B32E7D" w:rsidRPr="00A05F32">
        <w:rPr>
          <w:color w:val="000000"/>
          <w:sz w:val="26"/>
          <w:szCs w:val="26"/>
        </w:rPr>
        <w:t xml:space="preserve"> on the Office of Small Business Advocate, the Office of Consumer Advocate,</w:t>
      </w:r>
      <w:r w:rsidR="00D62502">
        <w:rPr>
          <w:color w:val="000000"/>
          <w:sz w:val="26"/>
          <w:szCs w:val="26"/>
        </w:rPr>
        <w:t xml:space="preserve"> the Burea</w:t>
      </w:r>
      <w:r w:rsidR="00960C27">
        <w:rPr>
          <w:color w:val="000000"/>
          <w:sz w:val="26"/>
          <w:szCs w:val="26"/>
        </w:rPr>
        <w:t>u of Technical Utility Services and</w:t>
      </w:r>
      <w:r w:rsidR="00B32E7D" w:rsidRPr="00A05F32">
        <w:rPr>
          <w:color w:val="000000"/>
          <w:sz w:val="26"/>
          <w:szCs w:val="26"/>
        </w:rPr>
        <w:t xml:space="preserve"> the </w:t>
      </w:r>
      <w:r w:rsidR="00D62502">
        <w:rPr>
          <w:color w:val="000000"/>
          <w:sz w:val="26"/>
          <w:szCs w:val="26"/>
        </w:rPr>
        <w:t>Bureau of Investigation</w:t>
      </w:r>
      <w:r w:rsidR="001D4548">
        <w:rPr>
          <w:color w:val="000000"/>
          <w:sz w:val="26"/>
          <w:szCs w:val="26"/>
        </w:rPr>
        <w:t xml:space="preserve"> and Enforcement</w:t>
      </w:r>
      <w:r w:rsidR="00960C27">
        <w:rPr>
          <w:color w:val="000000"/>
          <w:sz w:val="26"/>
          <w:szCs w:val="26"/>
        </w:rPr>
        <w:t>.</w:t>
      </w:r>
      <w:r w:rsidR="00B32E7D" w:rsidRPr="00A05F32">
        <w:rPr>
          <w:color w:val="000000"/>
          <w:sz w:val="26"/>
          <w:szCs w:val="26"/>
        </w:rPr>
        <w:t xml:space="preserve">  No complaints were filed and no hearings were held.</w:t>
      </w:r>
      <w:r w:rsidR="00B32E7D">
        <w:rPr>
          <w:color w:val="000000"/>
          <w:sz w:val="26"/>
          <w:szCs w:val="26"/>
        </w:rPr>
        <w:t xml:space="preserve">  </w:t>
      </w:r>
    </w:p>
    <w:p w:rsidR="00B12D59" w:rsidRDefault="00FB12E2" w:rsidP="00120E17">
      <w:pPr>
        <w:spacing w:after="24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B83ECC">
        <w:rPr>
          <w:color w:val="000000"/>
          <w:sz w:val="26"/>
          <w:szCs w:val="26"/>
        </w:rPr>
        <w:t>Part 1.A.7</w:t>
      </w:r>
      <w:r w:rsidR="00B83ECC" w:rsidRPr="00CA1B43">
        <w:rPr>
          <w:color w:val="000000"/>
          <w:sz w:val="26"/>
          <w:szCs w:val="26"/>
        </w:rPr>
        <w:t xml:space="preserve"> of </w:t>
      </w:r>
      <w:r w:rsidR="00B83ECC">
        <w:rPr>
          <w:color w:val="000000"/>
          <w:sz w:val="26"/>
          <w:szCs w:val="26"/>
        </w:rPr>
        <w:t xml:space="preserve">the Companies’ Chapter 30 plan </w:t>
      </w:r>
      <w:r w:rsidR="00B83ECC" w:rsidRPr="00CA1B43">
        <w:rPr>
          <w:color w:val="000000"/>
          <w:sz w:val="26"/>
          <w:szCs w:val="26"/>
        </w:rPr>
        <w:t xml:space="preserve">states that in the event of rate changes, “A Commission Order must be entered within thirty (30) days of the </w:t>
      </w:r>
      <w:r w:rsidR="00FB4D80" w:rsidRPr="00CA1B43">
        <w:rPr>
          <w:color w:val="000000"/>
          <w:sz w:val="26"/>
          <w:szCs w:val="26"/>
        </w:rPr>
        <w:t>filing;</w:t>
      </w:r>
      <w:r w:rsidR="00B83ECC" w:rsidRPr="00CA1B43">
        <w:rPr>
          <w:color w:val="000000"/>
          <w:sz w:val="26"/>
          <w:szCs w:val="26"/>
        </w:rPr>
        <w:t xml:space="preserve"> otherwise the tariff(s) shall become effective as filed.”</w:t>
      </w:r>
      <w:r w:rsidR="00B12D59">
        <w:rPr>
          <w:color w:val="000000"/>
          <w:sz w:val="26"/>
          <w:szCs w:val="26"/>
        </w:rPr>
        <w:t xml:space="preserve">  </w:t>
      </w:r>
    </w:p>
    <w:p w:rsidR="008441BD" w:rsidRDefault="00B12D59" w:rsidP="00930C28">
      <w:pPr>
        <w:spacing w:after="24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B4122C">
        <w:rPr>
          <w:color w:val="000000"/>
          <w:sz w:val="26"/>
          <w:szCs w:val="26"/>
        </w:rPr>
        <w:t>In their 201</w:t>
      </w:r>
      <w:r w:rsidR="00E62025">
        <w:rPr>
          <w:color w:val="000000"/>
          <w:sz w:val="26"/>
          <w:szCs w:val="26"/>
        </w:rPr>
        <w:t>7</w:t>
      </w:r>
      <w:r w:rsidR="008C3353" w:rsidRPr="00CA1B43">
        <w:rPr>
          <w:color w:val="000000"/>
          <w:sz w:val="26"/>
          <w:szCs w:val="26"/>
        </w:rPr>
        <w:t xml:space="preserve"> filing</w:t>
      </w:r>
      <w:r w:rsidR="008C3353" w:rsidRPr="004C6833">
        <w:rPr>
          <w:color w:val="000000"/>
          <w:sz w:val="26"/>
          <w:szCs w:val="26"/>
        </w:rPr>
        <w:t xml:space="preserve">, </w:t>
      </w:r>
      <w:r w:rsidR="008C3353">
        <w:rPr>
          <w:color w:val="000000"/>
          <w:sz w:val="26"/>
          <w:szCs w:val="26"/>
        </w:rPr>
        <w:t>the Companies are</w:t>
      </w:r>
      <w:r w:rsidR="00B4122C">
        <w:rPr>
          <w:color w:val="000000"/>
          <w:sz w:val="26"/>
          <w:szCs w:val="26"/>
        </w:rPr>
        <w:t xml:space="preserve"> implementing a total of </w:t>
      </w:r>
      <w:r w:rsidR="00E62025" w:rsidRPr="00E62025">
        <w:rPr>
          <w:color w:val="000000"/>
          <w:sz w:val="26"/>
          <w:szCs w:val="26"/>
        </w:rPr>
        <w:t xml:space="preserve">$32,616.00 </w:t>
      </w:r>
      <w:r w:rsidR="00E62025">
        <w:rPr>
          <w:color w:val="000000"/>
          <w:sz w:val="26"/>
          <w:szCs w:val="26"/>
        </w:rPr>
        <w:t>in</w:t>
      </w:r>
      <w:r w:rsidR="008C3353">
        <w:rPr>
          <w:color w:val="000000"/>
          <w:sz w:val="26"/>
          <w:szCs w:val="26"/>
        </w:rPr>
        <w:t xml:space="preserve"> actual rate increases.  The revenues for these rate increases are being drawn fro</w:t>
      </w:r>
      <w:r w:rsidR="007C35AA">
        <w:rPr>
          <w:color w:val="000000"/>
          <w:sz w:val="26"/>
          <w:szCs w:val="26"/>
        </w:rPr>
        <w:t>m each Company’s</w:t>
      </w:r>
      <w:r w:rsidR="00960C27">
        <w:rPr>
          <w:color w:val="000000"/>
          <w:sz w:val="26"/>
          <w:szCs w:val="26"/>
        </w:rPr>
        <w:t xml:space="preserve"> </w:t>
      </w:r>
      <w:r w:rsidR="008C3353">
        <w:rPr>
          <w:color w:val="000000"/>
          <w:sz w:val="26"/>
          <w:szCs w:val="26"/>
        </w:rPr>
        <w:t>banked revenu</w:t>
      </w:r>
      <w:r w:rsidR="008C3353" w:rsidRPr="00C87620">
        <w:rPr>
          <w:color w:val="000000"/>
          <w:sz w:val="26"/>
          <w:szCs w:val="26"/>
        </w:rPr>
        <w:t>e amounts.</w:t>
      </w:r>
      <w:r w:rsidR="007C35AA" w:rsidRPr="00C87620">
        <w:rPr>
          <w:color w:val="000000"/>
          <w:sz w:val="26"/>
          <w:szCs w:val="26"/>
        </w:rPr>
        <w:t xml:space="preserve">  </w:t>
      </w:r>
      <w:r w:rsidR="00C90156">
        <w:rPr>
          <w:color w:val="000000"/>
          <w:sz w:val="26"/>
          <w:szCs w:val="26"/>
        </w:rPr>
        <w:t>The Companies propose increases of</w:t>
      </w:r>
      <w:r w:rsidR="0055177D">
        <w:rPr>
          <w:color w:val="000000"/>
          <w:sz w:val="26"/>
          <w:szCs w:val="26"/>
        </w:rPr>
        <w:t xml:space="preserve"> $0.50 to $1.50 to the monthly rates for residen</w:t>
      </w:r>
      <w:r w:rsidR="00DE6669">
        <w:rPr>
          <w:color w:val="000000"/>
          <w:sz w:val="26"/>
          <w:szCs w:val="26"/>
        </w:rPr>
        <w:t>tial</w:t>
      </w:r>
      <w:r w:rsidR="0055177D">
        <w:rPr>
          <w:color w:val="000000"/>
          <w:sz w:val="26"/>
          <w:szCs w:val="26"/>
        </w:rPr>
        <w:t xml:space="preserve"> one party local exchange service as well as</w:t>
      </w:r>
      <w:r w:rsidR="000B0EF6">
        <w:rPr>
          <w:color w:val="000000"/>
          <w:sz w:val="26"/>
          <w:szCs w:val="26"/>
        </w:rPr>
        <w:t xml:space="preserve"> various</w:t>
      </w:r>
      <w:r w:rsidR="005A16B8">
        <w:rPr>
          <w:color w:val="000000"/>
          <w:sz w:val="26"/>
          <w:szCs w:val="26"/>
        </w:rPr>
        <w:t xml:space="preserve"> business local exchange services</w:t>
      </w:r>
      <w:r w:rsidR="00F21C5D" w:rsidRPr="00C87620">
        <w:rPr>
          <w:color w:val="000000"/>
          <w:sz w:val="26"/>
          <w:szCs w:val="26"/>
        </w:rPr>
        <w:t>.  The tariff supplements implementing the rate increases carry an</w:t>
      </w:r>
      <w:r w:rsidR="00C87620" w:rsidRPr="00C87620">
        <w:rPr>
          <w:color w:val="000000"/>
          <w:sz w:val="26"/>
          <w:szCs w:val="26"/>
        </w:rPr>
        <w:t xml:space="preserve"> effective date of </w:t>
      </w:r>
      <w:r w:rsidR="00E62025">
        <w:rPr>
          <w:color w:val="000000"/>
          <w:sz w:val="26"/>
          <w:szCs w:val="26"/>
        </w:rPr>
        <w:t>March 19, 2017</w:t>
      </w:r>
      <w:r w:rsidR="00F21C5D" w:rsidRPr="00C87620">
        <w:rPr>
          <w:color w:val="000000"/>
          <w:sz w:val="26"/>
          <w:szCs w:val="26"/>
        </w:rPr>
        <w:t xml:space="preserve">.  </w:t>
      </w:r>
      <w:r w:rsidR="0055177D" w:rsidRPr="00C87620">
        <w:rPr>
          <w:color w:val="000000"/>
          <w:sz w:val="26"/>
          <w:szCs w:val="26"/>
        </w:rPr>
        <w:t xml:space="preserve">The proposed rate increases are detailed </w:t>
      </w:r>
      <w:r w:rsidR="0055177D">
        <w:rPr>
          <w:color w:val="000000"/>
          <w:sz w:val="26"/>
          <w:szCs w:val="26"/>
        </w:rPr>
        <w:t>below by service and by Company.</w:t>
      </w:r>
    </w:p>
    <w:p w:rsidR="0068247C" w:rsidRDefault="0068247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tbl>
      <w:tblPr>
        <w:tblW w:w="9342" w:type="dxa"/>
        <w:jc w:val="center"/>
        <w:tblInd w:w="93" w:type="dxa"/>
        <w:tblLook w:val="04A0" w:firstRow="1" w:lastRow="0" w:firstColumn="1" w:lastColumn="0" w:noHBand="0" w:noVBand="1"/>
      </w:tblPr>
      <w:tblGrid>
        <w:gridCol w:w="6026"/>
        <w:gridCol w:w="1057"/>
        <w:gridCol w:w="1176"/>
        <w:gridCol w:w="1083"/>
      </w:tblGrid>
      <w:tr w:rsidR="008B154A" w:rsidRPr="008B154A" w:rsidTr="0068247C">
        <w:trPr>
          <w:trHeight w:val="330"/>
          <w:jc w:val="center"/>
        </w:trPr>
        <w:tc>
          <w:tcPr>
            <w:tcW w:w="9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lastRenderedPageBreak/>
              <w:t>Summary of Rate Changes for All Frontier Companies</w:t>
            </w:r>
          </w:p>
        </w:tc>
      </w:tr>
      <w:tr w:rsidR="008B154A" w:rsidRPr="008B154A" w:rsidTr="0068247C">
        <w:trPr>
          <w:trHeight w:val="196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Service Description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Rates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 xml:space="preserve">Net </w:t>
            </w:r>
          </w:p>
        </w:tc>
      </w:tr>
      <w:tr w:rsidR="008B154A" w:rsidRPr="008B154A" w:rsidTr="0068247C">
        <w:trPr>
          <w:trHeight w:val="189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Existing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Proposed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Increase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b/>
                <w:bCs/>
                <w:color w:val="000000"/>
                <w:szCs w:val="24"/>
                <w:u w:val="single"/>
              </w:rPr>
            </w:pPr>
            <w:r w:rsidRPr="008B154A">
              <w:rPr>
                <w:b/>
                <w:bCs/>
                <w:color w:val="000000"/>
                <w:szCs w:val="24"/>
                <w:u w:val="single"/>
              </w:rPr>
              <w:t>Frontier Breezewood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Breezewood R-1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$21.42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$0.73 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Breezewood B-1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$23.31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$24.31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$1.00 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proofErr w:type="spellStart"/>
            <w:r w:rsidRPr="008B154A">
              <w:rPr>
                <w:color w:val="000000"/>
                <w:szCs w:val="24"/>
              </w:rPr>
              <w:t>Needmore</w:t>
            </w:r>
            <w:proofErr w:type="spellEnd"/>
            <w:r w:rsidRPr="008B154A">
              <w:rPr>
                <w:color w:val="000000"/>
                <w:szCs w:val="24"/>
              </w:rPr>
              <w:t xml:space="preserve"> R-1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$21.42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$0.73 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proofErr w:type="spellStart"/>
            <w:r w:rsidRPr="008B154A">
              <w:rPr>
                <w:color w:val="000000"/>
                <w:szCs w:val="24"/>
              </w:rPr>
              <w:t>Needmore</w:t>
            </w:r>
            <w:proofErr w:type="spellEnd"/>
            <w:r w:rsidRPr="008B154A">
              <w:rPr>
                <w:color w:val="000000"/>
                <w:szCs w:val="24"/>
              </w:rPr>
              <w:t xml:space="preserve"> B-1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$23.31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$24.31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$1.00 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New Grenada R-1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$21.42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$0.73 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New Grenada B-1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$23.31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$24.31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$1.00 </w:t>
            </w:r>
          </w:p>
        </w:tc>
      </w:tr>
      <w:tr w:rsidR="008B154A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proofErr w:type="spellStart"/>
            <w:r w:rsidRPr="008B154A">
              <w:rPr>
                <w:color w:val="000000"/>
                <w:szCs w:val="24"/>
              </w:rPr>
              <w:t>Warfordsburg</w:t>
            </w:r>
            <w:proofErr w:type="spellEnd"/>
            <w:r w:rsidRPr="008B154A">
              <w:rPr>
                <w:color w:val="000000"/>
                <w:szCs w:val="24"/>
              </w:rPr>
              <w:t xml:space="preserve"> R-1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$21.42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$0.73 </w:t>
            </w:r>
          </w:p>
        </w:tc>
      </w:tr>
      <w:tr w:rsidR="008B154A" w:rsidRPr="008B154A" w:rsidTr="0068247C">
        <w:trPr>
          <w:trHeight w:val="40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rPr>
                <w:color w:val="000000"/>
                <w:szCs w:val="24"/>
              </w:rPr>
            </w:pPr>
            <w:proofErr w:type="spellStart"/>
            <w:r w:rsidRPr="008B154A">
              <w:rPr>
                <w:color w:val="000000"/>
                <w:szCs w:val="24"/>
              </w:rPr>
              <w:t>Warfordsburg</w:t>
            </w:r>
            <w:proofErr w:type="spellEnd"/>
            <w:r w:rsidRPr="008B154A">
              <w:rPr>
                <w:color w:val="000000"/>
                <w:szCs w:val="24"/>
              </w:rPr>
              <w:t xml:space="preserve"> B-1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$23.31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$24.31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154A" w:rsidRPr="008B154A" w:rsidRDefault="008B154A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$1.00 </w:t>
            </w:r>
          </w:p>
        </w:tc>
      </w:tr>
      <w:tr w:rsidR="0055177D" w:rsidRPr="008B154A" w:rsidTr="0068247C">
        <w:trPr>
          <w:trHeight w:val="330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 xml:space="preserve">ustomer </w:t>
            </w:r>
            <w:r w:rsidRPr="008B154A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wned </w:t>
            </w:r>
            <w:r w:rsidRPr="008B154A">
              <w:rPr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 xml:space="preserve">oin </w:t>
            </w:r>
            <w:r w:rsidRPr="008B154A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perated </w:t>
            </w:r>
            <w:r w:rsidRPr="008B154A">
              <w:rPr>
                <w:color w:val="000000"/>
                <w:szCs w:val="24"/>
              </w:rPr>
              <w:t>T</w:t>
            </w:r>
            <w:r>
              <w:rPr>
                <w:color w:val="000000"/>
                <w:szCs w:val="24"/>
              </w:rPr>
              <w:t>elephone</w:t>
            </w:r>
            <w:r w:rsidR="00DE6669">
              <w:rPr>
                <w:color w:val="000000"/>
                <w:szCs w:val="24"/>
              </w:rPr>
              <w:t xml:space="preserve"> Line</w:t>
            </w:r>
            <w:r>
              <w:rPr>
                <w:color w:val="000000"/>
                <w:szCs w:val="24"/>
              </w:rPr>
              <w:t xml:space="preserve"> (COCOT)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auto"/>
                <w:szCs w:val="24"/>
              </w:rPr>
            </w:pPr>
            <w:r w:rsidRPr="008B154A">
              <w:rPr>
                <w:color w:val="auto"/>
                <w:szCs w:val="24"/>
              </w:rPr>
              <w:t xml:space="preserve">$22.39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$23.64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$1.25 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b/>
                <w:bCs/>
                <w:color w:val="000000"/>
                <w:szCs w:val="24"/>
                <w:u w:val="single"/>
              </w:rPr>
            </w:pPr>
            <w:r w:rsidRPr="008B154A">
              <w:rPr>
                <w:b/>
                <w:bCs/>
                <w:color w:val="000000"/>
                <w:szCs w:val="24"/>
                <w:u w:val="single"/>
              </w:rPr>
              <w:t>Frontier Pennsylvania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Residence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Flat Rate Service Rate Groups 1-3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$20.65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$21.15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$0.50 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Message Rate Service Rate Groups 1-3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$12.25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$12.75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$0.50 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B154A">
              <w:rPr>
                <w:b/>
                <w:bCs/>
                <w:color w:val="000000"/>
                <w:szCs w:val="24"/>
              </w:rPr>
              <w:t>Business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Individual Measured Service Rate Groups 1-3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$24.80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$0.55 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PBX Trunk Measured Service Rate Groups 1-3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$24.80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$0.55 </w:t>
            </w:r>
          </w:p>
        </w:tc>
      </w:tr>
      <w:tr w:rsidR="0055177D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Key Station Trunk Measured Service Rate Groups 1-3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$24.80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177D" w:rsidRPr="008B154A" w:rsidRDefault="0055177D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$0.55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 xml:space="preserve">ustomer </w:t>
            </w:r>
            <w:r w:rsidRPr="008B154A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wned </w:t>
            </w:r>
            <w:r w:rsidRPr="008B154A">
              <w:rPr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 xml:space="preserve">oin </w:t>
            </w:r>
            <w:r w:rsidRPr="008B154A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perated </w:t>
            </w:r>
            <w:r w:rsidRPr="008B154A">
              <w:rPr>
                <w:color w:val="000000"/>
                <w:szCs w:val="24"/>
              </w:rPr>
              <w:t>T</w:t>
            </w:r>
            <w:r>
              <w:rPr>
                <w:color w:val="000000"/>
                <w:szCs w:val="24"/>
              </w:rPr>
              <w:t>elephone Line (COCOT)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$24.23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$1.50 </w:t>
            </w:r>
          </w:p>
        </w:tc>
      </w:tr>
      <w:tr w:rsidR="00DE6669" w:rsidRPr="008B154A" w:rsidTr="0068247C">
        <w:trPr>
          <w:trHeight w:val="330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Semi-Pub</w:t>
            </w:r>
            <w:r>
              <w:rPr>
                <w:color w:val="000000"/>
                <w:szCs w:val="24"/>
              </w:rPr>
              <w:t>lic Telephone Line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$22.73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$24.23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$1.50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b/>
                <w:bCs/>
                <w:color w:val="000000"/>
                <w:szCs w:val="24"/>
                <w:u w:val="single"/>
              </w:rPr>
            </w:pPr>
            <w:r w:rsidRPr="008B154A">
              <w:rPr>
                <w:b/>
                <w:bCs/>
                <w:color w:val="000000"/>
                <w:szCs w:val="24"/>
                <w:u w:val="single"/>
              </w:rPr>
              <w:t>Frontier Canton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Canton Residence Access Line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$21.42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$0.73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Canton Business Access Line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$29.51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$30.51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$1.00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Leroy Residence Access Line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$21.42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$0.73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b/>
                <w:bCs/>
                <w:color w:val="000000"/>
                <w:szCs w:val="24"/>
                <w:u w:val="single"/>
              </w:rPr>
            </w:pPr>
            <w:r w:rsidRPr="008B154A">
              <w:rPr>
                <w:b/>
                <w:bCs/>
                <w:color w:val="000000"/>
                <w:szCs w:val="24"/>
                <w:u w:val="single"/>
              </w:rPr>
              <w:t>Frontier Lakewood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R-1 Rate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$21.55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$0.60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B-1 Rate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$26.66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$27.26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$0.60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PBX Trunk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$31.91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$32.41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$0.50 </w:t>
            </w:r>
          </w:p>
        </w:tc>
      </w:tr>
      <w:tr w:rsidR="00DE6669" w:rsidRPr="008B154A" w:rsidTr="0068247C">
        <w:trPr>
          <w:trHeight w:val="330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Semi-Pub</w:t>
            </w:r>
            <w:r>
              <w:rPr>
                <w:color w:val="000000"/>
                <w:szCs w:val="24"/>
              </w:rPr>
              <w:t>lic Telephone Line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$25.74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$26.99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$1.25 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b/>
                <w:bCs/>
                <w:color w:val="000000"/>
                <w:szCs w:val="24"/>
                <w:u w:val="single"/>
              </w:rPr>
            </w:pPr>
            <w:r w:rsidRPr="008B154A">
              <w:rPr>
                <w:b/>
                <w:bCs/>
                <w:color w:val="000000"/>
                <w:szCs w:val="24"/>
                <w:u w:val="single"/>
              </w:rPr>
              <w:t>Frontier Oswayo River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auto"/>
                <w:sz w:val="20"/>
              </w:rPr>
            </w:pPr>
            <w:r w:rsidRPr="008B154A">
              <w:rPr>
                <w:color w:val="auto"/>
                <w:sz w:val="20"/>
              </w:rPr>
              <w:t> </w:t>
            </w:r>
          </w:p>
        </w:tc>
      </w:tr>
      <w:tr w:rsidR="00DE6669" w:rsidRPr="008B154A" w:rsidTr="0068247C">
        <w:trPr>
          <w:trHeight w:val="315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R-1 Rate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$21.42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$22.15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$0.73 </w:t>
            </w:r>
          </w:p>
        </w:tc>
      </w:tr>
      <w:tr w:rsidR="00DE6669" w:rsidRPr="008B154A" w:rsidTr="0068247C">
        <w:trPr>
          <w:trHeight w:val="330"/>
          <w:jc w:val="center"/>
        </w:trPr>
        <w:tc>
          <w:tcPr>
            <w:tcW w:w="6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>B-1 Rate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$33.36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$34.39 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6669" w:rsidRPr="008B154A" w:rsidRDefault="00DE6669" w:rsidP="008B154A">
            <w:pPr>
              <w:jc w:val="center"/>
              <w:rPr>
                <w:color w:val="000000"/>
                <w:szCs w:val="24"/>
              </w:rPr>
            </w:pPr>
            <w:r w:rsidRPr="008B154A">
              <w:rPr>
                <w:color w:val="000000"/>
                <w:szCs w:val="24"/>
              </w:rPr>
              <w:t xml:space="preserve">$1.03 </w:t>
            </w:r>
          </w:p>
        </w:tc>
      </w:tr>
    </w:tbl>
    <w:p w:rsidR="004016C3" w:rsidRDefault="004016C3" w:rsidP="004016C3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DE6669" w:rsidRDefault="00DE6669" w:rsidP="00301242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On January 19, 2017, the Commission approved the Joint Petition for Settlement resolving the complaint filed by the Office of Small Business Advocate against the </w:t>
      </w:r>
      <w:r>
        <w:rPr>
          <w:color w:val="000000"/>
          <w:sz w:val="26"/>
          <w:szCs w:val="26"/>
        </w:rPr>
        <w:lastRenderedPageBreak/>
        <w:t>Companies’ 2016 PSI/SPI filing and proposed rate increases.</w:t>
      </w:r>
      <w:r>
        <w:rPr>
          <w:rStyle w:val="FootnoteReference"/>
          <w:color w:val="000000"/>
          <w:sz w:val="26"/>
          <w:szCs w:val="26"/>
        </w:rPr>
        <w:footnoteReference w:id="4"/>
      </w:r>
      <w:r>
        <w:rPr>
          <w:color w:val="000000"/>
          <w:sz w:val="26"/>
          <w:szCs w:val="26"/>
        </w:rPr>
        <w:t xml:space="preserve">  As part of the Settlement Petition, the Companies agreed to not increase residential and business dial tone rates above the levels set forth in Appendix A to the Settlement Petition (the “2017 Settlement Rates”) as part of their 2017 PSI/SPI filing.  Our review of the rate increases proposed by the Companies indicates they do not exceed the 2017 Settlement Rates.  </w:t>
      </w:r>
    </w:p>
    <w:p w:rsidR="00E2163A" w:rsidRDefault="002A234D" w:rsidP="0068247C">
      <w:pPr>
        <w:spacing w:after="12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C35AA">
        <w:rPr>
          <w:color w:val="000000"/>
          <w:sz w:val="26"/>
          <w:szCs w:val="26"/>
        </w:rPr>
        <w:t>The table below shows the</w:t>
      </w:r>
      <w:r w:rsidR="00B12D59">
        <w:rPr>
          <w:color w:val="000000"/>
          <w:sz w:val="26"/>
          <w:szCs w:val="26"/>
        </w:rPr>
        <w:t xml:space="preserve"> breakdown of each Company’s actual revenue increase, current SPI and new SPI given these</w:t>
      </w:r>
      <w:r w:rsidR="00E255B8">
        <w:rPr>
          <w:color w:val="000000"/>
          <w:sz w:val="26"/>
          <w:szCs w:val="26"/>
        </w:rPr>
        <w:t xml:space="preserve"> </w:t>
      </w:r>
      <w:r w:rsidR="00FD581F">
        <w:rPr>
          <w:color w:val="000000"/>
          <w:sz w:val="26"/>
          <w:szCs w:val="26"/>
        </w:rPr>
        <w:t>proposed revenue</w:t>
      </w:r>
      <w:r w:rsidR="00B12D59">
        <w:rPr>
          <w:color w:val="000000"/>
          <w:sz w:val="26"/>
          <w:szCs w:val="26"/>
        </w:rPr>
        <w:t xml:space="preserve"> increases.  </w:t>
      </w:r>
    </w:p>
    <w:tbl>
      <w:tblPr>
        <w:tblW w:w="8762" w:type="dxa"/>
        <w:jc w:val="right"/>
        <w:tblInd w:w="-259" w:type="dxa"/>
        <w:tblLook w:val="04A0" w:firstRow="1" w:lastRow="0" w:firstColumn="1" w:lastColumn="0" w:noHBand="0" w:noVBand="1"/>
      </w:tblPr>
      <w:tblGrid>
        <w:gridCol w:w="2210"/>
        <w:gridCol w:w="3393"/>
        <w:gridCol w:w="1719"/>
        <w:gridCol w:w="1440"/>
      </w:tblGrid>
      <w:tr w:rsidR="00D35C15" w:rsidRPr="00D35C15" w:rsidTr="00930C28">
        <w:trPr>
          <w:trHeight w:val="300"/>
          <w:jc w:val="right"/>
        </w:trPr>
        <w:tc>
          <w:tcPr>
            <w:tcW w:w="87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Actual Revenue Increases, Current SPIs and New SPIs for all Frontier Companies</w:t>
            </w:r>
          </w:p>
        </w:tc>
      </w:tr>
      <w:tr w:rsidR="00D35C15" w:rsidRPr="00D35C15" w:rsidTr="00930C28">
        <w:trPr>
          <w:trHeight w:val="300"/>
          <w:jc w:val="right"/>
        </w:trPr>
        <w:tc>
          <w:tcPr>
            <w:tcW w:w="22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Company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Actual Revenue Increase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Current SPI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New SPI</w:t>
            </w:r>
          </w:p>
        </w:tc>
      </w:tr>
      <w:tr w:rsidR="00D35C15" w:rsidRPr="00D35C15" w:rsidTr="00930C28">
        <w:trPr>
          <w:trHeight w:val="315"/>
          <w:jc w:val="right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Breezewood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right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 xml:space="preserve">$4,138.00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107.688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108.980</w:t>
            </w:r>
          </w:p>
        </w:tc>
      </w:tr>
      <w:tr w:rsidR="00D35C15" w:rsidRPr="00D35C15" w:rsidTr="00930C28">
        <w:trPr>
          <w:trHeight w:val="315"/>
          <w:jc w:val="right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Pennsylvania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right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 xml:space="preserve">$19,720.00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109.849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110.947</w:t>
            </w:r>
          </w:p>
        </w:tc>
      </w:tr>
      <w:tr w:rsidR="00D35C15" w:rsidRPr="00D35C15" w:rsidTr="00930C28">
        <w:trPr>
          <w:trHeight w:val="315"/>
          <w:jc w:val="right"/>
        </w:trPr>
        <w:tc>
          <w:tcPr>
            <w:tcW w:w="22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Canton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right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 xml:space="preserve">$4,410.00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106.766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107.621</w:t>
            </w:r>
          </w:p>
        </w:tc>
      </w:tr>
      <w:tr w:rsidR="00D35C15" w:rsidRPr="00D35C15" w:rsidTr="00930C28">
        <w:trPr>
          <w:trHeight w:val="315"/>
          <w:jc w:val="right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Lakewood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right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 xml:space="preserve">$1,756.00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108.474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109.342</w:t>
            </w:r>
          </w:p>
        </w:tc>
      </w:tr>
      <w:tr w:rsidR="00D35C15" w:rsidRPr="00D35C15" w:rsidTr="00930C28">
        <w:trPr>
          <w:trHeight w:val="315"/>
          <w:jc w:val="right"/>
        </w:trPr>
        <w:tc>
          <w:tcPr>
            <w:tcW w:w="22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Oswayo River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right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 xml:space="preserve">$2,592.00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106.915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color w:val="000000"/>
                <w:szCs w:val="24"/>
              </w:rPr>
            </w:pPr>
            <w:r w:rsidRPr="00930C28">
              <w:rPr>
                <w:color w:val="000000"/>
                <w:szCs w:val="24"/>
              </w:rPr>
              <w:t>107.984</w:t>
            </w:r>
          </w:p>
        </w:tc>
      </w:tr>
      <w:tr w:rsidR="00D35C15" w:rsidRPr="00D35C15" w:rsidTr="00930C28">
        <w:trPr>
          <w:trHeight w:val="300"/>
          <w:jc w:val="right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Combined: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 xml:space="preserve">$32,616.00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C15" w:rsidRPr="00930C28" w:rsidRDefault="00D35C15" w:rsidP="00D35C1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30C28">
              <w:rPr>
                <w:b/>
                <w:bCs/>
                <w:color w:val="000000"/>
                <w:szCs w:val="24"/>
              </w:rPr>
              <w:t> </w:t>
            </w:r>
          </w:p>
        </w:tc>
      </w:tr>
    </w:tbl>
    <w:p w:rsidR="00D82982" w:rsidRDefault="00675714" w:rsidP="00FD581F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87620">
        <w:rPr>
          <w:color w:val="000000"/>
          <w:sz w:val="26"/>
          <w:szCs w:val="26"/>
        </w:rPr>
        <w:tab/>
      </w:r>
    </w:p>
    <w:p w:rsidR="00675714" w:rsidRPr="00FD581F" w:rsidRDefault="00D82982" w:rsidP="00C87620">
      <w:pPr>
        <w:spacing w:after="240" w:line="360" w:lineRule="auto"/>
        <w:rPr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675714" w:rsidRPr="00A05F32">
        <w:rPr>
          <w:color w:val="000000"/>
          <w:sz w:val="26"/>
          <w:szCs w:val="26"/>
        </w:rPr>
        <w:t>Combined, the Companies</w:t>
      </w:r>
      <w:r w:rsidR="00675714">
        <w:rPr>
          <w:color w:val="000000"/>
          <w:sz w:val="26"/>
          <w:szCs w:val="26"/>
        </w:rPr>
        <w:t xml:space="preserve"> now</w:t>
      </w:r>
      <w:r w:rsidR="003F620D">
        <w:rPr>
          <w:color w:val="000000"/>
          <w:sz w:val="26"/>
          <w:szCs w:val="26"/>
        </w:rPr>
        <w:t xml:space="preserve"> have a remaining</w:t>
      </w:r>
      <w:r w:rsidR="00675714" w:rsidRPr="00A05F32">
        <w:rPr>
          <w:color w:val="000000"/>
          <w:sz w:val="26"/>
          <w:szCs w:val="26"/>
        </w:rPr>
        <w:t xml:space="preserve"> aggregate cumulative banked amount totaling </w:t>
      </w:r>
      <w:r w:rsidR="00C73173" w:rsidRPr="00C73173">
        <w:rPr>
          <w:color w:val="000000"/>
          <w:sz w:val="26"/>
          <w:szCs w:val="26"/>
        </w:rPr>
        <w:t>$</w:t>
      </w:r>
      <w:r w:rsidR="00D35C15">
        <w:rPr>
          <w:color w:val="000000"/>
          <w:sz w:val="26"/>
          <w:szCs w:val="26"/>
        </w:rPr>
        <w:t>72,877.71</w:t>
      </w:r>
      <w:r w:rsidR="00E255B8">
        <w:rPr>
          <w:color w:val="000000"/>
          <w:sz w:val="26"/>
          <w:szCs w:val="26"/>
        </w:rPr>
        <w:t xml:space="preserve"> to be carried forward for future use</w:t>
      </w:r>
      <w:r w:rsidR="0087183F">
        <w:rPr>
          <w:color w:val="000000"/>
          <w:sz w:val="26"/>
          <w:szCs w:val="26"/>
        </w:rPr>
        <w:t>.</w:t>
      </w:r>
      <w:r w:rsidR="00675714">
        <w:rPr>
          <w:color w:val="000000"/>
          <w:sz w:val="26"/>
          <w:szCs w:val="26"/>
        </w:rPr>
        <w:t xml:space="preserve"> </w:t>
      </w:r>
      <w:r w:rsidR="0087183F">
        <w:rPr>
          <w:color w:val="000000"/>
          <w:sz w:val="26"/>
          <w:szCs w:val="26"/>
        </w:rPr>
        <w:t xml:space="preserve"> We </w:t>
      </w:r>
      <w:r w:rsidR="00675714">
        <w:rPr>
          <w:color w:val="000000"/>
          <w:sz w:val="26"/>
          <w:szCs w:val="26"/>
        </w:rPr>
        <w:t>note that the Companies’ Chapter 30 Plan restricts the banking of any deferred rate increases for a period not to exce</w:t>
      </w:r>
      <w:r w:rsidR="00C73173">
        <w:rPr>
          <w:color w:val="000000"/>
          <w:sz w:val="26"/>
          <w:szCs w:val="26"/>
        </w:rPr>
        <w:t xml:space="preserve">ed four consecutive years.  </w:t>
      </w:r>
      <w:r w:rsidR="00675714" w:rsidRPr="00A05F32">
        <w:rPr>
          <w:color w:val="000000"/>
          <w:sz w:val="26"/>
          <w:szCs w:val="26"/>
        </w:rPr>
        <w:t>The table be</w:t>
      </w:r>
      <w:r w:rsidR="00675714">
        <w:rPr>
          <w:color w:val="000000"/>
          <w:sz w:val="26"/>
          <w:szCs w:val="26"/>
        </w:rPr>
        <w:t xml:space="preserve">low shows the </w:t>
      </w:r>
      <w:r w:rsidR="00675714" w:rsidRPr="00E255B8">
        <w:rPr>
          <w:color w:val="000000"/>
          <w:sz w:val="26"/>
          <w:szCs w:val="26"/>
        </w:rPr>
        <w:t xml:space="preserve">breakdown of the banked amounts by Company.  </w:t>
      </w:r>
    </w:p>
    <w:tbl>
      <w:tblPr>
        <w:tblW w:w="8920" w:type="dxa"/>
        <w:jc w:val="center"/>
        <w:tblInd w:w="93" w:type="dxa"/>
        <w:tblLook w:val="04A0" w:firstRow="1" w:lastRow="0" w:firstColumn="1" w:lastColumn="0" w:noHBand="0" w:noVBand="1"/>
      </w:tblPr>
      <w:tblGrid>
        <w:gridCol w:w="1523"/>
        <w:gridCol w:w="1465"/>
        <w:gridCol w:w="1465"/>
        <w:gridCol w:w="1465"/>
        <w:gridCol w:w="1465"/>
        <w:gridCol w:w="1537"/>
      </w:tblGrid>
      <w:tr w:rsidR="003B6C9F" w:rsidRPr="00930C28" w:rsidTr="003B6C9F">
        <w:trPr>
          <w:trHeight w:val="300"/>
          <w:jc w:val="center"/>
        </w:trPr>
        <w:tc>
          <w:tcPr>
            <w:tcW w:w="8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>Banking Summary for All Frontier Companies</w:t>
            </w:r>
          </w:p>
        </w:tc>
      </w:tr>
      <w:tr w:rsidR="003B6C9F" w:rsidRPr="00930C28" w:rsidTr="003B6C9F">
        <w:trPr>
          <w:trHeight w:val="300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30C28">
              <w:rPr>
                <w:b/>
                <w:bCs/>
                <w:color w:val="auto"/>
                <w:sz w:val="22"/>
                <w:szCs w:val="22"/>
              </w:rPr>
              <w:t>Company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>2017 Banked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>2016 Banked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>2015 Banked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>2014 Banked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>Total Banked</w:t>
            </w:r>
          </w:p>
        </w:tc>
      </w:tr>
      <w:tr w:rsidR="003B6C9F" w:rsidRPr="00930C28" w:rsidTr="003B6C9F">
        <w:trPr>
          <w:trHeight w:val="315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>Breezewood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$4,306.35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$3,842.59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$7,851.21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$3,940.06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$19,940.21 </w:t>
            </w:r>
          </w:p>
        </w:tc>
      </w:tr>
      <w:tr w:rsidR="003B6C9F" w:rsidRPr="00930C28" w:rsidTr="003B6C9F">
        <w:trPr>
          <w:trHeight w:val="315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>Pennsylvania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$11,723.58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$0.00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$0.00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$0.00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$11,723.58 </w:t>
            </w:r>
          </w:p>
        </w:tc>
      </w:tr>
      <w:tr w:rsidR="003B6C9F" w:rsidRPr="00930C28" w:rsidTr="003B6C9F">
        <w:trPr>
          <w:trHeight w:val="315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>Canton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$6,615.76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$5,344.78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$9,981.05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$7,451.17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$29,392.76 </w:t>
            </w:r>
          </w:p>
        </w:tc>
      </w:tr>
      <w:tr w:rsidR="003B6C9F" w:rsidRPr="00930C28" w:rsidTr="003B6C9F">
        <w:trPr>
          <w:trHeight w:val="315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>Lakewood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$2,535.04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$0.00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$0.00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$0.00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$2,535.04 </w:t>
            </w:r>
          </w:p>
        </w:tc>
      </w:tr>
      <w:tr w:rsidR="003B6C9F" w:rsidRPr="00930C28" w:rsidTr="003B6C9F">
        <w:trPr>
          <w:trHeight w:val="315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>Oswayo River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auto"/>
                <w:sz w:val="22"/>
                <w:szCs w:val="22"/>
              </w:rPr>
            </w:pPr>
            <w:r w:rsidRPr="00930C28">
              <w:rPr>
                <w:color w:val="auto"/>
                <w:sz w:val="22"/>
                <w:szCs w:val="22"/>
              </w:rPr>
              <w:t xml:space="preserve">$3,404.43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$2,623.78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$3,257.91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$0.00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color w:val="000000"/>
                <w:sz w:val="22"/>
                <w:szCs w:val="22"/>
              </w:rPr>
            </w:pPr>
            <w:r w:rsidRPr="00930C28">
              <w:rPr>
                <w:color w:val="000000"/>
                <w:sz w:val="22"/>
                <w:szCs w:val="22"/>
              </w:rPr>
              <w:t xml:space="preserve">$9,286.12 </w:t>
            </w:r>
          </w:p>
        </w:tc>
      </w:tr>
      <w:tr w:rsidR="003B6C9F" w:rsidRPr="00930C28" w:rsidTr="003B6C9F">
        <w:trPr>
          <w:trHeight w:val="300"/>
          <w:jc w:val="center"/>
        </w:trPr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30C28">
              <w:rPr>
                <w:b/>
                <w:bCs/>
                <w:color w:val="auto"/>
                <w:sz w:val="22"/>
                <w:szCs w:val="22"/>
              </w:rPr>
              <w:t>Combined: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 xml:space="preserve">$28,585.16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 xml:space="preserve">$11,811.15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 xml:space="preserve">$21,090.17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 xml:space="preserve">$11,391.23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C9F" w:rsidRPr="00930C28" w:rsidRDefault="003B6C9F" w:rsidP="003B6C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0C28">
              <w:rPr>
                <w:b/>
                <w:bCs/>
                <w:color w:val="000000"/>
                <w:sz w:val="22"/>
                <w:szCs w:val="22"/>
              </w:rPr>
              <w:t xml:space="preserve">$72,877.71 </w:t>
            </w:r>
          </w:p>
        </w:tc>
      </w:tr>
    </w:tbl>
    <w:p w:rsidR="00754B06" w:rsidRPr="00014F2B" w:rsidRDefault="001D27C8" w:rsidP="006C3DD2">
      <w:pPr>
        <w:tabs>
          <w:tab w:val="left" w:pos="0"/>
        </w:tabs>
        <w:spacing w:after="240" w:line="360" w:lineRule="auto"/>
        <w:ind w:left="360" w:hanging="36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III.</w:t>
      </w:r>
      <w:r>
        <w:rPr>
          <w:b/>
          <w:color w:val="000000"/>
          <w:sz w:val="26"/>
          <w:szCs w:val="26"/>
        </w:rPr>
        <w:tab/>
      </w:r>
      <w:r w:rsidR="0087183F">
        <w:rPr>
          <w:b/>
          <w:color w:val="000000"/>
          <w:sz w:val="26"/>
          <w:szCs w:val="26"/>
        </w:rPr>
        <w:t>CONCLUSION</w:t>
      </w:r>
    </w:p>
    <w:p w:rsidR="00FB12E2" w:rsidRDefault="00FB12E2" w:rsidP="00FB12E2">
      <w:pPr>
        <w:spacing w:after="240" w:line="360" w:lineRule="auto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87183F" w:rsidRPr="00A05F32">
        <w:rPr>
          <w:color w:val="000000"/>
          <w:sz w:val="26"/>
          <w:szCs w:val="26"/>
        </w:rPr>
        <w:t xml:space="preserve">Our review </w:t>
      </w:r>
      <w:r>
        <w:rPr>
          <w:color w:val="000000"/>
          <w:sz w:val="26"/>
          <w:szCs w:val="26"/>
        </w:rPr>
        <w:t xml:space="preserve">of the Companies’ </w:t>
      </w:r>
      <w:r w:rsidR="00C73173">
        <w:rPr>
          <w:color w:val="000000"/>
          <w:sz w:val="26"/>
          <w:szCs w:val="26"/>
        </w:rPr>
        <w:t>combined 2017</w:t>
      </w:r>
      <w:r w:rsidR="0087183F">
        <w:rPr>
          <w:color w:val="000000"/>
          <w:sz w:val="26"/>
          <w:szCs w:val="26"/>
        </w:rPr>
        <w:t xml:space="preserve"> PSI/SPI Report</w:t>
      </w:r>
      <w:r w:rsidR="0087183F" w:rsidRPr="00A05F32">
        <w:rPr>
          <w:color w:val="000000"/>
          <w:sz w:val="26"/>
          <w:szCs w:val="26"/>
        </w:rPr>
        <w:t xml:space="preserve"> indicates </w:t>
      </w:r>
      <w:r w:rsidR="0087183F">
        <w:rPr>
          <w:color w:val="000000"/>
          <w:sz w:val="26"/>
          <w:szCs w:val="26"/>
        </w:rPr>
        <w:t>the PSI/SPI calculations,</w:t>
      </w:r>
      <w:r w:rsidR="0087183F" w:rsidRPr="00A05F32">
        <w:rPr>
          <w:color w:val="000000"/>
          <w:sz w:val="26"/>
          <w:szCs w:val="26"/>
        </w:rPr>
        <w:t xml:space="preserve"> banked revenue calculations</w:t>
      </w:r>
      <w:r w:rsidR="0087183F">
        <w:rPr>
          <w:color w:val="000000"/>
          <w:sz w:val="26"/>
          <w:szCs w:val="26"/>
        </w:rPr>
        <w:t xml:space="preserve"> and proposed rate increases are reasonable,</w:t>
      </w:r>
      <w:r w:rsidR="0087183F" w:rsidRPr="00A05F32">
        <w:rPr>
          <w:color w:val="000000"/>
          <w:sz w:val="26"/>
          <w:szCs w:val="26"/>
        </w:rPr>
        <w:t xml:space="preserve"> consistent</w:t>
      </w:r>
      <w:r w:rsidR="0087183F">
        <w:rPr>
          <w:color w:val="000000"/>
          <w:sz w:val="26"/>
          <w:szCs w:val="26"/>
        </w:rPr>
        <w:t xml:space="preserve"> and in conformance</w:t>
      </w:r>
      <w:r w:rsidR="0087183F" w:rsidRPr="00A05F32">
        <w:rPr>
          <w:color w:val="000000"/>
          <w:sz w:val="26"/>
          <w:szCs w:val="26"/>
        </w:rPr>
        <w:t xml:space="preserve"> with the terms of the Companies’ Commission-approved Amended Joint Chapter 30 Plan</w:t>
      </w:r>
      <w:r w:rsidR="002A234D">
        <w:rPr>
          <w:color w:val="000000"/>
          <w:sz w:val="26"/>
          <w:szCs w:val="26"/>
        </w:rPr>
        <w:t xml:space="preserve"> and the Settlement Petition</w:t>
      </w:r>
      <w:r w:rsidR="0087183F" w:rsidRPr="00A05F32">
        <w:rPr>
          <w:color w:val="000000"/>
          <w:sz w:val="26"/>
          <w:szCs w:val="26"/>
        </w:rPr>
        <w:t>.  We note that in accordance with the</w:t>
      </w:r>
      <w:r w:rsidR="0087183F">
        <w:rPr>
          <w:color w:val="000000"/>
          <w:sz w:val="26"/>
          <w:szCs w:val="26"/>
        </w:rPr>
        <w:t>ir</w:t>
      </w:r>
      <w:r w:rsidR="0087183F" w:rsidRPr="00A05F32">
        <w:rPr>
          <w:color w:val="000000"/>
          <w:sz w:val="26"/>
          <w:szCs w:val="26"/>
        </w:rPr>
        <w:t xml:space="preserve"> Chapter 30 Plan, deferred </w:t>
      </w:r>
      <w:r w:rsidR="0087183F">
        <w:rPr>
          <w:color w:val="000000"/>
          <w:sz w:val="26"/>
          <w:szCs w:val="26"/>
        </w:rPr>
        <w:t xml:space="preserve">rate </w:t>
      </w:r>
      <w:r w:rsidR="0087183F" w:rsidRPr="00A05F32">
        <w:rPr>
          <w:color w:val="000000"/>
          <w:sz w:val="26"/>
          <w:szCs w:val="26"/>
        </w:rPr>
        <w:t xml:space="preserve">increases shall </w:t>
      </w:r>
      <w:r w:rsidR="0087183F">
        <w:rPr>
          <w:color w:val="000000"/>
          <w:sz w:val="26"/>
          <w:szCs w:val="26"/>
        </w:rPr>
        <w:t>accrue</w:t>
      </w:r>
      <w:r w:rsidR="0087183F" w:rsidRPr="00A05F32">
        <w:rPr>
          <w:color w:val="000000"/>
          <w:sz w:val="26"/>
          <w:szCs w:val="26"/>
        </w:rPr>
        <w:t xml:space="preserve"> no interest;</w:t>
      </w:r>
      <w:r w:rsidR="00E57CB6">
        <w:rPr>
          <w:color w:val="000000"/>
          <w:sz w:val="26"/>
          <w:szCs w:val="26"/>
        </w:rPr>
        <w:t xml:space="preserve"> </w:t>
      </w:r>
      <w:r w:rsidR="00DF7EBB" w:rsidRPr="00A05F32">
        <w:rPr>
          <w:b/>
          <w:color w:val="000000"/>
          <w:sz w:val="26"/>
          <w:szCs w:val="26"/>
        </w:rPr>
        <w:t>THEREFORE,</w:t>
      </w:r>
    </w:p>
    <w:p w:rsidR="00DF7EBB" w:rsidRPr="00FB12E2" w:rsidRDefault="00FB4F9F" w:rsidP="00FB12E2">
      <w:pPr>
        <w:spacing w:after="240"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DF7EBB" w:rsidRPr="00A05F32">
        <w:rPr>
          <w:b/>
          <w:color w:val="000000"/>
          <w:sz w:val="26"/>
          <w:szCs w:val="26"/>
        </w:rPr>
        <w:t>IT IS ORDERED:</w:t>
      </w:r>
    </w:p>
    <w:p w:rsidR="00DF7EBB" w:rsidRPr="00A05F32" w:rsidRDefault="00327D24" w:rsidP="00FB4F9F">
      <w:pPr>
        <w:spacing w:after="240" w:line="360" w:lineRule="auto"/>
        <w:ind w:firstLine="720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>1.</w:t>
      </w:r>
      <w:r w:rsidR="00C13C62" w:rsidRPr="00A05F32">
        <w:rPr>
          <w:color w:val="000000"/>
          <w:sz w:val="26"/>
          <w:szCs w:val="26"/>
        </w:rPr>
        <w:tab/>
      </w:r>
      <w:r w:rsidR="00C5408D" w:rsidRPr="00A05F32">
        <w:rPr>
          <w:color w:val="000000"/>
          <w:sz w:val="26"/>
          <w:szCs w:val="26"/>
        </w:rPr>
        <w:t>That the Compan</w:t>
      </w:r>
      <w:r w:rsidR="00971EAC" w:rsidRPr="00A05F32">
        <w:rPr>
          <w:color w:val="000000"/>
          <w:sz w:val="26"/>
          <w:szCs w:val="26"/>
        </w:rPr>
        <w:t>ie</w:t>
      </w:r>
      <w:r w:rsidR="003A5456" w:rsidRPr="00A05F32">
        <w:rPr>
          <w:color w:val="000000"/>
          <w:sz w:val="26"/>
          <w:szCs w:val="26"/>
        </w:rPr>
        <w:t>s</w:t>
      </w:r>
      <w:r w:rsidR="00971EAC" w:rsidRPr="00A05F32">
        <w:rPr>
          <w:color w:val="000000"/>
          <w:sz w:val="26"/>
          <w:szCs w:val="26"/>
        </w:rPr>
        <w:t>’</w:t>
      </w:r>
      <w:r w:rsidR="00C728BE">
        <w:rPr>
          <w:color w:val="000000"/>
          <w:sz w:val="26"/>
          <w:szCs w:val="26"/>
        </w:rPr>
        <w:t xml:space="preserve"> combined</w:t>
      </w:r>
      <w:r w:rsidR="003A5456" w:rsidRPr="00A05F32">
        <w:rPr>
          <w:color w:val="000000"/>
          <w:sz w:val="26"/>
          <w:szCs w:val="26"/>
        </w:rPr>
        <w:t xml:space="preserve"> </w:t>
      </w:r>
      <w:r w:rsidR="00C73173">
        <w:rPr>
          <w:color w:val="000000"/>
          <w:sz w:val="26"/>
          <w:szCs w:val="26"/>
        </w:rPr>
        <w:t>2017</w:t>
      </w:r>
      <w:r w:rsidR="00C5408D" w:rsidRPr="00A05F32">
        <w:rPr>
          <w:color w:val="000000"/>
          <w:sz w:val="26"/>
          <w:szCs w:val="26"/>
        </w:rPr>
        <w:t xml:space="preserve"> P</w:t>
      </w:r>
      <w:r w:rsidR="003A5456" w:rsidRPr="00A05F32">
        <w:rPr>
          <w:color w:val="000000"/>
          <w:sz w:val="26"/>
          <w:szCs w:val="26"/>
        </w:rPr>
        <w:t>S</w:t>
      </w:r>
      <w:r w:rsidR="00C5408D" w:rsidRPr="00A05F32">
        <w:rPr>
          <w:color w:val="000000"/>
          <w:sz w:val="26"/>
          <w:szCs w:val="26"/>
        </w:rPr>
        <w:t>I/SPI</w:t>
      </w:r>
      <w:r w:rsidR="00442C90">
        <w:rPr>
          <w:color w:val="000000"/>
          <w:sz w:val="26"/>
          <w:szCs w:val="26"/>
        </w:rPr>
        <w:t xml:space="preserve"> Report</w:t>
      </w:r>
      <w:r w:rsidR="00C5408D" w:rsidRPr="00A05F32">
        <w:rPr>
          <w:color w:val="000000"/>
          <w:sz w:val="26"/>
          <w:szCs w:val="26"/>
        </w:rPr>
        <w:t xml:space="preserve"> </w:t>
      </w:r>
      <w:r w:rsidR="00EF74DA" w:rsidRPr="00A05F32">
        <w:rPr>
          <w:color w:val="000000"/>
          <w:sz w:val="26"/>
          <w:szCs w:val="26"/>
        </w:rPr>
        <w:t>is</w:t>
      </w:r>
      <w:r w:rsidR="00A05F32" w:rsidRPr="00A05F32">
        <w:rPr>
          <w:color w:val="000000"/>
          <w:sz w:val="26"/>
          <w:szCs w:val="26"/>
        </w:rPr>
        <w:t xml:space="preserve"> consistent with their </w:t>
      </w:r>
      <w:r w:rsidR="009936BA">
        <w:rPr>
          <w:color w:val="000000"/>
          <w:sz w:val="26"/>
          <w:szCs w:val="26"/>
        </w:rPr>
        <w:t>Commission-approved</w:t>
      </w:r>
      <w:r w:rsidR="00501F5B">
        <w:rPr>
          <w:color w:val="000000"/>
          <w:sz w:val="26"/>
          <w:szCs w:val="26"/>
        </w:rPr>
        <w:t xml:space="preserve"> </w:t>
      </w:r>
      <w:r w:rsidR="00C5408D" w:rsidRPr="00A05F32">
        <w:rPr>
          <w:color w:val="000000"/>
          <w:sz w:val="26"/>
          <w:szCs w:val="26"/>
        </w:rPr>
        <w:t>A</w:t>
      </w:r>
      <w:r w:rsidR="00C13C62" w:rsidRPr="00A05F32">
        <w:rPr>
          <w:color w:val="000000"/>
          <w:sz w:val="26"/>
          <w:szCs w:val="26"/>
        </w:rPr>
        <w:t>mended</w:t>
      </w:r>
      <w:r w:rsidR="009936BA">
        <w:rPr>
          <w:color w:val="000000"/>
          <w:sz w:val="26"/>
          <w:szCs w:val="26"/>
        </w:rPr>
        <w:t xml:space="preserve"> Joint</w:t>
      </w:r>
      <w:r w:rsidR="00C13C62" w:rsidRPr="00A05F32">
        <w:rPr>
          <w:color w:val="000000"/>
          <w:sz w:val="26"/>
          <w:szCs w:val="26"/>
        </w:rPr>
        <w:t xml:space="preserve"> Streamlined Regulation</w:t>
      </w:r>
      <w:r w:rsidR="00FF3EF7" w:rsidRPr="00A05F32">
        <w:rPr>
          <w:color w:val="000000"/>
          <w:sz w:val="26"/>
          <w:szCs w:val="26"/>
        </w:rPr>
        <w:t xml:space="preserve"> and Network Modernization Plan and is therefore approved as filed.</w:t>
      </w:r>
    </w:p>
    <w:p w:rsidR="0087183F" w:rsidRDefault="00C13C62" w:rsidP="0087183F">
      <w:pPr>
        <w:spacing w:after="360" w:line="360" w:lineRule="auto"/>
        <w:ind w:firstLine="720"/>
        <w:rPr>
          <w:color w:val="auto"/>
          <w:sz w:val="26"/>
          <w:szCs w:val="26"/>
        </w:rPr>
      </w:pPr>
      <w:r w:rsidRPr="00A05F32">
        <w:rPr>
          <w:color w:val="000000"/>
          <w:sz w:val="26"/>
          <w:szCs w:val="26"/>
        </w:rPr>
        <w:t>2</w:t>
      </w:r>
      <w:r w:rsidR="00554FF8" w:rsidRPr="00A05F32">
        <w:rPr>
          <w:color w:val="000000"/>
          <w:sz w:val="26"/>
          <w:szCs w:val="26"/>
        </w:rPr>
        <w:t>.</w:t>
      </w:r>
      <w:r w:rsidRPr="00A05F32">
        <w:rPr>
          <w:color w:val="000000"/>
          <w:sz w:val="26"/>
          <w:szCs w:val="26"/>
        </w:rPr>
        <w:tab/>
      </w:r>
      <w:r w:rsidR="0087183F">
        <w:rPr>
          <w:color w:val="auto"/>
          <w:sz w:val="26"/>
          <w:szCs w:val="26"/>
        </w:rPr>
        <w:t>That the tariffed rate increases proposed by the Companies be permitted to go into effect as filed.</w:t>
      </w:r>
    </w:p>
    <w:p w:rsidR="0087183F" w:rsidRDefault="0087183F" w:rsidP="0087183F">
      <w:pPr>
        <w:spacing w:after="360"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</w:t>
      </w:r>
      <w:r>
        <w:rPr>
          <w:color w:val="auto"/>
          <w:sz w:val="26"/>
          <w:szCs w:val="26"/>
        </w:rPr>
        <w:tab/>
        <w:t xml:space="preserve">That a copy of this Order be served on the Office of Consumer Advocate, the Office of Small Business Advocate and the Bureau of Investigation and Enforcement. </w:t>
      </w:r>
    </w:p>
    <w:p w:rsidR="0087183F" w:rsidRDefault="0087183F" w:rsidP="0087183F">
      <w:pPr>
        <w:spacing w:after="360"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Pr="007539F1">
        <w:rPr>
          <w:color w:val="auto"/>
          <w:sz w:val="26"/>
          <w:szCs w:val="26"/>
        </w:rPr>
        <w:t>.</w:t>
      </w:r>
      <w:r w:rsidRPr="007539F1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That </w:t>
      </w:r>
      <w:r w:rsidR="00E255B8">
        <w:rPr>
          <w:color w:val="auto"/>
          <w:sz w:val="26"/>
          <w:szCs w:val="26"/>
        </w:rPr>
        <w:t>this case</w:t>
      </w:r>
      <w:r>
        <w:rPr>
          <w:color w:val="auto"/>
          <w:sz w:val="26"/>
          <w:szCs w:val="26"/>
        </w:rPr>
        <w:t xml:space="preserve"> be marked </w:t>
      </w:r>
      <w:r w:rsidRPr="007539F1">
        <w:rPr>
          <w:color w:val="auto"/>
          <w:sz w:val="26"/>
          <w:szCs w:val="26"/>
        </w:rPr>
        <w:t>closed.</w:t>
      </w:r>
    </w:p>
    <w:p w:rsidR="00DF7EBB" w:rsidRPr="00A05F32" w:rsidRDefault="005706F6" w:rsidP="006C3DD2">
      <w:pPr>
        <w:tabs>
          <w:tab w:val="left" w:pos="4320"/>
        </w:tabs>
        <w:rPr>
          <w:b/>
          <w:color w:val="000000"/>
          <w:sz w:val="26"/>
          <w:szCs w:val="26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2482D3D" wp14:editId="25FC2540">
            <wp:simplePos x="0" y="0"/>
            <wp:positionH relativeFrom="column">
              <wp:posOffset>2397760</wp:posOffset>
            </wp:positionH>
            <wp:positionV relativeFrom="paragraph">
              <wp:posOffset>-3175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A03FD8" w:rsidRPr="00A05F32">
        <w:rPr>
          <w:color w:val="000000"/>
          <w:sz w:val="26"/>
          <w:szCs w:val="26"/>
        </w:rPr>
        <w:tab/>
      </w:r>
      <w:r w:rsidR="00DF7EBB" w:rsidRPr="00A05F32">
        <w:rPr>
          <w:b/>
          <w:color w:val="000000"/>
          <w:sz w:val="26"/>
          <w:szCs w:val="26"/>
        </w:rPr>
        <w:t>BY THE COMMISSION,</w:t>
      </w:r>
    </w:p>
    <w:p w:rsidR="00DF7EBB" w:rsidRPr="00A05F32" w:rsidRDefault="00DF7EBB" w:rsidP="007539F1">
      <w:pPr>
        <w:tabs>
          <w:tab w:val="left" w:pos="4320"/>
        </w:tabs>
        <w:rPr>
          <w:b/>
          <w:color w:val="000000"/>
          <w:sz w:val="26"/>
          <w:szCs w:val="26"/>
        </w:rPr>
      </w:pPr>
    </w:p>
    <w:p w:rsidR="007539F1" w:rsidRPr="00A05F32" w:rsidRDefault="007539F1" w:rsidP="007539F1">
      <w:pPr>
        <w:tabs>
          <w:tab w:val="left" w:pos="4320"/>
        </w:tabs>
        <w:rPr>
          <w:b/>
          <w:color w:val="000000"/>
          <w:sz w:val="26"/>
          <w:szCs w:val="26"/>
        </w:rPr>
      </w:pPr>
    </w:p>
    <w:p w:rsidR="007539F1" w:rsidRPr="00A05F32" w:rsidRDefault="007539F1" w:rsidP="007539F1">
      <w:pPr>
        <w:tabs>
          <w:tab w:val="left" w:pos="4320"/>
        </w:tabs>
        <w:rPr>
          <w:b/>
          <w:color w:val="000000"/>
          <w:sz w:val="26"/>
          <w:szCs w:val="26"/>
        </w:rPr>
      </w:pPr>
    </w:p>
    <w:p w:rsidR="00DF7EBB" w:rsidRPr="00A05F32" w:rsidRDefault="00A03FD8" w:rsidP="007539F1">
      <w:pPr>
        <w:tabs>
          <w:tab w:val="left" w:pos="4320"/>
        </w:tabs>
        <w:rPr>
          <w:color w:val="000000"/>
          <w:sz w:val="26"/>
          <w:szCs w:val="26"/>
        </w:rPr>
      </w:pPr>
      <w:r w:rsidRPr="00A05F32">
        <w:rPr>
          <w:b/>
          <w:color w:val="000000"/>
          <w:sz w:val="26"/>
          <w:szCs w:val="26"/>
        </w:rPr>
        <w:tab/>
      </w:r>
      <w:r w:rsidR="00E300E3" w:rsidRPr="004929EB">
        <w:rPr>
          <w:color w:val="auto"/>
          <w:sz w:val="26"/>
          <w:szCs w:val="26"/>
        </w:rPr>
        <w:t>Rosemary Chiavetta</w:t>
      </w:r>
    </w:p>
    <w:p w:rsidR="00DF7EBB" w:rsidRPr="00A05F32" w:rsidRDefault="00DF7EBB" w:rsidP="006C3DD2">
      <w:pPr>
        <w:tabs>
          <w:tab w:val="left" w:pos="4320"/>
        </w:tabs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ab/>
        <w:t>Secretary</w:t>
      </w:r>
    </w:p>
    <w:p w:rsidR="00DF7EBB" w:rsidRPr="00A05F32" w:rsidRDefault="00DF7EB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</w:p>
    <w:p w:rsidR="007539F1" w:rsidRPr="00A05F32" w:rsidRDefault="00DF7EB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>(SEAL)</w:t>
      </w:r>
    </w:p>
    <w:p w:rsidR="00DF7EBB" w:rsidRPr="00A05F32" w:rsidRDefault="00DF7EB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 xml:space="preserve">ORDER ADOPTED: </w:t>
      </w:r>
      <w:r w:rsidR="007539F1" w:rsidRPr="00A05F32">
        <w:rPr>
          <w:color w:val="000000"/>
          <w:sz w:val="26"/>
          <w:szCs w:val="26"/>
        </w:rPr>
        <w:t xml:space="preserve"> </w:t>
      </w:r>
      <w:r w:rsidR="00C73173">
        <w:rPr>
          <w:color w:val="000000"/>
          <w:sz w:val="26"/>
          <w:szCs w:val="26"/>
        </w:rPr>
        <w:t>March 16, 2017</w:t>
      </w:r>
    </w:p>
    <w:p w:rsidR="0040590D" w:rsidRPr="0045526C" w:rsidRDefault="00DF7EBB" w:rsidP="0045526C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>ORDE</w:t>
      </w:r>
      <w:r w:rsidR="001A3ED9" w:rsidRPr="00A05F32">
        <w:rPr>
          <w:color w:val="000000"/>
          <w:sz w:val="26"/>
          <w:szCs w:val="26"/>
        </w:rPr>
        <w:t>R ENTERED</w:t>
      </w:r>
      <w:r w:rsidR="003A5456" w:rsidRPr="00A05F32">
        <w:rPr>
          <w:color w:val="000000"/>
          <w:sz w:val="26"/>
          <w:szCs w:val="26"/>
        </w:rPr>
        <w:t>:</w:t>
      </w:r>
      <w:r w:rsidR="00FF3EF7" w:rsidRPr="00A05F32">
        <w:rPr>
          <w:color w:val="000000"/>
          <w:sz w:val="26"/>
          <w:szCs w:val="26"/>
        </w:rPr>
        <w:t xml:space="preserve">  </w:t>
      </w:r>
      <w:r w:rsidR="005706F6">
        <w:rPr>
          <w:color w:val="000000"/>
          <w:sz w:val="26"/>
          <w:szCs w:val="26"/>
        </w:rPr>
        <w:t>March 16, 2017</w:t>
      </w:r>
    </w:p>
    <w:sectPr w:rsidR="0040590D" w:rsidRPr="0045526C" w:rsidSect="00FB4F9F"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13" w:rsidRDefault="00756313">
      <w:r>
        <w:separator/>
      </w:r>
    </w:p>
  </w:endnote>
  <w:endnote w:type="continuationSeparator" w:id="0">
    <w:p w:rsidR="00756313" w:rsidRDefault="0075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D" w:rsidRDefault="0077512A" w:rsidP="005367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29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99D" w:rsidRDefault="00EA2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D" w:rsidRPr="00A05F32" w:rsidRDefault="0077512A" w:rsidP="00536787">
    <w:pPr>
      <w:pStyle w:val="Footer"/>
      <w:framePr w:wrap="around" w:vAnchor="text" w:hAnchor="margin" w:xAlign="center" w:y="1"/>
      <w:rPr>
        <w:rStyle w:val="PageNumber"/>
        <w:color w:val="000000"/>
      </w:rPr>
    </w:pPr>
    <w:r w:rsidRPr="00A05F32">
      <w:rPr>
        <w:rStyle w:val="PageNumber"/>
        <w:color w:val="000000"/>
      </w:rPr>
      <w:fldChar w:fldCharType="begin"/>
    </w:r>
    <w:r w:rsidR="00EA299D" w:rsidRPr="00A05F32">
      <w:rPr>
        <w:rStyle w:val="PageNumber"/>
        <w:color w:val="000000"/>
      </w:rPr>
      <w:instrText xml:space="preserve">PAGE  </w:instrText>
    </w:r>
    <w:r w:rsidRPr="00A05F32">
      <w:rPr>
        <w:rStyle w:val="PageNumber"/>
        <w:color w:val="000000"/>
      </w:rPr>
      <w:fldChar w:fldCharType="separate"/>
    </w:r>
    <w:r w:rsidR="005706F6">
      <w:rPr>
        <w:rStyle w:val="PageNumber"/>
        <w:noProof/>
        <w:color w:val="000000"/>
      </w:rPr>
      <w:t>7</w:t>
    </w:r>
    <w:r w:rsidRPr="00A05F32">
      <w:rPr>
        <w:rStyle w:val="PageNumber"/>
        <w:color w:val="000000"/>
      </w:rPr>
      <w:fldChar w:fldCharType="end"/>
    </w:r>
  </w:p>
  <w:p w:rsidR="00EA299D" w:rsidRPr="00A05F32" w:rsidRDefault="00EA299D" w:rsidP="005754EE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D" w:rsidRDefault="00EA299D">
    <w:pPr>
      <w:pStyle w:val="Footer"/>
      <w:rPr>
        <w:sz w:val="16"/>
      </w:rPr>
    </w:pPr>
  </w:p>
  <w:p w:rsidR="00EA299D" w:rsidRDefault="00EA2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13" w:rsidRPr="00014F2B" w:rsidRDefault="00756313">
      <w:pPr>
        <w:rPr>
          <w:color w:val="000000"/>
        </w:rPr>
      </w:pPr>
      <w:r w:rsidRPr="00014F2B">
        <w:rPr>
          <w:color w:val="000000"/>
        </w:rPr>
        <w:separator/>
      </w:r>
    </w:p>
  </w:footnote>
  <w:footnote w:type="continuationSeparator" w:id="0">
    <w:p w:rsidR="00756313" w:rsidRDefault="00756313">
      <w:r>
        <w:continuationSeparator/>
      </w:r>
    </w:p>
  </w:footnote>
  <w:footnote w:id="1">
    <w:p w:rsidR="00EA299D" w:rsidRPr="00930C28" w:rsidRDefault="00EA299D" w:rsidP="00FB4F9F">
      <w:pPr>
        <w:pStyle w:val="FootnoteText"/>
        <w:spacing w:after="120"/>
        <w:rPr>
          <w:color w:val="000000"/>
        </w:rPr>
      </w:pPr>
      <w:r w:rsidRPr="00930C28">
        <w:rPr>
          <w:rStyle w:val="FootnoteReference"/>
          <w:color w:val="000000"/>
        </w:rPr>
        <w:footnoteRef/>
      </w:r>
      <w:r w:rsidRPr="00930C28">
        <w:rPr>
          <w:color w:val="000000"/>
        </w:rPr>
        <w:t xml:space="preserve"> </w:t>
      </w:r>
      <w:r w:rsidRPr="00930C28">
        <w:rPr>
          <w:i/>
          <w:color w:val="000000"/>
        </w:rPr>
        <w:t>See</w:t>
      </w:r>
      <w:r w:rsidRPr="00930C28">
        <w:rPr>
          <w:color w:val="000000"/>
        </w:rPr>
        <w:t xml:space="preserve"> </w:t>
      </w:r>
      <w:r w:rsidRPr="00930C28">
        <w:rPr>
          <w:i/>
          <w:color w:val="000000"/>
        </w:rPr>
        <w:t>Joint</w:t>
      </w:r>
      <w:r w:rsidRPr="00930C28">
        <w:rPr>
          <w:color w:val="000000"/>
        </w:rPr>
        <w:t xml:space="preserve"> </w:t>
      </w:r>
      <w:r w:rsidRPr="00930C28">
        <w:rPr>
          <w:i/>
          <w:color w:val="000000"/>
        </w:rPr>
        <w:t>Petition for Amended Alternative Regulation and Network Modernization Plan of Frontier Companies</w:t>
      </w:r>
      <w:r w:rsidRPr="00930C28">
        <w:rPr>
          <w:color w:val="000000"/>
        </w:rPr>
        <w:t>, Docket No. P-00951005F1000 (Order entered April 7, 2005).</w:t>
      </w:r>
    </w:p>
  </w:footnote>
  <w:footnote w:id="2">
    <w:p w:rsidR="00960C27" w:rsidRPr="00930C28" w:rsidRDefault="00960C27" w:rsidP="00FB4F9F">
      <w:pPr>
        <w:pStyle w:val="FootnoteText"/>
        <w:spacing w:after="120"/>
        <w:rPr>
          <w:color w:val="auto"/>
        </w:rPr>
      </w:pPr>
      <w:r w:rsidRPr="00930C28">
        <w:rPr>
          <w:rStyle w:val="FootnoteReference"/>
          <w:color w:val="auto"/>
        </w:rPr>
        <w:footnoteRef/>
      </w:r>
      <w:r w:rsidRPr="00930C28">
        <w:rPr>
          <w:color w:val="auto"/>
        </w:rPr>
        <w:t xml:space="preserve"> </w:t>
      </w:r>
      <w:proofErr w:type="gramStart"/>
      <w:r w:rsidRPr="00930C28">
        <w:rPr>
          <w:color w:val="auto"/>
        </w:rPr>
        <w:t>Frontier Communications of Breezewood, LLC (utility code 310400); Canton, LLC (utility code (310550); Lakewood, LLC (utility code 311750); Oswayo River, LLC (utility code 312600); and Pennsylvania, LLC (utility code 311250).</w:t>
      </w:r>
      <w:proofErr w:type="gramEnd"/>
    </w:p>
  </w:footnote>
  <w:footnote w:id="3">
    <w:p w:rsidR="00960C27" w:rsidRPr="00930C28" w:rsidRDefault="00960C27" w:rsidP="00930C28">
      <w:pPr>
        <w:pStyle w:val="FootnoteText"/>
        <w:rPr>
          <w:color w:val="auto"/>
        </w:rPr>
      </w:pPr>
      <w:r w:rsidRPr="00930C28">
        <w:rPr>
          <w:rStyle w:val="FootnoteReference"/>
          <w:color w:val="auto"/>
        </w:rPr>
        <w:footnoteRef/>
      </w:r>
      <w:r w:rsidRPr="00930C28">
        <w:rPr>
          <w:color w:val="auto"/>
        </w:rPr>
        <w:t xml:space="preserve"> Act 67 of 1993, P.L. 456 (66 Pa. C.S. §§ 3001</w:t>
      </w:r>
      <w:r w:rsidRPr="00930C28">
        <w:rPr>
          <w:color w:val="auto"/>
        </w:rPr>
        <w:noBreakHyphen/>
        <w:t xml:space="preserve">3009) replaced by Act 183 of 2004, P.L. 1398 </w:t>
      </w:r>
    </w:p>
    <w:p w:rsidR="00960C27" w:rsidRPr="00FD581F" w:rsidRDefault="00960C27" w:rsidP="00930C28">
      <w:pPr>
        <w:pStyle w:val="FootnoteText"/>
        <w:rPr>
          <w:color w:val="auto"/>
          <w:sz w:val="26"/>
          <w:szCs w:val="26"/>
        </w:rPr>
      </w:pPr>
      <w:r w:rsidRPr="00930C28">
        <w:rPr>
          <w:color w:val="auto"/>
        </w:rPr>
        <w:t>(66 Pa. C.S. §§ 3011-3019).</w:t>
      </w:r>
    </w:p>
  </w:footnote>
  <w:footnote w:id="4">
    <w:p w:rsidR="00DE6669" w:rsidRDefault="00DE6669" w:rsidP="00DE6669">
      <w:pPr>
        <w:pStyle w:val="FootnoteText"/>
      </w:pPr>
      <w:r w:rsidRPr="00886CDF">
        <w:rPr>
          <w:rStyle w:val="FootnoteReference"/>
          <w:color w:val="auto"/>
        </w:rPr>
        <w:footnoteRef/>
      </w:r>
      <w:r w:rsidRPr="00886CDF">
        <w:rPr>
          <w:color w:val="auto"/>
        </w:rPr>
        <w:t xml:space="preserve"> </w:t>
      </w:r>
      <w:r w:rsidRPr="000B0EF6">
        <w:rPr>
          <w:i/>
          <w:color w:val="auto"/>
        </w:rPr>
        <w:t>See</w:t>
      </w:r>
      <w:r w:rsidRPr="00142B02">
        <w:rPr>
          <w:color w:val="auto"/>
        </w:rPr>
        <w:t xml:space="preserve"> </w:t>
      </w:r>
      <w:r w:rsidRPr="00142B02">
        <w:rPr>
          <w:i/>
          <w:color w:val="auto"/>
        </w:rPr>
        <w:t>Joint Petition for Settlemen</w:t>
      </w:r>
      <w:r>
        <w:rPr>
          <w:i/>
          <w:color w:val="auto"/>
        </w:rPr>
        <w:t>t in re: Offic</w:t>
      </w:r>
      <w:r w:rsidR="002A234D">
        <w:rPr>
          <w:i/>
          <w:color w:val="auto"/>
        </w:rPr>
        <w:t>e of Small Business Advocate v.</w:t>
      </w:r>
      <w:r w:rsidRPr="00142B02">
        <w:rPr>
          <w:i/>
          <w:color w:val="auto"/>
        </w:rPr>
        <w:t xml:space="preserve"> Frontier Comm</w:t>
      </w:r>
      <w:r>
        <w:rPr>
          <w:i/>
          <w:color w:val="auto"/>
        </w:rPr>
        <w:t>unications</w:t>
      </w:r>
      <w:r w:rsidRPr="00142B02">
        <w:rPr>
          <w:i/>
          <w:color w:val="auto"/>
        </w:rPr>
        <w:t xml:space="preserve"> of Breezewood</w:t>
      </w:r>
      <w:r>
        <w:rPr>
          <w:i/>
          <w:color w:val="auto"/>
        </w:rPr>
        <w:t>,</w:t>
      </w:r>
      <w:r w:rsidRPr="00142B02">
        <w:rPr>
          <w:i/>
          <w:color w:val="auto"/>
        </w:rPr>
        <w:t xml:space="preserve"> LL</w:t>
      </w:r>
      <w:r>
        <w:rPr>
          <w:i/>
          <w:color w:val="auto"/>
        </w:rPr>
        <w:t>C, Canton, LLC, Lakewood, LLC, Oswayo River, LLC, and Pennsylvania, LLC</w:t>
      </w:r>
      <w:r w:rsidRPr="00142B02">
        <w:rPr>
          <w:rFonts w:ascii="Tahoma" w:hAnsi="Tahoma" w:cs="Tahoma"/>
          <w:color w:val="auto"/>
          <w:sz w:val="16"/>
          <w:szCs w:val="16"/>
        </w:rPr>
        <w:t>, </w:t>
      </w:r>
      <w:r w:rsidRPr="00142B02">
        <w:rPr>
          <w:color w:val="auto"/>
        </w:rPr>
        <w:t>Docket</w:t>
      </w:r>
      <w:r>
        <w:rPr>
          <w:color w:val="auto"/>
        </w:rPr>
        <w:t xml:space="preserve"> N</w:t>
      </w:r>
      <w:r w:rsidRPr="00142B02">
        <w:rPr>
          <w:color w:val="auto"/>
        </w:rPr>
        <w:t xml:space="preserve">os. </w:t>
      </w:r>
      <w:r>
        <w:rPr>
          <w:color w:val="auto"/>
        </w:rPr>
        <w:t>C</w:t>
      </w:r>
      <w:r>
        <w:rPr>
          <w:color w:val="auto"/>
        </w:rPr>
        <w:noBreakHyphen/>
        <w:t>2016</w:t>
      </w:r>
      <w:r>
        <w:rPr>
          <w:color w:val="auto"/>
        </w:rPr>
        <w:noBreakHyphen/>
      </w:r>
      <w:r w:rsidRPr="00142B02">
        <w:rPr>
          <w:color w:val="auto"/>
        </w:rPr>
        <w:t>2534365, R</w:t>
      </w:r>
      <w:r w:rsidRPr="00142B02">
        <w:rPr>
          <w:color w:val="auto"/>
        </w:rPr>
        <w:noBreakHyphen/>
      </w:r>
      <w:r>
        <w:rPr>
          <w:color w:val="auto"/>
        </w:rPr>
        <w:t>2016-2524540 and P-00951005F1000 (Order e</w:t>
      </w:r>
      <w:r w:rsidRPr="00142B02">
        <w:rPr>
          <w:color w:val="auto"/>
        </w:rPr>
        <w:t>ntered January 19, 2017)</w:t>
      </w:r>
      <w:r>
        <w:rPr>
          <w:color w:val="auto"/>
        </w:rPr>
        <w:t xml:space="preserve"> (“Settlement Petition”).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6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954DCD"/>
    <w:multiLevelType w:val="hybridMultilevel"/>
    <w:tmpl w:val="A4025CD8"/>
    <w:lvl w:ilvl="0" w:tplc="2CC603F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7EF6150"/>
    <w:multiLevelType w:val="hybridMultilevel"/>
    <w:tmpl w:val="77D0DA02"/>
    <w:lvl w:ilvl="0" w:tplc="060C453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E52B0"/>
    <w:multiLevelType w:val="hybridMultilevel"/>
    <w:tmpl w:val="7CE018CA"/>
    <w:lvl w:ilvl="0" w:tplc="C2909ACE">
      <w:start w:val="3"/>
      <w:numFmt w:val="lowerRoman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4">
    <w:nsid w:val="305D2CE1"/>
    <w:multiLevelType w:val="hybridMultilevel"/>
    <w:tmpl w:val="C9066A10"/>
    <w:lvl w:ilvl="0" w:tplc="4CB676E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6E3A14"/>
    <w:multiLevelType w:val="hybridMultilevel"/>
    <w:tmpl w:val="7CC6431C"/>
    <w:lvl w:ilvl="0" w:tplc="A1BE893E">
      <w:start w:val="4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4F3328"/>
    <w:multiLevelType w:val="singleLevel"/>
    <w:tmpl w:val="59D23732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5168583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1297403"/>
    <w:multiLevelType w:val="hybridMultilevel"/>
    <w:tmpl w:val="E8B63D70"/>
    <w:lvl w:ilvl="0" w:tplc="04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BB"/>
    <w:rsid w:val="00014F2B"/>
    <w:rsid w:val="00020D91"/>
    <w:rsid w:val="00021254"/>
    <w:rsid w:val="00024498"/>
    <w:rsid w:val="00030873"/>
    <w:rsid w:val="00030AD5"/>
    <w:rsid w:val="0003469C"/>
    <w:rsid w:val="000452EB"/>
    <w:rsid w:val="000518EF"/>
    <w:rsid w:val="00051AE1"/>
    <w:rsid w:val="00052ADD"/>
    <w:rsid w:val="00055826"/>
    <w:rsid w:val="000602B3"/>
    <w:rsid w:val="00065987"/>
    <w:rsid w:val="000672A5"/>
    <w:rsid w:val="00073D48"/>
    <w:rsid w:val="00076C0F"/>
    <w:rsid w:val="00091554"/>
    <w:rsid w:val="000918CB"/>
    <w:rsid w:val="000B0EF6"/>
    <w:rsid w:val="000B44AF"/>
    <w:rsid w:val="000B5D39"/>
    <w:rsid w:val="000C34B8"/>
    <w:rsid w:val="000D405A"/>
    <w:rsid w:val="000D559B"/>
    <w:rsid w:val="000E2577"/>
    <w:rsid w:val="000F431D"/>
    <w:rsid w:val="00102317"/>
    <w:rsid w:val="0011062C"/>
    <w:rsid w:val="00110E6C"/>
    <w:rsid w:val="00110FA6"/>
    <w:rsid w:val="00111839"/>
    <w:rsid w:val="00117EB4"/>
    <w:rsid w:val="00117EFD"/>
    <w:rsid w:val="00120E17"/>
    <w:rsid w:val="001210B5"/>
    <w:rsid w:val="001237AB"/>
    <w:rsid w:val="00127AF1"/>
    <w:rsid w:val="00133BE1"/>
    <w:rsid w:val="00134534"/>
    <w:rsid w:val="001408BB"/>
    <w:rsid w:val="001426AA"/>
    <w:rsid w:val="00142B02"/>
    <w:rsid w:val="00143556"/>
    <w:rsid w:val="001464E7"/>
    <w:rsid w:val="00146F08"/>
    <w:rsid w:val="00147AB2"/>
    <w:rsid w:val="00152B43"/>
    <w:rsid w:val="0015408B"/>
    <w:rsid w:val="00166486"/>
    <w:rsid w:val="00171851"/>
    <w:rsid w:val="00181290"/>
    <w:rsid w:val="00185651"/>
    <w:rsid w:val="00192884"/>
    <w:rsid w:val="001A3ED9"/>
    <w:rsid w:val="001A5570"/>
    <w:rsid w:val="001A5B48"/>
    <w:rsid w:val="001B0333"/>
    <w:rsid w:val="001B1A60"/>
    <w:rsid w:val="001B35AF"/>
    <w:rsid w:val="001B4810"/>
    <w:rsid w:val="001B7FB5"/>
    <w:rsid w:val="001D0FBE"/>
    <w:rsid w:val="001D27C8"/>
    <w:rsid w:val="001D32C6"/>
    <w:rsid w:val="001D379B"/>
    <w:rsid w:val="001D4548"/>
    <w:rsid w:val="001D6FDB"/>
    <w:rsid w:val="001E1CFA"/>
    <w:rsid w:val="001E67DB"/>
    <w:rsid w:val="001F0F0B"/>
    <w:rsid w:val="001F1B74"/>
    <w:rsid w:val="001F286F"/>
    <w:rsid w:val="001F3805"/>
    <w:rsid w:val="001F4FD9"/>
    <w:rsid w:val="001F5943"/>
    <w:rsid w:val="002041EC"/>
    <w:rsid w:val="00204784"/>
    <w:rsid w:val="002135A5"/>
    <w:rsid w:val="00217678"/>
    <w:rsid w:val="00217D01"/>
    <w:rsid w:val="00223089"/>
    <w:rsid w:val="00224879"/>
    <w:rsid w:val="002367E9"/>
    <w:rsid w:val="002412C9"/>
    <w:rsid w:val="0024370B"/>
    <w:rsid w:val="00252603"/>
    <w:rsid w:val="002526D1"/>
    <w:rsid w:val="00255B65"/>
    <w:rsid w:val="002607FB"/>
    <w:rsid w:val="002624CF"/>
    <w:rsid w:val="00264DD1"/>
    <w:rsid w:val="00273D16"/>
    <w:rsid w:val="002757B4"/>
    <w:rsid w:val="00282418"/>
    <w:rsid w:val="00290614"/>
    <w:rsid w:val="00290D88"/>
    <w:rsid w:val="0029336F"/>
    <w:rsid w:val="002933BD"/>
    <w:rsid w:val="002951BC"/>
    <w:rsid w:val="002962A3"/>
    <w:rsid w:val="002A234D"/>
    <w:rsid w:val="002A378C"/>
    <w:rsid w:val="002A3C17"/>
    <w:rsid w:val="002C0368"/>
    <w:rsid w:val="002C3CD9"/>
    <w:rsid w:val="002D4D34"/>
    <w:rsid w:val="002E4081"/>
    <w:rsid w:val="002E4366"/>
    <w:rsid w:val="002E7B80"/>
    <w:rsid w:val="002F1CB0"/>
    <w:rsid w:val="002F225F"/>
    <w:rsid w:val="002F2614"/>
    <w:rsid w:val="002F2A24"/>
    <w:rsid w:val="002F4031"/>
    <w:rsid w:val="002F5E67"/>
    <w:rsid w:val="00301242"/>
    <w:rsid w:val="00302029"/>
    <w:rsid w:val="0030652F"/>
    <w:rsid w:val="00310215"/>
    <w:rsid w:val="00314586"/>
    <w:rsid w:val="00314AC5"/>
    <w:rsid w:val="003228D7"/>
    <w:rsid w:val="0032299E"/>
    <w:rsid w:val="00327D24"/>
    <w:rsid w:val="00330E8B"/>
    <w:rsid w:val="00333D4F"/>
    <w:rsid w:val="00335318"/>
    <w:rsid w:val="00336D22"/>
    <w:rsid w:val="00340718"/>
    <w:rsid w:val="00340E06"/>
    <w:rsid w:val="00342FE2"/>
    <w:rsid w:val="00344644"/>
    <w:rsid w:val="0035685F"/>
    <w:rsid w:val="00362B62"/>
    <w:rsid w:val="0036702E"/>
    <w:rsid w:val="003801D9"/>
    <w:rsid w:val="00383B4E"/>
    <w:rsid w:val="00383B59"/>
    <w:rsid w:val="003909C8"/>
    <w:rsid w:val="0039736C"/>
    <w:rsid w:val="003A5456"/>
    <w:rsid w:val="003A7044"/>
    <w:rsid w:val="003A768F"/>
    <w:rsid w:val="003B05E8"/>
    <w:rsid w:val="003B6C9F"/>
    <w:rsid w:val="003C1B87"/>
    <w:rsid w:val="003C2281"/>
    <w:rsid w:val="003C2400"/>
    <w:rsid w:val="003C27FD"/>
    <w:rsid w:val="003C35B8"/>
    <w:rsid w:val="003C441D"/>
    <w:rsid w:val="003C5172"/>
    <w:rsid w:val="003C6F92"/>
    <w:rsid w:val="003D121C"/>
    <w:rsid w:val="003D3DA4"/>
    <w:rsid w:val="003D3F17"/>
    <w:rsid w:val="003D5BA1"/>
    <w:rsid w:val="003E7558"/>
    <w:rsid w:val="003F620D"/>
    <w:rsid w:val="004016C3"/>
    <w:rsid w:val="004018D5"/>
    <w:rsid w:val="0040590D"/>
    <w:rsid w:val="00416881"/>
    <w:rsid w:val="00421E0A"/>
    <w:rsid w:val="00422C20"/>
    <w:rsid w:val="00425010"/>
    <w:rsid w:val="0042748F"/>
    <w:rsid w:val="004335FD"/>
    <w:rsid w:val="00442C90"/>
    <w:rsid w:val="0044373D"/>
    <w:rsid w:val="004505C3"/>
    <w:rsid w:val="00454256"/>
    <w:rsid w:val="0045526C"/>
    <w:rsid w:val="00455EAD"/>
    <w:rsid w:val="0046101E"/>
    <w:rsid w:val="00463DAB"/>
    <w:rsid w:val="00466E8F"/>
    <w:rsid w:val="00475F57"/>
    <w:rsid w:val="00480B59"/>
    <w:rsid w:val="00486CAD"/>
    <w:rsid w:val="004A51EB"/>
    <w:rsid w:val="004A6A15"/>
    <w:rsid w:val="004A6EFA"/>
    <w:rsid w:val="004B40B2"/>
    <w:rsid w:val="004C3136"/>
    <w:rsid w:val="004C57D0"/>
    <w:rsid w:val="004C5C1A"/>
    <w:rsid w:val="004C5D71"/>
    <w:rsid w:val="004D1E3D"/>
    <w:rsid w:val="004D288D"/>
    <w:rsid w:val="004D4BA4"/>
    <w:rsid w:val="004D7D30"/>
    <w:rsid w:val="004E0F1E"/>
    <w:rsid w:val="004E781A"/>
    <w:rsid w:val="004F1A01"/>
    <w:rsid w:val="004F301C"/>
    <w:rsid w:val="004F522F"/>
    <w:rsid w:val="00501F5B"/>
    <w:rsid w:val="0050239E"/>
    <w:rsid w:val="00502B29"/>
    <w:rsid w:val="0050502A"/>
    <w:rsid w:val="00511F0E"/>
    <w:rsid w:val="005324FD"/>
    <w:rsid w:val="00533FD3"/>
    <w:rsid w:val="00535A3F"/>
    <w:rsid w:val="00536787"/>
    <w:rsid w:val="00537F09"/>
    <w:rsid w:val="0055128D"/>
    <w:rsid w:val="005515DB"/>
    <w:rsid w:val="0055177D"/>
    <w:rsid w:val="0055182B"/>
    <w:rsid w:val="00554FF8"/>
    <w:rsid w:val="00562440"/>
    <w:rsid w:val="00564729"/>
    <w:rsid w:val="00567FA7"/>
    <w:rsid w:val="005706F6"/>
    <w:rsid w:val="00571A2E"/>
    <w:rsid w:val="005754EE"/>
    <w:rsid w:val="00577268"/>
    <w:rsid w:val="0058420A"/>
    <w:rsid w:val="00584ED6"/>
    <w:rsid w:val="00590306"/>
    <w:rsid w:val="00591D9C"/>
    <w:rsid w:val="0059571A"/>
    <w:rsid w:val="00597E2A"/>
    <w:rsid w:val="005A16B8"/>
    <w:rsid w:val="005A2323"/>
    <w:rsid w:val="005A337F"/>
    <w:rsid w:val="005B2E37"/>
    <w:rsid w:val="005B47E2"/>
    <w:rsid w:val="005B4838"/>
    <w:rsid w:val="005C2DD0"/>
    <w:rsid w:val="005C2E20"/>
    <w:rsid w:val="005D05CC"/>
    <w:rsid w:val="005D54D3"/>
    <w:rsid w:val="005E183C"/>
    <w:rsid w:val="005E1F34"/>
    <w:rsid w:val="005E4EED"/>
    <w:rsid w:val="005F74CC"/>
    <w:rsid w:val="00602457"/>
    <w:rsid w:val="00602F3C"/>
    <w:rsid w:val="00604AED"/>
    <w:rsid w:val="00605460"/>
    <w:rsid w:val="00610145"/>
    <w:rsid w:val="0061338D"/>
    <w:rsid w:val="00614BBC"/>
    <w:rsid w:val="00615EAC"/>
    <w:rsid w:val="00620479"/>
    <w:rsid w:val="006204D3"/>
    <w:rsid w:val="006207AB"/>
    <w:rsid w:val="00625D45"/>
    <w:rsid w:val="006341CB"/>
    <w:rsid w:val="006503C9"/>
    <w:rsid w:val="00650A6C"/>
    <w:rsid w:val="00653AB0"/>
    <w:rsid w:val="0065690E"/>
    <w:rsid w:val="006700D4"/>
    <w:rsid w:val="00670A94"/>
    <w:rsid w:val="00675714"/>
    <w:rsid w:val="00677ACA"/>
    <w:rsid w:val="0068247C"/>
    <w:rsid w:val="00682F26"/>
    <w:rsid w:val="006841A1"/>
    <w:rsid w:val="006A572B"/>
    <w:rsid w:val="006A6AFE"/>
    <w:rsid w:val="006B0F08"/>
    <w:rsid w:val="006B6B5B"/>
    <w:rsid w:val="006C14E4"/>
    <w:rsid w:val="006C1714"/>
    <w:rsid w:val="006C3DD2"/>
    <w:rsid w:val="006D2520"/>
    <w:rsid w:val="006D3C20"/>
    <w:rsid w:val="006D6218"/>
    <w:rsid w:val="006F001E"/>
    <w:rsid w:val="006F19A6"/>
    <w:rsid w:val="007073A0"/>
    <w:rsid w:val="00710228"/>
    <w:rsid w:val="00713484"/>
    <w:rsid w:val="007141D6"/>
    <w:rsid w:val="00717EB6"/>
    <w:rsid w:val="00722AEA"/>
    <w:rsid w:val="007238E0"/>
    <w:rsid w:val="00733279"/>
    <w:rsid w:val="00734EE6"/>
    <w:rsid w:val="00741B49"/>
    <w:rsid w:val="00743576"/>
    <w:rsid w:val="00743672"/>
    <w:rsid w:val="00743682"/>
    <w:rsid w:val="007460ED"/>
    <w:rsid w:val="0074628B"/>
    <w:rsid w:val="00746490"/>
    <w:rsid w:val="007539F1"/>
    <w:rsid w:val="00754B06"/>
    <w:rsid w:val="00756313"/>
    <w:rsid w:val="007603A8"/>
    <w:rsid w:val="00765FEE"/>
    <w:rsid w:val="00766E2A"/>
    <w:rsid w:val="00767395"/>
    <w:rsid w:val="007728FE"/>
    <w:rsid w:val="00774892"/>
    <w:rsid w:val="0077512A"/>
    <w:rsid w:val="00775973"/>
    <w:rsid w:val="00780BFE"/>
    <w:rsid w:val="007842BB"/>
    <w:rsid w:val="00786833"/>
    <w:rsid w:val="0079117C"/>
    <w:rsid w:val="0079278F"/>
    <w:rsid w:val="00795433"/>
    <w:rsid w:val="007A05C1"/>
    <w:rsid w:val="007A1B0F"/>
    <w:rsid w:val="007A33E0"/>
    <w:rsid w:val="007B3549"/>
    <w:rsid w:val="007B490C"/>
    <w:rsid w:val="007B5A8D"/>
    <w:rsid w:val="007C35AA"/>
    <w:rsid w:val="007C735A"/>
    <w:rsid w:val="007D09F1"/>
    <w:rsid w:val="007D2E3A"/>
    <w:rsid w:val="007E1113"/>
    <w:rsid w:val="007E5E21"/>
    <w:rsid w:val="007E7ECC"/>
    <w:rsid w:val="007F0A64"/>
    <w:rsid w:val="007F2066"/>
    <w:rsid w:val="007F3759"/>
    <w:rsid w:val="00804EBC"/>
    <w:rsid w:val="00805E46"/>
    <w:rsid w:val="0080704D"/>
    <w:rsid w:val="00813B02"/>
    <w:rsid w:val="00816D74"/>
    <w:rsid w:val="00817887"/>
    <w:rsid w:val="00817D76"/>
    <w:rsid w:val="00822FC7"/>
    <w:rsid w:val="00825255"/>
    <w:rsid w:val="00826A63"/>
    <w:rsid w:val="0083477E"/>
    <w:rsid w:val="00837A78"/>
    <w:rsid w:val="00842778"/>
    <w:rsid w:val="008441BD"/>
    <w:rsid w:val="008453B2"/>
    <w:rsid w:val="00846E03"/>
    <w:rsid w:val="00854D8B"/>
    <w:rsid w:val="008557A9"/>
    <w:rsid w:val="0087183F"/>
    <w:rsid w:val="00871880"/>
    <w:rsid w:val="00871924"/>
    <w:rsid w:val="0087323C"/>
    <w:rsid w:val="008776D9"/>
    <w:rsid w:val="00877E48"/>
    <w:rsid w:val="00880B30"/>
    <w:rsid w:val="0088796C"/>
    <w:rsid w:val="00892936"/>
    <w:rsid w:val="008968D2"/>
    <w:rsid w:val="008A4FA9"/>
    <w:rsid w:val="008B0596"/>
    <w:rsid w:val="008B154A"/>
    <w:rsid w:val="008B1A60"/>
    <w:rsid w:val="008C149C"/>
    <w:rsid w:val="008C15D9"/>
    <w:rsid w:val="008C3353"/>
    <w:rsid w:val="008C718F"/>
    <w:rsid w:val="008D50D1"/>
    <w:rsid w:val="008E000F"/>
    <w:rsid w:val="008E350E"/>
    <w:rsid w:val="008F2CB8"/>
    <w:rsid w:val="00900BB5"/>
    <w:rsid w:val="00910F98"/>
    <w:rsid w:val="00930C28"/>
    <w:rsid w:val="009335E6"/>
    <w:rsid w:val="00933BDC"/>
    <w:rsid w:val="00936709"/>
    <w:rsid w:val="00936D67"/>
    <w:rsid w:val="00940F4A"/>
    <w:rsid w:val="00943424"/>
    <w:rsid w:val="009503C3"/>
    <w:rsid w:val="00950A43"/>
    <w:rsid w:val="00960C27"/>
    <w:rsid w:val="00961756"/>
    <w:rsid w:val="00961D1A"/>
    <w:rsid w:val="00965E57"/>
    <w:rsid w:val="00971EAC"/>
    <w:rsid w:val="00972D32"/>
    <w:rsid w:val="00975DF1"/>
    <w:rsid w:val="00981A18"/>
    <w:rsid w:val="009875C5"/>
    <w:rsid w:val="009936BA"/>
    <w:rsid w:val="00994D21"/>
    <w:rsid w:val="009950AA"/>
    <w:rsid w:val="0099735A"/>
    <w:rsid w:val="009A3FAD"/>
    <w:rsid w:val="009A5FF6"/>
    <w:rsid w:val="009A74D2"/>
    <w:rsid w:val="009B00B7"/>
    <w:rsid w:val="009B07CF"/>
    <w:rsid w:val="009B0EAF"/>
    <w:rsid w:val="009B1DBD"/>
    <w:rsid w:val="009C0431"/>
    <w:rsid w:val="009C0F81"/>
    <w:rsid w:val="009C351B"/>
    <w:rsid w:val="009C572A"/>
    <w:rsid w:val="009D129D"/>
    <w:rsid w:val="009E2A7A"/>
    <w:rsid w:val="009E30E8"/>
    <w:rsid w:val="009E6813"/>
    <w:rsid w:val="009E788D"/>
    <w:rsid w:val="00A03FD8"/>
    <w:rsid w:val="00A05F32"/>
    <w:rsid w:val="00A11D0E"/>
    <w:rsid w:val="00A124C2"/>
    <w:rsid w:val="00A2000C"/>
    <w:rsid w:val="00A23EA2"/>
    <w:rsid w:val="00A27D76"/>
    <w:rsid w:val="00A3089C"/>
    <w:rsid w:val="00A30D04"/>
    <w:rsid w:val="00A31D1A"/>
    <w:rsid w:val="00A32E5E"/>
    <w:rsid w:val="00A33253"/>
    <w:rsid w:val="00A37C47"/>
    <w:rsid w:val="00A409FF"/>
    <w:rsid w:val="00A42C8D"/>
    <w:rsid w:val="00A51504"/>
    <w:rsid w:val="00A563F6"/>
    <w:rsid w:val="00A57AF0"/>
    <w:rsid w:val="00A638D4"/>
    <w:rsid w:val="00A65FF1"/>
    <w:rsid w:val="00A6765C"/>
    <w:rsid w:val="00A70984"/>
    <w:rsid w:val="00A74D64"/>
    <w:rsid w:val="00A75FE2"/>
    <w:rsid w:val="00A776BC"/>
    <w:rsid w:val="00A847B7"/>
    <w:rsid w:val="00A85568"/>
    <w:rsid w:val="00A8565D"/>
    <w:rsid w:val="00A86891"/>
    <w:rsid w:val="00A967E0"/>
    <w:rsid w:val="00AA0CC3"/>
    <w:rsid w:val="00AA2FFC"/>
    <w:rsid w:val="00AA450C"/>
    <w:rsid w:val="00AB0E77"/>
    <w:rsid w:val="00AB1278"/>
    <w:rsid w:val="00AB3419"/>
    <w:rsid w:val="00AB496F"/>
    <w:rsid w:val="00AB61A4"/>
    <w:rsid w:val="00AD2931"/>
    <w:rsid w:val="00AD4679"/>
    <w:rsid w:val="00AD6DF1"/>
    <w:rsid w:val="00AF7849"/>
    <w:rsid w:val="00B04B95"/>
    <w:rsid w:val="00B04C82"/>
    <w:rsid w:val="00B05832"/>
    <w:rsid w:val="00B11443"/>
    <w:rsid w:val="00B116E6"/>
    <w:rsid w:val="00B12D59"/>
    <w:rsid w:val="00B21E50"/>
    <w:rsid w:val="00B24DD0"/>
    <w:rsid w:val="00B32D72"/>
    <w:rsid w:val="00B32E7D"/>
    <w:rsid w:val="00B347E8"/>
    <w:rsid w:val="00B4122C"/>
    <w:rsid w:val="00B44843"/>
    <w:rsid w:val="00B44C9D"/>
    <w:rsid w:val="00B55C17"/>
    <w:rsid w:val="00B573C3"/>
    <w:rsid w:val="00B626D7"/>
    <w:rsid w:val="00B807F2"/>
    <w:rsid w:val="00B83ECC"/>
    <w:rsid w:val="00B84B64"/>
    <w:rsid w:val="00B84F2E"/>
    <w:rsid w:val="00B900EF"/>
    <w:rsid w:val="00B919FF"/>
    <w:rsid w:val="00B932E2"/>
    <w:rsid w:val="00BA3750"/>
    <w:rsid w:val="00BA3DA0"/>
    <w:rsid w:val="00BC3D8C"/>
    <w:rsid w:val="00BC5AB7"/>
    <w:rsid w:val="00BD26E7"/>
    <w:rsid w:val="00BD2E0A"/>
    <w:rsid w:val="00BD68A8"/>
    <w:rsid w:val="00BE4EA8"/>
    <w:rsid w:val="00BE6135"/>
    <w:rsid w:val="00BE6478"/>
    <w:rsid w:val="00BF0C82"/>
    <w:rsid w:val="00BF0FAE"/>
    <w:rsid w:val="00BF15A0"/>
    <w:rsid w:val="00BF1F2F"/>
    <w:rsid w:val="00BF2DCA"/>
    <w:rsid w:val="00BF314E"/>
    <w:rsid w:val="00C04908"/>
    <w:rsid w:val="00C11FAC"/>
    <w:rsid w:val="00C13C62"/>
    <w:rsid w:val="00C14DCF"/>
    <w:rsid w:val="00C2337D"/>
    <w:rsid w:val="00C239FE"/>
    <w:rsid w:val="00C27E0E"/>
    <w:rsid w:val="00C30191"/>
    <w:rsid w:val="00C35105"/>
    <w:rsid w:val="00C36105"/>
    <w:rsid w:val="00C376D3"/>
    <w:rsid w:val="00C4137A"/>
    <w:rsid w:val="00C448C8"/>
    <w:rsid w:val="00C462A7"/>
    <w:rsid w:val="00C50AB9"/>
    <w:rsid w:val="00C53746"/>
    <w:rsid w:val="00C5408D"/>
    <w:rsid w:val="00C62DA6"/>
    <w:rsid w:val="00C63EFA"/>
    <w:rsid w:val="00C65E8B"/>
    <w:rsid w:val="00C728BE"/>
    <w:rsid w:val="00C73173"/>
    <w:rsid w:val="00C847A1"/>
    <w:rsid w:val="00C86CFC"/>
    <w:rsid w:val="00C87555"/>
    <w:rsid w:val="00C87620"/>
    <w:rsid w:val="00C90156"/>
    <w:rsid w:val="00C92024"/>
    <w:rsid w:val="00C9585E"/>
    <w:rsid w:val="00C962EE"/>
    <w:rsid w:val="00CA53ED"/>
    <w:rsid w:val="00CB2458"/>
    <w:rsid w:val="00CB33C6"/>
    <w:rsid w:val="00CB4887"/>
    <w:rsid w:val="00CC21C3"/>
    <w:rsid w:val="00CC2FF9"/>
    <w:rsid w:val="00CC75F7"/>
    <w:rsid w:val="00CD0729"/>
    <w:rsid w:val="00CD5F2A"/>
    <w:rsid w:val="00CD7E2D"/>
    <w:rsid w:val="00CE0822"/>
    <w:rsid w:val="00CF2DE2"/>
    <w:rsid w:val="00D00098"/>
    <w:rsid w:val="00D01421"/>
    <w:rsid w:val="00D075A2"/>
    <w:rsid w:val="00D24217"/>
    <w:rsid w:val="00D26315"/>
    <w:rsid w:val="00D27DBF"/>
    <w:rsid w:val="00D35C15"/>
    <w:rsid w:val="00D41582"/>
    <w:rsid w:val="00D42312"/>
    <w:rsid w:val="00D436FD"/>
    <w:rsid w:val="00D447EA"/>
    <w:rsid w:val="00D44B84"/>
    <w:rsid w:val="00D62502"/>
    <w:rsid w:val="00D6446A"/>
    <w:rsid w:val="00D66ED1"/>
    <w:rsid w:val="00D8090A"/>
    <w:rsid w:val="00D82982"/>
    <w:rsid w:val="00D93396"/>
    <w:rsid w:val="00DA7728"/>
    <w:rsid w:val="00DB01E4"/>
    <w:rsid w:val="00DB17DD"/>
    <w:rsid w:val="00DB5E26"/>
    <w:rsid w:val="00DC2FA7"/>
    <w:rsid w:val="00DC3BAC"/>
    <w:rsid w:val="00DC5DC7"/>
    <w:rsid w:val="00DD3489"/>
    <w:rsid w:val="00DE6669"/>
    <w:rsid w:val="00DF2A1C"/>
    <w:rsid w:val="00DF3738"/>
    <w:rsid w:val="00DF7EBB"/>
    <w:rsid w:val="00E00447"/>
    <w:rsid w:val="00E028A7"/>
    <w:rsid w:val="00E04F0D"/>
    <w:rsid w:val="00E068E7"/>
    <w:rsid w:val="00E149E6"/>
    <w:rsid w:val="00E2163A"/>
    <w:rsid w:val="00E2386A"/>
    <w:rsid w:val="00E24784"/>
    <w:rsid w:val="00E255B8"/>
    <w:rsid w:val="00E300E3"/>
    <w:rsid w:val="00E373D1"/>
    <w:rsid w:val="00E409F4"/>
    <w:rsid w:val="00E419B1"/>
    <w:rsid w:val="00E45D16"/>
    <w:rsid w:val="00E50000"/>
    <w:rsid w:val="00E523C7"/>
    <w:rsid w:val="00E57CB6"/>
    <w:rsid w:val="00E62025"/>
    <w:rsid w:val="00E64AA4"/>
    <w:rsid w:val="00E748A4"/>
    <w:rsid w:val="00E7654B"/>
    <w:rsid w:val="00E7749D"/>
    <w:rsid w:val="00E774DE"/>
    <w:rsid w:val="00E830E1"/>
    <w:rsid w:val="00E8410D"/>
    <w:rsid w:val="00E8534E"/>
    <w:rsid w:val="00E858AC"/>
    <w:rsid w:val="00E93489"/>
    <w:rsid w:val="00E961CF"/>
    <w:rsid w:val="00EA0BF0"/>
    <w:rsid w:val="00EA299D"/>
    <w:rsid w:val="00EA3832"/>
    <w:rsid w:val="00EA4F46"/>
    <w:rsid w:val="00EA685B"/>
    <w:rsid w:val="00EA7086"/>
    <w:rsid w:val="00EB5B9B"/>
    <w:rsid w:val="00EB702F"/>
    <w:rsid w:val="00EB71D0"/>
    <w:rsid w:val="00ED4A27"/>
    <w:rsid w:val="00EE1C12"/>
    <w:rsid w:val="00EE4C47"/>
    <w:rsid w:val="00EE5E02"/>
    <w:rsid w:val="00EF5D99"/>
    <w:rsid w:val="00EF74DA"/>
    <w:rsid w:val="00F01FC4"/>
    <w:rsid w:val="00F127C8"/>
    <w:rsid w:val="00F21C5D"/>
    <w:rsid w:val="00F21D4D"/>
    <w:rsid w:val="00F26AA0"/>
    <w:rsid w:val="00F331CB"/>
    <w:rsid w:val="00F33FE8"/>
    <w:rsid w:val="00F410D7"/>
    <w:rsid w:val="00F43E8D"/>
    <w:rsid w:val="00F5392A"/>
    <w:rsid w:val="00F54873"/>
    <w:rsid w:val="00F57D51"/>
    <w:rsid w:val="00F66EB0"/>
    <w:rsid w:val="00F87D8A"/>
    <w:rsid w:val="00F9011D"/>
    <w:rsid w:val="00F9170A"/>
    <w:rsid w:val="00F95213"/>
    <w:rsid w:val="00F96027"/>
    <w:rsid w:val="00FA04B2"/>
    <w:rsid w:val="00FA52CB"/>
    <w:rsid w:val="00FA64F8"/>
    <w:rsid w:val="00FA73E7"/>
    <w:rsid w:val="00FB0213"/>
    <w:rsid w:val="00FB0FFE"/>
    <w:rsid w:val="00FB12E2"/>
    <w:rsid w:val="00FB4D80"/>
    <w:rsid w:val="00FB4F9F"/>
    <w:rsid w:val="00FB56F4"/>
    <w:rsid w:val="00FB75AB"/>
    <w:rsid w:val="00FC28D5"/>
    <w:rsid w:val="00FC5257"/>
    <w:rsid w:val="00FD49D0"/>
    <w:rsid w:val="00FD581F"/>
    <w:rsid w:val="00FD5F98"/>
    <w:rsid w:val="00FE2C1C"/>
    <w:rsid w:val="00FE4D78"/>
    <w:rsid w:val="00FE5485"/>
    <w:rsid w:val="00FF2F98"/>
    <w:rsid w:val="00FF3EF7"/>
    <w:rsid w:val="00FF4AE3"/>
    <w:rsid w:val="00FF5AF0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FF9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CC2FF9"/>
    <w:pPr>
      <w:keepNext/>
      <w:tabs>
        <w:tab w:val="left" w:pos="4320"/>
      </w:tabs>
      <w:spacing w:line="360" w:lineRule="auto"/>
      <w:jc w:val="center"/>
      <w:outlineLvl w:val="0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2F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F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2FF9"/>
  </w:style>
  <w:style w:type="character" w:styleId="CommentReference">
    <w:name w:val="annotation reference"/>
    <w:semiHidden/>
    <w:rsid w:val="00CC2FF9"/>
    <w:rPr>
      <w:sz w:val="16"/>
    </w:rPr>
  </w:style>
  <w:style w:type="paragraph" w:styleId="CommentText">
    <w:name w:val="annotation text"/>
    <w:basedOn w:val="Normal"/>
    <w:semiHidden/>
    <w:rsid w:val="00CC2FF9"/>
    <w:rPr>
      <w:sz w:val="20"/>
    </w:rPr>
  </w:style>
  <w:style w:type="paragraph" w:styleId="BodyTextIndent">
    <w:name w:val="Body Text Indent"/>
    <w:basedOn w:val="Normal"/>
    <w:rsid w:val="00CC2FF9"/>
    <w:pPr>
      <w:tabs>
        <w:tab w:val="left" w:pos="4320"/>
      </w:tabs>
      <w:spacing w:line="360" w:lineRule="auto"/>
      <w:ind w:left="360"/>
    </w:pPr>
    <w:rPr>
      <w:color w:val="auto"/>
      <w:sz w:val="26"/>
    </w:rPr>
  </w:style>
  <w:style w:type="paragraph" w:styleId="BodyTextIndent2">
    <w:name w:val="Body Text Indent 2"/>
    <w:basedOn w:val="Normal"/>
    <w:rsid w:val="00CC2FF9"/>
    <w:pPr>
      <w:spacing w:line="360" w:lineRule="auto"/>
      <w:ind w:left="90" w:firstLine="1350"/>
    </w:pPr>
    <w:rPr>
      <w:color w:val="auto"/>
      <w:sz w:val="26"/>
    </w:rPr>
  </w:style>
  <w:style w:type="paragraph" w:styleId="BodyText">
    <w:name w:val="Body Text"/>
    <w:basedOn w:val="Normal"/>
    <w:rsid w:val="00CC2FF9"/>
    <w:pPr>
      <w:tabs>
        <w:tab w:val="left" w:pos="4320"/>
      </w:tabs>
      <w:spacing w:line="360" w:lineRule="auto"/>
    </w:pPr>
    <w:rPr>
      <w:color w:val="auto"/>
      <w:sz w:val="26"/>
    </w:rPr>
  </w:style>
  <w:style w:type="paragraph" w:styleId="BodyTextIndent3">
    <w:name w:val="Body Text Indent 3"/>
    <w:basedOn w:val="Normal"/>
    <w:rsid w:val="00CC2FF9"/>
    <w:pPr>
      <w:tabs>
        <w:tab w:val="left" w:pos="4320"/>
      </w:tabs>
      <w:spacing w:line="360" w:lineRule="auto"/>
      <w:ind w:left="360"/>
      <w:jc w:val="both"/>
    </w:pPr>
    <w:rPr>
      <w:color w:val="auto"/>
      <w:sz w:val="26"/>
    </w:rPr>
  </w:style>
  <w:style w:type="paragraph" w:styleId="CommentSubject">
    <w:name w:val="annotation subject"/>
    <w:basedOn w:val="CommentText"/>
    <w:next w:val="CommentText"/>
    <w:semiHidden/>
    <w:rsid w:val="0055182B"/>
    <w:rPr>
      <w:b/>
      <w:bCs/>
    </w:rPr>
  </w:style>
  <w:style w:type="paragraph" w:styleId="BalloonText">
    <w:name w:val="Balloon Text"/>
    <w:basedOn w:val="Normal"/>
    <w:semiHidden/>
    <w:rsid w:val="0055182B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"/>
    <w:basedOn w:val="Normal"/>
    <w:semiHidden/>
    <w:rsid w:val="00B932E2"/>
    <w:rPr>
      <w:sz w:val="20"/>
    </w:rPr>
  </w:style>
  <w:style w:type="character" w:styleId="FootnoteReference">
    <w:name w:val="footnote reference"/>
    <w:semiHidden/>
    <w:rsid w:val="00B932E2"/>
    <w:rPr>
      <w:vertAlign w:val="superscript"/>
    </w:rPr>
  </w:style>
  <w:style w:type="paragraph" w:customStyle="1" w:styleId="StyleLinespacing15lines">
    <w:name w:val="Style Line spacing:  1.5 lines"/>
    <w:basedOn w:val="Normal"/>
    <w:rsid w:val="008E350E"/>
    <w:pPr>
      <w:spacing w:line="360" w:lineRule="auto"/>
    </w:pPr>
    <w:rPr>
      <w:color w:val="auto"/>
      <w:sz w:val="26"/>
    </w:rPr>
  </w:style>
  <w:style w:type="paragraph" w:customStyle="1" w:styleId="Style">
    <w:name w:val="Style"/>
    <w:rsid w:val="002248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4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FF9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CC2FF9"/>
    <w:pPr>
      <w:keepNext/>
      <w:tabs>
        <w:tab w:val="left" w:pos="4320"/>
      </w:tabs>
      <w:spacing w:line="360" w:lineRule="auto"/>
      <w:jc w:val="center"/>
      <w:outlineLvl w:val="0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2F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F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2FF9"/>
  </w:style>
  <w:style w:type="character" w:styleId="CommentReference">
    <w:name w:val="annotation reference"/>
    <w:semiHidden/>
    <w:rsid w:val="00CC2FF9"/>
    <w:rPr>
      <w:sz w:val="16"/>
    </w:rPr>
  </w:style>
  <w:style w:type="paragraph" w:styleId="CommentText">
    <w:name w:val="annotation text"/>
    <w:basedOn w:val="Normal"/>
    <w:semiHidden/>
    <w:rsid w:val="00CC2FF9"/>
    <w:rPr>
      <w:sz w:val="20"/>
    </w:rPr>
  </w:style>
  <w:style w:type="paragraph" w:styleId="BodyTextIndent">
    <w:name w:val="Body Text Indent"/>
    <w:basedOn w:val="Normal"/>
    <w:rsid w:val="00CC2FF9"/>
    <w:pPr>
      <w:tabs>
        <w:tab w:val="left" w:pos="4320"/>
      </w:tabs>
      <w:spacing w:line="360" w:lineRule="auto"/>
      <w:ind w:left="360"/>
    </w:pPr>
    <w:rPr>
      <w:color w:val="auto"/>
      <w:sz w:val="26"/>
    </w:rPr>
  </w:style>
  <w:style w:type="paragraph" w:styleId="BodyTextIndent2">
    <w:name w:val="Body Text Indent 2"/>
    <w:basedOn w:val="Normal"/>
    <w:rsid w:val="00CC2FF9"/>
    <w:pPr>
      <w:spacing w:line="360" w:lineRule="auto"/>
      <w:ind w:left="90" w:firstLine="1350"/>
    </w:pPr>
    <w:rPr>
      <w:color w:val="auto"/>
      <w:sz w:val="26"/>
    </w:rPr>
  </w:style>
  <w:style w:type="paragraph" w:styleId="BodyText">
    <w:name w:val="Body Text"/>
    <w:basedOn w:val="Normal"/>
    <w:rsid w:val="00CC2FF9"/>
    <w:pPr>
      <w:tabs>
        <w:tab w:val="left" w:pos="4320"/>
      </w:tabs>
      <w:spacing w:line="360" w:lineRule="auto"/>
    </w:pPr>
    <w:rPr>
      <w:color w:val="auto"/>
      <w:sz w:val="26"/>
    </w:rPr>
  </w:style>
  <w:style w:type="paragraph" w:styleId="BodyTextIndent3">
    <w:name w:val="Body Text Indent 3"/>
    <w:basedOn w:val="Normal"/>
    <w:rsid w:val="00CC2FF9"/>
    <w:pPr>
      <w:tabs>
        <w:tab w:val="left" w:pos="4320"/>
      </w:tabs>
      <w:spacing w:line="360" w:lineRule="auto"/>
      <w:ind w:left="360"/>
      <w:jc w:val="both"/>
    </w:pPr>
    <w:rPr>
      <w:color w:val="auto"/>
      <w:sz w:val="26"/>
    </w:rPr>
  </w:style>
  <w:style w:type="paragraph" w:styleId="CommentSubject">
    <w:name w:val="annotation subject"/>
    <w:basedOn w:val="CommentText"/>
    <w:next w:val="CommentText"/>
    <w:semiHidden/>
    <w:rsid w:val="0055182B"/>
    <w:rPr>
      <w:b/>
      <w:bCs/>
    </w:rPr>
  </w:style>
  <w:style w:type="paragraph" w:styleId="BalloonText">
    <w:name w:val="Balloon Text"/>
    <w:basedOn w:val="Normal"/>
    <w:semiHidden/>
    <w:rsid w:val="0055182B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"/>
    <w:basedOn w:val="Normal"/>
    <w:semiHidden/>
    <w:rsid w:val="00B932E2"/>
    <w:rPr>
      <w:sz w:val="20"/>
    </w:rPr>
  </w:style>
  <w:style w:type="character" w:styleId="FootnoteReference">
    <w:name w:val="footnote reference"/>
    <w:semiHidden/>
    <w:rsid w:val="00B932E2"/>
    <w:rPr>
      <w:vertAlign w:val="superscript"/>
    </w:rPr>
  </w:style>
  <w:style w:type="paragraph" w:customStyle="1" w:styleId="StyleLinespacing15lines">
    <w:name w:val="Style Line spacing:  1.5 lines"/>
    <w:basedOn w:val="Normal"/>
    <w:rsid w:val="008E350E"/>
    <w:pPr>
      <w:spacing w:line="360" w:lineRule="auto"/>
    </w:pPr>
    <w:rPr>
      <w:color w:val="auto"/>
      <w:sz w:val="26"/>
    </w:rPr>
  </w:style>
  <w:style w:type="paragraph" w:customStyle="1" w:styleId="Style">
    <w:name w:val="Style"/>
    <w:rsid w:val="002248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4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32FA-1015-4E4B-8126-122DF8C2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Affordable Voice Communications, Inc</vt:lpstr>
    </vt:vector>
  </TitlesOfParts>
  <Company>PA PUC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Voice Communications, Inc</dc:title>
  <dc:creator>TUZINSKI</dc:creator>
  <cp:lastModifiedBy>Farner, Joyce</cp:lastModifiedBy>
  <cp:revision>4</cp:revision>
  <cp:lastPrinted>2017-03-16T11:13:00Z</cp:lastPrinted>
  <dcterms:created xsi:type="dcterms:W3CDTF">2017-03-02T16:26:00Z</dcterms:created>
  <dcterms:modified xsi:type="dcterms:W3CDTF">2017-03-16T11:13:00Z</dcterms:modified>
</cp:coreProperties>
</file>