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B0" w:rsidRPr="00A8734C" w:rsidRDefault="00986AB0" w:rsidP="00303822">
      <w:pPr>
        <w:widowControl/>
        <w:tabs>
          <w:tab w:val="center" w:pos="4680"/>
        </w:tabs>
        <w:suppressAutoHyphens/>
        <w:jc w:val="center"/>
        <w:rPr>
          <w:b/>
          <w:sz w:val="26"/>
          <w:szCs w:val="26"/>
        </w:rPr>
      </w:pPr>
      <w:r w:rsidRPr="00A8734C">
        <w:rPr>
          <w:b/>
          <w:sz w:val="26"/>
          <w:szCs w:val="26"/>
        </w:rPr>
        <w:t>PENNSYLVANIA</w:t>
      </w:r>
    </w:p>
    <w:p w:rsidR="00986AB0" w:rsidRPr="00A8734C" w:rsidRDefault="00986AB0" w:rsidP="00303822">
      <w:pPr>
        <w:widowControl/>
        <w:tabs>
          <w:tab w:val="center" w:pos="4680"/>
        </w:tabs>
        <w:suppressAutoHyphens/>
        <w:jc w:val="center"/>
        <w:rPr>
          <w:sz w:val="26"/>
          <w:szCs w:val="26"/>
        </w:rPr>
      </w:pPr>
      <w:r w:rsidRPr="00A8734C">
        <w:rPr>
          <w:b/>
          <w:sz w:val="26"/>
          <w:szCs w:val="26"/>
        </w:rPr>
        <w:t>PUBLIC UTILITY COMMISSION</w:t>
      </w:r>
    </w:p>
    <w:p w:rsidR="00986AB0" w:rsidRPr="00A8734C" w:rsidRDefault="00986AB0" w:rsidP="00303822">
      <w:pPr>
        <w:widowControl/>
        <w:tabs>
          <w:tab w:val="center" w:pos="4680"/>
        </w:tabs>
        <w:suppressAutoHyphens/>
        <w:jc w:val="center"/>
        <w:rPr>
          <w:sz w:val="26"/>
          <w:szCs w:val="26"/>
        </w:rPr>
      </w:pPr>
      <w:r w:rsidRPr="00A8734C">
        <w:rPr>
          <w:b/>
          <w:sz w:val="26"/>
          <w:szCs w:val="26"/>
        </w:rPr>
        <w:t>Harrisburg, PA 17105-3265</w:t>
      </w:r>
    </w:p>
    <w:p w:rsidR="00986AB0" w:rsidRPr="00A8734C" w:rsidRDefault="00986AB0" w:rsidP="00303822">
      <w:pPr>
        <w:widowControl/>
        <w:tabs>
          <w:tab w:val="left" w:pos="-720"/>
        </w:tabs>
        <w:suppressAutoHyphens/>
        <w:rPr>
          <w:sz w:val="26"/>
          <w:szCs w:val="26"/>
        </w:rPr>
      </w:pPr>
    </w:p>
    <w:p w:rsidR="00986AB0" w:rsidRPr="00A8734C" w:rsidRDefault="00986AB0" w:rsidP="0030382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38"/>
      </w:tblGrid>
      <w:tr w:rsidR="00986AB0" w:rsidRPr="00F1625F" w:rsidTr="00493784">
        <w:tc>
          <w:tcPr>
            <w:tcW w:w="5148" w:type="dxa"/>
          </w:tcPr>
          <w:p w:rsidR="00986AB0" w:rsidRPr="00F1625F" w:rsidRDefault="00986AB0" w:rsidP="00303822">
            <w:pPr>
              <w:widowControl/>
              <w:rPr>
                <w:sz w:val="26"/>
                <w:szCs w:val="26"/>
              </w:rPr>
            </w:pPr>
          </w:p>
        </w:tc>
        <w:tc>
          <w:tcPr>
            <w:tcW w:w="4338" w:type="dxa"/>
          </w:tcPr>
          <w:p w:rsidR="00986AB0" w:rsidRPr="00F1625F" w:rsidRDefault="00986AB0" w:rsidP="00303822">
            <w:pPr>
              <w:widowControl/>
              <w:jc w:val="right"/>
              <w:rPr>
                <w:sz w:val="26"/>
                <w:szCs w:val="26"/>
              </w:rPr>
            </w:pPr>
            <w:r w:rsidRPr="00F1625F">
              <w:rPr>
                <w:sz w:val="26"/>
                <w:szCs w:val="26"/>
              </w:rPr>
              <w:t xml:space="preserve">Public Meeting held </w:t>
            </w:r>
            <w:r w:rsidR="00235D00">
              <w:rPr>
                <w:sz w:val="26"/>
                <w:szCs w:val="26"/>
              </w:rPr>
              <w:t xml:space="preserve">March </w:t>
            </w:r>
            <w:r w:rsidR="00DE5CFA">
              <w:rPr>
                <w:sz w:val="26"/>
                <w:szCs w:val="26"/>
              </w:rPr>
              <w:t>16</w:t>
            </w:r>
            <w:r w:rsidRPr="00F1625F">
              <w:rPr>
                <w:sz w:val="26"/>
                <w:szCs w:val="26"/>
              </w:rPr>
              <w:t>, 201</w:t>
            </w:r>
            <w:r>
              <w:rPr>
                <w:sz w:val="26"/>
                <w:szCs w:val="26"/>
              </w:rPr>
              <w:t>7</w:t>
            </w:r>
          </w:p>
          <w:p w:rsidR="00986AB0" w:rsidRPr="00F1625F" w:rsidRDefault="00986AB0" w:rsidP="00303822">
            <w:pPr>
              <w:widowControl/>
              <w:jc w:val="right"/>
              <w:rPr>
                <w:sz w:val="26"/>
                <w:szCs w:val="26"/>
              </w:rPr>
            </w:pPr>
          </w:p>
          <w:p w:rsidR="00986AB0" w:rsidRPr="00F1625F" w:rsidRDefault="00986AB0" w:rsidP="00303822">
            <w:pPr>
              <w:widowControl/>
              <w:jc w:val="right"/>
              <w:rPr>
                <w:sz w:val="26"/>
                <w:szCs w:val="26"/>
              </w:rPr>
            </w:pPr>
          </w:p>
        </w:tc>
      </w:tr>
      <w:tr w:rsidR="00F60440" w:rsidRPr="00F1625F" w:rsidTr="000E53AB">
        <w:tc>
          <w:tcPr>
            <w:tcW w:w="9486" w:type="dxa"/>
            <w:gridSpan w:val="2"/>
          </w:tcPr>
          <w:p w:rsidR="00F60440" w:rsidRPr="00F1625F" w:rsidRDefault="00F60440" w:rsidP="00303822">
            <w:pPr>
              <w:widowControl/>
              <w:rPr>
                <w:sz w:val="26"/>
                <w:szCs w:val="26"/>
              </w:rPr>
            </w:pPr>
            <w:r w:rsidRPr="00F1625F">
              <w:rPr>
                <w:sz w:val="26"/>
                <w:szCs w:val="26"/>
              </w:rPr>
              <w:t>Commissioners Present:</w:t>
            </w:r>
          </w:p>
          <w:p w:rsidR="00F60440" w:rsidRPr="00F1625F" w:rsidRDefault="00F60440" w:rsidP="00303822">
            <w:pPr>
              <w:widowControl/>
              <w:rPr>
                <w:sz w:val="26"/>
                <w:szCs w:val="26"/>
              </w:rPr>
            </w:pPr>
          </w:p>
          <w:p w:rsidR="00F60440" w:rsidRPr="00F1625F" w:rsidRDefault="00F60440" w:rsidP="00303822">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 Joint Statement</w:t>
            </w:r>
          </w:p>
          <w:p w:rsidR="00F60440" w:rsidRDefault="00F60440" w:rsidP="00303822">
            <w:pPr>
              <w:widowControl/>
              <w:tabs>
                <w:tab w:val="left" w:pos="705"/>
              </w:tabs>
              <w:ind w:firstLine="720"/>
              <w:rPr>
                <w:sz w:val="26"/>
                <w:szCs w:val="26"/>
              </w:rPr>
            </w:pPr>
            <w:r>
              <w:rPr>
                <w:sz w:val="26"/>
                <w:szCs w:val="26"/>
              </w:rPr>
              <w:t>Andrew G. Place</w:t>
            </w:r>
            <w:r w:rsidRPr="00F1625F">
              <w:rPr>
                <w:sz w:val="26"/>
                <w:szCs w:val="26"/>
              </w:rPr>
              <w:t>, Vice Chairman</w:t>
            </w:r>
            <w:r>
              <w:rPr>
                <w:sz w:val="26"/>
                <w:szCs w:val="26"/>
              </w:rPr>
              <w:t>, Statement</w:t>
            </w:r>
          </w:p>
          <w:p w:rsidR="00F60440" w:rsidRDefault="00F60440" w:rsidP="00303822">
            <w:pPr>
              <w:widowControl/>
              <w:tabs>
                <w:tab w:val="left" w:pos="705"/>
              </w:tabs>
              <w:ind w:firstLine="720"/>
              <w:rPr>
                <w:sz w:val="26"/>
                <w:szCs w:val="26"/>
              </w:rPr>
            </w:pPr>
            <w:r w:rsidRPr="00F1625F">
              <w:rPr>
                <w:sz w:val="26"/>
                <w:szCs w:val="26"/>
              </w:rPr>
              <w:t>John F. Coleman, Jr.</w:t>
            </w:r>
            <w:r>
              <w:rPr>
                <w:sz w:val="26"/>
                <w:szCs w:val="26"/>
              </w:rPr>
              <w:t>, Joint Statement</w:t>
            </w:r>
          </w:p>
          <w:p w:rsidR="00F60440" w:rsidRDefault="00F60440" w:rsidP="00303822">
            <w:pPr>
              <w:widowControl/>
              <w:tabs>
                <w:tab w:val="left" w:pos="705"/>
              </w:tabs>
              <w:ind w:firstLine="720"/>
              <w:rPr>
                <w:sz w:val="26"/>
                <w:szCs w:val="26"/>
              </w:rPr>
            </w:pPr>
            <w:r w:rsidRPr="00390584">
              <w:rPr>
                <w:sz w:val="26"/>
                <w:szCs w:val="26"/>
              </w:rPr>
              <w:t>Robert F. Powelson</w:t>
            </w:r>
          </w:p>
          <w:p w:rsidR="00F60440" w:rsidRPr="00390584" w:rsidRDefault="00F60440" w:rsidP="00303822">
            <w:pPr>
              <w:widowControl/>
              <w:tabs>
                <w:tab w:val="left" w:pos="705"/>
              </w:tabs>
              <w:ind w:firstLine="720"/>
              <w:rPr>
                <w:sz w:val="26"/>
                <w:szCs w:val="26"/>
              </w:rPr>
            </w:pPr>
            <w:r>
              <w:rPr>
                <w:sz w:val="26"/>
                <w:szCs w:val="26"/>
              </w:rPr>
              <w:t>David W. Sweet</w:t>
            </w:r>
          </w:p>
          <w:p w:rsidR="00F60440" w:rsidRPr="00F1625F" w:rsidRDefault="00F60440" w:rsidP="00303822">
            <w:pPr>
              <w:widowControl/>
              <w:rPr>
                <w:sz w:val="26"/>
                <w:szCs w:val="26"/>
              </w:rPr>
            </w:pPr>
          </w:p>
          <w:p w:rsidR="00F60440" w:rsidRPr="00F1625F" w:rsidRDefault="00F60440" w:rsidP="00303822">
            <w:pPr>
              <w:widowControl/>
              <w:jc w:val="right"/>
              <w:rPr>
                <w:sz w:val="26"/>
                <w:szCs w:val="26"/>
              </w:rPr>
            </w:pPr>
          </w:p>
          <w:p w:rsidR="00F60440" w:rsidRPr="00F1625F" w:rsidRDefault="00F60440" w:rsidP="00303822">
            <w:pPr>
              <w:widowControl/>
              <w:jc w:val="right"/>
              <w:rPr>
                <w:sz w:val="26"/>
                <w:szCs w:val="26"/>
              </w:rPr>
            </w:pPr>
          </w:p>
        </w:tc>
      </w:tr>
      <w:tr w:rsidR="00986AB0" w:rsidRPr="00F1625F" w:rsidTr="00493784">
        <w:tc>
          <w:tcPr>
            <w:tcW w:w="5148" w:type="dxa"/>
          </w:tcPr>
          <w:p w:rsidR="00986AB0" w:rsidRPr="00F1625F" w:rsidRDefault="001852FE" w:rsidP="00303822">
            <w:pPr>
              <w:widowControl/>
              <w:rPr>
                <w:sz w:val="26"/>
                <w:szCs w:val="26"/>
              </w:rPr>
            </w:pPr>
            <w:r>
              <w:rPr>
                <w:sz w:val="26"/>
                <w:szCs w:val="26"/>
              </w:rPr>
              <w:t xml:space="preserve">Robert J. Kramer </w:t>
            </w:r>
          </w:p>
          <w:p w:rsidR="00986AB0" w:rsidRPr="00F1625F" w:rsidRDefault="00986AB0" w:rsidP="00303822">
            <w:pPr>
              <w:widowControl/>
              <w:rPr>
                <w:sz w:val="26"/>
                <w:szCs w:val="26"/>
              </w:rPr>
            </w:pPr>
          </w:p>
        </w:tc>
        <w:tc>
          <w:tcPr>
            <w:tcW w:w="4338" w:type="dxa"/>
          </w:tcPr>
          <w:p w:rsidR="00986AB0" w:rsidRDefault="00986AB0" w:rsidP="00303822">
            <w:pPr>
              <w:widowControl/>
              <w:jc w:val="right"/>
              <w:rPr>
                <w:sz w:val="26"/>
                <w:szCs w:val="26"/>
              </w:rPr>
            </w:pPr>
            <w:r>
              <w:rPr>
                <w:sz w:val="26"/>
                <w:szCs w:val="26"/>
              </w:rPr>
              <w:t>F-2015</w:t>
            </w:r>
            <w:r w:rsidRPr="00F1625F">
              <w:rPr>
                <w:sz w:val="26"/>
                <w:szCs w:val="26"/>
              </w:rPr>
              <w:t>-</w:t>
            </w:r>
            <w:r>
              <w:rPr>
                <w:sz w:val="26"/>
                <w:szCs w:val="26"/>
              </w:rPr>
              <w:t>2499181</w:t>
            </w:r>
          </w:p>
          <w:p w:rsidR="00986AB0" w:rsidRPr="00F1625F" w:rsidRDefault="00986AB0" w:rsidP="00303822">
            <w:pPr>
              <w:widowControl/>
              <w:jc w:val="center"/>
              <w:rPr>
                <w:sz w:val="26"/>
                <w:szCs w:val="26"/>
              </w:rPr>
            </w:pPr>
          </w:p>
        </w:tc>
      </w:tr>
      <w:tr w:rsidR="00986AB0" w:rsidRPr="00F1625F" w:rsidTr="00493784">
        <w:tc>
          <w:tcPr>
            <w:tcW w:w="5148" w:type="dxa"/>
          </w:tcPr>
          <w:p w:rsidR="00986AB0" w:rsidRPr="00F1625F" w:rsidRDefault="00986AB0" w:rsidP="00303822">
            <w:pPr>
              <w:widowControl/>
              <w:ind w:firstLine="900"/>
              <w:rPr>
                <w:sz w:val="26"/>
                <w:szCs w:val="26"/>
              </w:rPr>
            </w:pPr>
            <w:r w:rsidRPr="00F1625F">
              <w:rPr>
                <w:sz w:val="26"/>
                <w:szCs w:val="26"/>
              </w:rPr>
              <w:t>v.</w:t>
            </w:r>
          </w:p>
          <w:p w:rsidR="00986AB0" w:rsidRPr="00F1625F" w:rsidRDefault="00986AB0" w:rsidP="00303822">
            <w:pPr>
              <w:widowControl/>
              <w:ind w:firstLine="1440"/>
              <w:rPr>
                <w:sz w:val="26"/>
                <w:szCs w:val="26"/>
              </w:rPr>
            </w:pPr>
          </w:p>
        </w:tc>
        <w:tc>
          <w:tcPr>
            <w:tcW w:w="4338" w:type="dxa"/>
          </w:tcPr>
          <w:p w:rsidR="00986AB0" w:rsidRPr="00F1625F" w:rsidRDefault="00986AB0" w:rsidP="00303822">
            <w:pPr>
              <w:widowControl/>
              <w:rPr>
                <w:sz w:val="26"/>
                <w:szCs w:val="26"/>
              </w:rPr>
            </w:pPr>
          </w:p>
        </w:tc>
      </w:tr>
      <w:tr w:rsidR="00986AB0" w:rsidRPr="00F1625F" w:rsidTr="00493784">
        <w:tc>
          <w:tcPr>
            <w:tcW w:w="5148" w:type="dxa"/>
          </w:tcPr>
          <w:p w:rsidR="00986AB0" w:rsidRPr="00F1625F" w:rsidRDefault="00986AB0" w:rsidP="00303822">
            <w:pPr>
              <w:widowControl/>
              <w:rPr>
                <w:sz w:val="26"/>
                <w:szCs w:val="26"/>
              </w:rPr>
            </w:pPr>
            <w:r>
              <w:rPr>
                <w:sz w:val="26"/>
                <w:szCs w:val="26"/>
              </w:rPr>
              <w:t>Duquesne Light</w:t>
            </w:r>
            <w:r w:rsidRPr="00F1625F">
              <w:rPr>
                <w:sz w:val="26"/>
                <w:szCs w:val="26"/>
              </w:rPr>
              <w:t xml:space="preserve"> Company</w:t>
            </w:r>
          </w:p>
        </w:tc>
        <w:tc>
          <w:tcPr>
            <w:tcW w:w="4338" w:type="dxa"/>
          </w:tcPr>
          <w:p w:rsidR="00986AB0" w:rsidRPr="00F1625F" w:rsidRDefault="00986AB0" w:rsidP="00303822">
            <w:pPr>
              <w:widowControl/>
              <w:rPr>
                <w:sz w:val="26"/>
                <w:szCs w:val="26"/>
              </w:rPr>
            </w:pPr>
          </w:p>
        </w:tc>
      </w:tr>
    </w:tbl>
    <w:p w:rsidR="00E14213" w:rsidRDefault="00E14213" w:rsidP="00303822">
      <w:pPr>
        <w:widowControl/>
        <w:rPr>
          <w:sz w:val="26"/>
          <w:szCs w:val="26"/>
        </w:rPr>
      </w:pPr>
    </w:p>
    <w:p w:rsidR="00E43CAB" w:rsidRPr="00F1625F" w:rsidRDefault="00E43CAB" w:rsidP="00303822">
      <w:pPr>
        <w:widowControl/>
        <w:rPr>
          <w:sz w:val="26"/>
          <w:szCs w:val="26"/>
        </w:rPr>
      </w:pPr>
    </w:p>
    <w:p w:rsidR="00986AB0" w:rsidRPr="00DB44D9" w:rsidRDefault="00986AB0" w:rsidP="00303822">
      <w:pPr>
        <w:widowControl/>
        <w:tabs>
          <w:tab w:val="center" w:pos="4680"/>
        </w:tabs>
        <w:suppressAutoHyphens/>
        <w:jc w:val="center"/>
        <w:rPr>
          <w:b/>
          <w:sz w:val="26"/>
        </w:rPr>
      </w:pPr>
      <w:r w:rsidRPr="00DB44D9">
        <w:rPr>
          <w:b/>
          <w:sz w:val="26"/>
        </w:rPr>
        <w:t>OPINION AND ORDER</w:t>
      </w:r>
    </w:p>
    <w:p w:rsidR="00986AB0" w:rsidRPr="00DB44D9" w:rsidRDefault="00986AB0" w:rsidP="00303822">
      <w:pPr>
        <w:widowControl/>
        <w:tabs>
          <w:tab w:val="left" w:pos="-720"/>
        </w:tabs>
        <w:suppressAutoHyphens/>
        <w:spacing w:line="360" w:lineRule="auto"/>
        <w:rPr>
          <w:b/>
          <w:sz w:val="26"/>
        </w:rPr>
      </w:pPr>
    </w:p>
    <w:p w:rsidR="00986AB0" w:rsidRPr="00DB44D9" w:rsidRDefault="00986AB0" w:rsidP="00303822">
      <w:pPr>
        <w:widowControl/>
        <w:tabs>
          <w:tab w:val="left" w:pos="-720"/>
        </w:tabs>
        <w:suppressAutoHyphens/>
        <w:spacing w:after="120"/>
        <w:rPr>
          <w:sz w:val="26"/>
        </w:rPr>
      </w:pPr>
      <w:r w:rsidRPr="00DB44D9">
        <w:rPr>
          <w:b/>
          <w:sz w:val="26"/>
        </w:rPr>
        <w:t>BY THE COMMISSION:</w:t>
      </w:r>
    </w:p>
    <w:p w:rsidR="00986AB0" w:rsidRPr="00DB44D9" w:rsidRDefault="00986AB0" w:rsidP="00303822">
      <w:pPr>
        <w:widowControl/>
        <w:tabs>
          <w:tab w:val="left" w:pos="-720"/>
        </w:tabs>
        <w:suppressAutoHyphens/>
        <w:spacing w:line="360" w:lineRule="auto"/>
        <w:rPr>
          <w:sz w:val="26"/>
        </w:rPr>
      </w:pPr>
    </w:p>
    <w:p w:rsidR="00986AB0" w:rsidRDefault="00986AB0" w:rsidP="00303822">
      <w:pPr>
        <w:widowControl/>
        <w:tabs>
          <w:tab w:val="left" w:pos="-720"/>
        </w:tabs>
        <w:suppressAutoHyphens/>
        <w:spacing w:line="360" w:lineRule="auto"/>
        <w:rPr>
          <w:sz w:val="26"/>
        </w:rPr>
      </w:pPr>
      <w:r w:rsidRPr="00DB44D9">
        <w:rPr>
          <w:sz w:val="26"/>
        </w:rPr>
        <w:tab/>
      </w:r>
      <w:r w:rsidRPr="00DB44D9">
        <w:rPr>
          <w:sz w:val="26"/>
        </w:rPr>
        <w:tab/>
        <w:t>Before the Pennsylvania Public Utility Commission (Commission) for consideration and disposition are</w:t>
      </w:r>
      <w:r w:rsidR="00D5027B">
        <w:rPr>
          <w:sz w:val="26"/>
        </w:rPr>
        <w:t>:</w:t>
      </w:r>
      <w:r w:rsidRPr="00DB44D9">
        <w:rPr>
          <w:sz w:val="26"/>
        </w:rPr>
        <w:t xml:space="preserve"> </w:t>
      </w:r>
      <w:r w:rsidR="00D5027B">
        <w:rPr>
          <w:sz w:val="26"/>
        </w:rPr>
        <w:t xml:space="preserve">(1) </w:t>
      </w:r>
      <w:r w:rsidRPr="00DB44D9">
        <w:rPr>
          <w:sz w:val="26"/>
        </w:rPr>
        <w:t xml:space="preserve">the </w:t>
      </w:r>
      <w:r w:rsidRPr="0069670F">
        <w:rPr>
          <w:sz w:val="26"/>
        </w:rPr>
        <w:t xml:space="preserve">Exceptions filed by </w:t>
      </w:r>
      <w:r>
        <w:rPr>
          <w:sz w:val="26"/>
          <w:szCs w:val="26"/>
        </w:rPr>
        <w:t xml:space="preserve">Duquesne Light Company </w:t>
      </w:r>
      <w:r w:rsidRPr="00DB44D9">
        <w:rPr>
          <w:sz w:val="26"/>
        </w:rPr>
        <w:t>(</w:t>
      </w:r>
      <w:r>
        <w:rPr>
          <w:sz w:val="26"/>
        </w:rPr>
        <w:t>Duquesne</w:t>
      </w:r>
      <w:r w:rsidR="00F43A58">
        <w:rPr>
          <w:sz w:val="26"/>
        </w:rPr>
        <w:t xml:space="preserve"> or the Company</w:t>
      </w:r>
      <w:r>
        <w:rPr>
          <w:sz w:val="26"/>
        </w:rPr>
        <w:t>)</w:t>
      </w:r>
      <w:r w:rsidRPr="00DB44D9">
        <w:rPr>
          <w:sz w:val="26"/>
        </w:rPr>
        <w:t xml:space="preserve"> on </w:t>
      </w:r>
      <w:r>
        <w:rPr>
          <w:sz w:val="26"/>
        </w:rPr>
        <w:t>April 5</w:t>
      </w:r>
      <w:r w:rsidRPr="0069670F">
        <w:rPr>
          <w:sz w:val="26"/>
        </w:rPr>
        <w:t>, 201</w:t>
      </w:r>
      <w:r>
        <w:rPr>
          <w:sz w:val="26"/>
        </w:rPr>
        <w:t>6</w:t>
      </w:r>
      <w:r w:rsidRPr="00DB44D9">
        <w:rPr>
          <w:sz w:val="26"/>
        </w:rPr>
        <w:t>, in response to the Initial Decision (I.D.) of Adminis</w:t>
      </w:r>
      <w:r w:rsidRPr="0069670F">
        <w:rPr>
          <w:sz w:val="26"/>
        </w:rPr>
        <w:t xml:space="preserve">trative Law Judge (ALJ) </w:t>
      </w:r>
      <w:r>
        <w:rPr>
          <w:sz w:val="26"/>
        </w:rPr>
        <w:t>Katrina L. Dunderdale</w:t>
      </w:r>
      <w:r w:rsidRPr="00DB44D9">
        <w:rPr>
          <w:sz w:val="26"/>
        </w:rPr>
        <w:t xml:space="preserve"> issued on </w:t>
      </w:r>
      <w:r>
        <w:rPr>
          <w:sz w:val="26"/>
        </w:rPr>
        <w:t>March 17, 2016</w:t>
      </w:r>
      <w:r w:rsidR="00D5027B">
        <w:rPr>
          <w:sz w:val="26"/>
        </w:rPr>
        <w:t xml:space="preserve">, and (2) </w:t>
      </w:r>
      <w:r w:rsidR="00D5027B">
        <w:rPr>
          <w:sz w:val="26"/>
          <w:szCs w:val="26"/>
        </w:rPr>
        <w:t>a Motion to Correct Transcript</w:t>
      </w:r>
      <w:r w:rsidR="00E43CAB">
        <w:rPr>
          <w:sz w:val="26"/>
          <w:szCs w:val="26"/>
        </w:rPr>
        <w:t xml:space="preserve"> (Motion)</w:t>
      </w:r>
      <w:r w:rsidR="00D5027B">
        <w:rPr>
          <w:sz w:val="26"/>
          <w:szCs w:val="26"/>
        </w:rPr>
        <w:t>, also filed on April 5, 2016, by the Company)</w:t>
      </w:r>
      <w:r w:rsidRPr="00DB44D9">
        <w:rPr>
          <w:sz w:val="26"/>
        </w:rPr>
        <w:t xml:space="preserve">.  </w:t>
      </w:r>
      <w:r>
        <w:rPr>
          <w:sz w:val="26"/>
        </w:rPr>
        <w:t xml:space="preserve">Replies to Exceptions were not received by the Commission.  </w:t>
      </w:r>
      <w:r w:rsidR="00E43CAB">
        <w:rPr>
          <w:sz w:val="26"/>
        </w:rPr>
        <w:t xml:space="preserve">In addition, there was no response filed to the Motion.  </w:t>
      </w:r>
      <w:r w:rsidRPr="0069670F">
        <w:rPr>
          <w:sz w:val="26"/>
        </w:rPr>
        <w:t>For the reasons stated below</w:t>
      </w:r>
      <w:r>
        <w:rPr>
          <w:sz w:val="26"/>
        </w:rPr>
        <w:t>, we will grant</w:t>
      </w:r>
      <w:r w:rsidRPr="0069670F">
        <w:rPr>
          <w:sz w:val="26"/>
        </w:rPr>
        <w:t xml:space="preserve"> </w:t>
      </w:r>
      <w:r>
        <w:rPr>
          <w:sz w:val="26"/>
        </w:rPr>
        <w:t>Duquesne</w:t>
      </w:r>
      <w:r w:rsidRPr="0069670F">
        <w:rPr>
          <w:sz w:val="26"/>
        </w:rPr>
        <w:t>’s Exceptions and</w:t>
      </w:r>
      <w:r>
        <w:rPr>
          <w:sz w:val="26"/>
        </w:rPr>
        <w:t xml:space="preserve"> reverse</w:t>
      </w:r>
      <w:r w:rsidRPr="00DB44D9">
        <w:rPr>
          <w:sz w:val="26"/>
        </w:rPr>
        <w:t xml:space="preserve"> the ALJ’s Initial Decision.</w:t>
      </w:r>
    </w:p>
    <w:p w:rsidR="001852FE" w:rsidRPr="00DB44D9" w:rsidRDefault="001852FE" w:rsidP="00303822">
      <w:pPr>
        <w:widowControl/>
        <w:tabs>
          <w:tab w:val="left" w:pos="-720"/>
        </w:tabs>
        <w:suppressAutoHyphens/>
        <w:spacing w:line="360" w:lineRule="auto"/>
        <w:rPr>
          <w:sz w:val="26"/>
        </w:rPr>
      </w:pPr>
    </w:p>
    <w:p w:rsidR="00986AB0" w:rsidRDefault="00986AB0" w:rsidP="00303822">
      <w:pPr>
        <w:keepNext/>
        <w:widowControl/>
        <w:tabs>
          <w:tab w:val="left" w:pos="-720"/>
        </w:tabs>
        <w:suppressAutoHyphens/>
        <w:spacing w:line="360" w:lineRule="auto"/>
        <w:jc w:val="center"/>
        <w:rPr>
          <w:b/>
          <w:sz w:val="26"/>
        </w:rPr>
      </w:pPr>
      <w:r w:rsidRPr="00B144AB">
        <w:rPr>
          <w:b/>
          <w:sz w:val="26"/>
        </w:rPr>
        <w:t>History of the Proceeding</w:t>
      </w:r>
    </w:p>
    <w:p w:rsidR="001852FE" w:rsidRDefault="001852FE" w:rsidP="00303822">
      <w:pPr>
        <w:keepNext/>
        <w:widowControl/>
        <w:tabs>
          <w:tab w:val="left" w:pos="-720"/>
        </w:tabs>
        <w:suppressAutoHyphens/>
        <w:spacing w:line="360" w:lineRule="auto"/>
        <w:jc w:val="center"/>
        <w:rPr>
          <w:b/>
          <w:sz w:val="26"/>
        </w:rPr>
      </w:pPr>
    </w:p>
    <w:p w:rsidR="001852FE" w:rsidRPr="00631184" w:rsidRDefault="001852FE" w:rsidP="00303822">
      <w:pPr>
        <w:pStyle w:val="Style"/>
        <w:widowControl/>
        <w:spacing w:line="360" w:lineRule="auto"/>
        <w:ind w:firstLine="1440"/>
        <w:rPr>
          <w:bCs/>
          <w:color w:val="000000"/>
          <w:sz w:val="26"/>
          <w:szCs w:val="26"/>
        </w:rPr>
      </w:pPr>
      <w:r w:rsidRPr="001852FE">
        <w:rPr>
          <w:bCs/>
          <w:color w:val="000000"/>
          <w:sz w:val="26"/>
          <w:szCs w:val="26"/>
        </w:rPr>
        <w:t>On August 10, 2015, Robert J. K</w:t>
      </w:r>
      <w:r w:rsidR="00287858">
        <w:rPr>
          <w:bCs/>
          <w:color w:val="000000"/>
          <w:sz w:val="26"/>
          <w:szCs w:val="26"/>
        </w:rPr>
        <w:t xml:space="preserve">ramer (Complainant </w:t>
      </w:r>
      <w:r w:rsidRPr="001852FE">
        <w:rPr>
          <w:bCs/>
          <w:color w:val="000000"/>
          <w:sz w:val="26"/>
          <w:szCs w:val="26"/>
        </w:rPr>
        <w:t xml:space="preserve">) filed a </w:t>
      </w:r>
      <w:r w:rsidR="00066818">
        <w:rPr>
          <w:bCs/>
          <w:color w:val="000000"/>
          <w:sz w:val="26"/>
          <w:szCs w:val="26"/>
        </w:rPr>
        <w:t>F</w:t>
      </w:r>
      <w:r w:rsidR="00287858">
        <w:rPr>
          <w:bCs/>
          <w:color w:val="000000"/>
          <w:sz w:val="26"/>
          <w:szCs w:val="26"/>
        </w:rPr>
        <w:t xml:space="preserve">ormal Complaint against Duquesne </w:t>
      </w:r>
      <w:r w:rsidRPr="001852FE">
        <w:rPr>
          <w:bCs/>
          <w:color w:val="000000"/>
          <w:sz w:val="26"/>
          <w:szCs w:val="26"/>
        </w:rPr>
        <w:t>with the Commission</w:t>
      </w:r>
      <w:r w:rsidR="00287858">
        <w:rPr>
          <w:bCs/>
          <w:color w:val="000000"/>
          <w:sz w:val="26"/>
          <w:szCs w:val="26"/>
        </w:rPr>
        <w:t xml:space="preserve"> </w:t>
      </w:r>
      <w:r w:rsidRPr="001852FE">
        <w:rPr>
          <w:bCs/>
          <w:color w:val="000000"/>
          <w:sz w:val="26"/>
          <w:szCs w:val="26"/>
        </w:rPr>
        <w:t>alleg</w:t>
      </w:r>
      <w:r w:rsidR="00287858">
        <w:rPr>
          <w:bCs/>
          <w:color w:val="000000"/>
          <w:sz w:val="26"/>
          <w:szCs w:val="26"/>
        </w:rPr>
        <w:t xml:space="preserve">ing that </w:t>
      </w:r>
      <w:r w:rsidR="00AF57AF">
        <w:rPr>
          <w:bCs/>
          <w:color w:val="000000"/>
          <w:sz w:val="26"/>
          <w:szCs w:val="26"/>
        </w:rPr>
        <w:t xml:space="preserve">there were incorrect charges on his electric bill because from </w:t>
      </w:r>
      <w:r w:rsidR="00631184">
        <w:rPr>
          <w:bCs/>
          <w:color w:val="000000"/>
          <w:sz w:val="26"/>
          <w:szCs w:val="26"/>
        </w:rPr>
        <w:t xml:space="preserve">December of 2000 to December of 2014 he was paying </w:t>
      </w:r>
      <w:r w:rsidRPr="001852FE">
        <w:rPr>
          <w:bCs/>
          <w:color w:val="000000"/>
          <w:sz w:val="26"/>
          <w:szCs w:val="26"/>
        </w:rPr>
        <w:t xml:space="preserve">the higher residential heating (RH) rate </w:t>
      </w:r>
      <w:r w:rsidR="00303822">
        <w:rPr>
          <w:bCs/>
          <w:color w:val="000000"/>
          <w:sz w:val="26"/>
          <w:szCs w:val="26"/>
        </w:rPr>
        <w:t xml:space="preserve">when it should have been </w:t>
      </w:r>
      <w:r w:rsidRPr="001852FE">
        <w:rPr>
          <w:bCs/>
          <w:color w:val="000000"/>
          <w:sz w:val="26"/>
          <w:szCs w:val="26"/>
        </w:rPr>
        <w:t>the lower residential add-on heat pump (RA)</w:t>
      </w:r>
      <w:r w:rsidR="00F43A58">
        <w:rPr>
          <w:bCs/>
          <w:color w:val="000000"/>
          <w:sz w:val="26"/>
          <w:szCs w:val="26"/>
        </w:rPr>
        <w:t xml:space="preserve"> </w:t>
      </w:r>
      <w:r w:rsidR="00631184">
        <w:rPr>
          <w:bCs/>
          <w:color w:val="000000"/>
          <w:sz w:val="26"/>
          <w:szCs w:val="26"/>
        </w:rPr>
        <w:t xml:space="preserve">rate.  </w:t>
      </w:r>
      <w:r w:rsidR="00F43A58" w:rsidRPr="00184F3D">
        <w:rPr>
          <w:sz w:val="26"/>
          <w:szCs w:val="26"/>
        </w:rPr>
        <w:t xml:space="preserve">As relief, the Complainant requested that the Commission order </w:t>
      </w:r>
      <w:r w:rsidRPr="001852FE">
        <w:rPr>
          <w:bCs/>
          <w:color w:val="000000"/>
          <w:sz w:val="26"/>
          <w:szCs w:val="26"/>
        </w:rPr>
        <w:t xml:space="preserve">Duquesne to </w:t>
      </w:r>
      <w:r w:rsidR="00AF57AF">
        <w:rPr>
          <w:bCs/>
          <w:color w:val="000000"/>
          <w:sz w:val="26"/>
          <w:szCs w:val="26"/>
        </w:rPr>
        <w:t>recalculate fourteen years of incorrect billings or to make a lump sum settlement offer</w:t>
      </w:r>
      <w:r w:rsidRPr="001852FE">
        <w:rPr>
          <w:bCs/>
          <w:color w:val="000000"/>
          <w:sz w:val="26"/>
          <w:szCs w:val="26"/>
        </w:rPr>
        <w:t>.</w:t>
      </w:r>
      <w:r w:rsidR="00AF57AF">
        <w:rPr>
          <w:bCs/>
          <w:color w:val="000000"/>
          <w:sz w:val="26"/>
          <w:szCs w:val="26"/>
        </w:rPr>
        <w:t xml:space="preserve">  Complaint at 2-3.</w:t>
      </w:r>
      <w:r w:rsidR="00631184">
        <w:rPr>
          <w:bCs/>
          <w:color w:val="000000"/>
          <w:sz w:val="26"/>
          <w:szCs w:val="26"/>
        </w:rPr>
        <w:t xml:space="preserve">  </w:t>
      </w:r>
      <w:r w:rsidR="00631184" w:rsidRPr="00631184">
        <w:rPr>
          <w:bCs/>
          <w:color w:val="000000"/>
          <w:sz w:val="26"/>
          <w:szCs w:val="26"/>
        </w:rPr>
        <w:t xml:space="preserve">The Complaint </w:t>
      </w:r>
      <w:r w:rsidR="00631184">
        <w:rPr>
          <w:bCs/>
          <w:color w:val="000000"/>
          <w:sz w:val="26"/>
          <w:szCs w:val="26"/>
        </w:rPr>
        <w:t xml:space="preserve">represents </w:t>
      </w:r>
      <w:r w:rsidR="00631184" w:rsidRPr="00631184">
        <w:rPr>
          <w:bCs/>
          <w:color w:val="000000"/>
          <w:sz w:val="26"/>
          <w:szCs w:val="26"/>
        </w:rPr>
        <w:t>a timely appeal</w:t>
      </w:r>
      <w:r w:rsidR="00631184">
        <w:rPr>
          <w:bCs/>
          <w:color w:val="000000"/>
          <w:sz w:val="26"/>
          <w:szCs w:val="26"/>
        </w:rPr>
        <w:t xml:space="preserve"> of</w:t>
      </w:r>
      <w:r w:rsidR="00631184" w:rsidRPr="00631184">
        <w:rPr>
          <w:bCs/>
          <w:color w:val="000000"/>
          <w:sz w:val="26"/>
          <w:szCs w:val="26"/>
        </w:rPr>
        <w:t xml:space="preserve"> a decision made by the </w:t>
      </w:r>
      <w:r w:rsidR="00631184">
        <w:rPr>
          <w:bCs/>
          <w:color w:val="000000"/>
          <w:sz w:val="26"/>
          <w:szCs w:val="26"/>
        </w:rPr>
        <w:t xml:space="preserve">Commission’s </w:t>
      </w:r>
      <w:r w:rsidR="00631184" w:rsidRPr="00631184">
        <w:rPr>
          <w:bCs/>
          <w:color w:val="000000"/>
          <w:sz w:val="26"/>
          <w:szCs w:val="26"/>
        </w:rPr>
        <w:t>Bureau of Consumer Services (BCS) at BCS Case No. 4048350000.</w:t>
      </w:r>
    </w:p>
    <w:p w:rsidR="001852FE" w:rsidRPr="001852FE" w:rsidRDefault="001852FE" w:rsidP="00303822">
      <w:pPr>
        <w:pStyle w:val="Style"/>
        <w:widowControl/>
        <w:spacing w:line="360" w:lineRule="auto"/>
        <w:ind w:firstLine="1440"/>
        <w:rPr>
          <w:bCs/>
          <w:color w:val="000000"/>
          <w:sz w:val="26"/>
          <w:szCs w:val="26"/>
        </w:rPr>
      </w:pPr>
    </w:p>
    <w:p w:rsidR="001852FE" w:rsidRPr="001852FE" w:rsidRDefault="00357A89" w:rsidP="00303822">
      <w:pPr>
        <w:pStyle w:val="Style"/>
        <w:widowControl/>
        <w:spacing w:line="360" w:lineRule="auto"/>
        <w:ind w:firstLine="1440"/>
        <w:rPr>
          <w:bCs/>
          <w:color w:val="000000"/>
          <w:sz w:val="26"/>
          <w:szCs w:val="26"/>
        </w:rPr>
      </w:pPr>
      <w:r>
        <w:rPr>
          <w:bCs/>
          <w:color w:val="000000"/>
          <w:sz w:val="26"/>
          <w:szCs w:val="26"/>
        </w:rPr>
        <w:t>On September 8, 2015, Duquesne filed an</w:t>
      </w:r>
      <w:r w:rsidR="001852FE" w:rsidRPr="001852FE">
        <w:rPr>
          <w:bCs/>
          <w:color w:val="000000"/>
          <w:sz w:val="26"/>
          <w:szCs w:val="26"/>
        </w:rPr>
        <w:t xml:space="preserve"> Answer and New Matter in which </w:t>
      </w:r>
      <w:r>
        <w:rPr>
          <w:bCs/>
          <w:color w:val="000000"/>
          <w:sz w:val="26"/>
          <w:szCs w:val="26"/>
        </w:rPr>
        <w:t>the Company</w:t>
      </w:r>
      <w:r w:rsidR="001852FE" w:rsidRPr="001852FE">
        <w:rPr>
          <w:bCs/>
          <w:color w:val="000000"/>
          <w:sz w:val="26"/>
          <w:szCs w:val="26"/>
        </w:rPr>
        <w:t xml:space="preserve"> denied all material allegations</w:t>
      </w:r>
      <w:r>
        <w:rPr>
          <w:bCs/>
          <w:color w:val="000000"/>
          <w:sz w:val="26"/>
          <w:szCs w:val="26"/>
        </w:rPr>
        <w:t xml:space="preserve"> in the Complaint</w:t>
      </w:r>
      <w:r w:rsidR="001852FE" w:rsidRPr="001852FE">
        <w:rPr>
          <w:bCs/>
          <w:color w:val="000000"/>
          <w:sz w:val="26"/>
          <w:szCs w:val="26"/>
        </w:rPr>
        <w:t xml:space="preserve">.  </w:t>
      </w:r>
      <w:r w:rsidR="002A63F0">
        <w:rPr>
          <w:bCs/>
          <w:color w:val="000000"/>
          <w:sz w:val="26"/>
          <w:szCs w:val="26"/>
        </w:rPr>
        <w:t xml:space="preserve">Specifically, Duquesne denied that the Complainant was improperly billed for the past fourteen years at the incorrect rate because the Complainant never notified the Company of facts that justified a rate change until December 2, 2014.  </w:t>
      </w:r>
      <w:r w:rsidR="00CB24FA">
        <w:rPr>
          <w:bCs/>
          <w:color w:val="000000"/>
          <w:sz w:val="26"/>
          <w:szCs w:val="26"/>
        </w:rPr>
        <w:t xml:space="preserve">Answer and New Matter at 1.  </w:t>
      </w:r>
      <w:r w:rsidR="001852FE" w:rsidRPr="001852FE">
        <w:rPr>
          <w:bCs/>
          <w:color w:val="000000"/>
          <w:sz w:val="26"/>
          <w:szCs w:val="26"/>
        </w:rPr>
        <w:t xml:space="preserve">In </w:t>
      </w:r>
      <w:r w:rsidR="00CB24FA">
        <w:rPr>
          <w:bCs/>
          <w:color w:val="000000"/>
          <w:sz w:val="26"/>
          <w:szCs w:val="26"/>
        </w:rPr>
        <w:t xml:space="preserve">its </w:t>
      </w:r>
      <w:r w:rsidR="001852FE" w:rsidRPr="001852FE">
        <w:rPr>
          <w:bCs/>
          <w:color w:val="000000"/>
          <w:sz w:val="26"/>
          <w:szCs w:val="26"/>
        </w:rPr>
        <w:t xml:space="preserve">New Matter, </w:t>
      </w:r>
      <w:r w:rsidR="00CB24FA">
        <w:rPr>
          <w:bCs/>
          <w:color w:val="000000"/>
          <w:sz w:val="26"/>
          <w:szCs w:val="26"/>
        </w:rPr>
        <w:t>Duquesne stated that pursuant to 66 Pa. C.S. § 1312, a Complainant may not recover a refund for more than four years prior to the date of the filing of the Complaint</w:t>
      </w:r>
      <w:r w:rsidR="00303822">
        <w:rPr>
          <w:bCs/>
          <w:color w:val="000000"/>
          <w:sz w:val="26"/>
          <w:szCs w:val="26"/>
        </w:rPr>
        <w:t>.  Answer and New Matter at 4.</w:t>
      </w:r>
    </w:p>
    <w:p w:rsidR="001852FE" w:rsidRPr="001852FE" w:rsidRDefault="001852FE" w:rsidP="00303822">
      <w:pPr>
        <w:pStyle w:val="Style"/>
        <w:widowControl/>
        <w:spacing w:line="360" w:lineRule="auto"/>
        <w:ind w:firstLine="1440"/>
        <w:rPr>
          <w:bCs/>
          <w:color w:val="000000"/>
          <w:sz w:val="26"/>
          <w:szCs w:val="26"/>
        </w:rPr>
      </w:pPr>
    </w:p>
    <w:p w:rsidR="001852FE" w:rsidRPr="001852FE" w:rsidRDefault="004377D2" w:rsidP="00303822">
      <w:pPr>
        <w:pStyle w:val="Style"/>
        <w:widowControl/>
        <w:spacing w:line="360" w:lineRule="auto"/>
        <w:ind w:firstLine="1440"/>
        <w:rPr>
          <w:bCs/>
          <w:color w:val="000000"/>
          <w:sz w:val="26"/>
          <w:szCs w:val="26"/>
        </w:rPr>
      </w:pPr>
      <w:r>
        <w:rPr>
          <w:bCs/>
          <w:color w:val="000000"/>
          <w:sz w:val="26"/>
          <w:szCs w:val="26"/>
        </w:rPr>
        <w:t>Also, o</w:t>
      </w:r>
      <w:r w:rsidR="001852FE" w:rsidRPr="001852FE">
        <w:rPr>
          <w:bCs/>
          <w:color w:val="000000"/>
          <w:sz w:val="26"/>
          <w:szCs w:val="26"/>
        </w:rPr>
        <w:t xml:space="preserve">n </w:t>
      </w:r>
      <w:r>
        <w:rPr>
          <w:bCs/>
          <w:color w:val="000000"/>
          <w:sz w:val="26"/>
          <w:szCs w:val="26"/>
        </w:rPr>
        <w:t>September 8, 2015, Duquesne</w:t>
      </w:r>
      <w:r w:rsidR="001852FE" w:rsidRPr="001852FE">
        <w:rPr>
          <w:bCs/>
          <w:color w:val="000000"/>
          <w:sz w:val="26"/>
          <w:szCs w:val="26"/>
        </w:rPr>
        <w:t xml:space="preserve"> filed a Motion to Strike</w:t>
      </w:r>
      <w:r>
        <w:rPr>
          <w:bCs/>
          <w:color w:val="000000"/>
          <w:sz w:val="26"/>
          <w:szCs w:val="26"/>
        </w:rPr>
        <w:t xml:space="preserve"> seeking</w:t>
      </w:r>
      <w:r w:rsidR="001852FE" w:rsidRPr="001852FE">
        <w:rPr>
          <w:bCs/>
          <w:color w:val="000000"/>
          <w:sz w:val="26"/>
          <w:szCs w:val="26"/>
        </w:rPr>
        <w:t xml:space="preserve"> </w:t>
      </w:r>
      <w:r>
        <w:rPr>
          <w:bCs/>
          <w:color w:val="000000"/>
          <w:sz w:val="26"/>
          <w:szCs w:val="26"/>
        </w:rPr>
        <w:t>to</w:t>
      </w:r>
      <w:r w:rsidR="001852FE" w:rsidRPr="001852FE">
        <w:rPr>
          <w:bCs/>
          <w:color w:val="000000"/>
          <w:sz w:val="26"/>
          <w:szCs w:val="26"/>
        </w:rPr>
        <w:t xml:space="preserve"> strike </w:t>
      </w:r>
      <w:r>
        <w:rPr>
          <w:bCs/>
          <w:color w:val="000000"/>
          <w:sz w:val="26"/>
          <w:szCs w:val="26"/>
        </w:rPr>
        <w:t>the allegations in</w:t>
      </w:r>
      <w:r w:rsidR="001852FE" w:rsidRPr="001852FE">
        <w:rPr>
          <w:bCs/>
          <w:color w:val="000000"/>
          <w:sz w:val="26"/>
          <w:szCs w:val="26"/>
        </w:rPr>
        <w:t xml:space="preserve"> the </w:t>
      </w:r>
      <w:r>
        <w:rPr>
          <w:bCs/>
          <w:color w:val="000000"/>
          <w:sz w:val="26"/>
          <w:szCs w:val="26"/>
        </w:rPr>
        <w:t>C</w:t>
      </w:r>
      <w:r w:rsidR="001852FE" w:rsidRPr="001852FE">
        <w:rPr>
          <w:bCs/>
          <w:color w:val="000000"/>
          <w:sz w:val="26"/>
          <w:szCs w:val="26"/>
        </w:rPr>
        <w:t xml:space="preserve">omplaint which allegedly set forth confidential information about former customers who are not parties </w:t>
      </w:r>
      <w:r>
        <w:rPr>
          <w:bCs/>
          <w:color w:val="000000"/>
          <w:sz w:val="26"/>
          <w:szCs w:val="26"/>
        </w:rPr>
        <w:t>to this dispute.  Duquesne</w:t>
      </w:r>
      <w:r w:rsidR="001852FE" w:rsidRPr="001852FE">
        <w:rPr>
          <w:bCs/>
          <w:color w:val="000000"/>
          <w:sz w:val="26"/>
          <w:szCs w:val="26"/>
        </w:rPr>
        <w:t xml:space="preserve"> included a Notice to Plead</w:t>
      </w:r>
      <w:r>
        <w:rPr>
          <w:bCs/>
          <w:color w:val="000000"/>
          <w:sz w:val="26"/>
          <w:szCs w:val="26"/>
        </w:rPr>
        <w:t xml:space="preserve"> but the </w:t>
      </w:r>
      <w:r w:rsidR="001852FE" w:rsidRPr="001852FE">
        <w:rPr>
          <w:bCs/>
          <w:color w:val="000000"/>
          <w:sz w:val="26"/>
          <w:szCs w:val="26"/>
        </w:rPr>
        <w:t>Complainant did not resp</w:t>
      </w:r>
      <w:r w:rsidR="00303822">
        <w:rPr>
          <w:bCs/>
          <w:color w:val="000000"/>
          <w:sz w:val="26"/>
          <w:szCs w:val="26"/>
        </w:rPr>
        <w:t>ond to the Motion to Strike.</w:t>
      </w:r>
    </w:p>
    <w:p w:rsidR="001852FE" w:rsidRPr="001852FE" w:rsidRDefault="001852FE" w:rsidP="00303822">
      <w:pPr>
        <w:pStyle w:val="Style"/>
        <w:widowControl/>
        <w:spacing w:line="360" w:lineRule="auto"/>
        <w:ind w:firstLine="1440"/>
        <w:rPr>
          <w:bCs/>
          <w:color w:val="000000"/>
          <w:sz w:val="26"/>
          <w:szCs w:val="26"/>
        </w:rPr>
      </w:pPr>
    </w:p>
    <w:p w:rsidR="00B55C3B" w:rsidRDefault="001852FE" w:rsidP="00303822">
      <w:pPr>
        <w:widowControl/>
        <w:spacing w:line="360" w:lineRule="auto"/>
        <w:rPr>
          <w:sz w:val="26"/>
          <w:szCs w:val="26"/>
        </w:rPr>
      </w:pPr>
      <w:r w:rsidRPr="001852FE">
        <w:rPr>
          <w:sz w:val="26"/>
          <w:szCs w:val="26"/>
        </w:rPr>
        <w:tab/>
      </w:r>
      <w:r w:rsidRPr="001852FE">
        <w:rPr>
          <w:sz w:val="26"/>
          <w:szCs w:val="26"/>
        </w:rPr>
        <w:tab/>
        <w:t xml:space="preserve">On November 17, 2015, </w:t>
      </w:r>
      <w:r w:rsidR="00E323DF">
        <w:rPr>
          <w:sz w:val="26"/>
          <w:szCs w:val="26"/>
        </w:rPr>
        <w:t>the ALJ</w:t>
      </w:r>
      <w:r w:rsidRPr="001852FE">
        <w:rPr>
          <w:sz w:val="26"/>
          <w:szCs w:val="26"/>
        </w:rPr>
        <w:t xml:space="preserve"> issued the First Interim Order which </w:t>
      </w:r>
      <w:r w:rsidR="00E323DF">
        <w:rPr>
          <w:sz w:val="26"/>
          <w:szCs w:val="26"/>
        </w:rPr>
        <w:t>denied Duquesne</w:t>
      </w:r>
      <w:r w:rsidRPr="001852FE">
        <w:rPr>
          <w:sz w:val="26"/>
          <w:szCs w:val="26"/>
        </w:rPr>
        <w:t>’s Motion to</w:t>
      </w:r>
      <w:r w:rsidR="00E323DF">
        <w:rPr>
          <w:sz w:val="26"/>
          <w:szCs w:val="26"/>
        </w:rPr>
        <w:t xml:space="preserve"> Strike</w:t>
      </w:r>
      <w:r w:rsidRPr="001852FE">
        <w:rPr>
          <w:sz w:val="26"/>
          <w:szCs w:val="26"/>
        </w:rPr>
        <w:t xml:space="preserve">.  The First Interim Order specified the only issue at </w:t>
      </w:r>
      <w:r w:rsidRPr="001852FE">
        <w:rPr>
          <w:sz w:val="26"/>
          <w:szCs w:val="26"/>
        </w:rPr>
        <w:lastRenderedPageBreak/>
        <w:t xml:space="preserve">the upcoming telephonic initial hearing </w:t>
      </w:r>
      <w:r w:rsidR="00E323DF">
        <w:rPr>
          <w:sz w:val="26"/>
          <w:szCs w:val="26"/>
        </w:rPr>
        <w:t xml:space="preserve">would be whether Duquesne </w:t>
      </w:r>
      <w:r w:rsidRPr="001852FE">
        <w:rPr>
          <w:sz w:val="26"/>
          <w:szCs w:val="26"/>
        </w:rPr>
        <w:t xml:space="preserve">correctly applied the RH rate to </w:t>
      </w:r>
      <w:r w:rsidR="00E323DF">
        <w:rPr>
          <w:sz w:val="26"/>
          <w:szCs w:val="26"/>
        </w:rPr>
        <w:t xml:space="preserve">the </w:t>
      </w:r>
      <w:r w:rsidRPr="001852FE">
        <w:rPr>
          <w:sz w:val="26"/>
          <w:szCs w:val="26"/>
        </w:rPr>
        <w:t xml:space="preserve">Complainant’s </w:t>
      </w:r>
      <w:r w:rsidR="00E323DF">
        <w:rPr>
          <w:sz w:val="26"/>
          <w:szCs w:val="26"/>
        </w:rPr>
        <w:t xml:space="preserve">electric </w:t>
      </w:r>
      <w:r w:rsidRPr="001852FE">
        <w:rPr>
          <w:sz w:val="26"/>
          <w:szCs w:val="26"/>
        </w:rPr>
        <w:t>service account.</w:t>
      </w:r>
    </w:p>
    <w:p w:rsidR="00B55C3B" w:rsidRDefault="00B55C3B" w:rsidP="00303822">
      <w:pPr>
        <w:widowControl/>
        <w:spacing w:line="360" w:lineRule="auto"/>
        <w:rPr>
          <w:sz w:val="26"/>
          <w:szCs w:val="26"/>
        </w:rPr>
      </w:pPr>
    </w:p>
    <w:p w:rsidR="001852FE" w:rsidRPr="001852FE" w:rsidRDefault="00B55C3B" w:rsidP="00303822">
      <w:pPr>
        <w:widowControl/>
        <w:spacing w:line="360" w:lineRule="auto"/>
        <w:rPr>
          <w:sz w:val="26"/>
          <w:szCs w:val="26"/>
        </w:rPr>
      </w:pPr>
      <w:r>
        <w:rPr>
          <w:sz w:val="26"/>
          <w:szCs w:val="26"/>
        </w:rPr>
        <w:tab/>
      </w:r>
      <w:r>
        <w:rPr>
          <w:sz w:val="26"/>
          <w:szCs w:val="26"/>
        </w:rPr>
        <w:tab/>
      </w:r>
      <w:r w:rsidRPr="00184F3D">
        <w:rPr>
          <w:sz w:val="26"/>
          <w:szCs w:val="26"/>
        </w:rPr>
        <w:t>A</w:t>
      </w:r>
      <w:r>
        <w:rPr>
          <w:sz w:val="26"/>
          <w:szCs w:val="26"/>
        </w:rPr>
        <w:t>n</w:t>
      </w:r>
      <w:r w:rsidRPr="00184F3D">
        <w:rPr>
          <w:sz w:val="26"/>
          <w:szCs w:val="26"/>
        </w:rPr>
        <w:t xml:space="preserve"> </w:t>
      </w:r>
      <w:r>
        <w:rPr>
          <w:sz w:val="26"/>
          <w:szCs w:val="26"/>
        </w:rPr>
        <w:t>Initial H</w:t>
      </w:r>
      <w:r w:rsidRPr="00184F3D">
        <w:rPr>
          <w:sz w:val="26"/>
          <w:szCs w:val="26"/>
        </w:rPr>
        <w:t>earing</w:t>
      </w:r>
      <w:r>
        <w:rPr>
          <w:sz w:val="26"/>
          <w:szCs w:val="26"/>
        </w:rPr>
        <w:t xml:space="preserve"> was held in this matter on November 24</w:t>
      </w:r>
      <w:r w:rsidRPr="00184F3D">
        <w:rPr>
          <w:sz w:val="26"/>
          <w:szCs w:val="26"/>
        </w:rPr>
        <w:t>, 2015</w:t>
      </w:r>
      <w:r>
        <w:rPr>
          <w:sz w:val="26"/>
          <w:szCs w:val="26"/>
        </w:rPr>
        <w:t xml:space="preserve">.  </w:t>
      </w:r>
      <w:r w:rsidRPr="00184F3D">
        <w:rPr>
          <w:sz w:val="26"/>
          <w:szCs w:val="26"/>
        </w:rPr>
        <w:t>The Complainant</w:t>
      </w:r>
      <w:r>
        <w:rPr>
          <w:sz w:val="26"/>
          <w:szCs w:val="26"/>
        </w:rPr>
        <w:t xml:space="preserve"> appeared </w:t>
      </w:r>
      <w:r>
        <w:rPr>
          <w:i/>
          <w:sz w:val="26"/>
          <w:szCs w:val="26"/>
        </w:rPr>
        <w:t xml:space="preserve">pro se </w:t>
      </w:r>
      <w:r w:rsidRPr="00184F3D">
        <w:rPr>
          <w:sz w:val="26"/>
          <w:szCs w:val="26"/>
        </w:rPr>
        <w:t xml:space="preserve">and </w:t>
      </w:r>
      <w:r>
        <w:rPr>
          <w:sz w:val="26"/>
          <w:szCs w:val="26"/>
        </w:rPr>
        <w:t>testified on his own behalf</w:t>
      </w:r>
      <w:r w:rsidR="00066818">
        <w:rPr>
          <w:sz w:val="26"/>
          <w:szCs w:val="26"/>
        </w:rPr>
        <w:t>,</w:t>
      </w:r>
      <w:r>
        <w:rPr>
          <w:sz w:val="26"/>
          <w:szCs w:val="26"/>
        </w:rPr>
        <w:t xml:space="preserve"> but offered no </w:t>
      </w:r>
      <w:r w:rsidRPr="00184F3D">
        <w:rPr>
          <w:sz w:val="26"/>
          <w:szCs w:val="26"/>
        </w:rPr>
        <w:t xml:space="preserve">exhibits.  </w:t>
      </w:r>
      <w:r>
        <w:rPr>
          <w:sz w:val="26"/>
          <w:szCs w:val="26"/>
        </w:rPr>
        <w:t>Duquesne was represented by counsel who</w:t>
      </w:r>
      <w:r w:rsidRPr="00184F3D">
        <w:rPr>
          <w:sz w:val="26"/>
          <w:szCs w:val="26"/>
        </w:rPr>
        <w:t xml:space="preserve"> </w:t>
      </w:r>
      <w:r w:rsidR="001852FE" w:rsidRPr="001852FE">
        <w:rPr>
          <w:sz w:val="26"/>
          <w:szCs w:val="26"/>
        </w:rPr>
        <w:t>presented the testimony of two witnesses and offered nine</w:t>
      </w:r>
      <w:r>
        <w:rPr>
          <w:sz w:val="26"/>
          <w:szCs w:val="26"/>
        </w:rPr>
        <w:t xml:space="preserve"> </w:t>
      </w:r>
      <w:r w:rsidR="001852FE" w:rsidRPr="001852FE">
        <w:rPr>
          <w:sz w:val="26"/>
          <w:szCs w:val="26"/>
        </w:rPr>
        <w:t xml:space="preserve">exhibits, which were marked Duquesne Light Exhibits 1 through 9 and were admitted into evidence.  The transcript of the hearing, containing </w:t>
      </w:r>
      <w:r>
        <w:rPr>
          <w:sz w:val="26"/>
          <w:szCs w:val="26"/>
        </w:rPr>
        <w:t>sixty-three</w:t>
      </w:r>
      <w:r w:rsidR="001852FE" w:rsidRPr="001852FE">
        <w:rPr>
          <w:sz w:val="26"/>
          <w:szCs w:val="26"/>
        </w:rPr>
        <w:t xml:space="preserve"> pages</w:t>
      </w:r>
      <w:r>
        <w:rPr>
          <w:sz w:val="26"/>
          <w:szCs w:val="26"/>
        </w:rPr>
        <w:t xml:space="preserve">, was received </w:t>
      </w:r>
      <w:r w:rsidR="001852FE" w:rsidRPr="001852FE">
        <w:rPr>
          <w:sz w:val="26"/>
          <w:szCs w:val="26"/>
        </w:rPr>
        <w:t>on December 1, 2015</w:t>
      </w:r>
      <w:r w:rsidR="00303822">
        <w:rPr>
          <w:sz w:val="26"/>
          <w:szCs w:val="26"/>
        </w:rPr>
        <w:t>.</w:t>
      </w:r>
    </w:p>
    <w:p w:rsidR="001852FE" w:rsidRPr="001852FE" w:rsidRDefault="001852FE" w:rsidP="00303822">
      <w:pPr>
        <w:widowControl/>
        <w:spacing w:line="360" w:lineRule="auto"/>
        <w:rPr>
          <w:sz w:val="26"/>
          <w:szCs w:val="26"/>
        </w:rPr>
      </w:pPr>
    </w:p>
    <w:p w:rsidR="001852FE" w:rsidRDefault="001852FE" w:rsidP="00303822">
      <w:pPr>
        <w:widowControl/>
        <w:tabs>
          <w:tab w:val="left" w:pos="2160"/>
        </w:tabs>
        <w:spacing w:line="360" w:lineRule="auto"/>
        <w:ind w:firstLine="1440"/>
        <w:rPr>
          <w:sz w:val="26"/>
          <w:szCs w:val="26"/>
        </w:rPr>
      </w:pPr>
      <w:r w:rsidRPr="001852FE">
        <w:rPr>
          <w:sz w:val="26"/>
          <w:szCs w:val="26"/>
        </w:rPr>
        <w:t xml:space="preserve">On December 18, 2015, the </w:t>
      </w:r>
      <w:r w:rsidR="00B55C3B">
        <w:rPr>
          <w:sz w:val="26"/>
          <w:szCs w:val="26"/>
        </w:rPr>
        <w:t>ALJ closed the record</w:t>
      </w:r>
      <w:r w:rsidRPr="001852FE">
        <w:rPr>
          <w:sz w:val="26"/>
          <w:szCs w:val="26"/>
        </w:rPr>
        <w:t xml:space="preserve"> with the issuance of the Interim Order Closing the Hearing Record.</w:t>
      </w:r>
    </w:p>
    <w:p w:rsidR="00A07F64" w:rsidRDefault="00A07F64" w:rsidP="00303822">
      <w:pPr>
        <w:widowControl/>
        <w:tabs>
          <w:tab w:val="left" w:pos="2160"/>
        </w:tabs>
        <w:spacing w:line="360" w:lineRule="auto"/>
        <w:ind w:firstLine="1440"/>
        <w:rPr>
          <w:sz w:val="26"/>
          <w:szCs w:val="26"/>
        </w:rPr>
      </w:pPr>
    </w:p>
    <w:p w:rsidR="00A07F64" w:rsidRDefault="00BF5BDB" w:rsidP="00303822">
      <w:pPr>
        <w:widowControl/>
        <w:tabs>
          <w:tab w:val="left" w:pos="2160"/>
        </w:tabs>
        <w:spacing w:line="360" w:lineRule="auto"/>
        <w:ind w:firstLine="1440"/>
        <w:rPr>
          <w:sz w:val="26"/>
          <w:szCs w:val="26"/>
        </w:rPr>
      </w:pPr>
      <w:r>
        <w:rPr>
          <w:sz w:val="26"/>
          <w:szCs w:val="26"/>
        </w:rPr>
        <w:t xml:space="preserve">In her Initial Decision issued on </w:t>
      </w:r>
      <w:r>
        <w:rPr>
          <w:sz w:val="26"/>
        </w:rPr>
        <w:t>March 17</w:t>
      </w:r>
      <w:r w:rsidRPr="0069670F">
        <w:rPr>
          <w:sz w:val="26"/>
        </w:rPr>
        <w:t>, 201</w:t>
      </w:r>
      <w:r>
        <w:rPr>
          <w:sz w:val="26"/>
        </w:rPr>
        <w:t>6</w:t>
      </w:r>
      <w:r>
        <w:rPr>
          <w:sz w:val="26"/>
          <w:szCs w:val="26"/>
        </w:rPr>
        <w:t xml:space="preserve">, ALJ Dunderdale sustained the Complaint and granted the Complainant’s request to be reimbursed because Duquesne overcharged him for electric service.  The ALJ also assessed a $10,000 civil penalty against Duquesne for failing to provide reasonable and adequate customer service, pursuant to 66 Pa. C.S § 1501.  The ALJ found that Duquesne failed to compute billing statements under the rate most advantageous to the Complainant.  I.D. at 1.  As previously indicated, Duquesne filed Exceptions to the Initial Decision on April 5, 2016. </w:t>
      </w:r>
      <w:r w:rsidR="009E5A26">
        <w:rPr>
          <w:sz w:val="26"/>
          <w:szCs w:val="26"/>
        </w:rPr>
        <w:t>Also</w:t>
      </w:r>
      <w:r w:rsidR="00066818">
        <w:rPr>
          <w:sz w:val="26"/>
          <w:szCs w:val="26"/>
        </w:rPr>
        <w:t>,</w:t>
      </w:r>
      <w:r w:rsidR="009E5A26">
        <w:rPr>
          <w:sz w:val="26"/>
          <w:szCs w:val="26"/>
        </w:rPr>
        <w:t xml:space="preserve"> on April 5, 2016, Duquesne filed a Motion to Correct Transcript.  </w:t>
      </w:r>
      <w:r>
        <w:rPr>
          <w:sz w:val="26"/>
          <w:szCs w:val="26"/>
        </w:rPr>
        <w:t>Replies to Exceptions were not submitted by the Complainant.</w:t>
      </w:r>
    </w:p>
    <w:p w:rsidR="0025110E" w:rsidRDefault="0025110E" w:rsidP="00303822">
      <w:pPr>
        <w:widowControl/>
        <w:tabs>
          <w:tab w:val="left" w:pos="2160"/>
        </w:tabs>
        <w:spacing w:line="360" w:lineRule="auto"/>
        <w:ind w:firstLine="1440"/>
        <w:rPr>
          <w:sz w:val="26"/>
          <w:szCs w:val="26"/>
        </w:rPr>
      </w:pPr>
    </w:p>
    <w:p w:rsidR="0025110E" w:rsidRPr="008E5758" w:rsidRDefault="0025110E" w:rsidP="00303822">
      <w:pPr>
        <w:keepNext/>
        <w:keepLines/>
        <w:widowControl/>
        <w:tabs>
          <w:tab w:val="left" w:pos="900"/>
        </w:tabs>
        <w:spacing w:line="360" w:lineRule="auto"/>
        <w:jc w:val="center"/>
        <w:rPr>
          <w:sz w:val="26"/>
        </w:rPr>
      </w:pPr>
      <w:r w:rsidRPr="008E5758">
        <w:rPr>
          <w:b/>
          <w:sz w:val="26"/>
        </w:rPr>
        <w:t>Discussion</w:t>
      </w:r>
    </w:p>
    <w:p w:rsidR="0025110E" w:rsidRPr="008E5758" w:rsidRDefault="0025110E" w:rsidP="00303822">
      <w:pPr>
        <w:keepNext/>
        <w:keepLines/>
        <w:widowControl/>
        <w:tabs>
          <w:tab w:val="left" w:pos="900"/>
        </w:tabs>
        <w:spacing w:line="360" w:lineRule="auto"/>
        <w:rPr>
          <w:sz w:val="26"/>
        </w:rPr>
      </w:pPr>
    </w:p>
    <w:p w:rsidR="0025110E" w:rsidRDefault="0025110E" w:rsidP="00303822">
      <w:pPr>
        <w:keepNext/>
        <w:keepLines/>
        <w:widowControl/>
        <w:tabs>
          <w:tab w:val="left" w:pos="-720"/>
        </w:tabs>
        <w:suppressAutoHyphens/>
        <w:spacing w:line="360" w:lineRule="auto"/>
        <w:rPr>
          <w:b/>
          <w:sz w:val="26"/>
        </w:rPr>
      </w:pPr>
      <w:r w:rsidRPr="00910FEF">
        <w:rPr>
          <w:b/>
          <w:sz w:val="26"/>
        </w:rPr>
        <w:t>Legal Standards</w:t>
      </w:r>
    </w:p>
    <w:p w:rsidR="0025110E" w:rsidRPr="00910FEF" w:rsidRDefault="0025110E" w:rsidP="00303822">
      <w:pPr>
        <w:keepNext/>
        <w:keepLines/>
        <w:widowControl/>
        <w:tabs>
          <w:tab w:val="left" w:pos="-720"/>
        </w:tabs>
        <w:suppressAutoHyphens/>
        <w:spacing w:line="360" w:lineRule="auto"/>
        <w:rPr>
          <w:sz w:val="26"/>
        </w:rPr>
      </w:pPr>
    </w:p>
    <w:p w:rsidR="0025110E" w:rsidRDefault="0025110E" w:rsidP="00303822">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Pr>
          <w:sz w:val="26"/>
          <w:szCs w:val="26"/>
        </w:rPr>
        <w:t>Public Utility Code (</w:t>
      </w:r>
      <w:r w:rsidRPr="00CA43A5">
        <w:rPr>
          <w:sz w:val="26"/>
          <w:szCs w:val="26"/>
        </w:rPr>
        <w:t>Code</w:t>
      </w:r>
      <w:r>
        <w:rPr>
          <w:sz w:val="26"/>
          <w:szCs w:val="26"/>
        </w:rPr>
        <w:t>)</w:t>
      </w:r>
      <w:r w:rsidR="00303822">
        <w:rPr>
          <w:sz w:val="26"/>
          <w:szCs w:val="26"/>
        </w:rPr>
        <w:t>,</w:t>
      </w:r>
      <w:r w:rsidRPr="00CA43A5">
        <w:rPr>
          <w:sz w:val="26"/>
          <w:szCs w:val="26"/>
        </w:rPr>
        <w:t xml:space="preserve"> </w:t>
      </w:r>
      <w:r w:rsidRPr="00CA43A5">
        <w:rPr>
          <w:sz w:val="26"/>
          <w:szCs w:val="26"/>
        </w:rPr>
        <w:lastRenderedPageBreak/>
        <w:t xml:space="preserve">66 Pa. C.S. § 332(a).  To establish a sufficient case and satisfy the burden of proof, the Complainant must show that the </w:t>
      </w:r>
      <w:r>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Pr>
          <w:sz w:val="26"/>
          <w:szCs w:val="26"/>
        </w:rPr>
        <w:t>an that presented by the Respondent</w:t>
      </w:r>
      <w:r w:rsidRPr="00CA43A5">
        <w:rPr>
          <w:sz w:val="26"/>
          <w:szCs w:val="26"/>
        </w:rPr>
        <w:t xml:space="preserve">.  </w:t>
      </w:r>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r>
        <w:rPr>
          <w:sz w:val="26"/>
          <w:szCs w:val="26"/>
        </w:rPr>
        <w:t xml:space="preserve"> </w:t>
      </w:r>
    </w:p>
    <w:p w:rsidR="0025110E" w:rsidRDefault="0025110E" w:rsidP="00303822">
      <w:pPr>
        <w:widowControl/>
        <w:spacing w:line="360" w:lineRule="auto"/>
        <w:ind w:firstLine="1440"/>
        <w:rPr>
          <w:sz w:val="26"/>
          <w:szCs w:val="26"/>
        </w:rPr>
      </w:pPr>
    </w:p>
    <w:p w:rsidR="0025110E" w:rsidRPr="00CC1FD7" w:rsidRDefault="0025110E" w:rsidP="00303822">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Pr>
          <w:sz w:val="26"/>
        </w:rPr>
        <w:t>complainant shifts</w:t>
      </w:r>
      <w:r w:rsidRPr="00472547">
        <w:rPr>
          <w:sz w:val="26"/>
        </w:rPr>
        <w:t xml:space="preserve"> to the respondent. </w:t>
      </w:r>
      <w:r>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8" w:history="1">
        <w:r w:rsidRPr="0025110E">
          <w:rPr>
            <w:rStyle w:val="Hyperlink"/>
            <w:rFonts w:ascii="Times New (W1)" w:hAnsi="Times New (W1)"/>
            <w:i/>
            <w:iCs/>
            <w:color w:val="auto"/>
            <w:sz w:val="26"/>
            <w:u w:val="none"/>
          </w:rPr>
          <w:t>Burleson v. Pa. PUC,</w:t>
        </w:r>
        <w:r w:rsidRPr="0025110E">
          <w:rPr>
            <w:rStyle w:val="Hyperlink"/>
            <w:rFonts w:ascii="Times New (W1)" w:hAnsi="Times New (W1)"/>
            <w:iCs/>
            <w:color w:val="auto"/>
            <w:sz w:val="26"/>
            <w:u w:val="none"/>
          </w:rPr>
          <w:t xml:space="preserve"> 443 A.2d 1373 (Pa. Cmwlth. 1982), </w:t>
        </w:r>
        <w:r w:rsidRPr="0025110E">
          <w:rPr>
            <w:rStyle w:val="Hyperlink"/>
            <w:rFonts w:ascii="Times New (W1)" w:hAnsi="Times New (W1)"/>
            <w:i/>
            <w:iCs/>
            <w:color w:val="auto"/>
            <w:sz w:val="26"/>
            <w:u w:val="none"/>
          </w:rPr>
          <w:t>aff’d,</w:t>
        </w:r>
        <w:r w:rsidRPr="0025110E">
          <w:rPr>
            <w:rStyle w:val="Hyperlink"/>
            <w:rFonts w:ascii="Times New (W1)" w:hAnsi="Times New (W1)"/>
            <w:iCs/>
            <w:color w:val="auto"/>
            <w:sz w:val="26"/>
            <w:u w:val="none"/>
          </w:rPr>
          <w:t xml:space="preserve"> 501 Pa. 433, 461 A.2d 1234 (1983).</w:t>
        </w:r>
      </w:hyperlink>
    </w:p>
    <w:p w:rsidR="0025110E" w:rsidRPr="00182752" w:rsidRDefault="0025110E" w:rsidP="00303822">
      <w:pPr>
        <w:widowControl/>
        <w:spacing w:line="360" w:lineRule="auto"/>
        <w:ind w:firstLine="1440"/>
        <w:rPr>
          <w:sz w:val="26"/>
        </w:rPr>
      </w:pPr>
    </w:p>
    <w:p w:rsidR="0025110E" w:rsidRDefault="0025110E" w:rsidP="00303822">
      <w:pPr>
        <w:widowControl/>
        <w:spacing w:line="360" w:lineRule="auto"/>
        <w:ind w:firstLine="1440"/>
        <w:rPr>
          <w:sz w:val="26"/>
        </w:rPr>
      </w:pPr>
      <w:r w:rsidRPr="00182752">
        <w:rPr>
          <w:sz w:val="26"/>
        </w:rPr>
        <w:t xml:space="preserve">While the burden of </w:t>
      </w:r>
      <w:r>
        <w:rPr>
          <w:sz w:val="26"/>
        </w:rPr>
        <w:t>going forward with the evidence</w:t>
      </w:r>
      <w:r w:rsidRPr="00182752">
        <w:rPr>
          <w:sz w:val="26"/>
        </w:rPr>
        <w:t xml:space="preserve"> may </w:t>
      </w:r>
      <w:r w:rsidRPr="0025110E">
        <w:rPr>
          <w:rStyle w:val="term1"/>
          <w:b w:val="0"/>
          <w:sz w:val="26"/>
        </w:rPr>
        <w:t>shift</w:t>
      </w:r>
      <w:r w:rsidRPr="008F16A1">
        <w:rPr>
          <w:sz w:val="26"/>
        </w:rPr>
        <w:t xml:space="preserve"> back and forth during a proceeding, the </w:t>
      </w:r>
      <w:r w:rsidRPr="0025110E">
        <w:rPr>
          <w:rStyle w:val="term1"/>
          <w:b w:val="0"/>
          <w:sz w:val="26"/>
        </w:rPr>
        <w:t>burden of proof</w:t>
      </w:r>
      <w:r w:rsidRPr="0025110E">
        <w:rPr>
          <w:b/>
          <w:sz w:val="26"/>
        </w:rPr>
        <w:t xml:space="preserve"> </w:t>
      </w:r>
      <w:r w:rsidRPr="008F16A1">
        <w:rPr>
          <w:sz w:val="26"/>
        </w:rPr>
        <w:t xml:space="preserve">never </w:t>
      </w:r>
      <w:r w:rsidRPr="0025110E">
        <w:rPr>
          <w:rStyle w:val="term1"/>
          <w:b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5110E" w:rsidRDefault="0025110E" w:rsidP="00303822">
      <w:pPr>
        <w:widowControl/>
        <w:spacing w:line="360" w:lineRule="auto"/>
        <w:ind w:firstLine="1440"/>
        <w:rPr>
          <w:sz w:val="26"/>
        </w:rPr>
      </w:pPr>
    </w:p>
    <w:p w:rsidR="0025110E" w:rsidRDefault="0025110E" w:rsidP="00303822">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w:t>
      </w:r>
      <w:r w:rsidRPr="00CB10E4">
        <w:rPr>
          <w:color w:val="000000"/>
          <w:sz w:val="26"/>
          <w:szCs w:val="26"/>
        </w:rPr>
        <w:lastRenderedPageBreak/>
        <w:t xml:space="preserve">parties.  </w:t>
      </w:r>
      <w:r w:rsidRPr="00843DF5">
        <w:rPr>
          <w:i/>
          <w:color w:val="000000"/>
          <w:sz w:val="26"/>
          <w:szCs w:val="26"/>
        </w:rPr>
        <w:t>Consolidated Rail Corporation v. Pa. PUC</w:t>
      </w:r>
      <w:r w:rsidRPr="00CB10E4">
        <w:rPr>
          <w:color w:val="000000"/>
          <w:sz w:val="26"/>
          <w:szCs w:val="26"/>
        </w:rPr>
        <w:t xml:space="preserve">, 625 A.2d 741 (Pa. Cmwlth. 1993); </w:t>
      </w:r>
      <w:r w:rsidRPr="003C0085">
        <w:rPr>
          <w:i/>
          <w:color w:val="000000"/>
          <w:sz w:val="26"/>
          <w:szCs w:val="26"/>
        </w:rPr>
        <w:t>see also, generally,</w:t>
      </w:r>
      <w:r w:rsidRPr="00CB10E4">
        <w:rPr>
          <w:color w:val="000000"/>
          <w:sz w:val="26"/>
          <w:szCs w:val="26"/>
        </w:rPr>
        <w:t xml:space="preserve"> </w:t>
      </w:r>
      <w:r w:rsidRPr="00843DF5">
        <w:rPr>
          <w:i/>
          <w:color w:val="000000"/>
          <w:sz w:val="26"/>
          <w:szCs w:val="26"/>
        </w:rPr>
        <w:t>University of Pennsylvania v. Pa. PUC</w:t>
      </w:r>
      <w:r w:rsidRPr="00CB10E4">
        <w:rPr>
          <w:color w:val="000000"/>
          <w:sz w:val="26"/>
          <w:szCs w:val="26"/>
        </w:rPr>
        <w:t>, 485 A.2d 1217 (Pa. Cmwlth. 1984).</w:t>
      </w:r>
    </w:p>
    <w:p w:rsidR="008A7A30" w:rsidRPr="00CA4808" w:rsidRDefault="008A7A30" w:rsidP="00303822">
      <w:pPr>
        <w:widowControl/>
        <w:spacing w:line="360" w:lineRule="auto"/>
        <w:ind w:firstLine="1440"/>
        <w:rPr>
          <w:color w:val="000000"/>
          <w:sz w:val="26"/>
          <w:szCs w:val="26"/>
          <w:u w:val="single"/>
        </w:rPr>
      </w:pPr>
    </w:p>
    <w:p w:rsidR="008A7A30" w:rsidRDefault="008A7A30" w:rsidP="00CA4808">
      <w:pPr>
        <w:keepNext/>
        <w:keepLines/>
        <w:widowControl/>
        <w:spacing w:line="360" w:lineRule="auto"/>
        <w:rPr>
          <w:b/>
          <w:sz w:val="26"/>
          <w:szCs w:val="26"/>
        </w:rPr>
      </w:pPr>
      <w:r>
        <w:rPr>
          <w:b/>
          <w:sz w:val="26"/>
          <w:szCs w:val="26"/>
        </w:rPr>
        <w:t>Positions of the Parties</w:t>
      </w:r>
    </w:p>
    <w:p w:rsidR="008A7A30" w:rsidRDefault="008A7A30" w:rsidP="00CA4808">
      <w:pPr>
        <w:keepNext/>
        <w:keepLines/>
        <w:widowControl/>
        <w:spacing w:line="360" w:lineRule="auto"/>
        <w:rPr>
          <w:b/>
          <w:sz w:val="26"/>
          <w:szCs w:val="26"/>
        </w:rPr>
      </w:pPr>
    </w:p>
    <w:p w:rsidR="00A77C09" w:rsidRDefault="008A7A30" w:rsidP="00303822">
      <w:pPr>
        <w:widowControl/>
        <w:spacing w:line="360" w:lineRule="auto"/>
        <w:rPr>
          <w:bCs/>
          <w:color w:val="000000"/>
          <w:sz w:val="26"/>
          <w:szCs w:val="26"/>
        </w:rPr>
      </w:pPr>
      <w:r>
        <w:rPr>
          <w:b/>
          <w:sz w:val="26"/>
          <w:szCs w:val="26"/>
        </w:rPr>
        <w:tab/>
      </w:r>
      <w:r>
        <w:rPr>
          <w:b/>
          <w:sz w:val="26"/>
          <w:szCs w:val="26"/>
        </w:rPr>
        <w:tab/>
      </w:r>
      <w:r>
        <w:rPr>
          <w:sz w:val="26"/>
          <w:szCs w:val="26"/>
        </w:rPr>
        <w:t xml:space="preserve">The </w:t>
      </w:r>
      <w:r w:rsidRPr="008A7A30">
        <w:rPr>
          <w:sz w:val="26"/>
          <w:szCs w:val="26"/>
        </w:rPr>
        <w:t xml:space="preserve">Complainant alleged </w:t>
      </w:r>
      <w:r>
        <w:rPr>
          <w:sz w:val="26"/>
          <w:szCs w:val="26"/>
        </w:rPr>
        <w:t xml:space="preserve">that </w:t>
      </w:r>
      <w:r w:rsidRPr="008A7A30">
        <w:rPr>
          <w:sz w:val="26"/>
          <w:szCs w:val="26"/>
        </w:rPr>
        <w:t xml:space="preserve">Duquesne applied </w:t>
      </w:r>
      <w:r w:rsidRPr="008A7A30">
        <w:rPr>
          <w:bCs/>
          <w:color w:val="000000"/>
          <w:sz w:val="26"/>
          <w:szCs w:val="26"/>
        </w:rPr>
        <w:t xml:space="preserve">the wrong </w:t>
      </w:r>
      <w:r>
        <w:rPr>
          <w:bCs/>
          <w:color w:val="000000"/>
          <w:sz w:val="26"/>
          <w:szCs w:val="26"/>
        </w:rPr>
        <w:t xml:space="preserve">residential </w:t>
      </w:r>
      <w:r w:rsidRPr="008A7A30">
        <w:rPr>
          <w:bCs/>
          <w:color w:val="000000"/>
          <w:sz w:val="26"/>
          <w:szCs w:val="26"/>
        </w:rPr>
        <w:t>rate to the billing statements it issued to him from December 2000 to December 2014, which resulted in him being overcharged for electric service</w:t>
      </w:r>
      <w:r>
        <w:rPr>
          <w:bCs/>
          <w:color w:val="000000"/>
          <w:sz w:val="26"/>
          <w:szCs w:val="26"/>
        </w:rPr>
        <w:t xml:space="preserve">.  In his Complaint, </w:t>
      </w:r>
      <w:r w:rsidRPr="008A7A30">
        <w:rPr>
          <w:bCs/>
          <w:color w:val="000000"/>
          <w:sz w:val="26"/>
          <w:szCs w:val="26"/>
        </w:rPr>
        <w:t xml:space="preserve">Mr. Kramer specified the four previous title owners of the service address (which is a single-family home).  </w:t>
      </w:r>
      <w:r>
        <w:rPr>
          <w:bCs/>
          <w:color w:val="000000"/>
          <w:sz w:val="26"/>
          <w:szCs w:val="26"/>
        </w:rPr>
        <w:t>The Complainant provided</w:t>
      </w:r>
      <w:r w:rsidRPr="008A7A30">
        <w:rPr>
          <w:bCs/>
          <w:color w:val="000000"/>
          <w:sz w:val="26"/>
          <w:szCs w:val="26"/>
        </w:rPr>
        <w:t xml:space="preserve"> the owners’ names, dates of occupancy, and the electric rates </w:t>
      </w:r>
      <w:r>
        <w:rPr>
          <w:bCs/>
          <w:color w:val="000000"/>
          <w:sz w:val="26"/>
          <w:szCs w:val="26"/>
        </w:rPr>
        <w:t>each were charged by the Company</w:t>
      </w:r>
      <w:r w:rsidRPr="008A7A30">
        <w:rPr>
          <w:bCs/>
          <w:color w:val="000000"/>
          <w:sz w:val="26"/>
          <w:szCs w:val="26"/>
        </w:rPr>
        <w:t xml:space="preserve">.  In the case of one previous owner, </w:t>
      </w:r>
      <w:r>
        <w:rPr>
          <w:bCs/>
          <w:color w:val="000000"/>
          <w:sz w:val="26"/>
          <w:szCs w:val="26"/>
        </w:rPr>
        <w:t xml:space="preserve">the Complainant noted </w:t>
      </w:r>
      <w:r w:rsidRPr="008A7A30">
        <w:rPr>
          <w:bCs/>
          <w:color w:val="000000"/>
          <w:sz w:val="26"/>
          <w:szCs w:val="26"/>
        </w:rPr>
        <w:t>the date when an add-on heat pump was installed</w:t>
      </w:r>
      <w:r>
        <w:rPr>
          <w:bCs/>
          <w:color w:val="000000"/>
          <w:sz w:val="26"/>
          <w:szCs w:val="26"/>
        </w:rPr>
        <w:t xml:space="preserve"> at the service address and that when he bought this residence and established electric service in his name in 2000, the residence already had an add-on heat pump.  Finding of F</w:t>
      </w:r>
      <w:r w:rsidR="00DE2205">
        <w:rPr>
          <w:bCs/>
          <w:color w:val="000000"/>
          <w:sz w:val="26"/>
          <w:szCs w:val="26"/>
        </w:rPr>
        <w:t>act (FOF) No. 3.</w:t>
      </w:r>
    </w:p>
    <w:p w:rsidR="00A77C09" w:rsidRDefault="00A77C09" w:rsidP="00303822">
      <w:pPr>
        <w:widowControl/>
        <w:spacing w:line="360" w:lineRule="auto"/>
        <w:rPr>
          <w:bCs/>
          <w:color w:val="000000"/>
          <w:sz w:val="26"/>
          <w:szCs w:val="26"/>
        </w:rPr>
      </w:pPr>
    </w:p>
    <w:p w:rsidR="008A7A30" w:rsidRDefault="0039003C" w:rsidP="00303822">
      <w:pPr>
        <w:widowControl/>
        <w:spacing w:line="360" w:lineRule="auto"/>
        <w:ind w:firstLine="1440"/>
        <w:rPr>
          <w:sz w:val="26"/>
          <w:szCs w:val="26"/>
        </w:rPr>
      </w:pPr>
      <w:r>
        <w:rPr>
          <w:bCs/>
          <w:color w:val="000000"/>
          <w:sz w:val="26"/>
          <w:szCs w:val="26"/>
        </w:rPr>
        <w:t>The Complainant testified that in December 2014, when he began shopping for a new electric supplier</w:t>
      </w:r>
      <w:r w:rsidR="00066818">
        <w:rPr>
          <w:bCs/>
          <w:color w:val="000000"/>
          <w:sz w:val="26"/>
          <w:szCs w:val="26"/>
        </w:rPr>
        <w:t>,</w:t>
      </w:r>
      <w:r>
        <w:rPr>
          <w:bCs/>
          <w:color w:val="000000"/>
          <w:sz w:val="26"/>
          <w:szCs w:val="26"/>
        </w:rPr>
        <w:t xml:space="preserve"> he discovered that Duquesne had separate rate schedules dependent on whether a residential customer heats with electricity or not, and whether the customer has an add-on heat pump.  FOF Nos. 5 and 6.  </w:t>
      </w:r>
      <w:r w:rsidR="00A77C09">
        <w:rPr>
          <w:bCs/>
          <w:color w:val="000000"/>
          <w:sz w:val="26"/>
          <w:szCs w:val="26"/>
        </w:rPr>
        <w:t>The Complainant stated that o</w:t>
      </w:r>
      <w:r w:rsidR="00070526">
        <w:rPr>
          <w:bCs/>
          <w:color w:val="000000"/>
          <w:sz w:val="26"/>
          <w:szCs w:val="26"/>
        </w:rPr>
        <w:t>n D</w:t>
      </w:r>
      <w:r w:rsidR="00A77C09">
        <w:rPr>
          <w:bCs/>
          <w:color w:val="000000"/>
          <w:sz w:val="26"/>
          <w:szCs w:val="26"/>
        </w:rPr>
        <w:t>ecember 2, 2014, he</w:t>
      </w:r>
      <w:r w:rsidR="00070526">
        <w:rPr>
          <w:bCs/>
          <w:color w:val="000000"/>
          <w:sz w:val="26"/>
          <w:szCs w:val="26"/>
        </w:rPr>
        <w:t xml:space="preserve"> called Duquesne and requested the Company to reimburse him for fourteen years’ worth of overpayments b</w:t>
      </w:r>
      <w:r w:rsidR="00A77C09">
        <w:rPr>
          <w:bCs/>
          <w:color w:val="000000"/>
          <w:sz w:val="26"/>
          <w:szCs w:val="26"/>
        </w:rPr>
        <w:t>ecause he was charged</w:t>
      </w:r>
      <w:r w:rsidR="00070526">
        <w:rPr>
          <w:bCs/>
          <w:color w:val="000000"/>
          <w:sz w:val="26"/>
          <w:szCs w:val="26"/>
        </w:rPr>
        <w:t xml:space="preserve"> the higher RH rate instead of the lower RA rate.  </w:t>
      </w:r>
      <w:r w:rsidR="00A77C09">
        <w:rPr>
          <w:bCs/>
          <w:color w:val="000000"/>
          <w:sz w:val="26"/>
          <w:szCs w:val="26"/>
        </w:rPr>
        <w:t xml:space="preserve">FOF No. 7.  </w:t>
      </w:r>
      <w:r w:rsidR="00DF6CD4">
        <w:rPr>
          <w:bCs/>
          <w:color w:val="000000"/>
          <w:sz w:val="26"/>
          <w:szCs w:val="26"/>
        </w:rPr>
        <w:t xml:space="preserve">In his Complaint, the </w:t>
      </w:r>
      <w:r w:rsidR="008A7A30" w:rsidRPr="008A7A30">
        <w:rPr>
          <w:bCs/>
          <w:color w:val="000000"/>
          <w:sz w:val="26"/>
          <w:szCs w:val="26"/>
        </w:rPr>
        <w:t xml:space="preserve">Complainant requested </w:t>
      </w:r>
      <w:r w:rsidR="00DF6CD4">
        <w:rPr>
          <w:bCs/>
          <w:color w:val="000000"/>
          <w:sz w:val="26"/>
          <w:szCs w:val="26"/>
        </w:rPr>
        <w:lastRenderedPageBreak/>
        <w:t xml:space="preserve">that </w:t>
      </w:r>
      <w:r w:rsidR="008A7A30" w:rsidRPr="008A7A30">
        <w:rPr>
          <w:bCs/>
          <w:color w:val="000000"/>
          <w:sz w:val="26"/>
          <w:szCs w:val="26"/>
        </w:rPr>
        <w:t xml:space="preserve">the Commission require </w:t>
      </w:r>
      <w:r w:rsidR="00A77C09">
        <w:rPr>
          <w:bCs/>
          <w:color w:val="000000"/>
          <w:sz w:val="26"/>
          <w:szCs w:val="26"/>
        </w:rPr>
        <w:t xml:space="preserve">Duquesne </w:t>
      </w:r>
      <w:r w:rsidR="008A7A30" w:rsidRPr="008A7A30">
        <w:rPr>
          <w:bCs/>
          <w:color w:val="000000"/>
          <w:sz w:val="26"/>
          <w:szCs w:val="26"/>
        </w:rPr>
        <w:t>to reimburse him for the amounts he w</w:t>
      </w:r>
      <w:r w:rsidR="00DF6CD4">
        <w:rPr>
          <w:bCs/>
          <w:color w:val="000000"/>
          <w:sz w:val="26"/>
          <w:szCs w:val="26"/>
        </w:rPr>
        <w:t xml:space="preserve">as overcharged by the Company </w:t>
      </w:r>
      <w:r w:rsidR="008A7A30" w:rsidRPr="008A7A30">
        <w:rPr>
          <w:bCs/>
          <w:color w:val="000000"/>
          <w:sz w:val="26"/>
          <w:szCs w:val="26"/>
        </w:rPr>
        <w:t>since December 2010</w:t>
      </w:r>
      <w:r w:rsidR="008A7A30" w:rsidRPr="008A7A30">
        <w:rPr>
          <w:sz w:val="26"/>
          <w:szCs w:val="26"/>
        </w:rPr>
        <w:t>.</w:t>
      </w:r>
      <w:r w:rsidR="008A7A30" w:rsidRPr="008A7A30">
        <w:rPr>
          <w:rStyle w:val="FootnoteReference"/>
          <w:sz w:val="26"/>
          <w:szCs w:val="26"/>
        </w:rPr>
        <w:footnoteReference w:id="1"/>
      </w:r>
    </w:p>
    <w:p w:rsidR="00DE2205" w:rsidRPr="008A7A30" w:rsidRDefault="00DE2205" w:rsidP="00303822">
      <w:pPr>
        <w:widowControl/>
        <w:spacing w:line="360" w:lineRule="auto"/>
        <w:ind w:firstLine="1440"/>
        <w:rPr>
          <w:sz w:val="26"/>
          <w:szCs w:val="26"/>
        </w:rPr>
      </w:pPr>
    </w:p>
    <w:p w:rsidR="008A7A30" w:rsidRDefault="008A7A30" w:rsidP="00303822">
      <w:pPr>
        <w:widowControl/>
        <w:spacing w:line="360" w:lineRule="auto"/>
        <w:rPr>
          <w:b/>
          <w:sz w:val="26"/>
          <w:szCs w:val="26"/>
        </w:rPr>
      </w:pPr>
      <w:r w:rsidRPr="008A7A30">
        <w:rPr>
          <w:sz w:val="26"/>
          <w:szCs w:val="26"/>
        </w:rPr>
        <w:tab/>
      </w:r>
      <w:r w:rsidRPr="008A7A30">
        <w:rPr>
          <w:sz w:val="26"/>
          <w:szCs w:val="26"/>
        </w:rPr>
        <w:tab/>
      </w:r>
      <w:r w:rsidR="007E72A7">
        <w:rPr>
          <w:sz w:val="26"/>
          <w:szCs w:val="26"/>
        </w:rPr>
        <w:t xml:space="preserve">Duquesne contended that </w:t>
      </w:r>
      <w:r w:rsidRPr="008A7A30">
        <w:rPr>
          <w:sz w:val="26"/>
          <w:szCs w:val="26"/>
        </w:rPr>
        <w:t xml:space="preserve">it provided reasonable and adequate service in how it billed </w:t>
      </w:r>
      <w:r w:rsidR="00FE2003">
        <w:rPr>
          <w:sz w:val="26"/>
          <w:szCs w:val="26"/>
        </w:rPr>
        <w:t>the Complainant and indicated that pursuant to its tariff, customers must notify it if changes are “made to the connected load, demand or other conditions of use.”</w:t>
      </w:r>
      <w:r w:rsidRPr="008A7A30">
        <w:rPr>
          <w:sz w:val="26"/>
          <w:szCs w:val="26"/>
        </w:rPr>
        <w:t xml:space="preserve"> </w:t>
      </w:r>
      <w:r w:rsidR="00FE2003">
        <w:rPr>
          <w:sz w:val="26"/>
          <w:szCs w:val="26"/>
        </w:rPr>
        <w:t xml:space="preserve"> FOF No. 13.  Duquesne admitted that</w:t>
      </w:r>
      <w:r w:rsidRPr="008A7A30">
        <w:rPr>
          <w:sz w:val="26"/>
          <w:szCs w:val="26"/>
        </w:rPr>
        <w:t xml:space="preserve"> the presence of a heat pump qualifies as a change to the connected load, demand or other condition of use.  </w:t>
      </w:r>
      <w:r w:rsidR="00FE2003">
        <w:rPr>
          <w:sz w:val="26"/>
          <w:szCs w:val="26"/>
        </w:rPr>
        <w:t>However, Duquesne insisted</w:t>
      </w:r>
      <w:r w:rsidRPr="008A7A30">
        <w:rPr>
          <w:sz w:val="26"/>
          <w:szCs w:val="26"/>
        </w:rPr>
        <w:t xml:space="preserve"> </w:t>
      </w:r>
      <w:r w:rsidR="00FE2003">
        <w:rPr>
          <w:sz w:val="26"/>
          <w:szCs w:val="26"/>
        </w:rPr>
        <w:t xml:space="preserve">that the Complainant should have informed the Company </w:t>
      </w:r>
      <w:r w:rsidRPr="008A7A30">
        <w:rPr>
          <w:sz w:val="26"/>
          <w:szCs w:val="26"/>
        </w:rPr>
        <w:t xml:space="preserve">when he applied for service in 2000 that the prior owner </w:t>
      </w:r>
      <w:r w:rsidR="00FE2003">
        <w:rPr>
          <w:sz w:val="26"/>
          <w:szCs w:val="26"/>
        </w:rPr>
        <w:t xml:space="preserve">had </w:t>
      </w:r>
      <w:r w:rsidRPr="008A7A30">
        <w:rPr>
          <w:sz w:val="26"/>
          <w:szCs w:val="26"/>
        </w:rPr>
        <w:t>installed a he</w:t>
      </w:r>
      <w:r w:rsidR="00FE2003">
        <w:rPr>
          <w:sz w:val="26"/>
          <w:szCs w:val="26"/>
        </w:rPr>
        <w:t>at pump.  Duquesne asserted</w:t>
      </w:r>
      <w:r w:rsidRPr="008A7A30">
        <w:rPr>
          <w:sz w:val="26"/>
          <w:szCs w:val="26"/>
        </w:rPr>
        <w:t xml:space="preserve"> that because</w:t>
      </w:r>
      <w:r w:rsidR="00FE2003">
        <w:rPr>
          <w:sz w:val="26"/>
          <w:szCs w:val="26"/>
        </w:rPr>
        <w:t xml:space="preserve"> the</w:t>
      </w:r>
      <w:r w:rsidRPr="008A7A30">
        <w:rPr>
          <w:sz w:val="26"/>
          <w:szCs w:val="26"/>
        </w:rPr>
        <w:t xml:space="preserve"> Complainant</w:t>
      </w:r>
      <w:r w:rsidR="00FE2003">
        <w:rPr>
          <w:sz w:val="26"/>
          <w:szCs w:val="26"/>
        </w:rPr>
        <w:t xml:space="preserve"> did not contact the Company </w:t>
      </w:r>
      <w:r w:rsidRPr="008A7A30">
        <w:rPr>
          <w:sz w:val="26"/>
          <w:szCs w:val="26"/>
        </w:rPr>
        <w:t xml:space="preserve">until December </w:t>
      </w:r>
      <w:r w:rsidR="00FE2003">
        <w:rPr>
          <w:sz w:val="26"/>
          <w:szCs w:val="26"/>
        </w:rPr>
        <w:t>2014 to notify it</w:t>
      </w:r>
      <w:r w:rsidRPr="008A7A30">
        <w:rPr>
          <w:sz w:val="26"/>
          <w:szCs w:val="26"/>
        </w:rPr>
        <w:t xml:space="preserve"> that an operational heat pump was in use at</w:t>
      </w:r>
      <w:r w:rsidR="00FE2003">
        <w:rPr>
          <w:sz w:val="26"/>
          <w:szCs w:val="26"/>
        </w:rPr>
        <w:t xml:space="preserve"> the service address, Duquesne</w:t>
      </w:r>
      <w:r w:rsidRPr="008A7A30">
        <w:rPr>
          <w:sz w:val="26"/>
          <w:szCs w:val="26"/>
        </w:rPr>
        <w:t xml:space="preserve"> cannot be held responsible for overcharges incurred prior to December 2014.</w:t>
      </w:r>
      <w:r w:rsidR="00FE2003">
        <w:rPr>
          <w:sz w:val="26"/>
          <w:szCs w:val="26"/>
        </w:rPr>
        <w:t xml:space="preserve">  Furthermore, Duquesne explained that when informed by the Complainant that an add-on heat pump was installed at his residence, the Company immediately verified such and switched the Complainant’s </w:t>
      </w:r>
      <w:r w:rsidR="001C6E02">
        <w:rPr>
          <w:sz w:val="26"/>
          <w:szCs w:val="26"/>
        </w:rPr>
        <w:t>billing rate from RH to RA effective December 1, 2014.  FOF Nos. 8 and 9.</w:t>
      </w:r>
    </w:p>
    <w:p w:rsidR="008A7A30" w:rsidRDefault="008A7A30" w:rsidP="00303822">
      <w:pPr>
        <w:widowControl/>
        <w:spacing w:line="360" w:lineRule="auto"/>
        <w:rPr>
          <w:color w:val="000000"/>
          <w:sz w:val="26"/>
          <w:szCs w:val="26"/>
        </w:rPr>
      </w:pPr>
    </w:p>
    <w:p w:rsidR="00AF56D2" w:rsidRPr="001B6C10" w:rsidRDefault="00AF56D2" w:rsidP="00CA4808">
      <w:pPr>
        <w:keepNext/>
        <w:keepLines/>
        <w:widowControl/>
        <w:spacing w:line="360" w:lineRule="auto"/>
        <w:rPr>
          <w:b/>
          <w:sz w:val="26"/>
          <w:szCs w:val="26"/>
        </w:rPr>
      </w:pPr>
      <w:r w:rsidRPr="001B6C10">
        <w:rPr>
          <w:b/>
          <w:sz w:val="26"/>
          <w:szCs w:val="26"/>
        </w:rPr>
        <w:t xml:space="preserve">ALJ’s Initial Decision </w:t>
      </w:r>
    </w:p>
    <w:p w:rsidR="00AF56D2" w:rsidRPr="001B6C10" w:rsidRDefault="00AF56D2" w:rsidP="00CA4808">
      <w:pPr>
        <w:keepNext/>
        <w:keepLines/>
        <w:widowControl/>
        <w:spacing w:line="360" w:lineRule="auto"/>
        <w:rPr>
          <w:b/>
          <w:sz w:val="26"/>
          <w:szCs w:val="26"/>
        </w:rPr>
      </w:pPr>
    </w:p>
    <w:p w:rsidR="00AF56D2" w:rsidRDefault="00AF56D2" w:rsidP="00303822">
      <w:pPr>
        <w:widowControl/>
        <w:spacing w:line="360" w:lineRule="auto"/>
        <w:rPr>
          <w:sz w:val="26"/>
          <w:szCs w:val="26"/>
        </w:rPr>
      </w:pPr>
      <w:r>
        <w:rPr>
          <w:sz w:val="26"/>
          <w:szCs w:val="26"/>
        </w:rPr>
        <w:tab/>
      </w:r>
      <w:r>
        <w:rPr>
          <w:sz w:val="26"/>
          <w:szCs w:val="26"/>
        </w:rPr>
        <w:tab/>
      </w:r>
      <w:r w:rsidRPr="000522FC">
        <w:rPr>
          <w:sz w:val="26"/>
          <w:szCs w:val="26"/>
        </w:rPr>
        <w:t xml:space="preserve">In </w:t>
      </w:r>
      <w:r>
        <w:rPr>
          <w:sz w:val="26"/>
          <w:szCs w:val="26"/>
        </w:rPr>
        <w:t xml:space="preserve">her </w:t>
      </w:r>
      <w:r w:rsidRPr="000522FC">
        <w:rPr>
          <w:sz w:val="26"/>
          <w:szCs w:val="26"/>
        </w:rPr>
        <w:t xml:space="preserve">Initial Decision, ALJ </w:t>
      </w:r>
      <w:r>
        <w:rPr>
          <w:sz w:val="26"/>
          <w:szCs w:val="26"/>
        </w:rPr>
        <w:t>Dunderdale</w:t>
      </w:r>
      <w:r w:rsidRPr="000522FC">
        <w:rPr>
          <w:sz w:val="26"/>
          <w:szCs w:val="26"/>
        </w:rPr>
        <w:t xml:space="preserve"> made </w:t>
      </w:r>
      <w:r>
        <w:rPr>
          <w:sz w:val="26"/>
          <w:szCs w:val="26"/>
        </w:rPr>
        <w:t>twenty-one</w:t>
      </w:r>
      <w:r w:rsidRPr="000522FC">
        <w:rPr>
          <w:sz w:val="26"/>
          <w:szCs w:val="26"/>
        </w:rPr>
        <w:t xml:space="preserve"> Findings of Fact and reached </w:t>
      </w:r>
      <w:r>
        <w:rPr>
          <w:sz w:val="26"/>
          <w:szCs w:val="26"/>
        </w:rPr>
        <w:t>five</w:t>
      </w:r>
      <w:r w:rsidRPr="000522FC">
        <w:rPr>
          <w:sz w:val="26"/>
          <w:szCs w:val="26"/>
        </w:rPr>
        <w:t xml:space="preserve"> Conclusions of Law.  I.D. at </w:t>
      </w:r>
      <w:r>
        <w:rPr>
          <w:sz w:val="26"/>
          <w:szCs w:val="26"/>
        </w:rPr>
        <w:t>3-5, 20-21</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AF56D2" w:rsidRPr="00A353C3" w:rsidRDefault="00AF56D2" w:rsidP="00303822">
      <w:pPr>
        <w:widowControl/>
        <w:spacing w:line="360" w:lineRule="auto"/>
        <w:ind w:left="1152" w:right="1152"/>
        <w:rPr>
          <w:rFonts w:eastAsia="Batang"/>
          <w:sz w:val="26"/>
          <w:szCs w:val="26"/>
        </w:rPr>
      </w:pPr>
    </w:p>
    <w:p w:rsidR="00EA45B3" w:rsidRDefault="00EA45B3" w:rsidP="00303822">
      <w:pPr>
        <w:widowControl/>
        <w:spacing w:line="360" w:lineRule="auto"/>
        <w:ind w:firstLine="1440"/>
        <w:rPr>
          <w:sz w:val="26"/>
          <w:szCs w:val="26"/>
        </w:rPr>
      </w:pPr>
      <w:r w:rsidRPr="00EA45B3">
        <w:rPr>
          <w:rFonts w:eastAsia="Batang"/>
          <w:sz w:val="26"/>
          <w:szCs w:val="26"/>
        </w:rPr>
        <w:lastRenderedPageBreak/>
        <w:t>Initially, t</w:t>
      </w:r>
      <w:r w:rsidR="00AF56D2" w:rsidRPr="00EA45B3">
        <w:rPr>
          <w:rFonts w:eastAsia="Batang"/>
          <w:sz w:val="26"/>
          <w:szCs w:val="26"/>
        </w:rPr>
        <w:t>he ALJ stated that</w:t>
      </w:r>
      <w:r w:rsidRPr="00EA45B3">
        <w:rPr>
          <w:rFonts w:eastAsia="Batang"/>
          <w:sz w:val="26"/>
          <w:szCs w:val="26"/>
        </w:rPr>
        <w:t xml:space="preserve"> the Commission’s </w:t>
      </w:r>
      <w:r w:rsidRPr="00EA45B3">
        <w:rPr>
          <w:sz w:val="26"/>
          <w:szCs w:val="26"/>
        </w:rPr>
        <w:t xml:space="preserve">statutory provisions include the requirement that a public utility must compute its billing statements under the applicable distribution rate that is most advantageous to the customer using only the last tariff rate published by the public utility.  </w:t>
      </w:r>
      <w:r>
        <w:rPr>
          <w:sz w:val="26"/>
          <w:szCs w:val="26"/>
        </w:rPr>
        <w:t>She noted that w</w:t>
      </w:r>
      <w:r w:rsidRPr="00EA45B3">
        <w:rPr>
          <w:sz w:val="26"/>
          <w:szCs w:val="26"/>
        </w:rPr>
        <w:t xml:space="preserve">here a public utility has more than one rate applicable to a customer, Section 1303 </w:t>
      </w:r>
      <w:r w:rsidR="00615F5B">
        <w:rPr>
          <w:sz w:val="26"/>
          <w:szCs w:val="26"/>
        </w:rPr>
        <w:t xml:space="preserve">of the Public Utility Code, 66 Pa. C. S. § 1303 (Code), </w:t>
      </w:r>
      <w:r w:rsidRPr="00EA45B3">
        <w:rPr>
          <w:sz w:val="26"/>
          <w:szCs w:val="26"/>
        </w:rPr>
        <w:t>requires that the billing statements must be computed under the rate most advantageous to the customer.</w:t>
      </w:r>
      <w:r>
        <w:rPr>
          <w:sz w:val="26"/>
          <w:szCs w:val="26"/>
        </w:rPr>
        <w:t xml:space="preserve">  The ALJ referenced the statute at 66 Pa. C.S. §</w:t>
      </w:r>
      <w:r w:rsidR="006D672F">
        <w:rPr>
          <w:sz w:val="26"/>
          <w:szCs w:val="26"/>
        </w:rPr>
        <w:t> </w:t>
      </w:r>
      <w:r>
        <w:rPr>
          <w:sz w:val="26"/>
          <w:szCs w:val="26"/>
        </w:rPr>
        <w:t>1303:</w:t>
      </w:r>
    </w:p>
    <w:p w:rsidR="00066818" w:rsidRDefault="00066818" w:rsidP="00303822">
      <w:pPr>
        <w:widowControl/>
        <w:spacing w:line="360" w:lineRule="auto"/>
        <w:ind w:firstLine="1440"/>
        <w:rPr>
          <w:sz w:val="26"/>
          <w:szCs w:val="26"/>
        </w:rPr>
      </w:pPr>
    </w:p>
    <w:p w:rsidR="009953FB" w:rsidRDefault="00EA45B3" w:rsidP="00303822">
      <w:pPr>
        <w:widowControl/>
        <w:ind w:left="1440" w:right="1440"/>
        <w:rPr>
          <w:sz w:val="26"/>
          <w:szCs w:val="26"/>
        </w:rPr>
      </w:pPr>
      <w:r w:rsidRPr="00EA45B3">
        <w:rPr>
          <w:sz w:val="26"/>
          <w:szCs w:val="26"/>
        </w:rPr>
        <w:t>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The rates specified in such tariffs shall be the lawful rates of such public utility until changed, as provided in this part.  Any public utility, having more than one rate applicable to service rendered to a patron, shall, after notice of service conditions, compute bills under the rate most advantageous to the patron.</w:t>
      </w:r>
      <w:r>
        <w:rPr>
          <w:sz w:val="26"/>
          <w:szCs w:val="26"/>
        </w:rPr>
        <w:t xml:space="preserve">  66 Pa. C.S.</w:t>
      </w:r>
      <w:r w:rsidRPr="00EA45B3">
        <w:rPr>
          <w:sz w:val="26"/>
          <w:szCs w:val="26"/>
        </w:rPr>
        <w:t xml:space="preserve"> § 1303.</w:t>
      </w:r>
    </w:p>
    <w:p w:rsidR="00CA4808" w:rsidRDefault="00CA4808" w:rsidP="00303822">
      <w:pPr>
        <w:widowControl/>
        <w:ind w:left="1440" w:right="1440"/>
        <w:rPr>
          <w:sz w:val="26"/>
          <w:szCs w:val="26"/>
        </w:rPr>
      </w:pPr>
    </w:p>
    <w:p w:rsidR="00CA4808" w:rsidRDefault="00CA4808" w:rsidP="00303822">
      <w:pPr>
        <w:widowControl/>
        <w:ind w:left="1440" w:right="1440"/>
        <w:rPr>
          <w:sz w:val="26"/>
          <w:szCs w:val="26"/>
        </w:rPr>
      </w:pPr>
    </w:p>
    <w:p w:rsidR="00B35A96" w:rsidRDefault="00B35A96" w:rsidP="00303822">
      <w:pPr>
        <w:widowControl/>
        <w:tabs>
          <w:tab w:val="left" w:pos="9360"/>
        </w:tabs>
        <w:spacing w:line="360" w:lineRule="auto"/>
        <w:rPr>
          <w:sz w:val="26"/>
          <w:szCs w:val="26"/>
        </w:rPr>
      </w:pPr>
      <w:r>
        <w:rPr>
          <w:sz w:val="26"/>
          <w:szCs w:val="26"/>
        </w:rPr>
        <w:t>I.D. at 8-9.</w:t>
      </w:r>
    </w:p>
    <w:p w:rsidR="00B35A96" w:rsidRDefault="00B35A96" w:rsidP="00303822">
      <w:pPr>
        <w:widowControl/>
        <w:tabs>
          <w:tab w:val="left" w:pos="9360"/>
        </w:tabs>
        <w:spacing w:line="360" w:lineRule="auto"/>
        <w:rPr>
          <w:sz w:val="26"/>
          <w:szCs w:val="26"/>
        </w:rPr>
      </w:pPr>
    </w:p>
    <w:p w:rsidR="00C74AC4" w:rsidRDefault="00C74AC4" w:rsidP="00303822">
      <w:pPr>
        <w:widowControl/>
        <w:tabs>
          <w:tab w:val="left" w:pos="0"/>
        </w:tabs>
        <w:spacing w:line="360" w:lineRule="auto"/>
        <w:rPr>
          <w:sz w:val="26"/>
          <w:szCs w:val="26"/>
        </w:rPr>
      </w:pPr>
      <w:r>
        <w:rPr>
          <w:sz w:val="26"/>
          <w:szCs w:val="26"/>
        </w:rPr>
        <w:tab/>
      </w:r>
      <w:r>
        <w:rPr>
          <w:sz w:val="26"/>
          <w:szCs w:val="26"/>
        </w:rPr>
        <w:tab/>
        <w:t>Next, the ALJ provided the following discussion with regard to the most advantageous rate obligation of a public utility:</w:t>
      </w:r>
    </w:p>
    <w:p w:rsidR="00C74AC4" w:rsidRDefault="00C74AC4" w:rsidP="00303822">
      <w:pPr>
        <w:widowControl/>
        <w:tabs>
          <w:tab w:val="left" w:pos="0"/>
        </w:tabs>
        <w:spacing w:line="360" w:lineRule="auto"/>
        <w:rPr>
          <w:sz w:val="26"/>
          <w:szCs w:val="26"/>
        </w:rPr>
      </w:pPr>
    </w:p>
    <w:p w:rsidR="00C74AC4" w:rsidRDefault="00DB2E4B" w:rsidP="00303822">
      <w:pPr>
        <w:pStyle w:val="BodyText"/>
        <w:spacing w:line="240" w:lineRule="auto"/>
        <w:ind w:left="1440" w:right="1440"/>
        <w:jc w:val="left"/>
        <w:rPr>
          <w:szCs w:val="26"/>
        </w:rPr>
      </w:pPr>
      <w:r>
        <w:rPr>
          <w:szCs w:val="26"/>
        </w:rPr>
        <w:tab/>
      </w:r>
      <w:r w:rsidR="00C74AC4" w:rsidRPr="00B35A96">
        <w:rPr>
          <w:szCs w:val="26"/>
        </w:rPr>
        <w:t xml:space="preserve">In order to prove a public utility is obligated to compute the most advantageous rate, pursuant to Section 1303, Mr. Kramer must establish Duquesne Light had actual notice the service condition included a heat pump.  Constructive notice is insufficient.  Citing to </w:t>
      </w:r>
      <w:r w:rsidR="00C74AC4" w:rsidRPr="00426B9B">
        <w:rPr>
          <w:szCs w:val="26"/>
          <w:u w:val="single"/>
        </w:rPr>
        <w:t>City of Pittsburgh v. Duquesne Light Co.,</w:t>
      </w:r>
      <w:r w:rsidR="00C74AC4" w:rsidRPr="00B35A96">
        <w:rPr>
          <w:szCs w:val="26"/>
        </w:rPr>
        <w:t xml:space="preserve"> 54 PUC 460 (1980), the Commission has said that public utilities “cannot be expected to know more about their customers’ businesses than the customers themselves and cannot be expected to make their </w:t>
      </w:r>
      <w:r w:rsidR="00C74AC4" w:rsidRPr="00B35A96">
        <w:rPr>
          <w:szCs w:val="26"/>
        </w:rPr>
        <w:lastRenderedPageBreak/>
        <w:t>decisions for them.”</w:t>
      </w:r>
      <w:r w:rsidRPr="00DB2E4B">
        <w:rPr>
          <w:szCs w:val="26"/>
          <w:vertAlign w:val="superscript"/>
        </w:rPr>
        <w:t>2</w:t>
      </w:r>
      <w:r w:rsidR="00C74AC4" w:rsidRPr="00B35A96">
        <w:rPr>
          <w:szCs w:val="26"/>
        </w:rPr>
        <w:t xml:space="preserve">  In that proceeding, the allegation from a township was that the public utility had an affirmative duty to monitor its customers’ accounts and usage levels in order to compute the most advantageous rate.  Commonwealth Court disagreed and held, under Section 1303, that “the public utility must have actual knowledge of service conditions before it is required to compute the most favo</w:t>
      </w:r>
      <w:r>
        <w:rPr>
          <w:szCs w:val="26"/>
        </w:rPr>
        <w:t>rable rate for its customers.”</w:t>
      </w:r>
    </w:p>
    <w:p w:rsidR="00DB2E4B" w:rsidRPr="00B35A96" w:rsidRDefault="00DB2E4B" w:rsidP="00303822">
      <w:pPr>
        <w:pStyle w:val="BodyText"/>
        <w:spacing w:line="240" w:lineRule="auto"/>
        <w:ind w:left="1440" w:right="1440"/>
        <w:jc w:val="left"/>
        <w:rPr>
          <w:szCs w:val="26"/>
        </w:rPr>
      </w:pPr>
    </w:p>
    <w:p w:rsidR="00C74AC4" w:rsidRPr="00B35A96" w:rsidRDefault="00DB2E4B" w:rsidP="00303822">
      <w:pPr>
        <w:pStyle w:val="BodyText"/>
        <w:spacing w:line="240" w:lineRule="auto"/>
        <w:ind w:left="1440" w:right="1440"/>
        <w:jc w:val="left"/>
        <w:rPr>
          <w:szCs w:val="26"/>
        </w:rPr>
      </w:pPr>
      <w:r>
        <w:rPr>
          <w:szCs w:val="26"/>
        </w:rPr>
        <w:tab/>
      </w:r>
      <w:r w:rsidR="00C74AC4" w:rsidRPr="00B35A96">
        <w:rPr>
          <w:szCs w:val="26"/>
        </w:rPr>
        <w:t xml:space="preserve">In addition, the Pennsylvania Supreme Court has noted in </w:t>
      </w:r>
      <w:r w:rsidR="00C74AC4" w:rsidRPr="00426B9B">
        <w:rPr>
          <w:szCs w:val="26"/>
          <w:u w:val="single"/>
        </w:rPr>
        <w:t>Springfield Tp. v. Pa. Pub. Util. Comm’n</w:t>
      </w:r>
      <w:r w:rsidR="00C74AC4" w:rsidRPr="00B35A96">
        <w:rPr>
          <w:szCs w:val="26"/>
        </w:rPr>
        <w:t>, 676 A.2d 304, at 307 (1996), the utility company had specific provisions in its tariff which indicated that, if two or more rates were available to a rate class, the applicant for electric services must select the rate and the utility company would “upon request…, to a reasonable extent, assist an applicant in selecting the most advantageous rate or rate application.”</w:t>
      </w:r>
      <w:r w:rsidRPr="00DB2E4B">
        <w:rPr>
          <w:szCs w:val="26"/>
          <w:vertAlign w:val="superscript"/>
        </w:rPr>
        <w:t>3</w:t>
      </w:r>
      <w:r w:rsidR="00C74AC4" w:rsidRPr="00B35A96">
        <w:rPr>
          <w:szCs w:val="26"/>
        </w:rPr>
        <w:t xml:space="preserve"> </w:t>
      </w:r>
      <w:r>
        <w:rPr>
          <w:szCs w:val="26"/>
        </w:rPr>
        <w:t xml:space="preserve"> </w:t>
      </w:r>
      <w:r w:rsidR="00C74AC4" w:rsidRPr="00B35A96">
        <w:rPr>
          <w:szCs w:val="26"/>
        </w:rPr>
        <w:t>In this appellate decision, Springfield Township wanted seven years’ worth of alleged overcharges after the utility established a new rate schedule for government-owned street light fixtures.  The utility did not apply the new lower rate to street lights which were installed by the Department of Transportation but, unbeknownst to the utility, the township owned and operated the street lights with the Department of Transportation.  The township pointed to Section 1303 of the Code as authority for its contention the utility was under an obligation to provide the most advantageous rate.  The utility argued it did not have a responsibility to change the rate until the township requested the rate change, and the appellate court agreed the new lower rate should be charged when the township notified the utility about the township’s ownership and maintenance of the street lights.</w:t>
      </w:r>
    </w:p>
    <w:p w:rsidR="00C74AC4" w:rsidRPr="00B35A96" w:rsidRDefault="00C74AC4" w:rsidP="00303822">
      <w:pPr>
        <w:pStyle w:val="BodyText"/>
        <w:spacing w:line="240" w:lineRule="auto"/>
        <w:ind w:firstLine="1440"/>
        <w:jc w:val="left"/>
        <w:rPr>
          <w:szCs w:val="26"/>
        </w:rPr>
      </w:pPr>
    </w:p>
    <w:p w:rsidR="00CA4808" w:rsidRDefault="00C74AC4" w:rsidP="00C140D7">
      <w:pPr>
        <w:widowControl/>
        <w:tabs>
          <w:tab w:val="left" w:pos="0"/>
        </w:tabs>
        <w:ind w:left="1440" w:right="1440"/>
        <w:rPr>
          <w:sz w:val="26"/>
          <w:szCs w:val="26"/>
        </w:rPr>
      </w:pPr>
      <w:r w:rsidRPr="00B35A96">
        <w:rPr>
          <w:sz w:val="26"/>
          <w:szCs w:val="26"/>
        </w:rPr>
        <w:tab/>
        <w:t xml:space="preserve">The appellate decision in </w:t>
      </w:r>
      <w:r w:rsidRPr="00426B9B">
        <w:rPr>
          <w:sz w:val="26"/>
          <w:szCs w:val="26"/>
          <w:u w:val="single"/>
        </w:rPr>
        <w:t>Springfield Tp. v. Pa. Pub. Util. Comm’n</w:t>
      </w:r>
      <w:r w:rsidRPr="00B35A96">
        <w:rPr>
          <w:sz w:val="26"/>
          <w:szCs w:val="26"/>
        </w:rPr>
        <w:t xml:space="preserve">, </w:t>
      </w:r>
      <w:r w:rsidRPr="00426B9B">
        <w:rPr>
          <w:sz w:val="26"/>
          <w:szCs w:val="26"/>
        </w:rPr>
        <w:t>supra</w:t>
      </w:r>
      <w:r w:rsidRPr="00B35A96">
        <w:rPr>
          <w:sz w:val="26"/>
          <w:szCs w:val="26"/>
        </w:rPr>
        <w:t xml:space="preserve">, is illustrative to the need for notification but is not determinative to this proceeding because of the differing facts.  In </w:t>
      </w:r>
      <w:r w:rsidRPr="00426B9B">
        <w:rPr>
          <w:sz w:val="26"/>
          <w:szCs w:val="26"/>
          <w:u w:val="single"/>
        </w:rPr>
        <w:t>Springfield Tp.,</w:t>
      </w:r>
      <w:r w:rsidRPr="00B35A96">
        <w:rPr>
          <w:sz w:val="26"/>
          <w:szCs w:val="26"/>
        </w:rPr>
        <w:t xml:space="preserve"> the township already knew its street lights met a precondition for the new rate when the lower rate was implemented.  The township was in possession of the knowledge it met the requirements when the new rate was implemented.  In this proceeding, Mr. Kramer did not own the service address when the heat pump was installed prior to 2000.  He also did not own the service address when</w:t>
      </w:r>
    </w:p>
    <w:p w:rsidR="000204D3" w:rsidRDefault="00C74AC4" w:rsidP="00CA4808">
      <w:pPr>
        <w:keepNext/>
        <w:keepLines/>
        <w:widowControl/>
        <w:tabs>
          <w:tab w:val="left" w:pos="0"/>
        </w:tabs>
        <w:ind w:left="1440" w:right="1440"/>
        <w:rPr>
          <w:sz w:val="26"/>
          <w:szCs w:val="26"/>
        </w:rPr>
      </w:pPr>
      <w:r w:rsidRPr="00B35A96">
        <w:rPr>
          <w:sz w:val="26"/>
          <w:szCs w:val="26"/>
        </w:rPr>
        <w:lastRenderedPageBreak/>
        <w:t>the RH and RA rates were implemented.  Therefore, the</w:t>
      </w:r>
      <w:r w:rsidR="00CA4808">
        <w:rPr>
          <w:sz w:val="26"/>
          <w:szCs w:val="26"/>
        </w:rPr>
        <w:t xml:space="preserve"> </w:t>
      </w:r>
      <w:r w:rsidRPr="00B35A96">
        <w:rPr>
          <w:sz w:val="26"/>
          <w:szCs w:val="26"/>
        </w:rPr>
        <w:t xml:space="preserve">holding in </w:t>
      </w:r>
      <w:r w:rsidRPr="00426B9B">
        <w:rPr>
          <w:sz w:val="26"/>
          <w:szCs w:val="26"/>
          <w:u w:val="single"/>
        </w:rPr>
        <w:t xml:space="preserve">Springfield </w:t>
      </w:r>
      <w:r w:rsidR="009E5795" w:rsidRPr="00426B9B">
        <w:rPr>
          <w:sz w:val="26"/>
          <w:szCs w:val="26"/>
          <w:u w:val="single"/>
        </w:rPr>
        <w:t>Twp.</w:t>
      </w:r>
      <w:r w:rsidRPr="002517C2">
        <w:rPr>
          <w:sz w:val="26"/>
          <w:szCs w:val="26"/>
        </w:rPr>
        <w:t>,</w:t>
      </w:r>
      <w:r w:rsidRPr="00B35A96">
        <w:rPr>
          <w:sz w:val="26"/>
          <w:szCs w:val="26"/>
        </w:rPr>
        <w:t xml:space="preserve"> supra, does not control the outcome here.</w:t>
      </w:r>
    </w:p>
    <w:p w:rsidR="00DB2E4B" w:rsidRDefault="00DB2E4B" w:rsidP="00CA4808">
      <w:pPr>
        <w:keepNext/>
        <w:keepLines/>
        <w:widowControl/>
        <w:tabs>
          <w:tab w:val="left" w:pos="0"/>
        </w:tabs>
        <w:spacing w:after="120"/>
        <w:ind w:left="1440" w:right="1440"/>
        <w:rPr>
          <w:sz w:val="26"/>
          <w:szCs w:val="26"/>
        </w:rPr>
      </w:pPr>
      <w:r>
        <w:rPr>
          <w:sz w:val="26"/>
          <w:szCs w:val="26"/>
        </w:rPr>
        <w:t>__________________</w:t>
      </w:r>
    </w:p>
    <w:p w:rsidR="002517C2" w:rsidRDefault="00664BA8" w:rsidP="00CA4808">
      <w:pPr>
        <w:keepNext/>
        <w:keepLines/>
        <w:widowControl/>
        <w:tabs>
          <w:tab w:val="left" w:pos="0"/>
        </w:tabs>
        <w:spacing w:after="120"/>
        <w:ind w:left="1440" w:right="1440"/>
        <w:rPr>
          <w:sz w:val="26"/>
          <w:szCs w:val="26"/>
          <w:vertAlign w:val="superscript"/>
        </w:rPr>
      </w:pPr>
      <w:r>
        <w:rPr>
          <w:sz w:val="26"/>
          <w:szCs w:val="26"/>
          <w:vertAlign w:val="superscript"/>
        </w:rPr>
        <w:t>2</w:t>
      </w:r>
      <w:r>
        <w:rPr>
          <w:sz w:val="26"/>
          <w:szCs w:val="26"/>
          <w:vertAlign w:val="superscript"/>
        </w:rPr>
        <w:tab/>
      </w:r>
      <w:r w:rsidRPr="00C74AC4">
        <w:rPr>
          <w:sz w:val="26"/>
          <w:szCs w:val="26"/>
        </w:rPr>
        <w:t xml:space="preserve">See </w:t>
      </w:r>
      <w:r w:rsidRPr="00426B9B">
        <w:rPr>
          <w:sz w:val="26"/>
          <w:szCs w:val="26"/>
          <w:u w:val="single"/>
        </w:rPr>
        <w:t>Springfield Tp. v. Pa. Pub. Util. Comm’n</w:t>
      </w:r>
      <w:r w:rsidRPr="00C74AC4">
        <w:rPr>
          <w:sz w:val="26"/>
          <w:szCs w:val="26"/>
        </w:rPr>
        <w:t>, 676 A.2d 304, at 307 (1996).</w:t>
      </w:r>
      <w:r>
        <w:rPr>
          <w:sz w:val="26"/>
          <w:szCs w:val="26"/>
          <w:vertAlign w:val="superscript"/>
        </w:rPr>
        <w:t xml:space="preserve"> </w:t>
      </w:r>
    </w:p>
    <w:p w:rsidR="00AF56D2" w:rsidRDefault="002517C2" w:rsidP="00C140D7">
      <w:pPr>
        <w:keepNext/>
        <w:keepLines/>
        <w:widowControl/>
        <w:tabs>
          <w:tab w:val="left" w:pos="0"/>
        </w:tabs>
        <w:ind w:left="1440" w:right="1440"/>
        <w:rPr>
          <w:sz w:val="26"/>
          <w:szCs w:val="26"/>
        </w:rPr>
      </w:pPr>
      <w:r>
        <w:rPr>
          <w:sz w:val="26"/>
          <w:szCs w:val="26"/>
          <w:vertAlign w:val="superscript"/>
        </w:rPr>
        <w:t>3</w:t>
      </w:r>
      <w:r>
        <w:rPr>
          <w:sz w:val="26"/>
          <w:szCs w:val="26"/>
        </w:rPr>
        <w:tab/>
      </w:r>
      <w:r w:rsidRPr="00C74AC4">
        <w:rPr>
          <w:sz w:val="26"/>
          <w:szCs w:val="26"/>
        </w:rPr>
        <w:t>A review of Duquesne Light’s publicly-available tariff in effect at the time of the hearing did not reveal any</w:t>
      </w:r>
      <w:r>
        <w:t xml:space="preserve"> </w:t>
      </w:r>
      <w:r w:rsidRPr="00C74AC4">
        <w:rPr>
          <w:sz w:val="26"/>
          <w:szCs w:val="26"/>
        </w:rPr>
        <w:t>similar provisions.</w:t>
      </w:r>
    </w:p>
    <w:p w:rsidR="00C140D7" w:rsidRDefault="00C140D7" w:rsidP="00C140D7">
      <w:pPr>
        <w:keepNext/>
        <w:keepLines/>
        <w:widowControl/>
        <w:tabs>
          <w:tab w:val="left" w:pos="0"/>
        </w:tabs>
        <w:ind w:left="1440" w:right="1440"/>
        <w:rPr>
          <w:sz w:val="26"/>
          <w:szCs w:val="26"/>
        </w:rPr>
      </w:pPr>
    </w:p>
    <w:p w:rsidR="00C140D7" w:rsidRPr="00B35A96" w:rsidRDefault="00C140D7" w:rsidP="00C140D7">
      <w:pPr>
        <w:keepNext/>
        <w:keepLines/>
        <w:widowControl/>
        <w:tabs>
          <w:tab w:val="left" w:pos="0"/>
        </w:tabs>
        <w:ind w:left="1440" w:right="1440"/>
        <w:rPr>
          <w:color w:val="000000"/>
          <w:sz w:val="26"/>
          <w:szCs w:val="26"/>
        </w:rPr>
      </w:pPr>
    </w:p>
    <w:p w:rsidR="00B35A96" w:rsidRDefault="00B35A96" w:rsidP="00C140D7">
      <w:pPr>
        <w:keepNext/>
        <w:keepLines/>
        <w:widowControl/>
        <w:tabs>
          <w:tab w:val="left" w:pos="2160"/>
        </w:tabs>
        <w:spacing w:line="360" w:lineRule="auto"/>
        <w:rPr>
          <w:sz w:val="26"/>
          <w:szCs w:val="26"/>
        </w:rPr>
      </w:pPr>
      <w:r>
        <w:rPr>
          <w:sz w:val="26"/>
          <w:szCs w:val="26"/>
        </w:rPr>
        <w:t>I.D. at 9-10.</w:t>
      </w:r>
    </w:p>
    <w:p w:rsidR="00B35A96" w:rsidRDefault="00B35A96" w:rsidP="00303822">
      <w:pPr>
        <w:widowControl/>
        <w:tabs>
          <w:tab w:val="left" w:pos="2160"/>
        </w:tabs>
        <w:spacing w:line="360" w:lineRule="auto"/>
        <w:rPr>
          <w:sz w:val="26"/>
          <w:szCs w:val="26"/>
        </w:rPr>
      </w:pPr>
    </w:p>
    <w:p w:rsidR="00A3008E" w:rsidRDefault="00B35A96" w:rsidP="00303822">
      <w:pPr>
        <w:widowControl/>
        <w:tabs>
          <w:tab w:val="left" w:pos="2160"/>
        </w:tabs>
        <w:spacing w:line="360" w:lineRule="auto"/>
        <w:ind w:firstLine="1440"/>
        <w:rPr>
          <w:sz w:val="26"/>
          <w:szCs w:val="26"/>
        </w:rPr>
      </w:pPr>
      <w:r>
        <w:rPr>
          <w:sz w:val="26"/>
          <w:szCs w:val="26"/>
        </w:rPr>
        <w:t xml:space="preserve">Based upon the above interpretation, the ALJ found that the Complainant sustained the burden of proof in this proceeding and ordered Duquesne to recalculate the Complainant’s billing statements from December 2010 through November 2014, using the lower RA distribution rates in effect during that time frame.  The ALJ explained that the recalculation period represents the four years from when the Complainant first inquired with Duquesne about the applicability of the RA rate.  </w:t>
      </w:r>
      <w:r w:rsidR="008D14C7">
        <w:rPr>
          <w:sz w:val="26"/>
          <w:szCs w:val="26"/>
        </w:rPr>
        <w:t>According to the ALJ, the Complainant proved that Duquesne failed to provide reasonable and adequate customer service to him when he initiated electric service in his name in 2000.</w:t>
      </w:r>
      <w:r w:rsidR="00A93B3C">
        <w:rPr>
          <w:sz w:val="26"/>
          <w:szCs w:val="26"/>
        </w:rPr>
        <w:t xml:space="preserve">  The ALJ explained that Duquesne’s policy is to “review the account, and the rate that is on the account at that time is the rate that is assigned to the new customer,” using historical data provided by the previous owner or tenant at the service address.  Tr. at 45.  The ALJ found that Duquesne verifies the accuracy of the historical data by relying on its own records and does not change the rate class applied to an account unless a customer advises Duquesne of a change.  I.D. at 11.</w:t>
      </w:r>
    </w:p>
    <w:p w:rsidR="00F623C9" w:rsidRDefault="00F623C9" w:rsidP="00303822">
      <w:pPr>
        <w:widowControl/>
        <w:tabs>
          <w:tab w:val="left" w:pos="2160"/>
        </w:tabs>
        <w:spacing w:line="360" w:lineRule="auto"/>
        <w:ind w:firstLine="1440"/>
        <w:rPr>
          <w:sz w:val="26"/>
          <w:szCs w:val="26"/>
        </w:rPr>
      </w:pPr>
    </w:p>
    <w:p w:rsidR="00F623C9" w:rsidRDefault="00F623C9" w:rsidP="00303822">
      <w:pPr>
        <w:pStyle w:val="BodyText"/>
        <w:ind w:firstLine="1440"/>
        <w:jc w:val="left"/>
        <w:rPr>
          <w:szCs w:val="26"/>
        </w:rPr>
      </w:pPr>
      <w:r w:rsidRPr="00F623C9">
        <w:rPr>
          <w:szCs w:val="26"/>
        </w:rPr>
        <w:t xml:space="preserve">The ALJ further found that </w:t>
      </w:r>
      <w:r>
        <w:rPr>
          <w:szCs w:val="26"/>
        </w:rPr>
        <w:t xml:space="preserve">Duquesne assumed that </w:t>
      </w:r>
      <w:r w:rsidRPr="00F623C9">
        <w:rPr>
          <w:szCs w:val="26"/>
        </w:rPr>
        <w:t>the rate applicable to the previous owner would remain the applicable rate for Mr. Kramer</w:t>
      </w:r>
      <w:r>
        <w:rPr>
          <w:szCs w:val="26"/>
        </w:rPr>
        <w:t>,</w:t>
      </w:r>
      <w:r w:rsidRPr="00F623C9">
        <w:rPr>
          <w:szCs w:val="26"/>
        </w:rPr>
        <w:t xml:space="preserve"> but </w:t>
      </w:r>
      <w:r>
        <w:rPr>
          <w:szCs w:val="26"/>
        </w:rPr>
        <w:t xml:space="preserve">the Company </w:t>
      </w:r>
      <w:r w:rsidRPr="00F623C9">
        <w:rPr>
          <w:szCs w:val="26"/>
        </w:rPr>
        <w:t>made that assumption without advising</w:t>
      </w:r>
      <w:r>
        <w:rPr>
          <w:szCs w:val="26"/>
        </w:rPr>
        <w:t xml:space="preserve"> the Complainant</w:t>
      </w:r>
      <w:r w:rsidRPr="00F623C9">
        <w:rPr>
          <w:szCs w:val="26"/>
        </w:rPr>
        <w:t xml:space="preserve"> of its assumption.  </w:t>
      </w:r>
      <w:r>
        <w:rPr>
          <w:szCs w:val="26"/>
        </w:rPr>
        <w:t>The ALJ noted that Duquesne also made this assumption (</w:t>
      </w:r>
      <w:r w:rsidRPr="00F623C9">
        <w:rPr>
          <w:szCs w:val="26"/>
        </w:rPr>
        <w:t xml:space="preserve">that the rate applicable to the previous </w:t>
      </w:r>
      <w:r w:rsidRPr="00F623C9">
        <w:rPr>
          <w:szCs w:val="26"/>
        </w:rPr>
        <w:lastRenderedPageBreak/>
        <w:t>owner would remain the applicable rate for Mr. Kramer</w:t>
      </w:r>
      <w:r>
        <w:rPr>
          <w:szCs w:val="26"/>
        </w:rPr>
        <w:t>)</w:t>
      </w:r>
      <w:r w:rsidRPr="00F623C9">
        <w:rPr>
          <w:szCs w:val="26"/>
        </w:rPr>
        <w:t xml:space="preserve"> without advising Mr. Kramer there might be options as to which distribution rate was most applicable to the service address.  </w:t>
      </w:r>
      <w:r>
        <w:rPr>
          <w:szCs w:val="26"/>
        </w:rPr>
        <w:t xml:space="preserve">According to the ALJ, </w:t>
      </w:r>
      <w:r w:rsidR="00DC16DA">
        <w:rPr>
          <w:szCs w:val="26"/>
        </w:rPr>
        <w:t xml:space="preserve">Duquesne, </w:t>
      </w:r>
      <w:r>
        <w:rPr>
          <w:szCs w:val="26"/>
        </w:rPr>
        <w:t>at the very least</w:t>
      </w:r>
      <w:r w:rsidRPr="00F623C9">
        <w:rPr>
          <w:szCs w:val="26"/>
        </w:rPr>
        <w:t xml:space="preserve">, knowing it had at least three applicable residential distribution </w:t>
      </w:r>
      <w:r>
        <w:rPr>
          <w:szCs w:val="26"/>
        </w:rPr>
        <w:t>rates available, should have asked the Complainant</w:t>
      </w:r>
      <w:r w:rsidRPr="00F623C9">
        <w:rPr>
          <w:szCs w:val="26"/>
        </w:rPr>
        <w:t xml:space="preserve"> two simple questions: (1) will electricity be required to heat the premises; and (2) if the answer is “yes,” is there an add-on heat pump?  </w:t>
      </w:r>
      <w:r>
        <w:rPr>
          <w:szCs w:val="26"/>
        </w:rPr>
        <w:t>The ALJ opined that if</w:t>
      </w:r>
      <w:r w:rsidRPr="00F623C9">
        <w:rPr>
          <w:szCs w:val="26"/>
        </w:rPr>
        <w:t xml:space="preserve"> Duquesne had asked those two simple questions, Mr. Kramer would have been billed correctly.  </w:t>
      </w:r>
      <w:r>
        <w:rPr>
          <w:szCs w:val="26"/>
        </w:rPr>
        <w:t>I.D. at</w:t>
      </w:r>
      <w:r w:rsidR="00DC16DA">
        <w:rPr>
          <w:szCs w:val="26"/>
        </w:rPr>
        <w:t> </w:t>
      </w:r>
      <w:r>
        <w:rPr>
          <w:szCs w:val="26"/>
        </w:rPr>
        <w:t>12.</w:t>
      </w:r>
    </w:p>
    <w:p w:rsidR="00A63698" w:rsidRDefault="00A63698" w:rsidP="00303822">
      <w:pPr>
        <w:pStyle w:val="BodyText"/>
        <w:ind w:firstLine="1440"/>
        <w:jc w:val="left"/>
        <w:rPr>
          <w:szCs w:val="26"/>
        </w:rPr>
      </w:pPr>
    </w:p>
    <w:p w:rsidR="00A63698" w:rsidRDefault="00A63698" w:rsidP="00303822">
      <w:pPr>
        <w:pStyle w:val="BodyText"/>
        <w:ind w:firstLine="1440"/>
        <w:jc w:val="left"/>
        <w:rPr>
          <w:szCs w:val="26"/>
        </w:rPr>
      </w:pPr>
      <w:r>
        <w:rPr>
          <w:szCs w:val="26"/>
        </w:rPr>
        <w:t>Next, the ALJ stated the following:</w:t>
      </w:r>
    </w:p>
    <w:p w:rsidR="002517C2" w:rsidRDefault="002517C2" w:rsidP="00303822">
      <w:pPr>
        <w:pStyle w:val="BodyText"/>
        <w:ind w:firstLine="1440"/>
        <w:jc w:val="left"/>
        <w:rPr>
          <w:szCs w:val="26"/>
        </w:rPr>
      </w:pPr>
    </w:p>
    <w:p w:rsidR="00C140D7" w:rsidRDefault="00A63698" w:rsidP="00303822">
      <w:pPr>
        <w:pStyle w:val="BodyText"/>
        <w:spacing w:line="240" w:lineRule="auto"/>
        <w:ind w:left="1440" w:right="1440"/>
        <w:jc w:val="left"/>
        <w:rPr>
          <w:szCs w:val="26"/>
        </w:rPr>
      </w:pPr>
      <w:r w:rsidRPr="00A63698">
        <w:rPr>
          <w:szCs w:val="26"/>
        </w:rPr>
        <w:t xml:space="preserve">Lastly, if no heat pump was in operation at the time of application, Duquesne Light could have informed and educated Mr. Kramer that installing one would allow him to consume less electricity and would give him access to a lower cost rate – </w:t>
      </w:r>
      <w:r w:rsidRPr="00A63698">
        <w:rPr>
          <w:b/>
          <w:szCs w:val="26"/>
        </w:rPr>
        <w:t>if</w:t>
      </w:r>
      <w:r w:rsidRPr="00A63698">
        <w:rPr>
          <w:szCs w:val="26"/>
        </w:rPr>
        <w:t xml:space="preserve"> Duquesne Light had asked those two simple questions.  This information, with the encouragement to save money, would also mean less energy would be consumed by the residential class in Respondent’s territory.  With the implementation of Act 129 of 2008</w:t>
      </w:r>
      <w:r w:rsidR="00201219" w:rsidRPr="00201219">
        <w:rPr>
          <w:szCs w:val="26"/>
          <w:vertAlign w:val="superscript"/>
        </w:rPr>
        <w:t>4</w:t>
      </w:r>
      <w:r w:rsidRPr="00A63698">
        <w:rPr>
          <w:szCs w:val="26"/>
        </w:rPr>
        <w:t xml:space="preserve"> and its codification at 66</w:t>
      </w:r>
      <w:r w:rsidR="00201219">
        <w:rPr>
          <w:szCs w:val="26"/>
        </w:rPr>
        <w:t> </w:t>
      </w:r>
      <w:r w:rsidRPr="00A63698">
        <w:rPr>
          <w:szCs w:val="26"/>
        </w:rPr>
        <w:t xml:space="preserve">Pa.C.S.A. § 2806.1 and § 2806.2, the Pennsylvania Legislature and the Commission have asked electric distribution companies such as Duquesne Light to implement programs and consumer education efforts as means to reduce the overall electric usage in its territory.  By failing to ask a simple question when accepting an application for service, Duquesne Light eliminated and continues to eliminate </w:t>
      </w:r>
    </w:p>
    <w:p w:rsidR="00A63698" w:rsidRDefault="00A63698" w:rsidP="00C140D7">
      <w:pPr>
        <w:pStyle w:val="BodyText"/>
        <w:keepNext/>
        <w:keepLines/>
        <w:spacing w:line="240" w:lineRule="auto"/>
        <w:ind w:left="1440" w:right="1440"/>
        <w:jc w:val="left"/>
        <w:rPr>
          <w:szCs w:val="26"/>
        </w:rPr>
      </w:pPr>
      <w:r w:rsidRPr="00A63698">
        <w:rPr>
          <w:szCs w:val="26"/>
        </w:rPr>
        <w:t>excellent opportunities to encourage electricity conservation amongst its customers.</w:t>
      </w:r>
    </w:p>
    <w:p w:rsidR="00201219" w:rsidRDefault="00201219" w:rsidP="00C140D7">
      <w:pPr>
        <w:keepNext/>
        <w:keepLines/>
        <w:widowControl/>
        <w:tabs>
          <w:tab w:val="left" w:pos="0"/>
        </w:tabs>
        <w:spacing w:after="120"/>
        <w:ind w:left="1440" w:right="1440"/>
        <w:rPr>
          <w:sz w:val="26"/>
          <w:szCs w:val="26"/>
        </w:rPr>
      </w:pPr>
      <w:r>
        <w:rPr>
          <w:sz w:val="26"/>
          <w:szCs w:val="26"/>
        </w:rPr>
        <w:t>__________________</w:t>
      </w:r>
    </w:p>
    <w:p w:rsidR="00A63698" w:rsidRDefault="002517C2" w:rsidP="00C140D7">
      <w:pPr>
        <w:pStyle w:val="BodyText"/>
        <w:keepNext/>
        <w:keepLines/>
        <w:spacing w:line="240" w:lineRule="auto"/>
        <w:ind w:left="1440" w:right="1440"/>
        <w:jc w:val="left"/>
        <w:rPr>
          <w:szCs w:val="26"/>
        </w:rPr>
      </w:pPr>
      <w:r>
        <w:rPr>
          <w:szCs w:val="26"/>
          <w:vertAlign w:val="superscript"/>
        </w:rPr>
        <w:t>4</w:t>
      </w:r>
      <w:r w:rsidR="00A63698" w:rsidRPr="00A63698">
        <w:rPr>
          <w:szCs w:val="26"/>
        </w:rPr>
        <w:tab/>
        <w:t xml:space="preserve">See </w:t>
      </w:r>
      <w:r w:rsidR="00A63698" w:rsidRPr="00A63698">
        <w:rPr>
          <w:szCs w:val="26"/>
          <w:u w:val="single"/>
        </w:rPr>
        <w:t>Implementation of Act 129 of October 15, 2008; Default Service And Retail Electric Markets</w:t>
      </w:r>
      <w:r w:rsidR="00A63698" w:rsidRPr="00A63698">
        <w:rPr>
          <w:szCs w:val="26"/>
        </w:rPr>
        <w:t>, Docket No. L</w:t>
      </w:r>
      <w:r w:rsidR="007649DB">
        <w:rPr>
          <w:szCs w:val="26"/>
        </w:rPr>
        <w:t> </w:t>
      </w:r>
      <w:r w:rsidR="00A63698" w:rsidRPr="00A63698">
        <w:rPr>
          <w:szCs w:val="26"/>
        </w:rPr>
        <w:t>2009</w:t>
      </w:r>
      <w:r w:rsidR="00A63698" w:rsidRPr="00A63698">
        <w:rPr>
          <w:szCs w:val="26"/>
        </w:rPr>
        <w:noBreakHyphen/>
        <w:t xml:space="preserve">2095604 (Final Rulemaking Order entered October 4, 2011). </w:t>
      </w:r>
    </w:p>
    <w:p w:rsidR="00C140D7" w:rsidRDefault="00C140D7" w:rsidP="00C140D7">
      <w:pPr>
        <w:pStyle w:val="BodyText"/>
        <w:keepNext/>
        <w:keepLines/>
        <w:spacing w:line="240" w:lineRule="auto"/>
        <w:ind w:left="1440" w:right="1440"/>
        <w:jc w:val="left"/>
        <w:rPr>
          <w:szCs w:val="26"/>
        </w:rPr>
      </w:pPr>
    </w:p>
    <w:p w:rsidR="00DD11EA" w:rsidRDefault="00DD11EA" w:rsidP="00C140D7">
      <w:pPr>
        <w:pStyle w:val="BodyText"/>
        <w:keepNext/>
        <w:keepLines/>
        <w:spacing w:line="240" w:lineRule="auto"/>
        <w:ind w:left="1440" w:right="1440"/>
        <w:jc w:val="left"/>
        <w:rPr>
          <w:szCs w:val="26"/>
        </w:rPr>
      </w:pPr>
    </w:p>
    <w:p w:rsidR="00A63698" w:rsidRDefault="00A63698" w:rsidP="00303822">
      <w:pPr>
        <w:pStyle w:val="BodyText"/>
        <w:jc w:val="left"/>
        <w:rPr>
          <w:sz w:val="24"/>
          <w:szCs w:val="24"/>
        </w:rPr>
      </w:pPr>
      <w:r>
        <w:rPr>
          <w:szCs w:val="26"/>
        </w:rPr>
        <w:t>I.D. at 13</w:t>
      </w:r>
      <w:r w:rsidR="00201219">
        <w:rPr>
          <w:szCs w:val="26"/>
        </w:rPr>
        <w:t xml:space="preserve"> (emphasis added)</w:t>
      </w:r>
      <w:r>
        <w:rPr>
          <w:szCs w:val="26"/>
        </w:rPr>
        <w:t>.</w:t>
      </w:r>
    </w:p>
    <w:p w:rsidR="006A120B" w:rsidRDefault="006A120B" w:rsidP="00303822">
      <w:pPr>
        <w:pStyle w:val="BodyText"/>
        <w:jc w:val="left"/>
        <w:rPr>
          <w:sz w:val="24"/>
          <w:szCs w:val="24"/>
        </w:rPr>
      </w:pPr>
    </w:p>
    <w:p w:rsidR="001852FE" w:rsidRDefault="006A120B" w:rsidP="00303822">
      <w:pPr>
        <w:pStyle w:val="BodyText"/>
        <w:jc w:val="left"/>
        <w:rPr>
          <w:szCs w:val="26"/>
        </w:rPr>
      </w:pPr>
      <w:r>
        <w:rPr>
          <w:sz w:val="24"/>
          <w:szCs w:val="24"/>
        </w:rPr>
        <w:tab/>
      </w:r>
      <w:r>
        <w:rPr>
          <w:sz w:val="24"/>
          <w:szCs w:val="24"/>
        </w:rPr>
        <w:tab/>
      </w:r>
      <w:r w:rsidRPr="007640D6">
        <w:rPr>
          <w:szCs w:val="26"/>
        </w:rPr>
        <w:t xml:space="preserve">In conclusion, the ALJ stated that if notice had been provided when it should have been, by the previous owner of the residence when he installed a heat pump, Duquesne would have applied the correct rate to the Complainant.  The ALJ stated that unfortunately, a third party who is not connected to this proceeding failed to notify Duquesne when a heat pump was installed.  According to the ALJ, Duquesne was in the superior position to possess the determinative facts and unfairly expected the Complainant to know that a previous owner failed to give Duquesne actual knowledge when a heat pump was installed at the service address. </w:t>
      </w:r>
      <w:r w:rsidR="007640D6">
        <w:rPr>
          <w:szCs w:val="26"/>
        </w:rPr>
        <w:t xml:space="preserve"> The ALJ </w:t>
      </w:r>
      <w:r w:rsidR="007649DB">
        <w:rPr>
          <w:szCs w:val="26"/>
        </w:rPr>
        <w:t>strongly encouraged Duquesne</w:t>
      </w:r>
      <w:r w:rsidR="007640D6" w:rsidRPr="007640D6">
        <w:rPr>
          <w:szCs w:val="26"/>
        </w:rPr>
        <w:t xml:space="preserve"> to alter its application process, as well as the script used by its customer service representatives and its online application form, to ask all residential applicants these two questions:  </w:t>
      </w:r>
      <w:r w:rsidR="0003497B">
        <w:rPr>
          <w:szCs w:val="26"/>
        </w:rPr>
        <w:t>“</w:t>
      </w:r>
      <w:r w:rsidR="007640D6" w:rsidRPr="007640D6">
        <w:rPr>
          <w:szCs w:val="26"/>
        </w:rPr>
        <w:t xml:space="preserve">(1) will you use electricity to heat the residence, and, if </w:t>
      </w:r>
      <w:r w:rsidR="0003497B">
        <w:rPr>
          <w:szCs w:val="26"/>
        </w:rPr>
        <w:t>‘</w:t>
      </w:r>
      <w:r w:rsidR="007640D6" w:rsidRPr="007640D6">
        <w:rPr>
          <w:szCs w:val="26"/>
        </w:rPr>
        <w:t>yes</w:t>
      </w:r>
      <w:r w:rsidR="0003497B">
        <w:rPr>
          <w:szCs w:val="26"/>
        </w:rPr>
        <w:t>’,</w:t>
      </w:r>
      <w:r w:rsidR="007640D6" w:rsidRPr="007640D6">
        <w:rPr>
          <w:szCs w:val="26"/>
        </w:rPr>
        <w:t xml:space="preserve"> (2) is there a heat pump in operation</w:t>
      </w:r>
      <w:r w:rsidR="0003497B">
        <w:rPr>
          <w:szCs w:val="26"/>
        </w:rPr>
        <w:t>[?]</w:t>
      </w:r>
      <w:r w:rsidR="007640D6" w:rsidRPr="007640D6">
        <w:rPr>
          <w:szCs w:val="26"/>
        </w:rPr>
        <w:t>.</w:t>
      </w:r>
      <w:r w:rsidR="0003497B">
        <w:rPr>
          <w:szCs w:val="26"/>
        </w:rPr>
        <w:t>”</w:t>
      </w:r>
      <w:r w:rsidR="007640D6" w:rsidRPr="007640D6">
        <w:rPr>
          <w:szCs w:val="26"/>
        </w:rPr>
        <w:t xml:space="preserve">  </w:t>
      </w:r>
      <w:r w:rsidR="007640D6">
        <w:rPr>
          <w:szCs w:val="26"/>
        </w:rPr>
        <w:t xml:space="preserve">The ALJ further opined that if </w:t>
      </w:r>
      <w:r w:rsidR="007640D6" w:rsidRPr="007640D6">
        <w:rPr>
          <w:szCs w:val="26"/>
        </w:rPr>
        <w:t>electricity is used to heat the prem</w:t>
      </w:r>
      <w:r w:rsidR="007640D6">
        <w:rPr>
          <w:szCs w:val="26"/>
        </w:rPr>
        <w:t>ises, and there is no heat pump</w:t>
      </w:r>
      <w:r w:rsidR="007640D6" w:rsidRPr="007640D6">
        <w:rPr>
          <w:szCs w:val="26"/>
        </w:rPr>
        <w:t>, then the customer service representative should inform the applicant that a cheaper rate is available and consumption will be lower if a heat pump is installed.</w:t>
      </w:r>
      <w:r w:rsidRPr="007640D6">
        <w:rPr>
          <w:szCs w:val="26"/>
        </w:rPr>
        <w:t xml:space="preserve"> </w:t>
      </w:r>
      <w:r w:rsidR="007640D6">
        <w:rPr>
          <w:szCs w:val="26"/>
        </w:rPr>
        <w:t xml:space="preserve"> I.D. at 14-15.</w:t>
      </w:r>
    </w:p>
    <w:p w:rsidR="003331FA" w:rsidRDefault="003331FA" w:rsidP="00303822">
      <w:pPr>
        <w:pStyle w:val="BodyText"/>
        <w:jc w:val="left"/>
        <w:rPr>
          <w:szCs w:val="26"/>
        </w:rPr>
      </w:pPr>
    </w:p>
    <w:p w:rsidR="00AD251C" w:rsidRDefault="003331FA" w:rsidP="00303822">
      <w:pPr>
        <w:pStyle w:val="BodyText"/>
        <w:jc w:val="left"/>
        <w:rPr>
          <w:szCs w:val="26"/>
        </w:rPr>
      </w:pPr>
      <w:r>
        <w:rPr>
          <w:szCs w:val="26"/>
        </w:rPr>
        <w:tab/>
      </w:r>
      <w:r>
        <w:rPr>
          <w:szCs w:val="26"/>
        </w:rPr>
        <w:tab/>
        <w:t xml:space="preserve">Based upon these conclusions, the ALJ ordered Duquesne to recalculate, within sixty days of the final Order in this </w:t>
      </w:r>
      <w:r w:rsidR="009E5795">
        <w:rPr>
          <w:szCs w:val="26"/>
        </w:rPr>
        <w:t>proceeding</w:t>
      </w:r>
      <w:r w:rsidR="0003497B">
        <w:rPr>
          <w:szCs w:val="26"/>
        </w:rPr>
        <w:t>,</w:t>
      </w:r>
      <w:r>
        <w:rPr>
          <w:szCs w:val="26"/>
        </w:rPr>
        <w:t xml:space="preserve"> the Complainant’s billing statements from December 2010 through November 2014, using the appropriate RA rates applicable during that time frame.  The ALJ further ordered Duquesne to provide a written explanation to the Complainant and to the Commission’s Bureau of Technical Utility Services of this recalculation.  Additionally, the ALJ directed the Secretary’s Bureau to provide a copy of </w:t>
      </w:r>
      <w:r w:rsidR="00EF4336">
        <w:rPr>
          <w:szCs w:val="26"/>
        </w:rPr>
        <w:t>her</w:t>
      </w:r>
      <w:r>
        <w:rPr>
          <w:szCs w:val="26"/>
        </w:rPr>
        <w:t xml:space="preserve"> Initial Decision to the </w:t>
      </w:r>
      <w:r w:rsidR="00311549">
        <w:rPr>
          <w:szCs w:val="26"/>
        </w:rPr>
        <w:t>C</w:t>
      </w:r>
      <w:r>
        <w:rPr>
          <w:szCs w:val="26"/>
        </w:rPr>
        <w:t>ommission’s Bureau of Investigation and Enforcement because of Duquesne’s pattern of not asking any applicant any pertinent questions about proposed electric service</w:t>
      </w:r>
      <w:r w:rsidR="00EF4336">
        <w:rPr>
          <w:szCs w:val="26"/>
        </w:rPr>
        <w:t xml:space="preserve"> as well as i</w:t>
      </w:r>
      <w:r>
        <w:rPr>
          <w:szCs w:val="26"/>
        </w:rPr>
        <w:t>ts pattern of assuming the accuracy of its historical data at the service address.  I.D. at 15.</w:t>
      </w:r>
    </w:p>
    <w:p w:rsidR="00AD251C" w:rsidRDefault="00AD251C" w:rsidP="00303822">
      <w:pPr>
        <w:pStyle w:val="BodyText"/>
        <w:jc w:val="left"/>
        <w:rPr>
          <w:szCs w:val="26"/>
        </w:rPr>
      </w:pPr>
    </w:p>
    <w:p w:rsidR="00E119B2" w:rsidRDefault="00AD251C" w:rsidP="00303822">
      <w:pPr>
        <w:pStyle w:val="BodyText"/>
        <w:jc w:val="left"/>
        <w:rPr>
          <w:szCs w:val="26"/>
        </w:rPr>
      </w:pPr>
      <w:r>
        <w:rPr>
          <w:szCs w:val="26"/>
        </w:rPr>
        <w:lastRenderedPageBreak/>
        <w:tab/>
      </w:r>
      <w:r>
        <w:rPr>
          <w:szCs w:val="26"/>
        </w:rPr>
        <w:tab/>
      </w:r>
      <w:r w:rsidRPr="00AD251C">
        <w:rPr>
          <w:szCs w:val="26"/>
        </w:rPr>
        <w:t>Finally, having concluded that Duquesne violated the Code by failing to provide reasonable customer service, the ALJ stated that it was appropriate to consider the assessment of a civil penalty.  In doing so, the ALJ noted th</w:t>
      </w:r>
      <w:r w:rsidR="00482137">
        <w:rPr>
          <w:szCs w:val="26"/>
        </w:rPr>
        <w:t>e ten criteria</w:t>
      </w:r>
      <w:r w:rsidR="00BD6718">
        <w:rPr>
          <w:szCs w:val="26"/>
        </w:rPr>
        <w:t xml:space="preserve">, or </w:t>
      </w:r>
      <w:r w:rsidR="00BD6718">
        <w:rPr>
          <w:i/>
          <w:szCs w:val="26"/>
        </w:rPr>
        <w:t>Rosi</w:t>
      </w:r>
      <w:r w:rsidR="00BD6718">
        <w:rPr>
          <w:szCs w:val="26"/>
        </w:rPr>
        <w:t xml:space="preserve"> standards,</w:t>
      </w:r>
      <w:r w:rsidR="00482137">
        <w:rPr>
          <w:szCs w:val="26"/>
        </w:rPr>
        <w:t xml:space="preserve"> that the Commission adopted to determine the appropriate amount of civil penalties that should be assessed against a utility </w:t>
      </w:r>
      <w:r w:rsidRPr="00AD251C">
        <w:rPr>
          <w:szCs w:val="26"/>
        </w:rPr>
        <w:t>when violations are admitted or determined to have occurred.</w:t>
      </w:r>
      <w:r w:rsidR="00482137">
        <w:rPr>
          <w:rStyle w:val="FootnoteReference"/>
          <w:szCs w:val="26"/>
        </w:rPr>
        <w:footnoteReference w:id="2"/>
      </w:r>
      <w:r w:rsidRPr="00AD251C">
        <w:rPr>
          <w:szCs w:val="26"/>
        </w:rPr>
        <w:t xml:space="preserve">  </w:t>
      </w:r>
      <w:r>
        <w:rPr>
          <w:szCs w:val="26"/>
        </w:rPr>
        <w:t xml:space="preserve">The ALJ provided an extensive analysis of the ten </w:t>
      </w:r>
      <w:r>
        <w:rPr>
          <w:i/>
          <w:szCs w:val="26"/>
        </w:rPr>
        <w:t xml:space="preserve">Rosi </w:t>
      </w:r>
      <w:r>
        <w:rPr>
          <w:szCs w:val="26"/>
        </w:rPr>
        <w:t>standards and concluded that in light of the Company’s size, the length of time it charged the Complainant the higher rate</w:t>
      </w:r>
      <w:r w:rsidR="00BD6718">
        <w:rPr>
          <w:szCs w:val="26"/>
        </w:rPr>
        <w:t>,</w:t>
      </w:r>
      <w:r>
        <w:rPr>
          <w:szCs w:val="26"/>
        </w:rPr>
        <w:t xml:space="preserve"> and the amount of excess distribution charges inflicted on the Complainant over an extensive time period, </w:t>
      </w:r>
      <w:r w:rsidR="00BD6718">
        <w:rPr>
          <w:szCs w:val="26"/>
        </w:rPr>
        <w:t xml:space="preserve">it is appropriate to assess a </w:t>
      </w:r>
      <w:r>
        <w:rPr>
          <w:szCs w:val="26"/>
        </w:rPr>
        <w:t xml:space="preserve">civil penalty </w:t>
      </w:r>
      <w:r w:rsidR="00BD6718">
        <w:rPr>
          <w:szCs w:val="26"/>
        </w:rPr>
        <w:t xml:space="preserve">in the amount of </w:t>
      </w:r>
      <w:r>
        <w:rPr>
          <w:szCs w:val="26"/>
        </w:rPr>
        <w:t>$10,000</w:t>
      </w:r>
      <w:r w:rsidR="00BD6718">
        <w:rPr>
          <w:szCs w:val="26"/>
        </w:rPr>
        <w:t xml:space="preserve"> against Duquesne</w:t>
      </w:r>
      <w:r>
        <w:rPr>
          <w:szCs w:val="26"/>
        </w:rPr>
        <w:t>.  The ALJ concluded that this amount of a civil penalty is necessary to deter similar future violations by this Company.  I.D. at</w:t>
      </w:r>
      <w:r w:rsidR="00D5027B">
        <w:rPr>
          <w:szCs w:val="26"/>
        </w:rPr>
        <w:t> </w:t>
      </w:r>
      <w:r>
        <w:rPr>
          <w:szCs w:val="26"/>
        </w:rPr>
        <w:t>15-</w:t>
      </w:r>
      <w:r w:rsidR="009C2113">
        <w:rPr>
          <w:szCs w:val="26"/>
        </w:rPr>
        <w:t>20.</w:t>
      </w:r>
    </w:p>
    <w:p w:rsidR="00E119B2" w:rsidRDefault="00E119B2" w:rsidP="00303822">
      <w:pPr>
        <w:pStyle w:val="BodyText"/>
        <w:jc w:val="left"/>
        <w:rPr>
          <w:szCs w:val="26"/>
        </w:rPr>
      </w:pPr>
    </w:p>
    <w:p w:rsidR="00D01789" w:rsidRDefault="00D01789" w:rsidP="00CA4808">
      <w:pPr>
        <w:pStyle w:val="BodyText"/>
        <w:keepNext/>
        <w:keepLines/>
        <w:jc w:val="left"/>
        <w:rPr>
          <w:b/>
          <w:szCs w:val="26"/>
        </w:rPr>
      </w:pPr>
      <w:r>
        <w:rPr>
          <w:b/>
          <w:szCs w:val="26"/>
        </w:rPr>
        <w:t>Duquesne’s Exceptions</w:t>
      </w:r>
    </w:p>
    <w:p w:rsidR="00D01789" w:rsidRPr="00D01789" w:rsidRDefault="00D01789" w:rsidP="00CA4808">
      <w:pPr>
        <w:pStyle w:val="BodyText"/>
        <w:keepNext/>
        <w:keepLines/>
        <w:jc w:val="left"/>
        <w:rPr>
          <w:szCs w:val="26"/>
        </w:rPr>
      </w:pPr>
    </w:p>
    <w:p w:rsidR="005C7779" w:rsidRDefault="000A759F" w:rsidP="00303822">
      <w:pPr>
        <w:pStyle w:val="BodyText"/>
        <w:jc w:val="left"/>
        <w:rPr>
          <w:szCs w:val="26"/>
        </w:rPr>
      </w:pPr>
      <w:r>
        <w:rPr>
          <w:szCs w:val="26"/>
        </w:rPr>
        <w:tab/>
      </w:r>
      <w:r>
        <w:rPr>
          <w:szCs w:val="26"/>
        </w:rPr>
        <w:tab/>
        <w:t xml:space="preserve">In its Exceptions, Duquesne </w:t>
      </w:r>
      <w:r w:rsidR="00C812F7">
        <w:rPr>
          <w:szCs w:val="26"/>
        </w:rPr>
        <w:t>s</w:t>
      </w:r>
      <w:r w:rsidR="00287947">
        <w:rPr>
          <w:szCs w:val="26"/>
        </w:rPr>
        <w:t>ubmits</w:t>
      </w:r>
      <w:r w:rsidR="00C812F7">
        <w:rPr>
          <w:szCs w:val="26"/>
        </w:rPr>
        <w:t xml:space="preserve"> that the ALJ misapplied the law to the undisputed facts of this proceeding</w:t>
      </w:r>
      <w:r w:rsidR="00EA56F5">
        <w:rPr>
          <w:szCs w:val="26"/>
        </w:rPr>
        <w:t xml:space="preserve"> and requests th</w:t>
      </w:r>
      <w:r w:rsidR="00287947">
        <w:rPr>
          <w:szCs w:val="26"/>
        </w:rPr>
        <w:t xml:space="preserve">at we </w:t>
      </w:r>
      <w:r w:rsidR="00EA56F5">
        <w:rPr>
          <w:szCs w:val="26"/>
        </w:rPr>
        <w:t>reverse the Initial Decision</w:t>
      </w:r>
      <w:r w:rsidR="00C812F7">
        <w:rPr>
          <w:szCs w:val="26"/>
        </w:rPr>
        <w:t xml:space="preserve">.  </w:t>
      </w:r>
      <w:r w:rsidR="00287947">
        <w:rPr>
          <w:szCs w:val="26"/>
        </w:rPr>
        <w:t xml:space="preserve">In support of its request, </w:t>
      </w:r>
      <w:r w:rsidR="00C812F7">
        <w:rPr>
          <w:szCs w:val="26"/>
        </w:rPr>
        <w:t>Duquesne explains that its policy is to provide new customers at existing structures with the same rate that the prior customer held at the service address unless the customer provides the Company with information</w:t>
      </w:r>
      <w:r w:rsidR="00A30490">
        <w:rPr>
          <w:szCs w:val="26"/>
        </w:rPr>
        <w:t xml:space="preserve"> </w:t>
      </w:r>
      <w:r w:rsidR="00C812F7">
        <w:rPr>
          <w:szCs w:val="26"/>
        </w:rPr>
        <w:t>that the rate may need to be changed.  Duq</w:t>
      </w:r>
      <w:r w:rsidR="008150CE">
        <w:rPr>
          <w:szCs w:val="26"/>
        </w:rPr>
        <w:t>u</w:t>
      </w:r>
      <w:r w:rsidR="00C812F7">
        <w:rPr>
          <w:szCs w:val="26"/>
        </w:rPr>
        <w:t>esne notes that it has three different rates available for residential customers, the RH rate, the RA rate and the residential service (RS) rate</w:t>
      </w:r>
      <w:r w:rsidR="00287947">
        <w:rPr>
          <w:szCs w:val="26"/>
        </w:rPr>
        <w:t xml:space="preserve">.  For new structures, </w:t>
      </w:r>
      <w:r w:rsidR="00C812F7">
        <w:rPr>
          <w:szCs w:val="26"/>
        </w:rPr>
        <w:t>the builder contacts Duquesne’s new business department</w:t>
      </w:r>
      <w:r w:rsidR="00FF08C7">
        <w:rPr>
          <w:szCs w:val="26"/>
        </w:rPr>
        <w:t xml:space="preserve"> to provide information with regard to the structure’s heat source.  </w:t>
      </w:r>
      <w:r w:rsidR="008150CE">
        <w:rPr>
          <w:szCs w:val="26"/>
        </w:rPr>
        <w:t xml:space="preserve">Duquesne avers that the Complainant initiated service at his property on December 19, 2000, and </w:t>
      </w:r>
      <w:r w:rsidR="00DF7C2B">
        <w:rPr>
          <w:szCs w:val="26"/>
        </w:rPr>
        <w:t xml:space="preserve">that the Complainant never </w:t>
      </w:r>
      <w:r w:rsidR="007A0F5D">
        <w:rPr>
          <w:szCs w:val="26"/>
        </w:rPr>
        <w:t xml:space="preserve">contended that </w:t>
      </w:r>
      <w:r w:rsidR="00DF7C2B">
        <w:rPr>
          <w:szCs w:val="26"/>
        </w:rPr>
        <w:t xml:space="preserve">he </w:t>
      </w:r>
      <w:r w:rsidR="008150CE">
        <w:rPr>
          <w:szCs w:val="26"/>
        </w:rPr>
        <w:t>inform</w:t>
      </w:r>
      <w:r w:rsidR="007A0F5D">
        <w:rPr>
          <w:szCs w:val="26"/>
        </w:rPr>
        <w:t>ed</w:t>
      </w:r>
      <w:r w:rsidR="008150CE">
        <w:rPr>
          <w:szCs w:val="26"/>
        </w:rPr>
        <w:t xml:space="preserve"> the Company that he had a heat pump</w:t>
      </w:r>
      <w:r w:rsidR="007A0F5D">
        <w:rPr>
          <w:szCs w:val="26"/>
        </w:rPr>
        <w:t xml:space="preserve"> at </w:t>
      </w:r>
      <w:r w:rsidR="007A0F5D">
        <w:rPr>
          <w:szCs w:val="26"/>
        </w:rPr>
        <w:lastRenderedPageBreak/>
        <w:t>that time</w:t>
      </w:r>
      <w:r w:rsidR="008150CE">
        <w:rPr>
          <w:szCs w:val="26"/>
        </w:rPr>
        <w:t xml:space="preserve">.  </w:t>
      </w:r>
      <w:r w:rsidR="00885AA1">
        <w:rPr>
          <w:szCs w:val="26"/>
        </w:rPr>
        <w:t>In that regard, Duquesne acknowledges that the Complainant testified only that there was a heat pump at his property when he purchased it in 2000</w:t>
      </w:r>
      <w:r w:rsidR="00A01DB0">
        <w:rPr>
          <w:szCs w:val="26"/>
        </w:rPr>
        <w:t xml:space="preserve"> and that he changed out </w:t>
      </w:r>
      <w:r w:rsidR="00481462">
        <w:rPr>
          <w:szCs w:val="26"/>
        </w:rPr>
        <w:t>t</w:t>
      </w:r>
      <w:r w:rsidR="00A01DB0">
        <w:rPr>
          <w:szCs w:val="26"/>
        </w:rPr>
        <w:t xml:space="preserve">hat heat pump and replaced it with a new one in 2008.  </w:t>
      </w:r>
      <w:r w:rsidR="008150CE">
        <w:rPr>
          <w:szCs w:val="26"/>
        </w:rPr>
        <w:t>Duquesne asserts</w:t>
      </w:r>
      <w:r w:rsidR="00A01DB0">
        <w:rPr>
          <w:szCs w:val="26"/>
        </w:rPr>
        <w:t>, however,</w:t>
      </w:r>
      <w:r w:rsidR="008150CE">
        <w:rPr>
          <w:szCs w:val="26"/>
        </w:rPr>
        <w:t xml:space="preserve"> that there is no record evidence </w:t>
      </w:r>
      <w:r w:rsidR="00A01DB0">
        <w:rPr>
          <w:szCs w:val="26"/>
        </w:rPr>
        <w:t xml:space="preserve">showing that it was notified </w:t>
      </w:r>
      <w:r w:rsidR="008150CE">
        <w:rPr>
          <w:szCs w:val="26"/>
        </w:rPr>
        <w:t>that the property utilized an add-on heat pump, or that the Complainant ever requested a rate change</w:t>
      </w:r>
      <w:r w:rsidR="00A01DB0">
        <w:rPr>
          <w:szCs w:val="26"/>
        </w:rPr>
        <w:t>, prior to December 2, 2014</w:t>
      </w:r>
      <w:r w:rsidR="0041474C">
        <w:rPr>
          <w:szCs w:val="26"/>
        </w:rPr>
        <w:t>.</w:t>
      </w:r>
      <w:r w:rsidR="00C812F7">
        <w:rPr>
          <w:szCs w:val="26"/>
        </w:rPr>
        <w:t xml:space="preserve"> </w:t>
      </w:r>
      <w:r w:rsidR="005C4823">
        <w:rPr>
          <w:szCs w:val="26"/>
        </w:rPr>
        <w:t xml:space="preserve"> According to Duquesne, neither the Complainant nor the ALJ disputes the fact of the lack of such notice to the Company.  Exceptions at 1-4.</w:t>
      </w:r>
    </w:p>
    <w:p w:rsidR="005748F7" w:rsidRDefault="005748F7" w:rsidP="00303822">
      <w:pPr>
        <w:pStyle w:val="BodyText"/>
        <w:jc w:val="left"/>
        <w:rPr>
          <w:szCs w:val="26"/>
        </w:rPr>
      </w:pPr>
    </w:p>
    <w:p w:rsidR="005748F7" w:rsidRDefault="005748F7" w:rsidP="00303822">
      <w:pPr>
        <w:pStyle w:val="BodyText"/>
        <w:jc w:val="left"/>
        <w:rPr>
          <w:szCs w:val="26"/>
        </w:rPr>
      </w:pPr>
      <w:r>
        <w:rPr>
          <w:szCs w:val="26"/>
        </w:rPr>
        <w:tab/>
      </w:r>
      <w:r>
        <w:rPr>
          <w:szCs w:val="26"/>
        </w:rPr>
        <w:tab/>
        <w:t xml:space="preserve">Next, Duquesne states that one of the fundamental errors of the Initial Decision is its determination that the RH rate was </w:t>
      </w:r>
      <w:r w:rsidR="00311549">
        <w:rPr>
          <w:szCs w:val="26"/>
        </w:rPr>
        <w:t>“</w:t>
      </w:r>
      <w:r>
        <w:rPr>
          <w:szCs w:val="26"/>
        </w:rPr>
        <w:t>incorrect” when applied to the Complainant before December of 2014.  Duquesne avers that the RH rate was not incorrect as applied to the Complainant and that</w:t>
      </w:r>
      <w:r w:rsidR="00D55451">
        <w:rPr>
          <w:szCs w:val="26"/>
        </w:rPr>
        <w:t xml:space="preserve"> </w:t>
      </w:r>
      <w:r>
        <w:rPr>
          <w:szCs w:val="26"/>
        </w:rPr>
        <w:t>no evidence was presented that he was ineligible or did not qualify for the RH rate during the time it was applied to his account.  According to Duquesne, the evidence at most showed that the Complainant qualified for both the RH and the RA rate.</w:t>
      </w:r>
      <w:r w:rsidR="00CD3A39">
        <w:rPr>
          <w:szCs w:val="26"/>
        </w:rPr>
        <w:t xml:space="preserve">  Duquesne posits that the RA rate being more advantageous does not render the RH rate “incorrect.”  Therefore, Duquesne asserts that the contradictory determination that the RH rate was “incorrect” as applied to the Complainant pre-December 2014 is not supported by the evidence or the law.  Exceptions at</w:t>
      </w:r>
      <w:r w:rsidR="0041474C">
        <w:rPr>
          <w:szCs w:val="26"/>
        </w:rPr>
        <w:t> </w:t>
      </w:r>
      <w:r w:rsidR="00CD3A39">
        <w:rPr>
          <w:szCs w:val="26"/>
        </w:rPr>
        <w:t>5-6.</w:t>
      </w:r>
    </w:p>
    <w:p w:rsidR="00D55451" w:rsidRDefault="00D55451" w:rsidP="00303822">
      <w:pPr>
        <w:pStyle w:val="BodyText"/>
        <w:jc w:val="left"/>
        <w:rPr>
          <w:szCs w:val="26"/>
        </w:rPr>
      </w:pPr>
    </w:p>
    <w:p w:rsidR="00D55451" w:rsidRDefault="00D55451" w:rsidP="00303822">
      <w:pPr>
        <w:pStyle w:val="BodyText"/>
        <w:jc w:val="left"/>
        <w:rPr>
          <w:szCs w:val="26"/>
        </w:rPr>
      </w:pPr>
      <w:r>
        <w:rPr>
          <w:szCs w:val="26"/>
        </w:rPr>
        <w:tab/>
      </w:r>
      <w:r>
        <w:rPr>
          <w:szCs w:val="26"/>
        </w:rPr>
        <w:tab/>
        <w:t xml:space="preserve">Next, Duquesne avers that the ALJ’s determination that the Complainant proved that Duquesne provided unreasonable service and failed to charge the most advantageous rate is contrary to the facts and well-established law from the Commission and the Commonwealth Court.  </w:t>
      </w:r>
      <w:r w:rsidR="006A4581">
        <w:rPr>
          <w:szCs w:val="26"/>
        </w:rPr>
        <w:t>In fact, Duquesne maintains that the lone case cited in support of the Initial Decision (</w:t>
      </w:r>
      <w:r w:rsidR="006A4581">
        <w:rPr>
          <w:i/>
          <w:szCs w:val="26"/>
        </w:rPr>
        <w:t xml:space="preserve">See Springfield Twp. </w:t>
      </w:r>
      <w:r w:rsidR="00311549">
        <w:rPr>
          <w:i/>
          <w:szCs w:val="26"/>
        </w:rPr>
        <w:t>v</w:t>
      </w:r>
      <w:r w:rsidR="006A4581">
        <w:rPr>
          <w:i/>
          <w:szCs w:val="26"/>
        </w:rPr>
        <w:t xml:space="preserve">. Pa. PUC, </w:t>
      </w:r>
      <w:r w:rsidR="006A4581">
        <w:rPr>
          <w:szCs w:val="26"/>
        </w:rPr>
        <w:t>676 A.2d 304 (</w:t>
      </w:r>
      <w:r w:rsidR="00B339F2">
        <w:rPr>
          <w:szCs w:val="26"/>
        </w:rPr>
        <w:t xml:space="preserve">Pa. </w:t>
      </w:r>
      <w:r w:rsidR="006A4581">
        <w:rPr>
          <w:szCs w:val="26"/>
        </w:rPr>
        <w:t>Cm</w:t>
      </w:r>
      <w:r w:rsidR="00B339F2">
        <w:rPr>
          <w:szCs w:val="26"/>
        </w:rPr>
        <w:t>wlth</w:t>
      </w:r>
      <w:r w:rsidR="006A4581">
        <w:rPr>
          <w:szCs w:val="26"/>
        </w:rPr>
        <w:t xml:space="preserve">. 1997)) </w:t>
      </w:r>
      <w:r w:rsidR="008A7476">
        <w:rPr>
          <w:szCs w:val="26"/>
        </w:rPr>
        <w:t>(</w:t>
      </w:r>
      <w:r w:rsidR="008A7476">
        <w:rPr>
          <w:i/>
          <w:szCs w:val="26"/>
        </w:rPr>
        <w:t>Springfield)</w:t>
      </w:r>
      <w:r w:rsidR="008A7476">
        <w:rPr>
          <w:szCs w:val="26"/>
        </w:rPr>
        <w:t xml:space="preserve"> </w:t>
      </w:r>
      <w:r w:rsidR="006A4581">
        <w:rPr>
          <w:szCs w:val="26"/>
        </w:rPr>
        <w:t xml:space="preserve">actually demands its reversal.  Duquesne opines that by focusing exclusively on questions that Duquesne could have asked the Complainant when he applied for service sixteen years ago, the ALJ ignored the simplicity of this case and the straightforward, undisputed facts that demand judgment in the Company’s favor.  </w:t>
      </w:r>
      <w:r w:rsidR="006A4581">
        <w:rPr>
          <w:szCs w:val="26"/>
        </w:rPr>
        <w:lastRenderedPageBreak/>
        <w:t>According to Duquesne, the undisputed evidence established that the Company had no idea that a heat pump existed at the Complainant’s property and those who knew that a heat pump was being used never told the Company so until December 2, 2014.</w:t>
      </w:r>
      <w:r w:rsidR="00AD1FA1">
        <w:rPr>
          <w:szCs w:val="26"/>
        </w:rPr>
        <w:t xml:space="preserve">  Duquesne asserts that the law is abundantly clear that, under these circumstances, the Company neither acted unreasonably nor failed to charge the Complainant under the most advantageous rate available under the circumstances known to Duquesne.  Exceptions at</w:t>
      </w:r>
      <w:r w:rsidR="00B67821">
        <w:rPr>
          <w:szCs w:val="26"/>
        </w:rPr>
        <w:t> </w:t>
      </w:r>
      <w:r w:rsidR="00AD1FA1">
        <w:rPr>
          <w:szCs w:val="26"/>
        </w:rPr>
        <w:t>6-7.</w:t>
      </w:r>
    </w:p>
    <w:p w:rsidR="0063676D" w:rsidRDefault="0063676D" w:rsidP="00303822">
      <w:pPr>
        <w:pStyle w:val="BodyText"/>
        <w:jc w:val="left"/>
        <w:rPr>
          <w:szCs w:val="26"/>
        </w:rPr>
      </w:pPr>
    </w:p>
    <w:p w:rsidR="0063676D" w:rsidRDefault="0063676D" w:rsidP="00303822">
      <w:pPr>
        <w:pStyle w:val="BodyText"/>
        <w:jc w:val="left"/>
        <w:rPr>
          <w:szCs w:val="26"/>
        </w:rPr>
      </w:pPr>
      <w:r>
        <w:rPr>
          <w:szCs w:val="26"/>
        </w:rPr>
        <w:tab/>
      </w:r>
      <w:r>
        <w:rPr>
          <w:szCs w:val="26"/>
        </w:rPr>
        <w:tab/>
        <w:t>Duquesne asserts that the duty of a utility to bill at the “rate most advantageous” to a customer is not to be evaluated in a vacuum as this analysis must be undertaken in light of the information known to the utility.  Duquesne explains that Section 1303 of the Code, 66 Pa. C.S. § 1303, provides as follows:</w:t>
      </w:r>
    </w:p>
    <w:p w:rsidR="0063676D" w:rsidRDefault="0063676D" w:rsidP="00303822">
      <w:pPr>
        <w:pStyle w:val="BodyText"/>
        <w:jc w:val="left"/>
        <w:rPr>
          <w:szCs w:val="26"/>
        </w:rPr>
      </w:pPr>
    </w:p>
    <w:p w:rsidR="00427416" w:rsidRDefault="0063676D" w:rsidP="00303822">
      <w:pPr>
        <w:pStyle w:val="BodyText"/>
        <w:spacing w:line="240" w:lineRule="auto"/>
        <w:ind w:left="1440" w:right="1440"/>
        <w:jc w:val="left"/>
        <w:rPr>
          <w:szCs w:val="26"/>
        </w:rPr>
      </w:pPr>
      <w:r>
        <w:rPr>
          <w:szCs w:val="26"/>
        </w:rPr>
        <w:t>Any public utility, having more than one rate applicable to service rendered to a patron, shall, after notice of service conditions, compute bills under the rate most advantageous to the patron.</w:t>
      </w:r>
    </w:p>
    <w:p w:rsidR="00C140D7" w:rsidRDefault="00C140D7" w:rsidP="00303822">
      <w:pPr>
        <w:pStyle w:val="BodyText"/>
        <w:spacing w:line="240" w:lineRule="auto"/>
        <w:ind w:left="1440" w:right="1440"/>
        <w:jc w:val="left"/>
        <w:rPr>
          <w:szCs w:val="26"/>
        </w:rPr>
      </w:pPr>
    </w:p>
    <w:p w:rsidR="00427416" w:rsidRDefault="00427416" w:rsidP="00303822">
      <w:pPr>
        <w:pStyle w:val="BodyText"/>
        <w:ind w:left="1440" w:right="1440"/>
        <w:jc w:val="left"/>
        <w:rPr>
          <w:szCs w:val="26"/>
        </w:rPr>
      </w:pPr>
    </w:p>
    <w:p w:rsidR="00F92851" w:rsidRDefault="00427416" w:rsidP="00303822">
      <w:pPr>
        <w:pStyle w:val="BodyText"/>
        <w:jc w:val="left"/>
        <w:rPr>
          <w:szCs w:val="26"/>
        </w:rPr>
      </w:pPr>
      <w:r>
        <w:rPr>
          <w:szCs w:val="26"/>
        </w:rPr>
        <w:t xml:space="preserve">Duquesne asserts that in interpreting this language, the Commonwealth Court and the Commission alike hold </w:t>
      </w:r>
      <w:r w:rsidR="008A7476">
        <w:rPr>
          <w:szCs w:val="26"/>
        </w:rPr>
        <w:t xml:space="preserve">that utilities “must have actual knowledge of service conditions before it is required to compute the most favorable rate for its customer.”  </w:t>
      </w:r>
      <w:r w:rsidR="008A7476">
        <w:rPr>
          <w:i/>
          <w:szCs w:val="26"/>
        </w:rPr>
        <w:t>See Springfield</w:t>
      </w:r>
      <w:r w:rsidR="008A7476">
        <w:rPr>
          <w:szCs w:val="26"/>
        </w:rPr>
        <w:t xml:space="preserve"> at 308 and </w:t>
      </w:r>
      <w:r w:rsidR="00793D88">
        <w:rPr>
          <w:i/>
          <w:szCs w:val="26"/>
        </w:rPr>
        <w:t>V</w:t>
      </w:r>
      <w:r w:rsidR="008A7476">
        <w:rPr>
          <w:i/>
          <w:szCs w:val="26"/>
        </w:rPr>
        <w:t xml:space="preserve">ictory Condominium Assoc. v. PECO Energy </w:t>
      </w:r>
      <w:r w:rsidR="00793D88">
        <w:rPr>
          <w:i/>
          <w:szCs w:val="26"/>
        </w:rPr>
        <w:t>Company</w:t>
      </w:r>
      <w:r w:rsidR="008A7476">
        <w:rPr>
          <w:szCs w:val="26"/>
        </w:rPr>
        <w:t>, Docket No. C</w:t>
      </w:r>
      <w:r w:rsidR="00CA4808">
        <w:rPr>
          <w:szCs w:val="26"/>
        </w:rPr>
        <w:noBreakHyphen/>
        <w:t>2</w:t>
      </w:r>
      <w:r w:rsidR="008A7476">
        <w:rPr>
          <w:szCs w:val="26"/>
        </w:rPr>
        <w:t>011</w:t>
      </w:r>
      <w:r w:rsidR="00CA4808">
        <w:rPr>
          <w:szCs w:val="26"/>
        </w:rPr>
        <w:noBreakHyphen/>
      </w:r>
      <w:r w:rsidR="008A7476">
        <w:rPr>
          <w:szCs w:val="26"/>
        </w:rPr>
        <w:t xml:space="preserve">2268126, 2012 WL 6087518 (Order entered </w:t>
      </w:r>
      <w:r w:rsidR="00BF1150">
        <w:rPr>
          <w:szCs w:val="26"/>
        </w:rPr>
        <w:t>September 27, 2012</w:t>
      </w:r>
      <w:r w:rsidR="009E5795">
        <w:rPr>
          <w:szCs w:val="26"/>
        </w:rPr>
        <w:t>) (</w:t>
      </w:r>
      <w:r w:rsidR="00793D88">
        <w:rPr>
          <w:i/>
          <w:szCs w:val="26"/>
        </w:rPr>
        <w:t>Victory</w:t>
      </w:r>
      <w:r w:rsidR="00793D88">
        <w:rPr>
          <w:szCs w:val="26"/>
        </w:rPr>
        <w:t>)</w:t>
      </w:r>
      <w:r w:rsidR="008A7476">
        <w:rPr>
          <w:szCs w:val="26"/>
        </w:rPr>
        <w:t xml:space="preserve"> (holding that actual knowledge, not merely constructive notice, is required).</w:t>
      </w:r>
      <w:r w:rsidR="00F92851">
        <w:rPr>
          <w:szCs w:val="26"/>
        </w:rPr>
        <w:t xml:space="preserve">  Duquesne maintains that the ALJ acknowledged this precedent by noting that “Mr. Kramer must establish that Duquesne Light had actual notice the service condition included a heat pump” (I.D. at 9) to prevail, but then disregarded that concept in ruling in the Complainant’s favor despite the fact that the ALJ explicitly conceded that Duquesne Light was “never provided notice.” (I.D. at 14).  Exceptions at 7.</w:t>
      </w:r>
    </w:p>
    <w:p w:rsidR="000B7224" w:rsidRDefault="000B7224" w:rsidP="00303822">
      <w:pPr>
        <w:pStyle w:val="BodyText"/>
        <w:jc w:val="left"/>
        <w:rPr>
          <w:szCs w:val="26"/>
        </w:rPr>
      </w:pPr>
    </w:p>
    <w:p w:rsidR="000B7224" w:rsidRDefault="000B7224" w:rsidP="00303822">
      <w:pPr>
        <w:pStyle w:val="BodyText"/>
        <w:jc w:val="left"/>
        <w:rPr>
          <w:szCs w:val="26"/>
        </w:rPr>
      </w:pPr>
      <w:r>
        <w:rPr>
          <w:szCs w:val="26"/>
        </w:rPr>
        <w:tab/>
      </w:r>
      <w:r>
        <w:rPr>
          <w:szCs w:val="26"/>
        </w:rPr>
        <w:tab/>
        <w:t xml:space="preserve">Duquesne points out that there is a wealth of precedent demonstrating the error of the Initial Decision, stating that the seminal case comes from the Commonwealth Court in </w:t>
      </w:r>
      <w:r>
        <w:rPr>
          <w:i/>
          <w:szCs w:val="26"/>
        </w:rPr>
        <w:t>Springfield.</w:t>
      </w:r>
      <w:r>
        <w:rPr>
          <w:szCs w:val="26"/>
        </w:rPr>
        <w:t xml:space="preserve">  Duquesne states that in citing the Commission’s statement in </w:t>
      </w:r>
      <w:r>
        <w:rPr>
          <w:i/>
          <w:szCs w:val="26"/>
        </w:rPr>
        <w:t>City of Pittsburgh v. Duquesne Light Company</w:t>
      </w:r>
      <w:r>
        <w:rPr>
          <w:szCs w:val="26"/>
        </w:rPr>
        <w:t xml:space="preserve">, 54 Pa. PUC 460 (1980), the Court noted that “[u]tilities cannot be expected to know more about their customers’ businesses than the customers themselves and cannot be expected to make their decisions for them.  A utility is not the co-manager of its customers’ operations.”  </w:t>
      </w:r>
      <w:r>
        <w:rPr>
          <w:i/>
          <w:szCs w:val="26"/>
        </w:rPr>
        <w:t xml:space="preserve">Id. </w:t>
      </w:r>
      <w:r>
        <w:rPr>
          <w:szCs w:val="26"/>
        </w:rPr>
        <w:t>at 308.  Duquesne offers that the Court continued as follows:</w:t>
      </w:r>
    </w:p>
    <w:p w:rsidR="000B7224" w:rsidRDefault="000B7224" w:rsidP="00303822">
      <w:pPr>
        <w:pStyle w:val="BodyText"/>
        <w:spacing w:line="240" w:lineRule="auto"/>
        <w:ind w:left="1440" w:right="1440"/>
        <w:jc w:val="left"/>
        <w:rPr>
          <w:szCs w:val="26"/>
        </w:rPr>
      </w:pPr>
    </w:p>
    <w:p w:rsidR="000B7224" w:rsidRDefault="000B7224" w:rsidP="00303822">
      <w:pPr>
        <w:pStyle w:val="BodyText"/>
        <w:spacing w:line="240" w:lineRule="auto"/>
        <w:ind w:left="1440" w:right="1440"/>
        <w:jc w:val="left"/>
        <w:rPr>
          <w:szCs w:val="26"/>
        </w:rPr>
      </w:pPr>
      <w:r>
        <w:rPr>
          <w:szCs w:val="26"/>
        </w:rPr>
        <w:t>In this matter, we agree with the PUC that the imposition of an affirmative duty upon the public utility to continually monitor its customers’ accounts for the purpose of computing the most advantageous rate would be unreasonable…</w:t>
      </w:r>
      <w:r w:rsidR="00CE1321">
        <w:rPr>
          <w:szCs w:val="26"/>
        </w:rPr>
        <w:t>We hold, therefore, that under S</w:t>
      </w:r>
      <w:r>
        <w:rPr>
          <w:szCs w:val="26"/>
        </w:rPr>
        <w:t>ection 1303 of the Code, the public utility must have actual knowledge of service conditions before it is required to compute the most favorable rate for its customers.</w:t>
      </w:r>
    </w:p>
    <w:p w:rsidR="000B7224" w:rsidRDefault="000B7224" w:rsidP="00303822">
      <w:pPr>
        <w:pStyle w:val="BodyText"/>
        <w:spacing w:line="240" w:lineRule="auto"/>
        <w:ind w:left="1440" w:right="1440"/>
        <w:jc w:val="left"/>
        <w:rPr>
          <w:szCs w:val="26"/>
        </w:rPr>
      </w:pPr>
    </w:p>
    <w:p w:rsidR="00C140D7" w:rsidRDefault="00C140D7" w:rsidP="00303822">
      <w:pPr>
        <w:pStyle w:val="BodyText"/>
        <w:spacing w:line="240" w:lineRule="auto"/>
        <w:ind w:left="1440" w:right="1440"/>
        <w:jc w:val="left"/>
        <w:rPr>
          <w:szCs w:val="26"/>
        </w:rPr>
      </w:pPr>
    </w:p>
    <w:p w:rsidR="000B7224" w:rsidRDefault="000B7224" w:rsidP="00303822">
      <w:pPr>
        <w:pStyle w:val="BodyText"/>
        <w:ind w:right="1440"/>
        <w:jc w:val="left"/>
        <w:rPr>
          <w:szCs w:val="26"/>
        </w:rPr>
      </w:pPr>
      <w:r>
        <w:rPr>
          <w:i/>
          <w:szCs w:val="26"/>
        </w:rPr>
        <w:t>Id.</w:t>
      </w:r>
      <w:r>
        <w:rPr>
          <w:szCs w:val="26"/>
        </w:rPr>
        <w:t xml:space="preserve">  Exceptions at 8.</w:t>
      </w:r>
    </w:p>
    <w:p w:rsidR="00C174AE" w:rsidRDefault="00C174AE" w:rsidP="00303822">
      <w:pPr>
        <w:pStyle w:val="BodyText"/>
        <w:ind w:right="1440"/>
        <w:jc w:val="left"/>
        <w:rPr>
          <w:szCs w:val="26"/>
        </w:rPr>
      </w:pPr>
    </w:p>
    <w:p w:rsidR="00793D88" w:rsidRDefault="00C174AE" w:rsidP="00303822">
      <w:pPr>
        <w:pStyle w:val="BodyText"/>
        <w:jc w:val="left"/>
        <w:rPr>
          <w:szCs w:val="26"/>
        </w:rPr>
      </w:pPr>
      <w:r>
        <w:rPr>
          <w:szCs w:val="26"/>
        </w:rPr>
        <w:tab/>
      </w:r>
      <w:r>
        <w:rPr>
          <w:szCs w:val="26"/>
        </w:rPr>
        <w:tab/>
        <w:t xml:space="preserve">Next, Duquesne argues that the ALJ’s attempt to distinguish </w:t>
      </w:r>
      <w:r w:rsidR="009E5795">
        <w:rPr>
          <w:i/>
          <w:szCs w:val="26"/>
        </w:rPr>
        <w:t xml:space="preserve">Springfield </w:t>
      </w:r>
      <w:r w:rsidR="009E5795">
        <w:rPr>
          <w:szCs w:val="26"/>
        </w:rPr>
        <w:t>is</w:t>
      </w:r>
      <w:r>
        <w:rPr>
          <w:szCs w:val="26"/>
        </w:rPr>
        <w:t xml:space="preserve"> not valid as she focused on the purported distinction on the difference in knowledge held by the Complainant and the customer in </w:t>
      </w:r>
      <w:r>
        <w:rPr>
          <w:i/>
          <w:szCs w:val="26"/>
        </w:rPr>
        <w:t>Springfield</w:t>
      </w:r>
      <w:r w:rsidR="00BD09AF">
        <w:rPr>
          <w:szCs w:val="26"/>
        </w:rPr>
        <w:t xml:space="preserve">.  However, Duquesne opines that the Commonwealth Court’s ruling makes clear that it is the utility’s knowledge, and not its customer’s, that is dispositive.  Duquesne explains that since it lacked actual knowledge of its customer’s service conditions, just like the utility in </w:t>
      </w:r>
      <w:r w:rsidR="00BD09AF">
        <w:rPr>
          <w:i/>
          <w:szCs w:val="26"/>
        </w:rPr>
        <w:t>Springfield</w:t>
      </w:r>
      <w:r w:rsidR="00BD09AF">
        <w:rPr>
          <w:szCs w:val="26"/>
        </w:rPr>
        <w:t xml:space="preserve">, the ALJ’s attempt to sidestep the Court’s ruling is unconvincing.  Duquesne further maintains that the ALJ’s attempt to sidestep this precedent by stating that the Complainant did not change the conditions of use because he was not the first one to install the heat pump ignores the </w:t>
      </w:r>
      <w:r w:rsidR="00BD09AF">
        <w:rPr>
          <w:szCs w:val="26"/>
        </w:rPr>
        <w:lastRenderedPageBreak/>
        <w:t>dispositive legal inquiry, which is whether Duquesne had notice that a heat pump was installed.  Duquesne states that it is undisputed it did not have notice</w:t>
      </w:r>
      <w:r w:rsidR="00821D53">
        <w:rPr>
          <w:szCs w:val="26"/>
        </w:rPr>
        <w:t>.  Exceptions at 9.</w:t>
      </w:r>
    </w:p>
    <w:p w:rsidR="00793D88" w:rsidRDefault="00793D88" w:rsidP="00303822">
      <w:pPr>
        <w:pStyle w:val="BodyText"/>
        <w:jc w:val="left"/>
        <w:rPr>
          <w:szCs w:val="26"/>
        </w:rPr>
      </w:pPr>
    </w:p>
    <w:p w:rsidR="00C174AE" w:rsidRDefault="00322319" w:rsidP="00303822">
      <w:pPr>
        <w:pStyle w:val="BodyText"/>
        <w:jc w:val="left"/>
        <w:rPr>
          <w:szCs w:val="26"/>
        </w:rPr>
      </w:pPr>
      <w:r>
        <w:rPr>
          <w:szCs w:val="26"/>
        </w:rPr>
        <w:tab/>
      </w:r>
      <w:r>
        <w:rPr>
          <w:szCs w:val="26"/>
        </w:rPr>
        <w:tab/>
        <w:t>Next,</w:t>
      </w:r>
      <w:r w:rsidR="00793D88">
        <w:rPr>
          <w:szCs w:val="26"/>
        </w:rPr>
        <w:t xml:space="preserve"> Duquesne notes that the Commission recently reiterated the importance of actual knowledge in </w:t>
      </w:r>
      <w:r w:rsidR="00793D88">
        <w:rPr>
          <w:i/>
          <w:szCs w:val="26"/>
        </w:rPr>
        <w:t>Victory</w:t>
      </w:r>
      <w:r w:rsidR="00793D88">
        <w:rPr>
          <w:szCs w:val="26"/>
        </w:rPr>
        <w:t xml:space="preserve">, wherein the Commission confirmed that utilities </w:t>
      </w:r>
      <w:r>
        <w:rPr>
          <w:szCs w:val="26"/>
        </w:rPr>
        <w:t>“</w:t>
      </w:r>
      <w:r w:rsidR="00793D88">
        <w:rPr>
          <w:szCs w:val="26"/>
        </w:rPr>
        <w:t>do not have an affirmative obligation to monitor the usage characteristics of their ratepayers and determine therefrom the proper rate to be charged.</w:t>
      </w:r>
      <w:r>
        <w:rPr>
          <w:szCs w:val="26"/>
        </w:rPr>
        <w:t xml:space="preserve">  Instead, the responsibility is upon the ratepayer to provide the utility company with actual notice of a change in service conditions before the utility must determine and supply service at the most advantageous rate.”</w:t>
      </w:r>
      <w:r w:rsidR="00BD09AF">
        <w:rPr>
          <w:szCs w:val="26"/>
        </w:rPr>
        <w:t xml:space="preserve"> </w:t>
      </w:r>
      <w:r>
        <w:rPr>
          <w:szCs w:val="26"/>
        </w:rPr>
        <w:t xml:space="preserve"> </w:t>
      </w:r>
      <w:r>
        <w:rPr>
          <w:i/>
          <w:szCs w:val="26"/>
        </w:rPr>
        <w:t xml:space="preserve">Id. </w:t>
      </w:r>
      <w:r>
        <w:rPr>
          <w:szCs w:val="26"/>
        </w:rPr>
        <w:t>at 5.  Duquesne cites to another recent d</w:t>
      </w:r>
      <w:r w:rsidR="00A6156A">
        <w:rPr>
          <w:szCs w:val="26"/>
        </w:rPr>
        <w:t xml:space="preserve">ecision involving similar facts, </w:t>
      </w:r>
      <w:r w:rsidR="00A6156A">
        <w:rPr>
          <w:i/>
          <w:szCs w:val="26"/>
        </w:rPr>
        <w:t>Ferguson v. PECO Energy Company</w:t>
      </w:r>
      <w:r w:rsidR="00A6156A">
        <w:rPr>
          <w:szCs w:val="26"/>
        </w:rPr>
        <w:t>, Docket No. C-2013-2360708 (Order entered 1-8-2014) (</w:t>
      </w:r>
      <w:r w:rsidR="00A6156A">
        <w:rPr>
          <w:i/>
          <w:szCs w:val="26"/>
        </w:rPr>
        <w:t>F</w:t>
      </w:r>
      <w:r w:rsidR="00A6156A" w:rsidRPr="00A6156A">
        <w:rPr>
          <w:i/>
          <w:szCs w:val="26"/>
        </w:rPr>
        <w:t>erguson</w:t>
      </w:r>
      <w:r w:rsidR="00A6156A">
        <w:rPr>
          <w:szCs w:val="26"/>
        </w:rPr>
        <w:t xml:space="preserve">) </w:t>
      </w:r>
      <w:r w:rsidR="00A6156A" w:rsidRPr="00A6156A">
        <w:rPr>
          <w:szCs w:val="26"/>
        </w:rPr>
        <w:t>wherein</w:t>
      </w:r>
      <w:r w:rsidR="00A6156A">
        <w:rPr>
          <w:szCs w:val="26"/>
        </w:rPr>
        <w:t xml:space="preserve"> the ALJ ruled that an electric utility had no duty to change the rate of a customer before receiving notice that the customer was eligible for a discounted residential heating rate.  </w:t>
      </w:r>
      <w:r w:rsidR="00A6156A">
        <w:rPr>
          <w:i/>
          <w:szCs w:val="26"/>
        </w:rPr>
        <w:t>Id.</w:t>
      </w:r>
      <w:r w:rsidR="00A6156A">
        <w:rPr>
          <w:szCs w:val="26"/>
        </w:rPr>
        <w:t xml:space="preserve"> at </w:t>
      </w:r>
      <w:r w:rsidR="00FE738A">
        <w:rPr>
          <w:szCs w:val="26"/>
        </w:rPr>
        <w:t>1.  Duquesne notes that PECO utilized</w:t>
      </w:r>
      <w:r w:rsidR="00A6156A">
        <w:rPr>
          <w:szCs w:val="26"/>
        </w:rPr>
        <w:t xml:space="preserve"> the same rate change policy in </w:t>
      </w:r>
      <w:r w:rsidR="00A6156A">
        <w:rPr>
          <w:i/>
          <w:szCs w:val="26"/>
        </w:rPr>
        <w:t xml:space="preserve">Ferguson </w:t>
      </w:r>
      <w:r w:rsidR="00FE738A">
        <w:rPr>
          <w:szCs w:val="26"/>
        </w:rPr>
        <w:t>as it did in this proceeding</w:t>
      </w:r>
      <w:r w:rsidR="00A6156A">
        <w:rPr>
          <w:szCs w:val="26"/>
        </w:rPr>
        <w:t>.  Exceptions at 9-10.</w:t>
      </w:r>
    </w:p>
    <w:p w:rsidR="006877B9" w:rsidRDefault="006877B9" w:rsidP="00303822">
      <w:pPr>
        <w:pStyle w:val="BodyText"/>
        <w:jc w:val="left"/>
        <w:rPr>
          <w:szCs w:val="26"/>
        </w:rPr>
      </w:pPr>
    </w:p>
    <w:p w:rsidR="006877B9" w:rsidRDefault="00681081" w:rsidP="00303822">
      <w:pPr>
        <w:pStyle w:val="BodyText"/>
        <w:jc w:val="left"/>
        <w:rPr>
          <w:szCs w:val="26"/>
        </w:rPr>
      </w:pPr>
      <w:r>
        <w:rPr>
          <w:szCs w:val="26"/>
        </w:rPr>
        <w:tab/>
      </w:r>
      <w:r>
        <w:rPr>
          <w:szCs w:val="26"/>
        </w:rPr>
        <w:tab/>
        <w:t xml:space="preserve">Considering the precedent on this issue, Duquesne posits that the ALJ’s conclusion that the Company provided unreasonable service by failing to ask the Complainant certain questions when he applied for service in the year 2000 is inherently flawed.  Duquesne asserts that the ALJ does not cite a single case suggesting that the Company had any duty under either Section 1303 or 1501 to ask those questions.  Duquesne avers that no decision by the Commission or the Court has suggested that a utility has such an obligation.  Duquesne notes that to the extent the Commission seeks to establish such a duty, it must be prospective and cannot be retroactively applied as doing so would deprive it of its due process rights.  Duquesne further notes that it is undisputed that the Company received no notice that the property in question had a heat pump until December 2, 2014.  According to Duquesne, the ALJ has improperly placed the responsibility upon the utility to proactively seek actual knowledge of the customer’s </w:t>
      </w:r>
      <w:r>
        <w:rPr>
          <w:szCs w:val="26"/>
        </w:rPr>
        <w:lastRenderedPageBreak/>
        <w:t>conditions of use when the Court and the Commission have already held that the responsibility to provide notice belongs to t</w:t>
      </w:r>
      <w:r w:rsidR="001F7E4C">
        <w:rPr>
          <w:szCs w:val="26"/>
        </w:rPr>
        <w:t>h</w:t>
      </w:r>
      <w:r>
        <w:rPr>
          <w:szCs w:val="26"/>
        </w:rPr>
        <w:t>e customer</w:t>
      </w:r>
      <w:r w:rsidR="001F7E4C">
        <w:rPr>
          <w:szCs w:val="26"/>
        </w:rPr>
        <w:t>.  Exceptions at 11.</w:t>
      </w:r>
    </w:p>
    <w:p w:rsidR="001F7E4C" w:rsidRDefault="001F7E4C" w:rsidP="00303822">
      <w:pPr>
        <w:pStyle w:val="BodyText"/>
        <w:jc w:val="left"/>
        <w:rPr>
          <w:szCs w:val="26"/>
        </w:rPr>
      </w:pPr>
    </w:p>
    <w:p w:rsidR="00C6240E" w:rsidRDefault="00FD7B66" w:rsidP="00303822">
      <w:pPr>
        <w:pStyle w:val="BodyText"/>
        <w:jc w:val="left"/>
        <w:rPr>
          <w:szCs w:val="26"/>
        </w:rPr>
      </w:pPr>
      <w:r>
        <w:rPr>
          <w:szCs w:val="26"/>
        </w:rPr>
        <w:tab/>
      </w:r>
      <w:r>
        <w:rPr>
          <w:szCs w:val="26"/>
        </w:rPr>
        <w:tab/>
        <w:t>Next, Duquesne asserts that the ALJ also erred by imposing liability on Duquesne based on acts or omissions that took place more than a decade before the statute of limitations expired.  Duquesne notes that while the ALJ concluded it failed to provide reasonable service when the Complainant applied for service in the year 2000, Mr. Kramer did not bring this Complaint until August 2015, fifteen years after the incident upon which the Initial Decision is based.  Duquesne avers that acts or omissions that took place fifteen years before a complaint was filed cannot form the basis for liability under the Code</w:t>
      </w:r>
      <w:r w:rsidR="00C6240E">
        <w:rPr>
          <w:szCs w:val="26"/>
        </w:rPr>
        <w:t>.  Duquesne maintains that the Code contains a three year statute of limitations set forth at 66 Pa. C.S. 3314(a) which provides as follows:</w:t>
      </w:r>
    </w:p>
    <w:p w:rsidR="00C6240E" w:rsidRDefault="00C6240E" w:rsidP="00303822">
      <w:pPr>
        <w:pStyle w:val="BodyText"/>
        <w:jc w:val="left"/>
        <w:rPr>
          <w:szCs w:val="26"/>
        </w:rPr>
      </w:pPr>
    </w:p>
    <w:p w:rsidR="005E19A9" w:rsidRPr="005E19A9" w:rsidRDefault="005E19A9" w:rsidP="00303822">
      <w:pPr>
        <w:pStyle w:val="NormalWeb"/>
        <w:ind w:left="1440" w:right="1440"/>
        <w:rPr>
          <w:sz w:val="26"/>
          <w:szCs w:val="26"/>
        </w:rPr>
      </w:pPr>
      <w:r w:rsidRPr="005E19A9">
        <w:rPr>
          <w:b/>
          <w:bCs/>
          <w:sz w:val="26"/>
          <w:szCs w:val="26"/>
        </w:rPr>
        <w:t>§ 3314.  Limitation of actions and cumulation of remedies.</w:t>
      </w:r>
    </w:p>
    <w:p w:rsidR="005E19A9" w:rsidRDefault="005E19A9" w:rsidP="00303822">
      <w:pPr>
        <w:pStyle w:val="NormalWeb"/>
        <w:ind w:left="1440" w:right="1440"/>
        <w:rPr>
          <w:sz w:val="26"/>
          <w:szCs w:val="26"/>
        </w:rPr>
      </w:pPr>
      <w:r w:rsidRPr="005E19A9">
        <w:rPr>
          <w:b/>
          <w:bCs/>
          <w:sz w:val="26"/>
          <w:szCs w:val="26"/>
        </w:rPr>
        <w:t>(a)  General rule.--</w:t>
      </w:r>
      <w:r w:rsidRPr="005E19A9">
        <w:rPr>
          <w:sz w:val="26"/>
          <w:szCs w:val="26"/>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rsidR="00CE4B1B" w:rsidRDefault="00CE4B1B" w:rsidP="00303822">
      <w:pPr>
        <w:pStyle w:val="NormalWeb"/>
        <w:ind w:left="1440" w:right="1440"/>
        <w:rPr>
          <w:sz w:val="26"/>
          <w:szCs w:val="26"/>
        </w:rPr>
      </w:pPr>
    </w:p>
    <w:p w:rsidR="005E19A9" w:rsidRDefault="005E19A9" w:rsidP="00303822">
      <w:pPr>
        <w:pStyle w:val="NormalWeb"/>
        <w:spacing w:line="360" w:lineRule="auto"/>
        <w:rPr>
          <w:sz w:val="26"/>
          <w:szCs w:val="26"/>
        </w:rPr>
      </w:pPr>
    </w:p>
    <w:p w:rsidR="00FA0613" w:rsidRDefault="005E19A9" w:rsidP="00303822">
      <w:pPr>
        <w:pStyle w:val="NormalWeb"/>
        <w:spacing w:line="360" w:lineRule="auto"/>
        <w:rPr>
          <w:sz w:val="26"/>
          <w:szCs w:val="26"/>
        </w:rPr>
      </w:pPr>
      <w:r>
        <w:rPr>
          <w:sz w:val="26"/>
          <w:szCs w:val="26"/>
        </w:rPr>
        <w:t xml:space="preserve">Duquesne explains further that the statute of limitations is non-waivable citing </w:t>
      </w:r>
      <w:r>
        <w:rPr>
          <w:i/>
          <w:sz w:val="26"/>
          <w:szCs w:val="26"/>
        </w:rPr>
        <w:t>Pearson v. Duquesne Light Company</w:t>
      </w:r>
      <w:r>
        <w:rPr>
          <w:sz w:val="26"/>
          <w:szCs w:val="26"/>
        </w:rPr>
        <w:t>, Docket No. C-2015-2465168 (Order entered May 8, 2015)  wherein the Commission concluded that the statute of limitations divests the Commission of jurisdiction to hear an action brought more than three years from the date liability arose.  Duquesne asserts that the ALJ cites no contrary authority suggesting it can provide relief and impose liability based on acts that took place more than a decade before the statute of limitations expired</w:t>
      </w:r>
      <w:r w:rsidR="0051785D">
        <w:rPr>
          <w:sz w:val="26"/>
          <w:szCs w:val="26"/>
        </w:rPr>
        <w:t>.  Additionally, Duquesne opines that the ALJ’s result is not supported by Act 129 of 2008, which not only lacks any provision</w:t>
      </w:r>
      <w:r w:rsidR="00FA0613">
        <w:rPr>
          <w:sz w:val="26"/>
          <w:szCs w:val="26"/>
        </w:rPr>
        <w:t xml:space="preserve"> relating to the facts of this case, but was not enacted until years after the acts upon which the Initial </w:t>
      </w:r>
      <w:r w:rsidR="00FA0613">
        <w:rPr>
          <w:sz w:val="26"/>
          <w:szCs w:val="26"/>
        </w:rPr>
        <w:lastRenderedPageBreak/>
        <w:t>Decision imposes liability.  Also, Duquesne points out that the ALJ assumes without citing any evidence that customers with heat pumps consume less electricity.  Exceptions at</w:t>
      </w:r>
      <w:r w:rsidR="00CE4B1B">
        <w:rPr>
          <w:sz w:val="26"/>
          <w:szCs w:val="26"/>
        </w:rPr>
        <w:t> </w:t>
      </w:r>
      <w:r w:rsidR="00FA0613">
        <w:rPr>
          <w:sz w:val="26"/>
          <w:szCs w:val="26"/>
        </w:rPr>
        <w:t>12-13.</w:t>
      </w:r>
    </w:p>
    <w:p w:rsidR="00FA0613" w:rsidRDefault="00FA0613" w:rsidP="00303822">
      <w:pPr>
        <w:pStyle w:val="NormalWeb"/>
        <w:spacing w:line="360" w:lineRule="auto"/>
        <w:rPr>
          <w:sz w:val="26"/>
          <w:szCs w:val="26"/>
        </w:rPr>
      </w:pPr>
    </w:p>
    <w:p w:rsidR="005E19A9" w:rsidRPr="005E19A9" w:rsidRDefault="004F096F" w:rsidP="00303822">
      <w:pPr>
        <w:pStyle w:val="NormalWeb"/>
        <w:spacing w:line="360" w:lineRule="auto"/>
        <w:rPr>
          <w:sz w:val="26"/>
          <w:szCs w:val="26"/>
        </w:rPr>
      </w:pPr>
      <w:r>
        <w:rPr>
          <w:sz w:val="26"/>
          <w:szCs w:val="26"/>
        </w:rPr>
        <w:tab/>
      </w:r>
      <w:r>
        <w:rPr>
          <w:sz w:val="26"/>
          <w:szCs w:val="26"/>
        </w:rPr>
        <w:tab/>
        <w:t>Next, Duquesne points out that Section 1312 of the Code only allows the Commission to order a public utility to refund rates that were: (1) unlawful; (2) unjust or unreasonable; or (3) in excess of the rates contained in the public utility’s tariff.  66 Pa. C.S. § 1312.  In this case, Duquesne states that none of those alternatives have been established as the Complainant was eligible for the RH rate before he contacted Duquesne in December 2014.  Therefore, Duquesne posits that the rate the Company charged him during that time was lawful</w:t>
      </w:r>
      <w:r w:rsidR="002C1DB8">
        <w:rPr>
          <w:sz w:val="26"/>
          <w:szCs w:val="26"/>
        </w:rPr>
        <w:t xml:space="preserve">, reasonable and in accordance with the Company’s tariff.  Duquesne submits that since none of the preconditions to Section 1312 have been met, the ALJ erred as a matter of law by awarding a refund to </w:t>
      </w:r>
      <w:r w:rsidR="00732CE3">
        <w:rPr>
          <w:sz w:val="26"/>
          <w:szCs w:val="26"/>
        </w:rPr>
        <w:t>the C</w:t>
      </w:r>
      <w:r w:rsidR="00205B98">
        <w:rPr>
          <w:sz w:val="26"/>
          <w:szCs w:val="26"/>
        </w:rPr>
        <w:t>omplainant.  Exceptions at 14-15.</w:t>
      </w:r>
    </w:p>
    <w:p w:rsidR="005E19A9" w:rsidRPr="005E19A9" w:rsidRDefault="005E19A9" w:rsidP="00303822">
      <w:pPr>
        <w:pStyle w:val="NormalWeb"/>
        <w:ind w:left="1440" w:right="1440"/>
        <w:rPr>
          <w:sz w:val="26"/>
          <w:szCs w:val="26"/>
        </w:rPr>
      </w:pPr>
    </w:p>
    <w:p w:rsidR="001F7E4C" w:rsidRDefault="00732CE3" w:rsidP="00303822">
      <w:pPr>
        <w:pStyle w:val="BodyText"/>
        <w:ind w:firstLine="1440"/>
        <w:jc w:val="left"/>
        <w:rPr>
          <w:szCs w:val="26"/>
        </w:rPr>
      </w:pPr>
      <w:r>
        <w:rPr>
          <w:szCs w:val="26"/>
        </w:rPr>
        <w:t xml:space="preserve">Next, Duquesne </w:t>
      </w:r>
      <w:r w:rsidR="00CE4B1B">
        <w:rPr>
          <w:szCs w:val="26"/>
        </w:rPr>
        <w:t xml:space="preserve">contends </w:t>
      </w:r>
      <w:r>
        <w:rPr>
          <w:szCs w:val="26"/>
        </w:rPr>
        <w:t>that the ALJ erred in determining that the Company violated the Code as there is no evidence in the record that it had actual notice that the Complainant utilized an add-on heat pump.  Duquesne point</w:t>
      </w:r>
      <w:r w:rsidR="003D3F3A">
        <w:rPr>
          <w:szCs w:val="26"/>
        </w:rPr>
        <w:t>s</w:t>
      </w:r>
      <w:r>
        <w:rPr>
          <w:szCs w:val="26"/>
        </w:rPr>
        <w:t xml:space="preserve"> out that it changed the Complainant’s rate promptly upon learning such information.  As such, Duquesne submits that the ALJ erred in assessing a civil penalty against the Company and referring this matter to the Commission’s Bureau of Investigation and Enforcement.  According to Duquesne, the facts of this proceeding simply do not warrant the severity of the penalties imposed by the ALJ’s decision.  Duquesne submits that the ALJ erred in construing the factors of 52 Pa. C.S. § 69.1201 to warrant a $10,000 penalty</w:t>
      </w:r>
      <w:r w:rsidR="009F4423">
        <w:rPr>
          <w:szCs w:val="26"/>
        </w:rPr>
        <w:t xml:space="preserve"> and opines that a review of the applicable factors leads to that conclusion.  Exceptions at 15.</w:t>
      </w:r>
    </w:p>
    <w:p w:rsidR="00096062" w:rsidRDefault="00096062" w:rsidP="00303822">
      <w:pPr>
        <w:pStyle w:val="BodyText"/>
        <w:ind w:firstLine="1440"/>
        <w:jc w:val="left"/>
        <w:rPr>
          <w:szCs w:val="26"/>
        </w:rPr>
      </w:pPr>
    </w:p>
    <w:p w:rsidR="00842BE5" w:rsidRDefault="00096062" w:rsidP="00303822">
      <w:pPr>
        <w:pStyle w:val="BodyText"/>
        <w:ind w:firstLine="1440"/>
        <w:jc w:val="left"/>
        <w:rPr>
          <w:szCs w:val="26"/>
        </w:rPr>
      </w:pPr>
      <w:r>
        <w:rPr>
          <w:szCs w:val="26"/>
        </w:rPr>
        <w:t xml:space="preserve">In conclusion, Duquesne claims that its actions with regard to the Complainant in this proceeding provided reasonable service.  Duquesne reiterates that the ALJ cited no precedent that the Company was under a duty to ask the questions posed </w:t>
      </w:r>
      <w:r>
        <w:rPr>
          <w:szCs w:val="26"/>
        </w:rPr>
        <w:lastRenderedPageBreak/>
        <w:t>therein, with the exception of Act 129 which does not speak to the issue at hand and would not become law for years after Mr. Kramer applied for service in 2000.</w:t>
      </w:r>
      <w:r w:rsidR="00C739CC">
        <w:rPr>
          <w:szCs w:val="26"/>
        </w:rPr>
        <w:t xml:space="preserve">  Duquesne maintains that it was under no obligation to change the Complainant’s rate until he notified the Company about his heat pump.  Once he did, Duquesne submits that</w:t>
      </w:r>
      <w:r w:rsidR="00CE4B1B">
        <w:rPr>
          <w:szCs w:val="26"/>
        </w:rPr>
        <w:t xml:space="preserve"> it promptly approved the rate change</w:t>
      </w:r>
      <w:r w:rsidR="00C739CC">
        <w:rPr>
          <w:szCs w:val="26"/>
        </w:rPr>
        <w:t xml:space="preserve">.  Duquesne opines that since prior </w:t>
      </w:r>
      <w:r w:rsidR="003D3F3A">
        <w:rPr>
          <w:szCs w:val="26"/>
        </w:rPr>
        <w:t>C</w:t>
      </w:r>
      <w:r w:rsidR="00C739CC">
        <w:rPr>
          <w:szCs w:val="26"/>
        </w:rPr>
        <w:t xml:space="preserve">ommission decisions on this issue reveal that Duquesne committed no statutory or regulatory violations, a fine is unnecessary to deter any future violations, as is referral to the Bureau of investigation and Enforcement.  </w:t>
      </w:r>
      <w:r w:rsidR="00842BE5">
        <w:rPr>
          <w:szCs w:val="26"/>
        </w:rPr>
        <w:t>Exceptions at 18-19.</w:t>
      </w:r>
    </w:p>
    <w:p w:rsidR="00842BE5" w:rsidRDefault="00842BE5" w:rsidP="00303822">
      <w:pPr>
        <w:pStyle w:val="BodyText"/>
        <w:ind w:firstLine="1440"/>
        <w:jc w:val="left"/>
        <w:rPr>
          <w:szCs w:val="26"/>
        </w:rPr>
      </w:pPr>
    </w:p>
    <w:p w:rsidR="00096062" w:rsidRDefault="00CE4B1B" w:rsidP="00303822">
      <w:pPr>
        <w:pStyle w:val="BodyText"/>
        <w:ind w:firstLine="1440"/>
        <w:jc w:val="left"/>
        <w:rPr>
          <w:szCs w:val="26"/>
        </w:rPr>
      </w:pPr>
      <w:r>
        <w:rPr>
          <w:szCs w:val="26"/>
        </w:rPr>
        <w:t xml:space="preserve">For all of the above reasons, </w:t>
      </w:r>
      <w:r w:rsidR="00C739CC">
        <w:rPr>
          <w:szCs w:val="26"/>
        </w:rPr>
        <w:t>Duquesne requests that the ALJ’s conclusions be stricken, her Initia</w:t>
      </w:r>
      <w:r w:rsidR="000C5826">
        <w:rPr>
          <w:szCs w:val="26"/>
        </w:rPr>
        <w:t xml:space="preserve">l Decision be reversed, </w:t>
      </w:r>
      <w:r w:rsidR="00C739CC">
        <w:rPr>
          <w:szCs w:val="26"/>
        </w:rPr>
        <w:t xml:space="preserve">the aforementioned referral and assessed penalty be </w:t>
      </w:r>
      <w:r w:rsidR="000C5826">
        <w:rPr>
          <w:szCs w:val="26"/>
        </w:rPr>
        <w:t>withdrawn</w:t>
      </w:r>
      <w:r>
        <w:rPr>
          <w:szCs w:val="26"/>
        </w:rPr>
        <w:t>,</w:t>
      </w:r>
      <w:r w:rsidR="000C5826">
        <w:rPr>
          <w:szCs w:val="26"/>
        </w:rPr>
        <w:t xml:space="preserve"> and the requirement to refund the Complainant’s account be overturned.  </w:t>
      </w:r>
      <w:r w:rsidR="00842BE5">
        <w:rPr>
          <w:i/>
          <w:szCs w:val="26"/>
        </w:rPr>
        <w:t>Id.</w:t>
      </w:r>
    </w:p>
    <w:p w:rsidR="00D05298" w:rsidRDefault="00D05298" w:rsidP="00303822">
      <w:pPr>
        <w:pStyle w:val="BodyText"/>
        <w:ind w:firstLine="1440"/>
        <w:jc w:val="left"/>
        <w:rPr>
          <w:szCs w:val="26"/>
        </w:rPr>
      </w:pPr>
    </w:p>
    <w:p w:rsidR="00D05298" w:rsidRDefault="00D05298" w:rsidP="00303822">
      <w:pPr>
        <w:widowControl/>
        <w:spacing w:line="360" w:lineRule="auto"/>
        <w:rPr>
          <w:b/>
          <w:sz w:val="26"/>
          <w:szCs w:val="26"/>
        </w:rPr>
      </w:pPr>
      <w:r w:rsidRPr="00A353C3">
        <w:rPr>
          <w:b/>
          <w:sz w:val="26"/>
          <w:szCs w:val="26"/>
        </w:rPr>
        <w:t>Disposition</w:t>
      </w:r>
    </w:p>
    <w:p w:rsidR="00D05298" w:rsidRPr="00A353C3" w:rsidRDefault="00D05298" w:rsidP="00303822">
      <w:pPr>
        <w:widowControl/>
        <w:spacing w:line="360" w:lineRule="auto"/>
        <w:rPr>
          <w:b/>
          <w:sz w:val="26"/>
          <w:szCs w:val="26"/>
        </w:rPr>
      </w:pPr>
    </w:p>
    <w:p w:rsidR="00E124CB" w:rsidRDefault="00D05298" w:rsidP="00303822">
      <w:pPr>
        <w:pStyle w:val="BodyText"/>
        <w:jc w:val="left"/>
        <w:rPr>
          <w:szCs w:val="26"/>
        </w:rPr>
      </w:pPr>
      <w:r>
        <w:rPr>
          <w:b/>
          <w:szCs w:val="26"/>
        </w:rPr>
        <w:tab/>
      </w:r>
      <w:r>
        <w:rPr>
          <w:b/>
          <w:szCs w:val="26"/>
        </w:rPr>
        <w:tab/>
      </w:r>
      <w:r w:rsidRPr="00CF2926">
        <w:rPr>
          <w:szCs w:val="26"/>
        </w:rPr>
        <w:t xml:space="preserve">Based upon our review of the evidence of record, </w:t>
      </w:r>
      <w:r>
        <w:rPr>
          <w:szCs w:val="26"/>
        </w:rPr>
        <w:t>as well as the applicable law and precedent on this issue, we shall grant Duquesne’s Exceptions and re</w:t>
      </w:r>
      <w:r w:rsidR="00E124CB">
        <w:rPr>
          <w:szCs w:val="26"/>
        </w:rPr>
        <w:t>verse</w:t>
      </w:r>
      <w:r>
        <w:rPr>
          <w:szCs w:val="26"/>
        </w:rPr>
        <w:t xml:space="preserve"> the ALJ’s Initial Decision</w:t>
      </w:r>
      <w:r w:rsidR="00E124CB">
        <w:rPr>
          <w:szCs w:val="26"/>
        </w:rPr>
        <w:t>.</w:t>
      </w:r>
    </w:p>
    <w:p w:rsidR="00E124CB" w:rsidRDefault="00E124CB" w:rsidP="00303822">
      <w:pPr>
        <w:pStyle w:val="BodyText"/>
        <w:jc w:val="left"/>
        <w:rPr>
          <w:szCs w:val="26"/>
        </w:rPr>
      </w:pPr>
    </w:p>
    <w:p w:rsidR="00095550" w:rsidRDefault="009D1E6C" w:rsidP="00303822">
      <w:pPr>
        <w:pStyle w:val="BodyText"/>
        <w:ind w:firstLine="1440"/>
        <w:jc w:val="left"/>
        <w:rPr>
          <w:szCs w:val="26"/>
        </w:rPr>
      </w:pPr>
      <w:r>
        <w:rPr>
          <w:szCs w:val="26"/>
        </w:rPr>
        <w:t>We find that the ALJ’s conclusions that Duquesne provided unreasonable service by failing to inquire into the existing electric consuming appliances operating at the Complainant’s property when he applied for service in the year 2000 are in err</w:t>
      </w:r>
      <w:r w:rsidR="00E124CB">
        <w:rPr>
          <w:szCs w:val="26"/>
        </w:rPr>
        <w:t>or.  The evidence presented by Duquesne is undisputed</w:t>
      </w:r>
      <w:r w:rsidR="0050588B">
        <w:rPr>
          <w:szCs w:val="26"/>
        </w:rPr>
        <w:t xml:space="preserve"> </w:t>
      </w:r>
      <w:r w:rsidR="00E124CB">
        <w:rPr>
          <w:szCs w:val="26"/>
        </w:rPr>
        <w:t xml:space="preserve">that the Complainant did not advise Duquesne </w:t>
      </w:r>
      <w:r w:rsidR="005C1920">
        <w:rPr>
          <w:szCs w:val="26"/>
        </w:rPr>
        <w:t xml:space="preserve">about </w:t>
      </w:r>
      <w:r w:rsidR="00842BE5">
        <w:rPr>
          <w:szCs w:val="26"/>
        </w:rPr>
        <w:t xml:space="preserve">the existence of the add-on heat pump </w:t>
      </w:r>
      <w:r w:rsidR="009B4A65">
        <w:rPr>
          <w:szCs w:val="26"/>
        </w:rPr>
        <w:t xml:space="preserve">when he purchased his residence </w:t>
      </w:r>
      <w:r w:rsidR="00E124CB">
        <w:rPr>
          <w:szCs w:val="26"/>
        </w:rPr>
        <w:t xml:space="preserve">and </w:t>
      </w:r>
      <w:r w:rsidR="005C1920">
        <w:rPr>
          <w:szCs w:val="26"/>
        </w:rPr>
        <w:t xml:space="preserve">therefore, </w:t>
      </w:r>
      <w:r w:rsidR="00E124CB">
        <w:rPr>
          <w:szCs w:val="26"/>
        </w:rPr>
        <w:t xml:space="preserve">Duquesne was unaware of the existence of </w:t>
      </w:r>
      <w:r w:rsidR="005C1920">
        <w:rPr>
          <w:szCs w:val="26"/>
        </w:rPr>
        <w:t xml:space="preserve">the Complainant’s </w:t>
      </w:r>
      <w:r w:rsidR="00E124CB">
        <w:rPr>
          <w:szCs w:val="26"/>
        </w:rPr>
        <w:t xml:space="preserve">add-on heat pump until he personally informed the Company of </w:t>
      </w:r>
      <w:r w:rsidR="009B4A65">
        <w:rPr>
          <w:szCs w:val="26"/>
        </w:rPr>
        <w:t xml:space="preserve">its existence </w:t>
      </w:r>
      <w:r w:rsidR="00E124CB">
        <w:rPr>
          <w:szCs w:val="26"/>
        </w:rPr>
        <w:t>in early December</w:t>
      </w:r>
      <w:r w:rsidR="005C1920">
        <w:rPr>
          <w:szCs w:val="26"/>
        </w:rPr>
        <w:t xml:space="preserve"> </w:t>
      </w:r>
      <w:r w:rsidR="00E124CB">
        <w:rPr>
          <w:szCs w:val="26"/>
        </w:rPr>
        <w:t xml:space="preserve">2014.  It is also undisputed that upon being informed of this fact, the Company immediately </w:t>
      </w:r>
      <w:r w:rsidR="00E124CB">
        <w:rPr>
          <w:szCs w:val="26"/>
        </w:rPr>
        <w:lastRenderedPageBreak/>
        <w:t xml:space="preserve">investigated and promptly initiated billing the Complainant </w:t>
      </w:r>
      <w:r w:rsidR="005C1920">
        <w:rPr>
          <w:szCs w:val="26"/>
        </w:rPr>
        <w:t>at</w:t>
      </w:r>
      <w:r w:rsidR="00E124CB">
        <w:rPr>
          <w:szCs w:val="26"/>
        </w:rPr>
        <w:t xml:space="preserve"> </w:t>
      </w:r>
      <w:r w:rsidR="005C1920">
        <w:rPr>
          <w:szCs w:val="26"/>
        </w:rPr>
        <w:t xml:space="preserve">Rate RA –, </w:t>
      </w:r>
      <w:r w:rsidR="00E124CB">
        <w:rPr>
          <w:szCs w:val="26"/>
        </w:rPr>
        <w:t>the most advantageous rate schedule available to serve residential customers on its system</w:t>
      </w:r>
      <w:r w:rsidR="005C1920">
        <w:rPr>
          <w:szCs w:val="26"/>
        </w:rPr>
        <w:t>.</w:t>
      </w:r>
      <w:r w:rsidR="00E124CB">
        <w:rPr>
          <w:szCs w:val="26"/>
        </w:rPr>
        <w:t xml:space="preserve">  </w:t>
      </w:r>
    </w:p>
    <w:p w:rsidR="00095550" w:rsidRDefault="00095550" w:rsidP="00303822">
      <w:pPr>
        <w:pStyle w:val="BodyText"/>
        <w:ind w:firstLine="1440"/>
        <w:jc w:val="left"/>
        <w:rPr>
          <w:szCs w:val="26"/>
        </w:rPr>
      </w:pPr>
    </w:p>
    <w:p w:rsidR="00582509" w:rsidRDefault="00095550" w:rsidP="00303822">
      <w:pPr>
        <w:pStyle w:val="BodyText"/>
        <w:ind w:firstLine="1440"/>
        <w:jc w:val="left"/>
        <w:rPr>
          <w:szCs w:val="26"/>
        </w:rPr>
      </w:pPr>
      <w:r>
        <w:rPr>
          <w:szCs w:val="26"/>
        </w:rPr>
        <w:t xml:space="preserve">Based on our review of the evidence in this case, as described </w:t>
      </w:r>
      <w:r w:rsidRPr="00095550">
        <w:rPr>
          <w:i/>
          <w:szCs w:val="26"/>
        </w:rPr>
        <w:t>supra</w:t>
      </w:r>
      <w:r w:rsidRPr="00095550">
        <w:rPr>
          <w:szCs w:val="26"/>
        </w:rPr>
        <w:t>, t</w:t>
      </w:r>
      <w:r w:rsidR="00E124CB" w:rsidRPr="00095550">
        <w:rPr>
          <w:szCs w:val="26"/>
        </w:rPr>
        <w:t xml:space="preserve">he </w:t>
      </w:r>
      <w:r w:rsidR="00E124CB">
        <w:rPr>
          <w:szCs w:val="26"/>
        </w:rPr>
        <w:t xml:space="preserve">ALJ’s conclusions that Duquesne violated Section 1303 of the Code are in direct conflict with the precedent as articulated in </w:t>
      </w:r>
      <w:r w:rsidR="00E124CB">
        <w:rPr>
          <w:i/>
          <w:szCs w:val="26"/>
        </w:rPr>
        <w:t xml:space="preserve">Springfield, Ferguson </w:t>
      </w:r>
      <w:r w:rsidR="00E124CB" w:rsidRPr="00582509">
        <w:rPr>
          <w:szCs w:val="26"/>
        </w:rPr>
        <w:t>and</w:t>
      </w:r>
      <w:r w:rsidR="00E124CB">
        <w:rPr>
          <w:i/>
          <w:szCs w:val="26"/>
        </w:rPr>
        <w:t xml:space="preserve"> Victory. </w:t>
      </w:r>
      <w:r w:rsidR="00E124CB">
        <w:rPr>
          <w:szCs w:val="26"/>
        </w:rPr>
        <w:t xml:space="preserve"> Under the facts of this dispute, the holding of the presiding ALJ would impose an affirmative duty on the part of the utility to inquire as to changes in service conditions that has been rejected.</w:t>
      </w:r>
      <w:r>
        <w:rPr>
          <w:szCs w:val="26"/>
        </w:rPr>
        <w:t xml:space="preserve">  </w:t>
      </w:r>
      <w:r w:rsidR="000D1455">
        <w:rPr>
          <w:szCs w:val="26"/>
        </w:rPr>
        <w:t xml:space="preserve">As such, we are in agreement with Duquesne that the undisputed evidence established that the Company had no </w:t>
      </w:r>
      <w:r w:rsidR="00933651">
        <w:rPr>
          <w:szCs w:val="26"/>
        </w:rPr>
        <w:t xml:space="preserve">actual knowledge </w:t>
      </w:r>
      <w:r w:rsidR="000D1455">
        <w:rPr>
          <w:szCs w:val="26"/>
        </w:rPr>
        <w:t>that a heat pump existed at the Complainant’s property and that those who did know never informed Duquesne until December 2, 2014.  Under these undisputed facts and existing law, we conclude that Duquesne provided reasonable service to the Complainant and the conclusions of the ALJ lack merit.</w:t>
      </w:r>
    </w:p>
    <w:p w:rsidR="00582509" w:rsidRDefault="00582509" w:rsidP="00303822">
      <w:pPr>
        <w:pStyle w:val="BodyText"/>
        <w:ind w:firstLine="1440"/>
        <w:jc w:val="left"/>
        <w:rPr>
          <w:szCs w:val="26"/>
        </w:rPr>
      </w:pPr>
    </w:p>
    <w:p w:rsidR="00582509" w:rsidRDefault="00933651" w:rsidP="00303822">
      <w:pPr>
        <w:pStyle w:val="BodyText"/>
        <w:ind w:firstLine="1440"/>
        <w:jc w:val="left"/>
        <w:rPr>
          <w:szCs w:val="26"/>
        </w:rPr>
      </w:pPr>
      <w:r>
        <w:rPr>
          <w:szCs w:val="26"/>
        </w:rPr>
        <w:t>W</w:t>
      </w:r>
      <w:r w:rsidR="00582509">
        <w:rPr>
          <w:szCs w:val="26"/>
        </w:rPr>
        <w:t xml:space="preserve">e </w:t>
      </w:r>
      <w:r w:rsidR="00D462E1">
        <w:rPr>
          <w:szCs w:val="26"/>
        </w:rPr>
        <w:t xml:space="preserve">also </w:t>
      </w:r>
      <w:r w:rsidR="00582509">
        <w:rPr>
          <w:szCs w:val="26"/>
        </w:rPr>
        <w:t>agree with Duquesne</w:t>
      </w:r>
      <w:r w:rsidR="00D462E1">
        <w:rPr>
          <w:szCs w:val="26"/>
        </w:rPr>
        <w:t>’s position</w:t>
      </w:r>
      <w:r w:rsidR="00582509">
        <w:rPr>
          <w:szCs w:val="26"/>
        </w:rPr>
        <w:t xml:space="preserve"> that the ALJ’s decision improperly places the responsibility upon the utility to proactively seek actual knowledge of its customer’s conditions of use when Commission precedent has established that the responsibility to provide notice falls upon the Customer.  </w:t>
      </w:r>
      <w:r w:rsidR="00BE02D6">
        <w:rPr>
          <w:szCs w:val="26"/>
        </w:rPr>
        <w:t>Accordingly, we shall grant the Exceptions of Duquesne and re</w:t>
      </w:r>
      <w:r w:rsidR="009B4A65">
        <w:rPr>
          <w:szCs w:val="26"/>
        </w:rPr>
        <w:t>verse</w:t>
      </w:r>
      <w:r w:rsidR="00BE02D6">
        <w:rPr>
          <w:szCs w:val="26"/>
        </w:rPr>
        <w:t xml:space="preserve"> the ALJ’s Initial Decision sustaining the Complaint.</w:t>
      </w:r>
    </w:p>
    <w:p w:rsidR="00114C0E" w:rsidRDefault="00114C0E" w:rsidP="00114C0E">
      <w:pPr>
        <w:pStyle w:val="BodyText"/>
        <w:jc w:val="left"/>
        <w:rPr>
          <w:b/>
          <w:szCs w:val="26"/>
        </w:rPr>
      </w:pPr>
    </w:p>
    <w:p w:rsidR="00114C0E" w:rsidRDefault="00114C0E" w:rsidP="007C5508">
      <w:pPr>
        <w:pStyle w:val="BodyText"/>
        <w:keepNext/>
        <w:keepLines/>
        <w:jc w:val="left"/>
        <w:rPr>
          <w:b/>
          <w:szCs w:val="26"/>
        </w:rPr>
      </w:pPr>
      <w:r>
        <w:rPr>
          <w:b/>
          <w:szCs w:val="26"/>
        </w:rPr>
        <w:t>Duquesne’s Motion to Correct Transcript</w:t>
      </w:r>
    </w:p>
    <w:p w:rsidR="00114C0E" w:rsidRDefault="00114C0E" w:rsidP="007C5508">
      <w:pPr>
        <w:pStyle w:val="BodyText"/>
        <w:keepNext/>
        <w:keepLines/>
        <w:jc w:val="left"/>
        <w:rPr>
          <w:b/>
          <w:szCs w:val="26"/>
        </w:rPr>
      </w:pPr>
    </w:p>
    <w:p w:rsidR="00114C0E" w:rsidRDefault="00114C0E" w:rsidP="00114C0E">
      <w:pPr>
        <w:pStyle w:val="BodyText"/>
        <w:jc w:val="left"/>
        <w:rPr>
          <w:szCs w:val="26"/>
        </w:rPr>
      </w:pPr>
      <w:r w:rsidRPr="003F2475">
        <w:rPr>
          <w:szCs w:val="26"/>
        </w:rPr>
        <w:tab/>
      </w:r>
      <w:r w:rsidRPr="003F2475">
        <w:rPr>
          <w:szCs w:val="26"/>
        </w:rPr>
        <w:tab/>
        <w:t xml:space="preserve">In its Motion Duquesne states that </w:t>
      </w:r>
      <w:r>
        <w:rPr>
          <w:szCs w:val="26"/>
        </w:rPr>
        <w:t>pursuant to Section 5.253 of the Code, 52 Pa. Code § 5.253, it is requesting an Order from the Commission to correct an error in the official transcript of the November 25, 2015 telephonic hearing.  Duquesne explained that upon review of the transcript it noticed that the word “before” may have been improperly omitted from page 32, line 20 of the transcript.  Duquesne provided the line in question as follows, with the omitted word set in brackets:</w:t>
      </w:r>
    </w:p>
    <w:p w:rsidR="00114C0E" w:rsidRDefault="00114C0E" w:rsidP="00114C0E">
      <w:pPr>
        <w:pStyle w:val="BodyText"/>
        <w:jc w:val="left"/>
        <w:rPr>
          <w:szCs w:val="26"/>
        </w:rPr>
      </w:pPr>
    </w:p>
    <w:p w:rsidR="00114C0E" w:rsidRDefault="00114C0E" w:rsidP="00114C0E">
      <w:pPr>
        <w:pStyle w:val="BodyText"/>
        <w:spacing w:line="240" w:lineRule="auto"/>
        <w:ind w:left="2160" w:right="1440" w:hanging="720"/>
        <w:jc w:val="left"/>
        <w:rPr>
          <w:szCs w:val="26"/>
        </w:rPr>
      </w:pPr>
      <w:r>
        <w:rPr>
          <w:szCs w:val="26"/>
        </w:rPr>
        <w:lastRenderedPageBreak/>
        <w:t>Q.</w:t>
      </w:r>
      <w:r>
        <w:rPr>
          <w:szCs w:val="26"/>
        </w:rPr>
        <w:tab/>
        <w:t>Based on your investigation, are there any records [before] the date of December 2, 2014 in which Mr. Kramer informed Duquesne Light that his property utilized an add-on heat pump?</w:t>
      </w:r>
    </w:p>
    <w:p w:rsidR="00114C0E" w:rsidRDefault="00114C0E" w:rsidP="00114C0E">
      <w:pPr>
        <w:pStyle w:val="BodyText"/>
        <w:jc w:val="left"/>
        <w:rPr>
          <w:szCs w:val="26"/>
        </w:rPr>
      </w:pPr>
    </w:p>
    <w:p w:rsidR="00114C0E" w:rsidRDefault="00114C0E" w:rsidP="00114C0E">
      <w:pPr>
        <w:pStyle w:val="BodyText"/>
        <w:jc w:val="left"/>
        <w:rPr>
          <w:szCs w:val="26"/>
        </w:rPr>
      </w:pPr>
      <w:r>
        <w:rPr>
          <w:szCs w:val="26"/>
        </w:rPr>
        <w:t>Duquesne further explained that its counsel contacted Commonwealth Reporting Company on March 31, 2016, about this omission and that they confirmed that the word “before” was omitted and should be inserted as indicated.  Motion at 1-2.</w:t>
      </w:r>
    </w:p>
    <w:p w:rsidR="00114C0E" w:rsidRDefault="00114C0E" w:rsidP="00114C0E">
      <w:pPr>
        <w:pStyle w:val="BodyText"/>
        <w:jc w:val="left"/>
        <w:rPr>
          <w:szCs w:val="26"/>
        </w:rPr>
      </w:pPr>
    </w:p>
    <w:p w:rsidR="00114C0E" w:rsidRDefault="00114C0E" w:rsidP="00114C0E">
      <w:pPr>
        <w:pStyle w:val="BodyText"/>
        <w:jc w:val="left"/>
        <w:rPr>
          <w:szCs w:val="26"/>
        </w:rPr>
      </w:pPr>
      <w:r>
        <w:rPr>
          <w:szCs w:val="26"/>
        </w:rPr>
        <w:tab/>
      </w:r>
      <w:r>
        <w:rPr>
          <w:szCs w:val="26"/>
        </w:rPr>
        <w:tab/>
        <w:t xml:space="preserve">It is apparent that the a word is missing in the sentence cited by Duquesne.  Since the error was confirmed by the Commonwealth Reporting Company and no </w:t>
      </w:r>
      <w:r w:rsidR="00923AC1">
        <w:rPr>
          <w:szCs w:val="26"/>
        </w:rPr>
        <w:t>objections to the requested correction have</w:t>
      </w:r>
      <w:r>
        <w:rPr>
          <w:szCs w:val="26"/>
        </w:rPr>
        <w:t xml:space="preserve"> been filed, we shall grant Duquesne’s Motion.</w:t>
      </w:r>
    </w:p>
    <w:p w:rsidR="00114C0E" w:rsidRDefault="00114C0E" w:rsidP="00114C0E">
      <w:pPr>
        <w:pStyle w:val="BodyText"/>
        <w:jc w:val="left"/>
        <w:rPr>
          <w:szCs w:val="26"/>
        </w:rPr>
      </w:pPr>
    </w:p>
    <w:p w:rsidR="00582509" w:rsidRDefault="00582509" w:rsidP="00303822">
      <w:pPr>
        <w:pStyle w:val="BodyText"/>
        <w:ind w:firstLine="1440"/>
        <w:jc w:val="left"/>
        <w:rPr>
          <w:szCs w:val="26"/>
        </w:rPr>
      </w:pPr>
    </w:p>
    <w:p w:rsidR="006916C8" w:rsidRPr="00A353C3" w:rsidRDefault="006916C8" w:rsidP="00303822">
      <w:pPr>
        <w:keepNext/>
        <w:widowControl/>
        <w:tabs>
          <w:tab w:val="left" w:pos="-720"/>
        </w:tabs>
        <w:suppressAutoHyphens/>
        <w:spacing w:line="360" w:lineRule="auto"/>
        <w:jc w:val="center"/>
        <w:outlineLvl w:val="1"/>
        <w:rPr>
          <w:sz w:val="26"/>
          <w:szCs w:val="26"/>
        </w:rPr>
      </w:pPr>
      <w:r w:rsidRPr="00A353C3">
        <w:rPr>
          <w:b/>
          <w:sz w:val="26"/>
          <w:szCs w:val="26"/>
        </w:rPr>
        <w:t>Conclusion</w:t>
      </w:r>
    </w:p>
    <w:p w:rsidR="006916C8" w:rsidRPr="00A353C3" w:rsidRDefault="006916C8" w:rsidP="00303822">
      <w:pPr>
        <w:keepNext/>
        <w:widowControl/>
        <w:tabs>
          <w:tab w:val="left" w:pos="-720"/>
        </w:tabs>
        <w:suppressAutoHyphens/>
        <w:spacing w:line="360" w:lineRule="auto"/>
        <w:rPr>
          <w:sz w:val="26"/>
          <w:szCs w:val="26"/>
        </w:rPr>
      </w:pPr>
    </w:p>
    <w:p w:rsidR="006916C8" w:rsidRDefault="006916C8" w:rsidP="00303822">
      <w:pPr>
        <w:widowControl/>
        <w:tabs>
          <w:tab w:val="left" w:pos="-720"/>
        </w:tabs>
        <w:suppressAutoHyphens/>
        <w:spacing w:line="360" w:lineRule="auto"/>
        <w:ind w:firstLine="1440"/>
        <w:rPr>
          <w:b/>
          <w:sz w:val="26"/>
          <w:szCs w:val="26"/>
        </w:rPr>
      </w:pPr>
      <w:r w:rsidRPr="00A353C3">
        <w:rPr>
          <w:sz w:val="26"/>
          <w:szCs w:val="26"/>
        </w:rPr>
        <w:t>In light of the above discussion, we shall</w:t>
      </w:r>
      <w:r>
        <w:rPr>
          <w:sz w:val="26"/>
          <w:szCs w:val="26"/>
        </w:rPr>
        <w:t xml:space="preserve"> grant</w:t>
      </w:r>
      <w:r w:rsidRPr="00A353C3">
        <w:rPr>
          <w:sz w:val="26"/>
          <w:szCs w:val="26"/>
        </w:rPr>
        <w:t xml:space="preserve"> the Exceptions</w:t>
      </w:r>
      <w:r>
        <w:rPr>
          <w:sz w:val="26"/>
          <w:szCs w:val="26"/>
        </w:rPr>
        <w:t xml:space="preserve"> filed by Duquesne Light Company</w:t>
      </w:r>
      <w:r w:rsidR="009B4A65">
        <w:rPr>
          <w:sz w:val="26"/>
          <w:szCs w:val="26"/>
        </w:rPr>
        <w:t>, grant Duquesne’s Motion to Correct Transcript</w:t>
      </w:r>
      <w:r>
        <w:rPr>
          <w:sz w:val="26"/>
          <w:szCs w:val="26"/>
        </w:rPr>
        <w:t xml:space="preserve"> and re</w:t>
      </w:r>
      <w:r w:rsidR="00933651">
        <w:rPr>
          <w:sz w:val="26"/>
          <w:szCs w:val="26"/>
        </w:rPr>
        <w:t>verse</w:t>
      </w:r>
      <w:r>
        <w:rPr>
          <w:sz w:val="26"/>
          <w:szCs w:val="26"/>
        </w:rPr>
        <w:t xml:space="preserve"> the </w:t>
      </w:r>
      <w:r w:rsidRPr="00A353C3">
        <w:rPr>
          <w:sz w:val="26"/>
          <w:szCs w:val="26"/>
        </w:rPr>
        <w:t>ALJ’s Initial Decision</w:t>
      </w:r>
      <w:r>
        <w:rPr>
          <w:sz w:val="26"/>
          <w:szCs w:val="26"/>
        </w:rPr>
        <w:t xml:space="preserve"> that sustains the </w:t>
      </w:r>
      <w:r w:rsidRPr="00A353C3">
        <w:rPr>
          <w:sz w:val="26"/>
          <w:szCs w:val="26"/>
        </w:rPr>
        <w:t>Complaint</w:t>
      </w:r>
      <w:r>
        <w:rPr>
          <w:sz w:val="26"/>
          <w:szCs w:val="26"/>
        </w:rPr>
        <w:t>,</w:t>
      </w:r>
      <w:r w:rsidRPr="00A353C3">
        <w:rPr>
          <w:sz w:val="26"/>
          <w:szCs w:val="26"/>
        </w:rPr>
        <w:t xml:space="preserve"> consistent with this Opinion and Order</w:t>
      </w:r>
      <w:r>
        <w:rPr>
          <w:sz w:val="26"/>
          <w:szCs w:val="26"/>
        </w:rPr>
        <w:t xml:space="preserve">; </w:t>
      </w:r>
      <w:r w:rsidRPr="00A353C3">
        <w:rPr>
          <w:b/>
          <w:sz w:val="26"/>
          <w:szCs w:val="26"/>
        </w:rPr>
        <w:t>THEREFORE,</w:t>
      </w:r>
    </w:p>
    <w:p w:rsidR="00DC4789" w:rsidRPr="00A353C3" w:rsidRDefault="00DC4789" w:rsidP="00303822">
      <w:pPr>
        <w:widowControl/>
        <w:tabs>
          <w:tab w:val="left" w:pos="-720"/>
        </w:tabs>
        <w:suppressAutoHyphens/>
        <w:spacing w:line="360" w:lineRule="auto"/>
        <w:ind w:firstLine="1440"/>
        <w:rPr>
          <w:sz w:val="26"/>
          <w:szCs w:val="26"/>
        </w:rPr>
      </w:pPr>
    </w:p>
    <w:p w:rsidR="006916C8" w:rsidRPr="00A353C3" w:rsidRDefault="006916C8" w:rsidP="00303822">
      <w:pPr>
        <w:widowControl/>
        <w:tabs>
          <w:tab w:val="left" w:pos="-720"/>
        </w:tabs>
        <w:suppressAutoHyphens/>
        <w:spacing w:line="360" w:lineRule="auto"/>
        <w:ind w:firstLine="1440"/>
        <w:rPr>
          <w:b/>
          <w:sz w:val="26"/>
          <w:szCs w:val="26"/>
        </w:rPr>
      </w:pPr>
      <w:r w:rsidRPr="00A353C3">
        <w:rPr>
          <w:b/>
          <w:sz w:val="26"/>
          <w:szCs w:val="26"/>
        </w:rPr>
        <w:t>IT IS ORDERED:</w:t>
      </w:r>
    </w:p>
    <w:p w:rsidR="006916C8" w:rsidRPr="00A353C3" w:rsidRDefault="006916C8" w:rsidP="00303822">
      <w:pPr>
        <w:widowControl/>
        <w:tabs>
          <w:tab w:val="left" w:pos="-720"/>
        </w:tabs>
        <w:suppressAutoHyphens/>
        <w:spacing w:line="360" w:lineRule="auto"/>
        <w:rPr>
          <w:sz w:val="26"/>
          <w:szCs w:val="26"/>
        </w:rPr>
      </w:pPr>
    </w:p>
    <w:p w:rsidR="006916C8" w:rsidRDefault="006916C8" w:rsidP="00303822">
      <w:pPr>
        <w:widowControl/>
        <w:tabs>
          <w:tab w:val="left" w:pos="-720"/>
        </w:tabs>
        <w:suppressAutoHyphens/>
        <w:spacing w:line="360" w:lineRule="auto"/>
        <w:ind w:firstLine="1440"/>
        <w:rPr>
          <w:sz w:val="26"/>
          <w:szCs w:val="26"/>
        </w:rPr>
      </w:pPr>
      <w:r w:rsidRPr="00A353C3">
        <w:rPr>
          <w:sz w:val="26"/>
          <w:szCs w:val="26"/>
        </w:rPr>
        <w:t>1.</w:t>
      </w:r>
      <w:r w:rsidRPr="00A353C3">
        <w:rPr>
          <w:sz w:val="26"/>
          <w:szCs w:val="26"/>
        </w:rPr>
        <w:tab/>
        <w:t>That the Exce</w:t>
      </w:r>
      <w:r>
        <w:rPr>
          <w:sz w:val="26"/>
          <w:szCs w:val="26"/>
        </w:rPr>
        <w:t>ptions filed by Duquesne Light Company</w:t>
      </w:r>
      <w:r w:rsidRPr="00A353C3">
        <w:rPr>
          <w:sz w:val="26"/>
          <w:szCs w:val="26"/>
        </w:rPr>
        <w:t xml:space="preserve"> on </w:t>
      </w:r>
      <w:r>
        <w:rPr>
          <w:sz w:val="26"/>
          <w:szCs w:val="26"/>
        </w:rPr>
        <w:t>April 5</w:t>
      </w:r>
      <w:r w:rsidRPr="00A353C3">
        <w:rPr>
          <w:sz w:val="26"/>
          <w:szCs w:val="26"/>
        </w:rPr>
        <w:t>, 2016, to the Initial Decision of Administrative La</w:t>
      </w:r>
      <w:r>
        <w:rPr>
          <w:sz w:val="26"/>
          <w:szCs w:val="26"/>
        </w:rPr>
        <w:t>w Judge Katrina</w:t>
      </w:r>
      <w:r w:rsidR="00D462E1">
        <w:rPr>
          <w:sz w:val="26"/>
          <w:szCs w:val="26"/>
        </w:rPr>
        <w:t> </w:t>
      </w:r>
      <w:r>
        <w:rPr>
          <w:sz w:val="26"/>
          <w:szCs w:val="26"/>
        </w:rPr>
        <w:t>L.</w:t>
      </w:r>
      <w:r w:rsidR="00D462E1">
        <w:rPr>
          <w:sz w:val="26"/>
          <w:szCs w:val="26"/>
        </w:rPr>
        <w:t> </w:t>
      </w:r>
      <w:r>
        <w:rPr>
          <w:sz w:val="26"/>
          <w:szCs w:val="26"/>
        </w:rPr>
        <w:t>Dunderdale</w:t>
      </w:r>
      <w:r w:rsidRPr="00A353C3">
        <w:rPr>
          <w:sz w:val="26"/>
          <w:szCs w:val="26"/>
        </w:rPr>
        <w:t xml:space="preserve">, are </w:t>
      </w:r>
      <w:r>
        <w:rPr>
          <w:sz w:val="26"/>
          <w:szCs w:val="26"/>
        </w:rPr>
        <w:t>granted</w:t>
      </w:r>
      <w:r w:rsidRPr="00A353C3">
        <w:rPr>
          <w:sz w:val="26"/>
          <w:szCs w:val="26"/>
        </w:rPr>
        <w:t>.</w:t>
      </w:r>
    </w:p>
    <w:p w:rsidR="00DC4789" w:rsidRDefault="00DC4789" w:rsidP="00303822">
      <w:pPr>
        <w:widowControl/>
        <w:tabs>
          <w:tab w:val="left" w:pos="-720"/>
        </w:tabs>
        <w:suppressAutoHyphens/>
        <w:spacing w:line="360" w:lineRule="auto"/>
        <w:ind w:firstLine="1440"/>
        <w:rPr>
          <w:sz w:val="26"/>
          <w:szCs w:val="26"/>
        </w:rPr>
      </w:pPr>
    </w:p>
    <w:p w:rsidR="00DC4789" w:rsidRPr="00A353C3" w:rsidRDefault="00DC4789" w:rsidP="00303822">
      <w:pPr>
        <w:widowControl/>
        <w:tabs>
          <w:tab w:val="left" w:pos="-720"/>
        </w:tabs>
        <w:suppressAutoHyphens/>
        <w:spacing w:line="360" w:lineRule="auto"/>
        <w:ind w:firstLine="1440"/>
        <w:rPr>
          <w:sz w:val="26"/>
          <w:szCs w:val="26"/>
        </w:rPr>
      </w:pPr>
      <w:r>
        <w:rPr>
          <w:sz w:val="26"/>
          <w:szCs w:val="26"/>
        </w:rPr>
        <w:t>2.</w:t>
      </w:r>
      <w:r>
        <w:rPr>
          <w:sz w:val="26"/>
          <w:szCs w:val="26"/>
        </w:rPr>
        <w:tab/>
        <w:t>That the Motion to Correct Transcript filed by Duquesne Light Company on April 5, 2016, is granted.</w:t>
      </w:r>
    </w:p>
    <w:p w:rsidR="006916C8" w:rsidRPr="00A353C3" w:rsidRDefault="006916C8" w:rsidP="00303822">
      <w:pPr>
        <w:widowControl/>
        <w:tabs>
          <w:tab w:val="left" w:pos="-720"/>
        </w:tabs>
        <w:suppressAutoHyphens/>
        <w:spacing w:line="360" w:lineRule="auto"/>
        <w:ind w:firstLine="1440"/>
        <w:rPr>
          <w:sz w:val="26"/>
          <w:szCs w:val="26"/>
        </w:rPr>
      </w:pPr>
    </w:p>
    <w:p w:rsidR="006916C8" w:rsidRPr="00A353C3" w:rsidRDefault="00DC4789" w:rsidP="00303822">
      <w:pPr>
        <w:widowControl/>
        <w:tabs>
          <w:tab w:val="left" w:pos="-720"/>
        </w:tabs>
        <w:suppressAutoHyphens/>
        <w:spacing w:line="360" w:lineRule="auto"/>
        <w:ind w:firstLine="1440"/>
        <w:rPr>
          <w:b/>
          <w:sz w:val="26"/>
          <w:szCs w:val="26"/>
        </w:rPr>
      </w:pPr>
      <w:r>
        <w:rPr>
          <w:sz w:val="26"/>
          <w:szCs w:val="26"/>
        </w:rPr>
        <w:lastRenderedPageBreak/>
        <w:t>3</w:t>
      </w:r>
      <w:r w:rsidR="006916C8" w:rsidRPr="00A353C3">
        <w:rPr>
          <w:sz w:val="26"/>
          <w:szCs w:val="26"/>
        </w:rPr>
        <w:t>.</w:t>
      </w:r>
      <w:r w:rsidR="006916C8" w:rsidRPr="00A353C3">
        <w:rPr>
          <w:sz w:val="26"/>
          <w:szCs w:val="26"/>
        </w:rPr>
        <w:tab/>
        <w:t xml:space="preserve">That the Initial Decision of Administrative Law Judge </w:t>
      </w:r>
      <w:r w:rsidR="006916C8">
        <w:rPr>
          <w:sz w:val="26"/>
          <w:szCs w:val="26"/>
        </w:rPr>
        <w:t>Katrina</w:t>
      </w:r>
      <w:r w:rsidR="00D462E1">
        <w:rPr>
          <w:sz w:val="26"/>
          <w:szCs w:val="26"/>
        </w:rPr>
        <w:t> </w:t>
      </w:r>
      <w:r w:rsidR="006916C8">
        <w:rPr>
          <w:sz w:val="26"/>
          <w:szCs w:val="26"/>
        </w:rPr>
        <w:t>L.</w:t>
      </w:r>
      <w:r w:rsidR="00D462E1">
        <w:rPr>
          <w:sz w:val="26"/>
          <w:szCs w:val="26"/>
        </w:rPr>
        <w:t> </w:t>
      </w:r>
      <w:r w:rsidR="006916C8">
        <w:rPr>
          <w:sz w:val="26"/>
          <w:szCs w:val="26"/>
        </w:rPr>
        <w:t>Dunderdale, issue</w:t>
      </w:r>
      <w:r w:rsidR="00BE02D6">
        <w:rPr>
          <w:sz w:val="26"/>
          <w:szCs w:val="26"/>
        </w:rPr>
        <w:t>d on March 17, 2016, is re</w:t>
      </w:r>
      <w:r>
        <w:rPr>
          <w:sz w:val="26"/>
          <w:szCs w:val="26"/>
        </w:rPr>
        <w:t>versed</w:t>
      </w:r>
      <w:r w:rsidR="006916C8" w:rsidRPr="00A353C3">
        <w:rPr>
          <w:sz w:val="26"/>
          <w:szCs w:val="26"/>
        </w:rPr>
        <w:t>.</w:t>
      </w:r>
    </w:p>
    <w:p w:rsidR="006916C8" w:rsidRPr="00A353C3" w:rsidRDefault="006916C8" w:rsidP="00303822">
      <w:pPr>
        <w:widowControl/>
        <w:tabs>
          <w:tab w:val="left" w:pos="0"/>
        </w:tabs>
        <w:suppressAutoHyphens/>
        <w:spacing w:line="360" w:lineRule="auto"/>
        <w:ind w:firstLine="1440"/>
        <w:rPr>
          <w:spacing w:val="-3"/>
          <w:sz w:val="26"/>
          <w:szCs w:val="26"/>
        </w:rPr>
      </w:pPr>
    </w:p>
    <w:p w:rsidR="006916C8" w:rsidRPr="00A353C3" w:rsidRDefault="00DC4789" w:rsidP="00303822">
      <w:pPr>
        <w:widowControl/>
        <w:spacing w:line="360" w:lineRule="auto"/>
        <w:ind w:firstLine="1440"/>
        <w:rPr>
          <w:sz w:val="26"/>
          <w:szCs w:val="26"/>
        </w:rPr>
      </w:pPr>
      <w:r>
        <w:rPr>
          <w:spacing w:val="-3"/>
          <w:sz w:val="26"/>
          <w:szCs w:val="26"/>
        </w:rPr>
        <w:t>4</w:t>
      </w:r>
      <w:r w:rsidR="006916C8" w:rsidRPr="00A353C3">
        <w:rPr>
          <w:spacing w:val="-3"/>
          <w:sz w:val="26"/>
          <w:szCs w:val="26"/>
        </w:rPr>
        <w:t>.</w:t>
      </w:r>
      <w:r w:rsidR="006916C8" w:rsidRPr="00A353C3">
        <w:rPr>
          <w:spacing w:val="-3"/>
          <w:sz w:val="26"/>
          <w:szCs w:val="26"/>
        </w:rPr>
        <w:tab/>
      </w:r>
      <w:r w:rsidR="006916C8" w:rsidRPr="00A353C3">
        <w:rPr>
          <w:sz w:val="26"/>
          <w:szCs w:val="26"/>
        </w:rPr>
        <w:t>That the Formal Complaint filed on</w:t>
      </w:r>
      <w:r w:rsidR="006916C8">
        <w:rPr>
          <w:sz w:val="26"/>
          <w:szCs w:val="26"/>
        </w:rPr>
        <w:t xml:space="preserve"> April 10, 2015, at Docket No. F</w:t>
      </w:r>
      <w:r w:rsidR="006916C8">
        <w:rPr>
          <w:sz w:val="26"/>
          <w:szCs w:val="26"/>
        </w:rPr>
        <w:noBreakHyphen/>
        <w:t>2015-2499181</w:t>
      </w:r>
      <w:r w:rsidR="006916C8" w:rsidRPr="00A353C3">
        <w:rPr>
          <w:sz w:val="26"/>
          <w:szCs w:val="26"/>
        </w:rPr>
        <w:t xml:space="preserve"> by </w:t>
      </w:r>
      <w:r w:rsidR="006916C8">
        <w:rPr>
          <w:sz w:val="26"/>
          <w:szCs w:val="26"/>
        </w:rPr>
        <w:t>Robert J. Kramer</w:t>
      </w:r>
      <w:r w:rsidR="006916C8" w:rsidRPr="00A353C3">
        <w:rPr>
          <w:sz w:val="26"/>
          <w:szCs w:val="26"/>
        </w:rPr>
        <w:t xml:space="preserve"> against </w:t>
      </w:r>
      <w:r w:rsidR="006916C8">
        <w:rPr>
          <w:sz w:val="26"/>
          <w:szCs w:val="26"/>
        </w:rPr>
        <w:t>Duquesne Light</w:t>
      </w:r>
      <w:r w:rsidR="006916C8" w:rsidRPr="00A353C3">
        <w:rPr>
          <w:sz w:val="26"/>
          <w:szCs w:val="26"/>
        </w:rPr>
        <w:t xml:space="preserve"> Company is dismissed.</w:t>
      </w:r>
    </w:p>
    <w:p w:rsidR="006916C8" w:rsidRPr="00A353C3" w:rsidRDefault="006916C8" w:rsidP="00303822">
      <w:pPr>
        <w:widowControl/>
        <w:spacing w:line="360" w:lineRule="auto"/>
        <w:rPr>
          <w:sz w:val="26"/>
          <w:szCs w:val="26"/>
        </w:rPr>
      </w:pPr>
    </w:p>
    <w:p w:rsidR="006916C8" w:rsidRDefault="00DC4789" w:rsidP="00303822">
      <w:pPr>
        <w:keepNext/>
        <w:keepLines/>
        <w:widowControl/>
        <w:ind w:firstLine="1440"/>
        <w:rPr>
          <w:sz w:val="26"/>
          <w:szCs w:val="26"/>
        </w:rPr>
      </w:pPr>
      <w:r>
        <w:rPr>
          <w:sz w:val="26"/>
          <w:szCs w:val="26"/>
        </w:rPr>
        <w:t>5</w:t>
      </w:r>
      <w:r w:rsidR="006916C8" w:rsidRPr="00A353C3">
        <w:rPr>
          <w:sz w:val="26"/>
          <w:szCs w:val="26"/>
        </w:rPr>
        <w:t>.</w:t>
      </w:r>
      <w:r w:rsidR="006916C8" w:rsidRPr="00A353C3">
        <w:rPr>
          <w:sz w:val="26"/>
          <w:szCs w:val="26"/>
        </w:rPr>
        <w:tab/>
      </w:r>
      <w:r w:rsidR="006916C8" w:rsidRPr="00A353C3">
        <w:rPr>
          <w:spacing w:val="-3"/>
          <w:sz w:val="26"/>
          <w:szCs w:val="26"/>
        </w:rPr>
        <w:t xml:space="preserve">That the proceeding at </w:t>
      </w:r>
      <w:r w:rsidR="006916C8">
        <w:rPr>
          <w:sz w:val="26"/>
          <w:szCs w:val="26"/>
        </w:rPr>
        <w:t>Docket Nos. F-2015-2499181</w:t>
      </w:r>
      <w:r w:rsidR="006916C8" w:rsidRPr="00A353C3">
        <w:rPr>
          <w:sz w:val="26"/>
          <w:szCs w:val="26"/>
        </w:rPr>
        <w:t xml:space="preserve"> be marked closed.</w:t>
      </w:r>
    </w:p>
    <w:p w:rsidR="00BE02D6" w:rsidRDefault="00BE02D6" w:rsidP="00303822">
      <w:pPr>
        <w:keepNext/>
        <w:keepLines/>
        <w:widowControl/>
        <w:tabs>
          <w:tab w:val="left" w:pos="-720"/>
        </w:tabs>
        <w:suppressAutoHyphens/>
        <w:spacing w:line="360" w:lineRule="auto"/>
        <w:rPr>
          <w:b/>
          <w:sz w:val="26"/>
          <w:szCs w:val="26"/>
        </w:rPr>
      </w:pPr>
    </w:p>
    <w:p w:rsidR="00BE02D6" w:rsidRDefault="00E22DED" w:rsidP="00303822">
      <w:pPr>
        <w:keepNext/>
        <w:keepLines/>
        <w:widowControl/>
        <w:tabs>
          <w:tab w:val="left" w:pos="-720"/>
        </w:tabs>
        <w:suppressAutoHyphens/>
        <w:spacing w:line="360" w:lineRule="auto"/>
        <w:rPr>
          <w:b/>
          <w:sz w:val="26"/>
          <w:szCs w:val="26"/>
        </w:rPr>
      </w:pPr>
      <w:bookmarkStart w:id="0" w:name="_GoBack"/>
      <w:r w:rsidRPr="009F01BA">
        <w:rPr>
          <w:b/>
          <w:noProof/>
        </w:rPr>
        <w:drawing>
          <wp:anchor distT="0" distB="0" distL="114300" distR="114300" simplePos="0" relativeHeight="251659264" behindDoc="1" locked="0" layoutInCell="1" allowOverlap="1" wp14:anchorId="427204C1" wp14:editId="2B2D3A1B">
            <wp:simplePos x="0" y="0"/>
            <wp:positionH relativeFrom="column">
              <wp:posOffset>2724150</wp:posOffset>
            </wp:positionH>
            <wp:positionV relativeFrom="paragraph">
              <wp:posOffset>274320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916C8" w:rsidRPr="00A353C3" w:rsidRDefault="006916C8" w:rsidP="00303822">
      <w:pPr>
        <w:keepNext/>
        <w:keepLines/>
        <w:widowControl/>
        <w:tabs>
          <w:tab w:val="left" w:pos="-720"/>
        </w:tabs>
        <w:suppressAutoHyphens/>
        <w:spacing w:line="360" w:lineRule="auto"/>
        <w:rPr>
          <w:b/>
          <w:sz w:val="26"/>
          <w:szCs w:val="26"/>
        </w:rPr>
      </w:pPr>
      <w:r w:rsidRPr="00A353C3">
        <w:rPr>
          <w:b/>
          <w:sz w:val="26"/>
          <w:szCs w:val="26"/>
        </w:rPr>
        <w:tab/>
      </w:r>
      <w:r w:rsidRPr="00A353C3">
        <w:rPr>
          <w:b/>
          <w:sz w:val="26"/>
          <w:szCs w:val="26"/>
        </w:rPr>
        <w:tab/>
      </w:r>
      <w:r w:rsidRPr="00A353C3">
        <w:rPr>
          <w:b/>
          <w:sz w:val="26"/>
          <w:szCs w:val="26"/>
        </w:rPr>
        <w:tab/>
      </w:r>
      <w:r w:rsidRPr="00A353C3">
        <w:rPr>
          <w:b/>
          <w:sz w:val="26"/>
          <w:szCs w:val="26"/>
        </w:rPr>
        <w:tab/>
      </w:r>
      <w:r w:rsidRPr="00A353C3">
        <w:rPr>
          <w:b/>
          <w:sz w:val="26"/>
          <w:szCs w:val="26"/>
        </w:rPr>
        <w:tab/>
      </w:r>
      <w:r w:rsidRPr="00A353C3">
        <w:rPr>
          <w:b/>
          <w:sz w:val="26"/>
          <w:szCs w:val="26"/>
        </w:rPr>
        <w:tab/>
      </w:r>
      <w:r w:rsidRPr="00A353C3">
        <w:rPr>
          <w:b/>
          <w:sz w:val="26"/>
          <w:szCs w:val="26"/>
        </w:rPr>
        <w:tab/>
        <w:t>BY THE COMMISSION,</w:t>
      </w:r>
    </w:p>
    <w:p w:rsidR="006916C8" w:rsidRDefault="006916C8" w:rsidP="00303822">
      <w:pPr>
        <w:keepNext/>
        <w:keepLines/>
        <w:widowControl/>
        <w:tabs>
          <w:tab w:val="left" w:pos="-720"/>
        </w:tabs>
        <w:suppressAutoHyphens/>
        <w:spacing w:line="360" w:lineRule="auto"/>
        <w:rPr>
          <w:sz w:val="26"/>
          <w:szCs w:val="26"/>
        </w:rPr>
      </w:pPr>
    </w:p>
    <w:p w:rsidR="006916C8" w:rsidRPr="00A353C3" w:rsidRDefault="006916C8" w:rsidP="00303822">
      <w:pPr>
        <w:keepNext/>
        <w:keepLines/>
        <w:widowControl/>
        <w:tabs>
          <w:tab w:val="left" w:pos="-720"/>
        </w:tabs>
        <w:suppressAutoHyphens/>
        <w:spacing w:line="360" w:lineRule="auto"/>
        <w:rPr>
          <w:sz w:val="26"/>
          <w:szCs w:val="26"/>
        </w:rPr>
      </w:pPr>
    </w:p>
    <w:p w:rsidR="006916C8" w:rsidRPr="00A353C3" w:rsidRDefault="006916C8" w:rsidP="00303822">
      <w:pPr>
        <w:keepNext/>
        <w:keepLines/>
        <w:widowControl/>
        <w:tabs>
          <w:tab w:val="left" w:pos="-720"/>
        </w:tabs>
        <w:suppressAutoHyphens/>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Rosemary Chiavetta</w:t>
      </w:r>
    </w:p>
    <w:p w:rsidR="006916C8" w:rsidRPr="00A353C3" w:rsidRDefault="006916C8" w:rsidP="00303822">
      <w:pPr>
        <w:keepNext/>
        <w:keepLines/>
        <w:widowControl/>
        <w:tabs>
          <w:tab w:val="left" w:pos="-720"/>
        </w:tabs>
        <w:suppressAutoHyphens/>
        <w:spacing w:line="360" w:lineRule="auto"/>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Secretary</w:t>
      </w:r>
    </w:p>
    <w:p w:rsidR="006916C8" w:rsidRDefault="006916C8" w:rsidP="00303822">
      <w:pPr>
        <w:keepNext/>
        <w:keepLines/>
        <w:widowControl/>
        <w:tabs>
          <w:tab w:val="left" w:pos="-720"/>
        </w:tabs>
        <w:suppressAutoHyphens/>
        <w:rPr>
          <w:sz w:val="26"/>
          <w:szCs w:val="26"/>
        </w:rPr>
      </w:pPr>
    </w:p>
    <w:p w:rsidR="006916C8" w:rsidRPr="00A353C3" w:rsidRDefault="006916C8" w:rsidP="00303822">
      <w:pPr>
        <w:keepNext/>
        <w:keepLines/>
        <w:widowControl/>
        <w:tabs>
          <w:tab w:val="left" w:pos="-720"/>
        </w:tabs>
        <w:suppressAutoHyphens/>
        <w:rPr>
          <w:sz w:val="26"/>
          <w:szCs w:val="26"/>
        </w:rPr>
      </w:pPr>
      <w:r w:rsidRPr="00A353C3">
        <w:rPr>
          <w:sz w:val="26"/>
          <w:szCs w:val="26"/>
        </w:rPr>
        <w:t>(SEAL)</w:t>
      </w:r>
    </w:p>
    <w:p w:rsidR="006916C8" w:rsidRPr="00A353C3" w:rsidRDefault="006916C8" w:rsidP="00303822">
      <w:pPr>
        <w:keepNext/>
        <w:keepLines/>
        <w:widowControl/>
        <w:tabs>
          <w:tab w:val="left" w:pos="-720"/>
        </w:tabs>
        <w:suppressAutoHyphens/>
        <w:rPr>
          <w:sz w:val="26"/>
          <w:szCs w:val="26"/>
        </w:rPr>
      </w:pPr>
    </w:p>
    <w:p w:rsidR="006916C8" w:rsidRDefault="006916C8" w:rsidP="00303822">
      <w:pPr>
        <w:keepNext/>
        <w:keepLines/>
        <w:widowControl/>
        <w:tabs>
          <w:tab w:val="left" w:pos="-720"/>
        </w:tabs>
        <w:suppressAutoHyphens/>
        <w:rPr>
          <w:sz w:val="26"/>
          <w:szCs w:val="26"/>
        </w:rPr>
      </w:pPr>
      <w:r>
        <w:rPr>
          <w:sz w:val="26"/>
          <w:szCs w:val="26"/>
        </w:rPr>
        <w:t xml:space="preserve">ORDER ADOPTED:  </w:t>
      </w:r>
      <w:r w:rsidR="00235D00">
        <w:rPr>
          <w:sz w:val="26"/>
          <w:szCs w:val="26"/>
        </w:rPr>
        <w:t xml:space="preserve">March </w:t>
      </w:r>
      <w:r w:rsidR="00DE5CFA">
        <w:rPr>
          <w:sz w:val="26"/>
          <w:szCs w:val="26"/>
        </w:rPr>
        <w:t>16</w:t>
      </w:r>
      <w:r w:rsidR="00235D00">
        <w:rPr>
          <w:sz w:val="26"/>
          <w:szCs w:val="26"/>
        </w:rPr>
        <w:t>, 2017</w:t>
      </w:r>
    </w:p>
    <w:p w:rsidR="006916C8" w:rsidRDefault="006916C8" w:rsidP="00303822">
      <w:pPr>
        <w:keepNext/>
        <w:keepLines/>
        <w:widowControl/>
        <w:tabs>
          <w:tab w:val="left" w:pos="-720"/>
        </w:tabs>
        <w:suppressAutoHyphens/>
        <w:rPr>
          <w:sz w:val="26"/>
          <w:szCs w:val="26"/>
        </w:rPr>
      </w:pPr>
    </w:p>
    <w:p w:rsidR="006916C8" w:rsidRPr="00A353C3" w:rsidRDefault="006916C8" w:rsidP="00303822">
      <w:pPr>
        <w:keepNext/>
        <w:keepLines/>
        <w:widowControl/>
        <w:tabs>
          <w:tab w:val="left" w:pos="-720"/>
        </w:tabs>
        <w:suppressAutoHyphens/>
        <w:rPr>
          <w:sz w:val="26"/>
          <w:szCs w:val="26"/>
        </w:rPr>
      </w:pPr>
      <w:r w:rsidRPr="00A353C3">
        <w:rPr>
          <w:sz w:val="26"/>
          <w:szCs w:val="26"/>
        </w:rPr>
        <w:t>ORDER ENTERED:</w:t>
      </w:r>
      <w:r w:rsidR="00E22DED">
        <w:rPr>
          <w:sz w:val="26"/>
          <w:szCs w:val="26"/>
        </w:rPr>
        <w:t xml:space="preserve"> March 16 2017</w:t>
      </w:r>
      <w:r w:rsidRPr="00A353C3">
        <w:rPr>
          <w:sz w:val="26"/>
          <w:szCs w:val="26"/>
        </w:rPr>
        <w:t xml:space="preserve">  </w:t>
      </w:r>
    </w:p>
    <w:p w:rsidR="005343F1" w:rsidRDefault="009D1F8A" w:rsidP="00303822">
      <w:pPr>
        <w:widowControl/>
      </w:pPr>
    </w:p>
    <w:sectPr w:rsidR="005343F1" w:rsidSect="00BE02D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8A" w:rsidRDefault="009D1F8A" w:rsidP="00986AB0">
      <w:r>
        <w:separator/>
      </w:r>
    </w:p>
  </w:endnote>
  <w:endnote w:type="continuationSeparator" w:id="0">
    <w:p w:rsidR="009D1F8A" w:rsidRDefault="009D1F8A" w:rsidP="0098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82489"/>
      <w:docPartObj>
        <w:docPartGallery w:val="Page Numbers (Bottom of Page)"/>
        <w:docPartUnique/>
      </w:docPartObj>
    </w:sdtPr>
    <w:sdtEndPr>
      <w:rPr>
        <w:noProof/>
      </w:rPr>
    </w:sdtEndPr>
    <w:sdtContent>
      <w:p w:rsidR="00BE02D6" w:rsidRDefault="00BE02D6">
        <w:pPr>
          <w:pStyle w:val="Footer"/>
          <w:jc w:val="center"/>
        </w:pPr>
        <w:r>
          <w:fldChar w:fldCharType="begin"/>
        </w:r>
        <w:r>
          <w:instrText xml:space="preserve"> PAGE   \* MERGEFORMAT </w:instrText>
        </w:r>
        <w:r>
          <w:fldChar w:fldCharType="separate"/>
        </w:r>
        <w:r w:rsidR="00E22DED">
          <w:rPr>
            <w:noProof/>
          </w:rPr>
          <w:t>22</w:t>
        </w:r>
        <w:r>
          <w:rPr>
            <w:noProof/>
          </w:rPr>
          <w:fldChar w:fldCharType="end"/>
        </w:r>
      </w:p>
    </w:sdtContent>
  </w:sdt>
  <w:p w:rsidR="00BE02D6" w:rsidRDefault="00BE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8A" w:rsidRDefault="009D1F8A" w:rsidP="00986AB0">
      <w:r>
        <w:separator/>
      </w:r>
    </w:p>
  </w:footnote>
  <w:footnote w:type="continuationSeparator" w:id="0">
    <w:p w:rsidR="009D1F8A" w:rsidRDefault="009D1F8A" w:rsidP="00986AB0">
      <w:r>
        <w:continuationSeparator/>
      </w:r>
    </w:p>
  </w:footnote>
  <w:footnote w:id="1">
    <w:p w:rsidR="008A7A30" w:rsidRPr="00DF6CD4" w:rsidRDefault="008A7A30" w:rsidP="00DE2205">
      <w:pPr>
        <w:pStyle w:val="FootnoteText"/>
        <w:keepNext/>
        <w:keepLines/>
        <w:widowControl/>
        <w:ind w:firstLine="720"/>
        <w:rPr>
          <w:sz w:val="26"/>
          <w:szCs w:val="26"/>
        </w:rPr>
      </w:pPr>
      <w:r w:rsidRPr="00DF6CD4">
        <w:rPr>
          <w:rStyle w:val="FootnoteReference"/>
          <w:sz w:val="26"/>
          <w:szCs w:val="26"/>
        </w:rPr>
        <w:footnoteRef/>
      </w:r>
      <w:r w:rsidRPr="00DF6CD4">
        <w:rPr>
          <w:sz w:val="26"/>
          <w:szCs w:val="26"/>
        </w:rPr>
        <w:tab/>
        <w:t xml:space="preserve">Originally, </w:t>
      </w:r>
      <w:r w:rsidR="00DF6CD4">
        <w:rPr>
          <w:sz w:val="26"/>
          <w:szCs w:val="26"/>
        </w:rPr>
        <w:t xml:space="preserve">the </w:t>
      </w:r>
      <w:r w:rsidRPr="00DF6CD4">
        <w:rPr>
          <w:sz w:val="26"/>
          <w:szCs w:val="26"/>
        </w:rPr>
        <w:t xml:space="preserve">Complainant requested reimbursement back to the date he bought the </w:t>
      </w:r>
      <w:r w:rsidR="00287C0B">
        <w:rPr>
          <w:sz w:val="26"/>
          <w:szCs w:val="26"/>
        </w:rPr>
        <w:t xml:space="preserve">residence at the </w:t>
      </w:r>
      <w:r w:rsidRPr="00DF6CD4">
        <w:rPr>
          <w:sz w:val="26"/>
          <w:szCs w:val="26"/>
        </w:rPr>
        <w:t xml:space="preserve">service address.  </w:t>
      </w:r>
      <w:r w:rsidR="00DF6CD4">
        <w:rPr>
          <w:sz w:val="26"/>
          <w:szCs w:val="26"/>
        </w:rPr>
        <w:t xml:space="preserve">However, </w:t>
      </w:r>
      <w:r w:rsidR="00287C0B">
        <w:rPr>
          <w:sz w:val="26"/>
          <w:szCs w:val="26"/>
        </w:rPr>
        <w:t>p</w:t>
      </w:r>
      <w:r w:rsidRPr="00DF6CD4">
        <w:rPr>
          <w:sz w:val="26"/>
          <w:szCs w:val="26"/>
        </w:rPr>
        <w:t>ursuant to 66 Pa.</w:t>
      </w:r>
      <w:r w:rsidR="00DF6CD4">
        <w:rPr>
          <w:sz w:val="26"/>
          <w:szCs w:val="26"/>
        </w:rPr>
        <w:t xml:space="preserve"> </w:t>
      </w:r>
      <w:r w:rsidRPr="00DF6CD4">
        <w:rPr>
          <w:sz w:val="26"/>
          <w:szCs w:val="26"/>
        </w:rPr>
        <w:t xml:space="preserve">C.S. § 1312(a), </w:t>
      </w:r>
      <w:r w:rsidR="00DF6CD4">
        <w:rPr>
          <w:sz w:val="26"/>
          <w:szCs w:val="26"/>
        </w:rPr>
        <w:t xml:space="preserve">he </w:t>
      </w:r>
      <w:r w:rsidRPr="00DF6CD4">
        <w:rPr>
          <w:sz w:val="26"/>
          <w:szCs w:val="26"/>
        </w:rPr>
        <w:t xml:space="preserve">altered his request to reflect </w:t>
      </w:r>
      <w:r w:rsidR="00DF6CD4">
        <w:rPr>
          <w:sz w:val="26"/>
          <w:szCs w:val="26"/>
        </w:rPr>
        <w:t xml:space="preserve">that </w:t>
      </w:r>
      <w:r w:rsidRPr="00DF6CD4">
        <w:rPr>
          <w:sz w:val="26"/>
          <w:szCs w:val="26"/>
        </w:rPr>
        <w:t xml:space="preserve">he wanted </w:t>
      </w:r>
      <w:r w:rsidR="00DE2205">
        <w:rPr>
          <w:sz w:val="26"/>
          <w:szCs w:val="26"/>
        </w:rPr>
        <w:t xml:space="preserve">to be </w:t>
      </w:r>
      <w:r w:rsidRPr="00DF6CD4">
        <w:rPr>
          <w:sz w:val="26"/>
          <w:szCs w:val="26"/>
        </w:rPr>
        <w:t>reimburse</w:t>
      </w:r>
      <w:r w:rsidR="00481462">
        <w:rPr>
          <w:sz w:val="26"/>
          <w:szCs w:val="26"/>
        </w:rPr>
        <w:t>d</w:t>
      </w:r>
      <w:r w:rsidRPr="00DF6CD4">
        <w:rPr>
          <w:sz w:val="26"/>
          <w:szCs w:val="26"/>
        </w:rPr>
        <w:t xml:space="preserve"> </w:t>
      </w:r>
      <w:r w:rsidR="00DF6CD4">
        <w:rPr>
          <w:sz w:val="26"/>
          <w:szCs w:val="26"/>
        </w:rPr>
        <w:t xml:space="preserve">for the </w:t>
      </w:r>
      <w:r w:rsidRPr="00DF6CD4">
        <w:rPr>
          <w:sz w:val="26"/>
          <w:szCs w:val="26"/>
        </w:rPr>
        <w:t>four years from wh</w:t>
      </w:r>
      <w:r w:rsidR="00287C0B">
        <w:rPr>
          <w:sz w:val="26"/>
          <w:szCs w:val="26"/>
        </w:rPr>
        <w:t>en he first contacted Duquesne</w:t>
      </w:r>
      <w:r w:rsidRPr="00DF6CD4">
        <w:rPr>
          <w:sz w:val="26"/>
          <w:szCs w:val="26"/>
        </w:rPr>
        <w:t xml:space="preserve"> to request reimbursement in December </w:t>
      </w:r>
      <w:r w:rsidR="00DF6CD4">
        <w:rPr>
          <w:sz w:val="26"/>
          <w:szCs w:val="26"/>
        </w:rPr>
        <w:t xml:space="preserve">of </w:t>
      </w:r>
      <w:r w:rsidRPr="00DF6CD4">
        <w:rPr>
          <w:sz w:val="26"/>
          <w:szCs w:val="26"/>
        </w:rPr>
        <w:t>2014.  Tr.</w:t>
      </w:r>
      <w:r w:rsidR="00287C0B">
        <w:rPr>
          <w:sz w:val="26"/>
          <w:szCs w:val="26"/>
        </w:rPr>
        <w:t xml:space="preserve"> at</w:t>
      </w:r>
      <w:r w:rsidR="00DE2205">
        <w:rPr>
          <w:sz w:val="26"/>
          <w:szCs w:val="26"/>
        </w:rPr>
        <w:t> </w:t>
      </w:r>
      <w:r w:rsidRPr="00DF6CD4">
        <w:rPr>
          <w:sz w:val="26"/>
          <w:szCs w:val="26"/>
        </w:rPr>
        <w:t>19.</w:t>
      </w:r>
    </w:p>
  </w:footnote>
  <w:footnote w:id="2">
    <w:p w:rsidR="00482137" w:rsidRPr="00482137" w:rsidRDefault="00482137">
      <w:pPr>
        <w:pStyle w:val="FootnoteText"/>
        <w:rPr>
          <w:sz w:val="26"/>
        </w:rPr>
      </w:pPr>
      <w:r w:rsidRPr="00482137">
        <w:rPr>
          <w:sz w:val="26"/>
        </w:rPr>
        <w:tab/>
      </w:r>
      <w:r w:rsidRPr="00482137">
        <w:rPr>
          <w:rStyle w:val="FootnoteReference"/>
          <w:sz w:val="26"/>
        </w:rPr>
        <w:footnoteRef/>
      </w:r>
      <w:r w:rsidRPr="00482137">
        <w:rPr>
          <w:sz w:val="26"/>
        </w:rPr>
        <w:tab/>
      </w:r>
      <w:r>
        <w:rPr>
          <w:i/>
          <w:sz w:val="26"/>
        </w:rPr>
        <w:t xml:space="preserve">See, </w:t>
      </w:r>
      <w:r w:rsidRPr="00482137">
        <w:rPr>
          <w:i/>
          <w:sz w:val="26"/>
        </w:rPr>
        <w:t>Joseph A. Rosi v. Bell Atlantic-Pa., Inc. and Sprint Communications Company</w:t>
      </w:r>
      <w:r w:rsidRPr="00482137">
        <w:rPr>
          <w:sz w:val="26"/>
        </w:rPr>
        <w:t>, Docket No. C 00992409 (Order entered February 10, 2000) (</w:t>
      </w:r>
      <w:r w:rsidRPr="00BD6718">
        <w:rPr>
          <w:i/>
          <w:sz w:val="26"/>
        </w:rPr>
        <w:t>Rosi</w:t>
      </w:r>
      <w:r w:rsidRPr="00482137">
        <w:rPr>
          <w:sz w:val="26"/>
        </w:rPr>
        <w:t>) and which are now published at 52 Pa. Code § 69.1201 in the Commission’s Policy Statements and Guidelines.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B0"/>
    <w:rsid w:val="00016344"/>
    <w:rsid w:val="000204D3"/>
    <w:rsid w:val="00022688"/>
    <w:rsid w:val="0003497B"/>
    <w:rsid w:val="00066818"/>
    <w:rsid w:val="00070526"/>
    <w:rsid w:val="00090721"/>
    <w:rsid w:val="00095550"/>
    <w:rsid w:val="00096062"/>
    <w:rsid w:val="000A759F"/>
    <w:rsid w:val="000B7224"/>
    <w:rsid w:val="000C1CBA"/>
    <w:rsid w:val="000C5826"/>
    <w:rsid w:val="000C60D7"/>
    <w:rsid w:val="000D1455"/>
    <w:rsid w:val="00114C0E"/>
    <w:rsid w:val="001206FA"/>
    <w:rsid w:val="00127A44"/>
    <w:rsid w:val="00135087"/>
    <w:rsid w:val="001852FE"/>
    <w:rsid w:val="001B42BC"/>
    <w:rsid w:val="001C6E02"/>
    <w:rsid w:val="001E06E0"/>
    <w:rsid w:val="001F7E4C"/>
    <w:rsid w:val="00201219"/>
    <w:rsid w:val="00205B98"/>
    <w:rsid w:val="00214F30"/>
    <w:rsid w:val="00235D00"/>
    <w:rsid w:val="0025110E"/>
    <w:rsid w:val="002517C2"/>
    <w:rsid w:val="00287858"/>
    <w:rsid w:val="00287947"/>
    <w:rsid w:val="00287C0B"/>
    <w:rsid w:val="002928F2"/>
    <w:rsid w:val="002A63F0"/>
    <w:rsid w:val="002C1DB8"/>
    <w:rsid w:val="002E4878"/>
    <w:rsid w:val="00303822"/>
    <w:rsid w:val="00311549"/>
    <w:rsid w:val="00317A3D"/>
    <w:rsid w:val="00322319"/>
    <w:rsid w:val="00330CC4"/>
    <w:rsid w:val="003331FA"/>
    <w:rsid w:val="00357A89"/>
    <w:rsid w:val="00380573"/>
    <w:rsid w:val="0039003C"/>
    <w:rsid w:val="003B39EF"/>
    <w:rsid w:val="003C3E98"/>
    <w:rsid w:val="003D3F3A"/>
    <w:rsid w:val="003D5E04"/>
    <w:rsid w:val="003F2475"/>
    <w:rsid w:val="0041474C"/>
    <w:rsid w:val="00426B9B"/>
    <w:rsid w:val="00427416"/>
    <w:rsid w:val="004377D2"/>
    <w:rsid w:val="00481462"/>
    <w:rsid w:val="00482137"/>
    <w:rsid w:val="004F096F"/>
    <w:rsid w:val="0050588B"/>
    <w:rsid w:val="0051785D"/>
    <w:rsid w:val="00563BE9"/>
    <w:rsid w:val="005748F7"/>
    <w:rsid w:val="00582509"/>
    <w:rsid w:val="005C1920"/>
    <w:rsid w:val="005C4823"/>
    <w:rsid w:val="005C6FC8"/>
    <w:rsid w:val="005C7779"/>
    <w:rsid w:val="005E19A9"/>
    <w:rsid w:val="00615F5B"/>
    <w:rsid w:val="00631184"/>
    <w:rsid w:val="0063676D"/>
    <w:rsid w:val="00664BA8"/>
    <w:rsid w:val="0067148E"/>
    <w:rsid w:val="00681081"/>
    <w:rsid w:val="006877B9"/>
    <w:rsid w:val="006916C8"/>
    <w:rsid w:val="006A120B"/>
    <w:rsid w:val="006A4581"/>
    <w:rsid w:val="006D672F"/>
    <w:rsid w:val="00721AAD"/>
    <w:rsid w:val="00732CE3"/>
    <w:rsid w:val="00734DDE"/>
    <w:rsid w:val="007640D6"/>
    <w:rsid w:val="007649DB"/>
    <w:rsid w:val="00793D88"/>
    <w:rsid w:val="007A0F5D"/>
    <w:rsid w:val="007C3172"/>
    <w:rsid w:val="007C5508"/>
    <w:rsid w:val="007E62EB"/>
    <w:rsid w:val="007E72A7"/>
    <w:rsid w:val="008119B9"/>
    <w:rsid w:val="00812ED2"/>
    <w:rsid w:val="008150CE"/>
    <w:rsid w:val="00821D53"/>
    <w:rsid w:val="00823F22"/>
    <w:rsid w:val="00842BE5"/>
    <w:rsid w:val="0087343E"/>
    <w:rsid w:val="00885AA1"/>
    <w:rsid w:val="008A7476"/>
    <w:rsid w:val="008A7A30"/>
    <w:rsid w:val="008D14C7"/>
    <w:rsid w:val="00907A53"/>
    <w:rsid w:val="00923AC1"/>
    <w:rsid w:val="00933651"/>
    <w:rsid w:val="00942FF8"/>
    <w:rsid w:val="00964614"/>
    <w:rsid w:val="009801DF"/>
    <w:rsid w:val="00986AB0"/>
    <w:rsid w:val="009953FB"/>
    <w:rsid w:val="009B4A65"/>
    <w:rsid w:val="009B5ABC"/>
    <w:rsid w:val="009C2113"/>
    <w:rsid w:val="009D1E6C"/>
    <w:rsid w:val="009D1F8A"/>
    <w:rsid w:val="009E5795"/>
    <w:rsid w:val="009E5A26"/>
    <w:rsid w:val="009F4423"/>
    <w:rsid w:val="00A01DB0"/>
    <w:rsid w:val="00A07F64"/>
    <w:rsid w:val="00A3008E"/>
    <w:rsid w:val="00A30490"/>
    <w:rsid w:val="00A3554A"/>
    <w:rsid w:val="00A6156A"/>
    <w:rsid w:val="00A63698"/>
    <w:rsid w:val="00A670C2"/>
    <w:rsid w:val="00A75C0B"/>
    <w:rsid w:val="00A77C09"/>
    <w:rsid w:val="00A93B3C"/>
    <w:rsid w:val="00A96B69"/>
    <w:rsid w:val="00AD1FA1"/>
    <w:rsid w:val="00AD251C"/>
    <w:rsid w:val="00AD4336"/>
    <w:rsid w:val="00AF56D2"/>
    <w:rsid w:val="00AF57AF"/>
    <w:rsid w:val="00AF71A1"/>
    <w:rsid w:val="00B17A1A"/>
    <w:rsid w:val="00B216C8"/>
    <w:rsid w:val="00B27248"/>
    <w:rsid w:val="00B339F2"/>
    <w:rsid w:val="00B356B4"/>
    <w:rsid w:val="00B35A96"/>
    <w:rsid w:val="00B55C3B"/>
    <w:rsid w:val="00B67821"/>
    <w:rsid w:val="00BD09AF"/>
    <w:rsid w:val="00BD6718"/>
    <w:rsid w:val="00BE02D6"/>
    <w:rsid w:val="00BF1150"/>
    <w:rsid w:val="00BF5BDB"/>
    <w:rsid w:val="00C110F6"/>
    <w:rsid w:val="00C140D7"/>
    <w:rsid w:val="00C174AE"/>
    <w:rsid w:val="00C2641A"/>
    <w:rsid w:val="00C35B5C"/>
    <w:rsid w:val="00C6240E"/>
    <w:rsid w:val="00C739CC"/>
    <w:rsid w:val="00C74AC4"/>
    <w:rsid w:val="00C812F7"/>
    <w:rsid w:val="00CA2D49"/>
    <w:rsid w:val="00CA4808"/>
    <w:rsid w:val="00CB24FA"/>
    <w:rsid w:val="00CD3A39"/>
    <w:rsid w:val="00CE1321"/>
    <w:rsid w:val="00CE4B1B"/>
    <w:rsid w:val="00D01789"/>
    <w:rsid w:val="00D05298"/>
    <w:rsid w:val="00D0583F"/>
    <w:rsid w:val="00D462E1"/>
    <w:rsid w:val="00D4699A"/>
    <w:rsid w:val="00D5027B"/>
    <w:rsid w:val="00D55451"/>
    <w:rsid w:val="00D97DA5"/>
    <w:rsid w:val="00DB2E4B"/>
    <w:rsid w:val="00DB3E78"/>
    <w:rsid w:val="00DC16DA"/>
    <w:rsid w:val="00DC4789"/>
    <w:rsid w:val="00DD11EA"/>
    <w:rsid w:val="00DE2205"/>
    <w:rsid w:val="00DE5CFA"/>
    <w:rsid w:val="00DF6CD4"/>
    <w:rsid w:val="00DF7C2B"/>
    <w:rsid w:val="00E119B2"/>
    <w:rsid w:val="00E124CB"/>
    <w:rsid w:val="00E14213"/>
    <w:rsid w:val="00E22DED"/>
    <w:rsid w:val="00E323DF"/>
    <w:rsid w:val="00E43CAB"/>
    <w:rsid w:val="00EA45B3"/>
    <w:rsid w:val="00EA56F5"/>
    <w:rsid w:val="00EE74F9"/>
    <w:rsid w:val="00EF4336"/>
    <w:rsid w:val="00F43A58"/>
    <w:rsid w:val="00F60440"/>
    <w:rsid w:val="00F623C9"/>
    <w:rsid w:val="00F92851"/>
    <w:rsid w:val="00F961B3"/>
    <w:rsid w:val="00F96EB5"/>
    <w:rsid w:val="00FA0613"/>
    <w:rsid w:val="00FA43D8"/>
    <w:rsid w:val="00FD77B7"/>
    <w:rsid w:val="00FD7B66"/>
    <w:rsid w:val="00FE2003"/>
    <w:rsid w:val="00FE738A"/>
    <w:rsid w:val="00FF08C7"/>
    <w:rsid w:val="00FF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B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A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986AB0"/>
    <w:rPr>
      <w:vertAlign w:val="superscript"/>
    </w:rPr>
  </w:style>
  <w:style w:type="paragraph" w:styleId="FootnoteText">
    <w:name w:val="footnote text"/>
    <w:aliases w:val="Car"/>
    <w:basedOn w:val="Normal"/>
    <w:link w:val="FootnoteTextChar"/>
    <w:unhideWhenUsed/>
    <w:qFormat/>
    <w:rsid w:val="00986AB0"/>
  </w:style>
  <w:style w:type="character" w:customStyle="1" w:styleId="FootnoteTextChar">
    <w:name w:val="Footnote Text Char"/>
    <w:aliases w:val="Car Char"/>
    <w:basedOn w:val="DefaultParagraphFont"/>
    <w:link w:val="FootnoteText"/>
    <w:uiPriority w:val="99"/>
    <w:rsid w:val="00986AB0"/>
    <w:rPr>
      <w:rFonts w:ascii="Times New Roman" w:eastAsia="Times New Roman" w:hAnsi="Times New Roman" w:cs="Times New Roman"/>
      <w:sz w:val="20"/>
      <w:szCs w:val="20"/>
    </w:rPr>
  </w:style>
  <w:style w:type="paragraph" w:customStyle="1" w:styleId="Style">
    <w:name w:val="Style"/>
    <w:rsid w:val="001852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25110E"/>
    <w:rPr>
      <w:color w:val="0000FF"/>
      <w:u w:val="single"/>
    </w:rPr>
  </w:style>
  <w:style w:type="character" w:customStyle="1" w:styleId="term1">
    <w:name w:val="term1"/>
    <w:basedOn w:val="DefaultParagraphFont"/>
    <w:rsid w:val="0025110E"/>
    <w:rPr>
      <w:b/>
      <w:bCs/>
    </w:rPr>
  </w:style>
  <w:style w:type="paragraph" w:styleId="BodyText">
    <w:name w:val="Body Text"/>
    <w:basedOn w:val="Normal"/>
    <w:link w:val="BodyTextChar"/>
    <w:rsid w:val="008A7A30"/>
    <w:pPr>
      <w:widowControl/>
      <w:spacing w:line="360" w:lineRule="auto"/>
      <w:jc w:val="both"/>
    </w:pPr>
    <w:rPr>
      <w:sz w:val="26"/>
    </w:rPr>
  </w:style>
  <w:style w:type="character" w:customStyle="1" w:styleId="BodyTextChar">
    <w:name w:val="Body Text Char"/>
    <w:basedOn w:val="DefaultParagraphFont"/>
    <w:link w:val="BodyText"/>
    <w:rsid w:val="008A7A30"/>
    <w:rPr>
      <w:rFonts w:ascii="Times New Roman" w:eastAsia="Times New Roman" w:hAnsi="Times New Roman" w:cs="Times New Roman"/>
      <w:sz w:val="26"/>
      <w:szCs w:val="20"/>
    </w:rPr>
  </w:style>
  <w:style w:type="paragraph" w:styleId="NormalWeb">
    <w:name w:val="Normal (Web)"/>
    <w:basedOn w:val="Normal"/>
    <w:uiPriority w:val="99"/>
    <w:semiHidden/>
    <w:unhideWhenUsed/>
    <w:rsid w:val="005E19A9"/>
    <w:pPr>
      <w:widowControl/>
    </w:pPr>
    <w:rPr>
      <w:sz w:val="24"/>
      <w:szCs w:val="24"/>
    </w:rPr>
  </w:style>
  <w:style w:type="paragraph" w:styleId="Header">
    <w:name w:val="header"/>
    <w:basedOn w:val="Normal"/>
    <w:link w:val="HeaderChar"/>
    <w:uiPriority w:val="99"/>
    <w:unhideWhenUsed/>
    <w:rsid w:val="00D05298"/>
    <w:pPr>
      <w:tabs>
        <w:tab w:val="center" w:pos="4680"/>
        <w:tab w:val="right" w:pos="9360"/>
      </w:tabs>
    </w:pPr>
  </w:style>
  <w:style w:type="character" w:customStyle="1" w:styleId="HeaderChar">
    <w:name w:val="Header Char"/>
    <w:basedOn w:val="DefaultParagraphFont"/>
    <w:link w:val="Header"/>
    <w:uiPriority w:val="99"/>
    <w:rsid w:val="00D052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02D6"/>
    <w:pPr>
      <w:tabs>
        <w:tab w:val="center" w:pos="4680"/>
        <w:tab w:val="right" w:pos="9360"/>
      </w:tabs>
    </w:pPr>
  </w:style>
  <w:style w:type="character" w:customStyle="1" w:styleId="FooterChar">
    <w:name w:val="Footer Char"/>
    <w:basedOn w:val="DefaultParagraphFont"/>
    <w:link w:val="Footer"/>
    <w:uiPriority w:val="99"/>
    <w:rsid w:val="00BE02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5F5B"/>
    <w:rPr>
      <w:rFonts w:ascii="Tahoma" w:hAnsi="Tahoma" w:cs="Tahoma"/>
      <w:sz w:val="16"/>
      <w:szCs w:val="16"/>
    </w:rPr>
  </w:style>
  <w:style w:type="character" w:customStyle="1" w:styleId="BalloonTextChar">
    <w:name w:val="Balloon Text Char"/>
    <w:basedOn w:val="DefaultParagraphFont"/>
    <w:link w:val="BalloonText"/>
    <w:uiPriority w:val="99"/>
    <w:semiHidden/>
    <w:rsid w:val="00615F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B0"/>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A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986AB0"/>
    <w:rPr>
      <w:vertAlign w:val="superscript"/>
    </w:rPr>
  </w:style>
  <w:style w:type="paragraph" w:styleId="FootnoteText">
    <w:name w:val="footnote text"/>
    <w:aliases w:val="Car"/>
    <w:basedOn w:val="Normal"/>
    <w:link w:val="FootnoteTextChar"/>
    <w:unhideWhenUsed/>
    <w:qFormat/>
    <w:rsid w:val="00986AB0"/>
  </w:style>
  <w:style w:type="character" w:customStyle="1" w:styleId="FootnoteTextChar">
    <w:name w:val="Footnote Text Char"/>
    <w:aliases w:val="Car Char"/>
    <w:basedOn w:val="DefaultParagraphFont"/>
    <w:link w:val="FootnoteText"/>
    <w:uiPriority w:val="99"/>
    <w:rsid w:val="00986AB0"/>
    <w:rPr>
      <w:rFonts w:ascii="Times New Roman" w:eastAsia="Times New Roman" w:hAnsi="Times New Roman" w:cs="Times New Roman"/>
      <w:sz w:val="20"/>
      <w:szCs w:val="20"/>
    </w:rPr>
  </w:style>
  <w:style w:type="paragraph" w:customStyle="1" w:styleId="Style">
    <w:name w:val="Style"/>
    <w:rsid w:val="001852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25110E"/>
    <w:rPr>
      <w:color w:val="0000FF"/>
      <w:u w:val="single"/>
    </w:rPr>
  </w:style>
  <w:style w:type="character" w:customStyle="1" w:styleId="term1">
    <w:name w:val="term1"/>
    <w:basedOn w:val="DefaultParagraphFont"/>
    <w:rsid w:val="0025110E"/>
    <w:rPr>
      <w:b/>
      <w:bCs/>
    </w:rPr>
  </w:style>
  <w:style w:type="paragraph" w:styleId="BodyText">
    <w:name w:val="Body Text"/>
    <w:basedOn w:val="Normal"/>
    <w:link w:val="BodyTextChar"/>
    <w:rsid w:val="008A7A30"/>
    <w:pPr>
      <w:widowControl/>
      <w:spacing w:line="360" w:lineRule="auto"/>
      <w:jc w:val="both"/>
    </w:pPr>
    <w:rPr>
      <w:sz w:val="26"/>
    </w:rPr>
  </w:style>
  <w:style w:type="character" w:customStyle="1" w:styleId="BodyTextChar">
    <w:name w:val="Body Text Char"/>
    <w:basedOn w:val="DefaultParagraphFont"/>
    <w:link w:val="BodyText"/>
    <w:rsid w:val="008A7A30"/>
    <w:rPr>
      <w:rFonts w:ascii="Times New Roman" w:eastAsia="Times New Roman" w:hAnsi="Times New Roman" w:cs="Times New Roman"/>
      <w:sz w:val="26"/>
      <w:szCs w:val="20"/>
    </w:rPr>
  </w:style>
  <w:style w:type="paragraph" w:styleId="NormalWeb">
    <w:name w:val="Normal (Web)"/>
    <w:basedOn w:val="Normal"/>
    <w:uiPriority w:val="99"/>
    <w:semiHidden/>
    <w:unhideWhenUsed/>
    <w:rsid w:val="005E19A9"/>
    <w:pPr>
      <w:widowControl/>
    </w:pPr>
    <w:rPr>
      <w:sz w:val="24"/>
      <w:szCs w:val="24"/>
    </w:rPr>
  </w:style>
  <w:style w:type="paragraph" w:styleId="Header">
    <w:name w:val="header"/>
    <w:basedOn w:val="Normal"/>
    <w:link w:val="HeaderChar"/>
    <w:uiPriority w:val="99"/>
    <w:unhideWhenUsed/>
    <w:rsid w:val="00D05298"/>
    <w:pPr>
      <w:tabs>
        <w:tab w:val="center" w:pos="4680"/>
        <w:tab w:val="right" w:pos="9360"/>
      </w:tabs>
    </w:pPr>
  </w:style>
  <w:style w:type="character" w:customStyle="1" w:styleId="HeaderChar">
    <w:name w:val="Header Char"/>
    <w:basedOn w:val="DefaultParagraphFont"/>
    <w:link w:val="Header"/>
    <w:uiPriority w:val="99"/>
    <w:rsid w:val="00D052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E02D6"/>
    <w:pPr>
      <w:tabs>
        <w:tab w:val="center" w:pos="4680"/>
        <w:tab w:val="right" w:pos="9360"/>
      </w:tabs>
    </w:pPr>
  </w:style>
  <w:style w:type="character" w:customStyle="1" w:styleId="FooterChar">
    <w:name w:val="Footer Char"/>
    <w:basedOn w:val="DefaultParagraphFont"/>
    <w:link w:val="Footer"/>
    <w:uiPriority w:val="99"/>
    <w:rsid w:val="00BE02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5F5B"/>
    <w:rPr>
      <w:rFonts w:ascii="Tahoma" w:hAnsi="Tahoma" w:cs="Tahoma"/>
      <w:sz w:val="16"/>
      <w:szCs w:val="16"/>
    </w:rPr>
  </w:style>
  <w:style w:type="character" w:customStyle="1" w:styleId="BalloonTextChar">
    <w:name w:val="Balloon Text Char"/>
    <w:basedOn w:val="DefaultParagraphFont"/>
    <w:link w:val="BalloonText"/>
    <w:uiPriority w:val="99"/>
    <w:semiHidden/>
    <w:rsid w:val="00615F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13001">
      <w:bodyDiv w:val="1"/>
      <w:marLeft w:val="0"/>
      <w:marRight w:val="0"/>
      <w:marTop w:val="0"/>
      <w:marBottom w:val="0"/>
      <w:divBdr>
        <w:top w:val="none" w:sz="0" w:space="0" w:color="auto"/>
        <w:left w:val="none" w:sz="0" w:space="0" w:color="auto"/>
        <w:bottom w:val="none" w:sz="0" w:space="0" w:color="auto"/>
        <w:right w:val="none" w:sz="0" w:space="0" w:color="auto"/>
      </w:divBdr>
      <w:divsChild>
        <w:div w:id="114211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A6F9-7C29-4D29-AF02-5CF3DCD1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9</cp:revision>
  <cp:lastPrinted>2017-03-16T16:12:00Z</cp:lastPrinted>
  <dcterms:created xsi:type="dcterms:W3CDTF">2017-01-30T21:28:00Z</dcterms:created>
  <dcterms:modified xsi:type="dcterms:W3CDTF">2017-03-16T16:12:00Z</dcterms:modified>
</cp:coreProperties>
</file>