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06B" w:rsidRDefault="007A206B">
      <w:pPr>
        <w:rPr>
          <w:rFonts w:ascii="Arial" w:hAnsi="Arial" w:cs="Arial"/>
          <w:b/>
        </w:rPr>
      </w:pPr>
    </w:p>
    <w:p w:rsidR="00410396" w:rsidRDefault="00410396">
      <w:pPr>
        <w:rPr>
          <w:rFonts w:ascii="Arial" w:hAnsi="Arial" w:cs="Arial"/>
          <w:b/>
        </w:rPr>
      </w:pPr>
    </w:p>
    <w:p w:rsidR="00410396" w:rsidRDefault="00410396">
      <w:pPr>
        <w:rPr>
          <w:rFonts w:ascii="Arial" w:hAnsi="Arial" w:cs="Arial"/>
          <w:b/>
        </w:rPr>
      </w:pPr>
    </w:p>
    <w:p w:rsidR="00410396" w:rsidRDefault="00410396">
      <w:pPr>
        <w:rPr>
          <w:rFonts w:ascii="Arial" w:hAnsi="Arial" w:cs="Arial"/>
          <w:b/>
        </w:rPr>
      </w:pPr>
    </w:p>
    <w:p w:rsidR="00410396" w:rsidRDefault="00410396">
      <w:pPr>
        <w:rPr>
          <w:rFonts w:ascii="Arial" w:hAnsi="Arial" w:cs="Arial"/>
          <w:b/>
        </w:rPr>
      </w:pPr>
    </w:p>
    <w:p w:rsidR="00410396" w:rsidRDefault="00410396">
      <w:pPr>
        <w:rPr>
          <w:rFonts w:ascii="Arial" w:hAnsi="Arial" w:cs="Arial"/>
          <w:b/>
        </w:rPr>
      </w:pPr>
    </w:p>
    <w:p w:rsidR="00410396" w:rsidRDefault="00410396">
      <w:pPr>
        <w:rPr>
          <w:rFonts w:ascii="Arial" w:hAnsi="Arial" w:cs="Arial"/>
          <w:b/>
        </w:rPr>
      </w:pPr>
    </w:p>
    <w:p w:rsidR="00410396" w:rsidRDefault="00410396">
      <w:pPr>
        <w:rPr>
          <w:rFonts w:ascii="Arial" w:hAnsi="Arial" w:cs="Arial"/>
          <w:b/>
        </w:rPr>
      </w:pPr>
    </w:p>
    <w:p w:rsidR="00410396" w:rsidRPr="00CE6637" w:rsidRDefault="00410396">
      <w:pPr>
        <w:rPr>
          <w:rFonts w:ascii="Arial" w:hAnsi="Arial" w:cs="Arial"/>
          <w:b/>
        </w:rPr>
      </w:pPr>
    </w:p>
    <w:p w:rsidR="00932F13" w:rsidRDefault="00932F13" w:rsidP="00905409">
      <w:pPr>
        <w:pStyle w:val="Title"/>
        <w:rPr>
          <w:rFonts w:ascii="Arial" w:hAnsi="Arial" w:cs="Arial"/>
          <w:sz w:val="36"/>
          <w:szCs w:val="36"/>
          <w:u w:val="none"/>
        </w:rPr>
      </w:pPr>
    </w:p>
    <w:p w:rsidR="001032C8" w:rsidRPr="008E7086" w:rsidRDefault="00E56A7B" w:rsidP="00932F13">
      <w:pPr>
        <w:pStyle w:val="Title"/>
        <w:rPr>
          <w:rFonts w:ascii="Arial" w:hAnsi="Arial" w:cs="Arial"/>
          <w:b w:val="0"/>
          <w:sz w:val="36"/>
          <w:szCs w:val="36"/>
        </w:rPr>
      </w:pPr>
      <w:r w:rsidRPr="008E7086">
        <w:rPr>
          <w:rFonts w:ascii="Arial" w:hAnsi="Arial" w:cs="Arial"/>
          <w:sz w:val="36"/>
          <w:szCs w:val="36"/>
          <w:u w:val="none"/>
        </w:rPr>
        <w:t>P</w:t>
      </w:r>
      <w:r w:rsidR="002C0E16" w:rsidRPr="008E7086">
        <w:rPr>
          <w:rFonts w:ascii="Arial" w:hAnsi="Arial" w:cs="Arial"/>
          <w:sz w:val="36"/>
          <w:szCs w:val="36"/>
          <w:u w:val="none"/>
        </w:rPr>
        <w:t>ECO ENERGY COMPANY</w:t>
      </w:r>
    </w:p>
    <w:p w:rsidR="001032C8" w:rsidRDefault="001032C8" w:rsidP="00905409">
      <w:pPr>
        <w:rPr>
          <w:rFonts w:ascii="Arial" w:hAnsi="Arial" w:cs="Arial"/>
          <w:b/>
          <w:sz w:val="36"/>
          <w:szCs w:val="36"/>
        </w:rPr>
      </w:pPr>
    </w:p>
    <w:p w:rsidR="006C01CA" w:rsidRDefault="006C01CA" w:rsidP="00905409">
      <w:pPr>
        <w:rPr>
          <w:rFonts w:ascii="Arial" w:hAnsi="Arial" w:cs="Arial"/>
          <w:b/>
          <w:sz w:val="36"/>
          <w:szCs w:val="36"/>
        </w:rPr>
      </w:pPr>
    </w:p>
    <w:p w:rsidR="006C01CA" w:rsidRDefault="006C01CA" w:rsidP="00905409">
      <w:pPr>
        <w:rPr>
          <w:rFonts w:ascii="Arial" w:hAnsi="Arial" w:cs="Arial"/>
          <w:b/>
          <w:sz w:val="36"/>
          <w:szCs w:val="36"/>
        </w:rPr>
      </w:pPr>
    </w:p>
    <w:p w:rsidR="006C01CA" w:rsidRDefault="006C01CA" w:rsidP="00905409">
      <w:pPr>
        <w:rPr>
          <w:rFonts w:ascii="Arial" w:hAnsi="Arial" w:cs="Arial"/>
          <w:b/>
          <w:sz w:val="36"/>
          <w:szCs w:val="36"/>
        </w:rPr>
      </w:pPr>
    </w:p>
    <w:p w:rsidR="004B4861" w:rsidRPr="008E7086" w:rsidRDefault="004B4861" w:rsidP="00905409">
      <w:pPr>
        <w:pStyle w:val="BodyText2"/>
        <w:tabs>
          <w:tab w:val="clear" w:pos="4680"/>
        </w:tabs>
        <w:rPr>
          <w:rFonts w:ascii="Arial" w:hAnsi="Arial" w:cs="Arial"/>
          <w:szCs w:val="36"/>
        </w:rPr>
      </w:pPr>
    </w:p>
    <w:p w:rsidR="006C01CA" w:rsidRDefault="006C01CA" w:rsidP="00905409">
      <w:pPr>
        <w:suppressAutoHyphens/>
        <w:rPr>
          <w:rFonts w:ascii="Arial" w:hAnsi="Arial" w:cs="Arial"/>
          <w:b/>
          <w:sz w:val="28"/>
          <w:szCs w:val="28"/>
        </w:rPr>
      </w:pPr>
    </w:p>
    <w:p w:rsidR="00F4717D" w:rsidRPr="008E7086" w:rsidRDefault="00554B9B" w:rsidP="00905409">
      <w:pPr>
        <w:suppressAutoHyphens/>
        <w:rPr>
          <w:rFonts w:ascii="Arial" w:hAnsi="Arial" w:cs="Arial"/>
          <w:b/>
          <w:sz w:val="28"/>
          <w:szCs w:val="28"/>
        </w:rPr>
      </w:pPr>
      <w:r w:rsidRPr="008E7086">
        <w:rPr>
          <w:rFonts w:ascii="Arial" w:hAnsi="Arial" w:cs="Arial"/>
          <w:b/>
          <w:sz w:val="28"/>
          <w:szCs w:val="28"/>
        </w:rPr>
        <w:t xml:space="preserve">A REPORT ON THE </w:t>
      </w:r>
      <w:r w:rsidR="00410396">
        <w:rPr>
          <w:rFonts w:ascii="Arial" w:hAnsi="Arial" w:cs="Arial"/>
          <w:b/>
          <w:sz w:val="28"/>
          <w:szCs w:val="28"/>
        </w:rPr>
        <w:t>STATEMENTS OF</w:t>
      </w:r>
    </w:p>
    <w:p w:rsidR="00216F99" w:rsidRPr="008E7086" w:rsidRDefault="00216F99" w:rsidP="00905409">
      <w:pPr>
        <w:suppressAutoHyphens/>
        <w:rPr>
          <w:rFonts w:ascii="Arial" w:hAnsi="Arial" w:cs="Arial"/>
          <w:b/>
          <w:sz w:val="28"/>
          <w:szCs w:val="28"/>
        </w:rPr>
      </w:pPr>
    </w:p>
    <w:p w:rsidR="00216F99" w:rsidRPr="008E7086" w:rsidRDefault="00E56A7B" w:rsidP="00905409">
      <w:pPr>
        <w:suppressAutoHyphens/>
        <w:rPr>
          <w:rFonts w:ascii="Arial" w:hAnsi="Arial" w:cs="Arial"/>
          <w:b/>
          <w:sz w:val="28"/>
          <w:szCs w:val="28"/>
        </w:rPr>
      </w:pPr>
      <w:r w:rsidRPr="008E7086">
        <w:rPr>
          <w:rFonts w:ascii="Arial" w:hAnsi="Arial" w:cs="Arial"/>
          <w:b/>
          <w:sz w:val="28"/>
          <w:szCs w:val="28"/>
        </w:rPr>
        <w:t xml:space="preserve">GENERATION </w:t>
      </w:r>
      <w:r w:rsidR="00991813" w:rsidRPr="008E7086">
        <w:rPr>
          <w:rFonts w:ascii="Arial" w:hAnsi="Arial" w:cs="Arial"/>
          <w:b/>
          <w:sz w:val="28"/>
          <w:szCs w:val="28"/>
        </w:rPr>
        <w:t>SUPPLY</w:t>
      </w:r>
      <w:r w:rsidRPr="008E7086">
        <w:rPr>
          <w:rFonts w:ascii="Arial" w:hAnsi="Arial" w:cs="Arial"/>
          <w:b/>
          <w:sz w:val="28"/>
          <w:szCs w:val="28"/>
        </w:rPr>
        <w:t xml:space="preserve"> </w:t>
      </w:r>
      <w:r w:rsidR="00F852AE">
        <w:rPr>
          <w:rFonts w:ascii="Arial" w:hAnsi="Arial" w:cs="Arial"/>
          <w:b/>
          <w:sz w:val="28"/>
          <w:szCs w:val="28"/>
        </w:rPr>
        <w:t>ADJUSTMENT</w:t>
      </w:r>
    </w:p>
    <w:p w:rsidR="00061843" w:rsidRPr="008E7086" w:rsidRDefault="00554B9B" w:rsidP="00905409">
      <w:pPr>
        <w:suppressAutoHyphens/>
        <w:rPr>
          <w:rFonts w:ascii="Arial" w:hAnsi="Arial" w:cs="Arial"/>
          <w:sz w:val="28"/>
          <w:szCs w:val="28"/>
        </w:rPr>
      </w:pPr>
      <w:r w:rsidRPr="008E7086">
        <w:rPr>
          <w:rFonts w:ascii="Arial" w:hAnsi="Arial" w:cs="Arial"/>
          <w:sz w:val="28"/>
          <w:szCs w:val="28"/>
        </w:rPr>
        <w:t xml:space="preserve"> </w:t>
      </w:r>
    </w:p>
    <w:p w:rsidR="006C01CA" w:rsidRDefault="00554B9B" w:rsidP="00A11253">
      <w:pPr>
        <w:suppressAutoHyphens/>
        <w:rPr>
          <w:rFonts w:ascii="Arial" w:hAnsi="Arial" w:cs="Arial"/>
          <w:b/>
          <w:sz w:val="28"/>
          <w:szCs w:val="28"/>
        </w:rPr>
      </w:pPr>
      <w:r w:rsidRPr="008E7086">
        <w:rPr>
          <w:rFonts w:ascii="Arial" w:hAnsi="Arial" w:cs="Arial"/>
          <w:b/>
          <w:sz w:val="28"/>
          <w:szCs w:val="28"/>
        </w:rPr>
        <w:t xml:space="preserve">FOR THE </w:t>
      </w:r>
      <w:r w:rsidR="004166DD" w:rsidRPr="008E7086">
        <w:rPr>
          <w:rFonts w:ascii="Arial" w:hAnsi="Arial" w:cs="Arial"/>
          <w:b/>
          <w:sz w:val="28"/>
          <w:szCs w:val="28"/>
        </w:rPr>
        <w:t>TWELVE</w:t>
      </w:r>
      <w:r w:rsidR="00991813" w:rsidRPr="008E7086">
        <w:rPr>
          <w:rFonts w:ascii="Arial" w:hAnsi="Arial" w:cs="Arial"/>
          <w:b/>
          <w:sz w:val="28"/>
          <w:szCs w:val="28"/>
        </w:rPr>
        <w:t xml:space="preserve"> MONTH</w:t>
      </w:r>
      <w:r w:rsidR="006C01CA">
        <w:rPr>
          <w:rFonts w:ascii="Arial" w:hAnsi="Arial" w:cs="Arial"/>
          <w:b/>
          <w:sz w:val="28"/>
          <w:szCs w:val="28"/>
        </w:rPr>
        <w:t xml:space="preserve"> PERIODS</w:t>
      </w:r>
      <w:r w:rsidR="00991813" w:rsidRPr="008E7086">
        <w:rPr>
          <w:rFonts w:ascii="Arial" w:hAnsi="Arial" w:cs="Arial"/>
          <w:b/>
          <w:sz w:val="28"/>
          <w:szCs w:val="28"/>
        </w:rPr>
        <w:t xml:space="preserve"> ENDED </w:t>
      </w:r>
    </w:p>
    <w:p w:rsidR="006C01CA" w:rsidRDefault="006C01CA" w:rsidP="00A11253">
      <w:pPr>
        <w:suppressAutoHyphens/>
        <w:rPr>
          <w:rFonts w:ascii="Arial" w:hAnsi="Arial" w:cs="Arial"/>
          <w:b/>
          <w:sz w:val="28"/>
          <w:szCs w:val="28"/>
        </w:rPr>
      </w:pPr>
    </w:p>
    <w:p w:rsidR="00410396" w:rsidRDefault="004166DD" w:rsidP="00A11253">
      <w:pPr>
        <w:suppressAutoHyphens/>
        <w:rPr>
          <w:rFonts w:ascii="Arial" w:hAnsi="Arial" w:cs="Arial"/>
          <w:b/>
          <w:sz w:val="28"/>
          <w:szCs w:val="28"/>
        </w:rPr>
      </w:pPr>
      <w:r w:rsidRPr="008E7086">
        <w:rPr>
          <w:rFonts w:ascii="Arial" w:hAnsi="Arial" w:cs="Arial"/>
          <w:b/>
          <w:sz w:val="28"/>
          <w:szCs w:val="28"/>
        </w:rPr>
        <w:t>DECEMBER</w:t>
      </w:r>
      <w:r w:rsidR="00A143F7" w:rsidRPr="008E7086">
        <w:rPr>
          <w:rFonts w:ascii="Arial" w:hAnsi="Arial" w:cs="Arial"/>
          <w:b/>
          <w:sz w:val="28"/>
          <w:szCs w:val="28"/>
        </w:rPr>
        <w:t xml:space="preserve"> 31</w:t>
      </w:r>
      <w:r w:rsidR="00991813" w:rsidRPr="008E7086">
        <w:rPr>
          <w:rFonts w:ascii="Arial" w:hAnsi="Arial" w:cs="Arial"/>
          <w:b/>
          <w:sz w:val="28"/>
          <w:szCs w:val="28"/>
        </w:rPr>
        <w:t>, 201</w:t>
      </w:r>
      <w:r w:rsidR="00A11253">
        <w:rPr>
          <w:rFonts w:ascii="Arial" w:hAnsi="Arial" w:cs="Arial"/>
          <w:b/>
          <w:sz w:val="28"/>
          <w:szCs w:val="28"/>
        </w:rPr>
        <w:t>4,</w:t>
      </w:r>
      <w:r w:rsidR="00991813" w:rsidRPr="008E7086">
        <w:rPr>
          <w:rFonts w:ascii="Arial" w:hAnsi="Arial" w:cs="Arial"/>
          <w:b/>
          <w:sz w:val="28"/>
          <w:szCs w:val="28"/>
        </w:rPr>
        <w:t xml:space="preserve"> </w:t>
      </w:r>
      <w:r w:rsidR="00410396">
        <w:rPr>
          <w:rFonts w:ascii="Arial" w:hAnsi="Arial" w:cs="Arial"/>
          <w:b/>
          <w:sz w:val="28"/>
          <w:szCs w:val="28"/>
        </w:rPr>
        <w:t xml:space="preserve">DECEMBER 31, </w:t>
      </w:r>
      <w:r w:rsidR="006C01CA">
        <w:rPr>
          <w:rFonts w:ascii="Arial" w:hAnsi="Arial" w:cs="Arial"/>
          <w:b/>
          <w:sz w:val="28"/>
          <w:szCs w:val="28"/>
        </w:rPr>
        <w:t>2013</w:t>
      </w:r>
    </w:p>
    <w:p w:rsidR="00410396" w:rsidRDefault="006C01CA" w:rsidP="00A11253">
      <w:pPr>
        <w:suppressAutoHyphens/>
        <w:rPr>
          <w:rFonts w:ascii="Arial" w:hAnsi="Arial" w:cs="Arial"/>
          <w:b/>
          <w:sz w:val="28"/>
          <w:szCs w:val="28"/>
        </w:rPr>
      </w:pPr>
      <w:r>
        <w:rPr>
          <w:rFonts w:ascii="Arial" w:hAnsi="Arial" w:cs="Arial"/>
          <w:b/>
          <w:sz w:val="28"/>
          <w:szCs w:val="28"/>
        </w:rPr>
        <w:t xml:space="preserve"> </w:t>
      </w:r>
    </w:p>
    <w:p w:rsidR="006C01CA" w:rsidRDefault="006C01CA" w:rsidP="00A11253">
      <w:pPr>
        <w:suppressAutoHyphens/>
        <w:rPr>
          <w:rFonts w:ascii="Arial" w:hAnsi="Arial" w:cs="Arial"/>
          <w:b/>
          <w:sz w:val="28"/>
          <w:szCs w:val="28"/>
        </w:rPr>
      </w:pPr>
      <w:r>
        <w:rPr>
          <w:rFonts w:ascii="Arial" w:hAnsi="Arial" w:cs="Arial"/>
          <w:b/>
          <w:sz w:val="28"/>
          <w:szCs w:val="28"/>
        </w:rPr>
        <w:t xml:space="preserve">AND </w:t>
      </w:r>
      <w:r w:rsidR="00410396">
        <w:rPr>
          <w:rFonts w:ascii="Arial" w:hAnsi="Arial" w:cs="Arial"/>
          <w:b/>
          <w:sz w:val="28"/>
          <w:szCs w:val="28"/>
        </w:rPr>
        <w:t xml:space="preserve">DECEMBER 31, </w:t>
      </w:r>
      <w:r>
        <w:rPr>
          <w:rFonts w:ascii="Arial" w:hAnsi="Arial" w:cs="Arial"/>
          <w:b/>
          <w:sz w:val="28"/>
          <w:szCs w:val="28"/>
        </w:rPr>
        <w:t>201</w:t>
      </w:r>
      <w:r w:rsidR="00410396">
        <w:rPr>
          <w:rFonts w:ascii="Arial" w:hAnsi="Arial" w:cs="Arial"/>
          <w:b/>
          <w:sz w:val="28"/>
          <w:szCs w:val="28"/>
        </w:rPr>
        <w:t>2</w:t>
      </w:r>
    </w:p>
    <w:p w:rsidR="006C01CA" w:rsidRDefault="006C01CA" w:rsidP="00A11253">
      <w:pPr>
        <w:suppressAutoHyphens/>
        <w:rPr>
          <w:rFonts w:ascii="Arial" w:hAnsi="Arial" w:cs="Arial"/>
          <w:b/>
          <w:sz w:val="28"/>
          <w:szCs w:val="28"/>
        </w:rPr>
      </w:pPr>
    </w:p>
    <w:p w:rsidR="00A11253" w:rsidRPr="008E7086" w:rsidRDefault="00A11253" w:rsidP="00A11253">
      <w:pPr>
        <w:suppressAutoHyphens/>
        <w:rPr>
          <w:rFonts w:ascii="Arial" w:hAnsi="Arial" w:cs="Arial"/>
          <w:b/>
          <w:sz w:val="28"/>
          <w:szCs w:val="28"/>
        </w:rPr>
      </w:pPr>
      <w:r w:rsidRPr="008E7086">
        <w:rPr>
          <w:rFonts w:ascii="Arial" w:hAnsi="Arial" w:cs="Arial"/>
          <w:b/>
          <w:sz w:val="28"/>
          <w:szCs w:val="28"/>
        </w:rPr>
        <w:t xml:space="preserve"> </w:t>
      </w:r>
    </w:p>
    <w:p w:rsidR="00DC4DD6" w:rsidRPr="008E7086" w:rsidRDefault="00DC4DD6" w:rsidP="00216F99">
      <w:pPr>
        <w:suppressAutoHyphens/>
        <w:rPr>
          <w:rFonts w:ascii="Arial" w:hAnsi="Arial" w:cs="Arial"/>
          <w:b/>
          <w:sz w:val="28"/>
          <w:szCs w:val="28"/>
        </w:rPr>
      </w:pPr>
    </w:p>
    <w:p w:rsidR="001E14C1" w:rsidRPr="008E7086" w:rsidRDefault="00061843" w:rsidP="00216F99">
      <w:pPr>
        <w:suppressAutoHyphens/>
        <w:rPr>
          <w:rFonts w:ascii="Arial" w:hAnsi="Arial" w:cs="Arial"/>
          <w:sz w:val="28"/>
          <w:szCs w:val="28"/>
        </w:rPr>
      </w:pPr>
      <w:r w:rsidRPr="008E7086">
        <w:rPr>
          <w:rFonts w:ascii="Arial" w:hAnsi="Arial" w:cs="Arial"/>
          <w:b/>
          <w:sz w:val="28"/>
          <w:szCs w:val="28"/>
        </w:rPr>
        <w:t xml:space="preserve"> </w:t>
      </w:r>
    </w:p>
    <w:p w:rsidR="005D711E" w:rsidRPr="008E7086" w:rsidRDefault="005D711E" w:rsidP="00905409">
      <w:pPr>
        <w:tabs>
          <w:tab w:val="center" w:pos="4680"/>
        </w:tabs>
        <w:suppressAutoHyphens/>
        <w:rPr>
          <w:rFonts w:ascii="Arial" w:hAnsi="Arial" w:cs="Arial"/>
          <w:b/>
          <w:sz w:val="28"/>
          <w:szCs w:val="28"/>
        </w:rPr>
      </w:pPr>
    </w:p>
    <w:p w:rsidR="006C01CA" w:rsidRDefault="006C01CA" w:rsidP="000A6103">
      <w:pPr>
        <w:tabs>
          <w:tab w:val="center" w:pos="4680"/>
        </w:tabs>
        <w:suppressAutoHyphens/>
        <w:outlineLvl w:val="0"/>
        <w:rPr>
          <w:rFonts w:ascii="Arial" w:hAnsi="Arial" w:cs="Arial"/>
          <w:b/>
          <w:sz w:val="28"/>
          <w:szCs w:val="28"/>
        </w:rPr>
      </w:pPr>
    </w:p>
    <w:p w:rsidR="009F6861" w:rsidRPr="008E7086" w:rsidRDefault="005D711E" w:rsidP="000A6103">
      <w:pPr>
        <w:tabs>
          <w:tab w:val="center" w:pos="4680"/>
        </w:tabs>
        <w:suppressAutoHyphens/>
        <w:outlineLvl w:val="0"/>
        <w:rPr>
          <w:rFonts w:ascii="Arial" w:hAnsi="Arial" w:cs="Arial"/>
          <w:b/>
          <w:sz w:val="28"/>
          <w:szCs w:val="28"/>
        </w:rPr>
      </w:pPr>
      <w:r w:rsidRPr="008E7086">
        <w:rPr>
          <w:rFonts w:ascii="Arial" w:hAnsi="Arial" w:cs="Arial"/>
          <w:b/>
          <w:sz w:val="28"/>
          <w:szCs w:val="28"/>
        </w:rPr>
        <w:t xml:space="preserve">Prepared </w:t>
      </w:r>
      <w:r w:rsidR="00C06521" w:rsidRPr="008E7086">
        <w:rPr>
          <w:rFonts w:ascii="Arial" w:hAnsi="Arial" w:cs="Arial"/>
          <w:b/>
          <w:sz w:val="28"/>
          <w:szCs w:val="28"/>
        </w:rPr>
        <w:t xml:space="preserve">By </w:t>
      </w:r>
      <w:r w:rsidRPr="008E7086">
        <w:rPr>
          <w:rFonts w:ascii="Arial" w:hAnsi="Arial" w:cs="Arial"/>
          <w:b/>
          <w:sz w:val="28"/>
          <w:szCs w:val="28"/>
        </w:rPr>
        <w:t>The</w:t>
      </w:r>
    </w:p>
    <w:p w:rsidR="005D711E" w:rsidRPr="008E7086" w:rsidRDefault="005D711E" w:rsidP="000A6103">
      <w:pPr>
        <w:tabs>
          <w:tab w:val="center" w:pos="4680"/>
        </w:tabs>
        <w:suppressAutoHyphens/>
        <w:outlineLvl w:val="0"/>
        <w:rPr>
          <w:rFonts w:ascii="Arial" w:hAnsi="Arial" w:cs="Arial"/>
          <w:b/>
          <w:sz w:val="28"/>
          <w:szCs w:val="28"/>
        </w:rPr>
      </w:pPr>
      <w:r w:rsidRPr="008E7086">
        <w:rPr>
          <w:rFonts w:ascii="Arial" w:hAnsi="Arial" w:cs="Arial"/>
          <w:b/>
          <w:sz w:val="28"/>
          <w:szCs w:val="28"/>
        </w:rPr>
        <w:t>Pennsylvania Public Utility Commission</w:t>
      </w:r>
    </w:p>
    <w:p w:rsidR="005D711E" w:rsidRPr="008E7086" w:rsidRDefault="005D711E" w:rsidP="000A6103">
      <w:pPr>
        <w:tabs>
          <w:tab w:val="center" w:pos="4680"/>
        </w:tabs>
        <w:suppressAutoHyphens/>
        <w:rPr>
          <w:rFonts w:ascii="Arial" w:hAnsi="Arial" w:cs="Arial"/>
          <w:b/>
          <w:sz w:val="28"/>
          <w:szCs w:val="28"/>
        </w:rPr>
      </w:pPr>
      <w:r w:rsidRPr="008E7086">
        <w:rPr>
          <w:rFonts w:ascii="Arial" w:hAnsi="Arial" w:cs="Arial"/>
          <w:b/>
          <w:sz w:val="28"/>
          <w:szCs w:val="28"/>
        </w:rPr>
        <w:t xml:space="preserve">Bureau </w:t>
      </w:r>
      <w:proofErr w:type="gramStart"/>
      <w:r w:rsidRPr="008E7086">
        <w:rPr>
          <w:rFonts w:ascii="Arial" w:hAnsi="Arial" w:cs="Arial"/>
          <w:b/>
          <w:sz w:val="28"/>
          <w:szCs w:val="28"/>
        </w:rPr>
        <w:t>Of</w:t>
      </w:r>
      <w:proofErr w:type="gramEnd"/>
      <w:r w:rsidRPr="008E7086">
        <w:rPr>
          <w:rFonts w:ascii="Arial" w:hAnsi="Arial" w:cs="Arial"/>
          <w:b/>
          <w:sz w:val="28"/>
          <w:szCs w:val="28"/>
        </w:rPr>
        <w:t xml:space="preserve"> Audits</w:t>
      </w:r>
    </w:p>
    <w:p w:rsidR="009F6861" w:rsidRPr="008E7086" w:rsidRDefault="00DC4DD6" w:rsidP="000A6103">
      <w:pPr>
        <w:tabs>
          <w:tab w:val="center" w:pos="4680"/>
        </w:tabs>
        <w:suppressAutoHyphens/>
        <w:rPr>
          <w:rFonts w:ascii="Arial" w:hAnsi="Arial" w:cs="Arial"/>
          <w:b/>
          <w:sz w:val="28"/>
          <w:szCs w:val="28"/>
        </w:rPr>
      </w:pPr>
      <w:r w:rsidRPr="008E7086">
        <w:rPr>
          <w:rFonts w:ascii="Arial" w:hAnsi="Arial" w:cs="Arial"/>
          <w:b/>
          <w:sz w:val="28"/>
          <w:szCs w:val="28"/>
        </w:rPr>
        <w:t>Report Date:</w:t>
      </w:r>
      <w:r w:rsidR="00116AA0" w:rsidRPr="008E7086">
        <w:rPr>
          <w:rFonts w:ascii="Arial" w:hAnsi="Arial" w:cs="Arial"/>
          <w:b/>
          <w:sz w:val="28"/>
          <w:szCs w:val="28"/>
        </w:rPr>
        <w:t xml:space="preserve"> </w:t>
      </w:r>
      <w:r w:rsidR="00417533">
        <w:rPr>
          <w:rFonts w:ascii="Arial" w:hAnsi="Arial" w:cs="Arial"/>
          <w:b/>
          <w:sz w:val="28"/>
          <w:szCs w:val="28"/>
        </w:rPr>
        <w:t xml:space="preserve"> </w:t>
      </w:r>
      <w:r w:rsidR="00DE7983">
        <w:rPr>
          <w:rFonts w:ascii="Arial" w:hAnsi="Arial" w:cs="Arial"/>
          <w:b/>
          <w:sz w:val="28"/>
          <w:szCs w:val="28"/>
        </w:rPr>
        <w:t>March 1</w:t>
      </w:r>
      <w:r w:rsidR="00116AA0" w:rsidRPr="008E7086">
        <w:rPr>
          <w:rFonts w:ascii="Arial" w:hAnsi="Arial" w:cs="Arial"/>
          <w:b/>
          <w:sz w:val="28"/>
          <w:szCs w:val="28"/>
        </w:rPr>
        <w:t>, 201</w:t>
      </w:r>
      <w:r w:rsidR="00410396">
        <w:rPr>
          <w:rFonts w:ascii="Arial" w:hAnsi="Arial" w:cs="Arial"/>
          <w:b/>
          <w:sz w:val="28"/>
          <w:szCs w:val="28"/>
        </w:rPr>
        <w:t>7</w:t>
      </w:r>
    </w:p>
    <w:p w:rsidR="00410396" w:rsidRDefault="00410396" w:rsidP="000A6103">
      <w:pPr>
        <w:tabs>
          <w:tab w:val="center" w:pos="4680"/>
        </w:tabs>
        <w:suppressAutoHyphens/>
        <w:rPr>
          <w:rFonts w:ascii="Arial" w:hAnsi="Arial" w:cs="Arial"/>
          <w:b/>
          <w:sz w:val="28"/>
          <w:szCs w:val="28"/>
        </w:rPr>
      </w:pPr>
    </w:p>
    <w:p w:rsidR="00DF7DC3" w:rsidRDefault="00C06521" w:rsidP="00905409">
      <w:pPr>
        <w:tabs>
          <w:tab w:val="center" w:pos="4680"/>
        </w:tabs>
        <w:suppressAutoHyphens/>
        <w:rPr>
          <w:rFonts w:ascii="Arial" w:hAnsi="Arial" w:cs="Arial"/>
          <w:b/>
          <w:sz w:val="36"/>
          <w:szCs w:val="36"/>
        </w:rPr>
      </w:pPr>
      <w:r w:rsidRPr="008E7086">
        <w:rPr>
          <w:rFonts w:ascii="Arial" w:hAnsi="Arial" w:cs="Arial"/>
          <w:b/>
          <w:sz w:val="28"/>
          <w:szCs w:val="28"/>
        </w:rPr>
        <w:t>Docket D-</w:t>
      </w:r>
      <w:r w:rsidR="00E56A7B" w:rsidRPr="008E7086">
        <w:rPr>
          <w:rFonts w:ascii="Arial" w:hAnsi="Arial" w:cs="Arial"/>
          <w:b/>
          <w:sz w:val="28"/>
          <w:szCs w:val="28"/>
        </w:rPr>
        <w:t>201</w:t>
      </w:r>
      <w:r w:rsidR="00743CD2">
        <w:rPr>
          <w:rFonts w:ascii="Arial" w:hAnsi="Arial" w:cs="Arial"/>
          <w:b/>
          <w:sz w:val="28"/>
          <w:szCs w:val="28"/>
        </w:rPr>
        <w:t>5</w:t>
      </w:r>
      <w:r w:rsidR="00E56A7B" w:rsidRPr="008E7086">
        <w:rPr>
          <w:rFonts w:ascii="Arial" w:hAnsi="Arial" w:cs="Arial"/>
          <w:b/>
          <w:sz w:val="28"/>
          <w:szCs w:val="28"/>
        </w:rPr>
        <w:t>-</w:t>
      </w:r>
      <w:r w:rsidR="00743CD2">
        <w:rPr>
          <w:rFonts w:ascii="Arial" w:hAnsi="Arial" w:cs="Arial"/>
          <w:b/>
          <w:sz w:val="28"/>
          <w:szCs w:val="28"/>
        </w:rPr>
        <w:t>2521461</w:t>
      </w:r>
    </w:p>
    <w:p w:rsidR="00410396" w:rsidRPr="008E7086" w:rsidRDefault="00410396" w:rsidP="00905409">
      <w:pPr>
        <w:tabs>
          <w:tab w:val="center" w:pos="4680"/>
        </w:tabs>
        <w:suppressAutoHyphens/>
        <w:rPr>
          <w:rFonts w:ascii="Arial" w:hAnsi="Arial" w:cs="Arial"/>
          <w:b/>
          <w:sz w:val="36"/>
          <w:szCs w:val="36"/>
        </w:rPr>
        <w:sectPr w:rsidR="00410396" w:rsidRPr="008E7086" w:rsidSect="002A53C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0" w:footer="720" w:gutter="0"/>
          <w:pgNumType w:start="1"/>
          <w:cols w:space="720"/>
          <w:vAlign w:val="bottom"/>
          <w:noEndnote/>
        </w:sectPr>
      </w:pPr>
    </w:p>
    <w:p w:rsidR="005D711E" w:rsidRPr="0077381F" w:rsidRDefault="00425941" w:rsidP="00905409">
      <w:pPr>
        <w:pStyle w:val="Heading1"/>
        <w:tabs>
          <w:tab w:val="left" w:pos="180"/>
          <w:tab w:val="left" w:pos="270"/>
        </w:tabs>
        <w:rPr>
          <w:rFonts w:ascii="Arial" w:hAnsi="Arial" w:cs="Arial"/>
          <w:sz w:val="26"/>
          <w:szCs w:val="26"/>
          <w:u w:val="none"/>
        </w:rPr>
      </w:pPr>
      <w:r w:rsidRPr="0077381F">
        <w:rPr>
          <w:rFonts w:ascii="Arial" w:hAnsi="Arial" w:cs="Arial"/>
          <w:sz w:val="26"/>
          <w:szCs w:val="26"/>
          <w:u w:val="none"/>
        </w:rPr>
        <w:lastRenderedPageBreak/>
        <w:t>PECO ENERGY COMPANY</w:t>
      </w:r>
    </w:p>
    <w:p w:rsidR="005D711E" w:rsidRPr="0077381F" w:rsidRDefault="005D711E" w:rsidP="00905409">
      <w:pPr>
        <w:tabs>
          <w:tab w:val="left" w:pos="180"/>
          <w:tab w:val="left" w:pos="270"/>
        </w:tabs>
        <w:suppressAutoHyphens/>
        <w:rPr>
          <w:rFonts w:ascii="Arial" w:hAnsi="Arial" w:cs="Arial"/>
          <w:szCs w:val="24"/>
        </w:rPr>
      </w:pPr>
    </w:p>
    <w:p w:rsidR="005D711E" w:rsidRPr="00095A87" w:rsidRDefault="00095A87" w:rsidP="00905409">
      <w:pPr>
        <w:rPr>
          <w:rFonts w:ascii="Arial" w:hAnsi="Arial" w:cs="Arial"/>
          <w:b/>
          <w:sz w:val="26"/>
          <w:szCs w:val="26"/>
        </w:rPr>
      </w:pPr>
      <w:r>
        <w:rPr>
          <w:rFonts w:ascii="Arial" w:hAnsi="Arial" w:cs="Arial"/>
          <w:b/>
          <w:sz w:val="26"/>
          <w:szCs w:val="26"/>
        </w:rPr>
        <w:t xml:space="preserve">Table of </w:t>
      </w:r>
      <w:r w:rsidR="005D711E" w:rsidRPr="00095A87">
        <w:rPr>
          <w:rFonts w:ascii="Arial" w:hAnsi="Arial" w:cs="Arial"/>
          <w:b/>
          <w:sz w:val="26"/>
          <w:szCs w:val="26"/>
        </w:rPr>
        <w:t>Contents</w:t>
      </w:r>
    </w:p>
    <w:p w:rsidR="00101D15" w:rsidRPr="008E7086" w:rsidRDefault="00101D15" w:rsidP="00905409">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8E7086" w:rsidTr="001657F8">
        <w:tc>
          <w:tcPr>
            <w:tcW w:w="8478" w:type="dxa"/>
            <w:tcBorders>
              <w:top w:val="nil"/>
              <w:left w:val="nil"/>
              <w:bottom w:val="nil"/>
              <w:right w:val="nil"/>
            </w:tcBorders>
          </w:tcPr>
          <w:p w:rsidR="005D711E" w:rsidRPr="008E7086" w:rsidRDefault="005D711E"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8E7086" w:rsidRDefault="005D711E" w:rsidP="00905409">
            <w:pPr>
              <w:pStyle w:val="EndnoteText"/>
              <w:tabs>
                <w:tab w:val="left" w:pos="-720"/>
                <w:tab w:val="left" w:pos="180"/>
                <w:tab w:val="left" w:pos="270"/>
              </w:tabs>
              <w:suppressAutoHyphens/>
              <w:rPr>
                <w:rFonts w:ascii="Arial" w:hAnsi="Arial" w:cs="Arial"/>
                <w:b/>
                <w:szCs w:val="24"/>
                <w:u w:val="single"/>
                <w:lang w:val="en-US" w:eastAsia="en-US"/>
              </w:rPr>
            </w:pPr>
            <w:r w:rsidRPr="008E7086">
              <w:rPr>
                <w:rFonts w:ascii="Arial" w:hAnsi="Arial" w:cs="Arial"/>
                <w:b/>
                <w:szCs w:val="24"/>
                <w:u w:val="single"/>
                <w:lang w:val="en-US" w:eastAsia="en-US"/>
              </w:rPr>
              <w:t>Page</w:t>
            </w:r>
          </w:p>
        </w:tc>
      </w:tr>
      <w:tr w:rsidR="00423EEA" w:rsidRPr="008E7086" w:rsidTr="001657F8">
        <w:tc>
          <w:tcPr>
            <w:tcW w:w="8478" w:type="dxa"/>
            <w:tcBorders>
              <w:top w:val="nil"/>
              <w:left w:val="nil"/>
              <w:bottom w:val="nil"/>
              <w:right w:val="nil"/>
            </w:tcBorders>
          </w:tcPr>
          <w:p w:rsidR="00423EEA" w:rsidRPr="008E7086" w:rsidRDefault="00423EEA"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423EEA" w:rsidRPr="008E7086" w:rsidRDefault="00423EEA" w:rsidP="00905409">
            <w:pPr>
              <w:pStyle w:val="EndnoteText"/>
              <w:tabs>
                <w:tab w:val="right" w:pos="562"/>
              </w:tabs>
              <w:suppressAutoHyphens/>
              <w:rPr>
                <w:rFonts w:ascii="Arial" w:hAnsi="Arial" w:cs="Arial"/>
                <w:szCs w:val="24"/>
                <w:lang w:val="en-US" w:eastAsia="en-US"/>
              </w:rPr>
            </w:pPr>
          </w:p>
        </w:tc>
      </w:tr>
      <w:tr w:rsidR="005D711E" w:rsidRPr="008E7086" w:rsidTr="001657F8">
        <w:tc>
          <w:tcPr>
            <w:tcW w:w="8478" w:type="dxa"/>
            <w:tcBorders>
              <w:top w:val="nil"/>
              <w:left w:val="nil"/>
              <w:bottom w:val="nil"/>
              <w:right w:val="nil"/>
            </w:tcBorders>
          </w:tcPr>
          <w:p w:rsidR="005D711E" w:rsidRPr="00E161D7" w:rsidRDefault="005D711E" w:rsidP="00037B1E">
            <w:pPr>
              <w:tabs>
                <w:tab w:val="left" w:pos="-720"/>
                <w:tab w:val="left" w:pos="180"/>
                <w:tab w:val="left" w:pos="270"/>
              </w:tabs>
              <w:suppressAutoHyphens/>
              <w:jc w:val="left"/>
              <w:rPr>
                <w:rFonts w:ascii="Arial" w:hAnsi="Arial" w:cs="Arial"/>
                <w:b/>
                <w:szCs w:val="24"/>
              </w:rPr>
            </w:pPr>
            <w:r w:rsidRPr="00E161D7">
              <w:rPr>
                <w:rFonts w:ascii="Arial" w:hAnsi="Arial" w:cs="Arial"/>
                <w:b/>
                <w:szCs w:val="24"/>
              </w:rPr>
              <w:t xml:space="preserve">FINANCIAL REVIEW </w:t>
            </w:r>
          </w:p>
        </w:tc>
        <w:tc>
          <w:tcPr>
            <w:tcW w:w="1098" w:type="dxa"/>
            <w:tcBorders>
              <w:top w:val="nil"/>
              <w:left w:val="nil"/>
              <w:bottom w:val="nil"/>
              <w:right w:val="nil"/>
            </w:tcBorders>
          </w:tcPr>
          <w:p w:rsidR="005D711E" w:rsidRPr="008E7086" w:rsidRDefault="005D711E" w:rsidP="00905409">
            <w:pPr>
              <w:pStyle w:val="EndnoteText"/>
              <w:tabs>
                <w:tab w:val="right" w:pos="562"/>
              </w:tabs>
              <w:suppressAutoHyphens/>
              <w:rPr>
                <w:rFonts w:ascii="Arial" w:hAnsi="Arial" w:cs="Arial"/>
                <w:szCs w:val="24"/>
                <w:lang w:val="en-US" w:eastAsia="en-US"/>
              </w:rPr>
            </w:pPr>
          </w:p>
        </w:tc>
      </w:tr>
      <w:tr w:rsidR="00101D15" w:rsidRPr="008E7086" w:rsidTr="001657F8">
        <w:tc>
          <w:tcPr>
            <w:tcW w:w="8478" w:type="dxa"/>
            <w:tcBorders>
              <w:top w:val="nil"/>
              <w:left w:val="nil"/>
              <w:bottom w:val="nil"/>
              <w:right w:val="nil"/>
            </w:tcBorders>
          </w:tcPr>
          <w:p w:rsidR="00101D15" w:rsidRPr="008E7086" w:rsidRDefault="00101D15" w:rsidP="00037B1E">
            <w:pPr>
              <w:pStyle w:val="EndnoteText"/>
              <w:tabs>
                <w:tab w:val="left" w:pos="-720"/>
                <w:tab w:val="left" w:pos="360"/>
                <w:tab w:val="left" w:pos="540"/>
                <w:tab w:val="left" w:pos="810"/>
                <w:tab w:val="left" w:pos="9180"/>
              </w:tabs>
              <w:suppressAutoHyphens/>
              <w:jc w:val="left"/>
              <w:rPr>
                <w:rFonts w:ascii="Arial" w:hAnsi="Arial" w:cs="Arial"/>
                <w:szCs w:val="24"/>
                <w:lang w:val="en-US" w:eastAsia="en-US"/>
              </w:rPr>
            </w:pPr>
          </w:p>
        </w:tc>
        <w:tc>
          <w:tcPr>
            <w:tcW w:w="1098" w:type="dxa"/>
            <w:tcBorders>
              <w:top w:val="nil"/>
              <w:left w:val="nil"/>
              <w:bottom w:val="nil"/>
              <w:right w:val="nil"/>
            </w:tcBorders>
          </w:tcPr>
          <w:p w:rsidR="00101D15" w:rsidRPr="008E7086" w:rsidRDefault="00101D15" w:rsidP="00905409">
            <w:pPr>
              <w:pStyle w:val="EndnoteText"/>
              <w:tabs>
                <w:tab w:val="right" w:pos="562"/>
              </w:tabs>
              <w:suppressAutoHyphens/>
              <w:rPr>
                <w:rFonts w:ascii="Arial" w:hAnsi="Arial" w:cs="Arial"/>
                <w:szCs w:val="24"/>
                <w:lang w:val="en-US" w:eastAsia="en-US"/>
              </w:rPr>
            </w:pPr>
          </w:p>
        </w:tc>
      </w:tr>
      <w:tr w:rsidR="005D711E" w:rsidRPr="008E7086" w:rsidTr="000A6103">
        <w:tc>
          <w:tcPr>
            <w:tcW w:w="8478" w:type="dxa"/>
            <w:tcBorders>
              <w:top w:val="nil"/>
              <w:left w:val="nil"/>
              <w:bottom w:val="nil"/>
              <w:right w:val="nil"/>
            </w:tcBorders>
          </w:tcPr>
          <w:p w:rsidR="005D711E" w:rsidRPr="008E7086" w:rsidRDefault="005D711E" w:rsidP="00037B1E">
            <w:pPr>
              <w:pStyle w:val="EndnoteText"/>
              <w:tabs>
                <w:tab w:val="left" w:pos="-720"/>
                <w:tab w:val="left" w:pos="360"/>
                <w:tab w:val="left" w:pos="540"/>
                <w:tab w:val="left" w:pos="810"/>
                <w:tab w:val="left" w:pos="9180"/>
              </w:tabs>
              <w:suppressAutoHyphens/>
              <w:jc w:val="left"/>
              <w:rPr>
                <w:rFonts w:ascii="Arial" w:hAnsi="Arial" w:cs="Arial"/>
                <w:szCs w:val="24"/>
                <w:lang w:val="en-US" w:eastAsia="en-US"/>
              </w:rPr>
            </w:pPr>
            <w:r w:rsidRPr="008E7086">
              <w:rPr>
                <w:rFonts w:ascii="Arial" w:hAnsi="Arial" w:cs="Arial"/>
                <w:szCs w:val="24"/>
                <w:lang w:val="en-US" w:eastAsia="en-US"/>
              </w:rPr>
              <w:tab/>
            </w:r>
            <w:r w:rsidR="00C06521" w:rsidRPr="008E7086">
              <w:rPr>
                <w:rFonts w:ascii="Arial" w:hAnsi="Arial" w:cs="Arial"/>
                <w:szCs w:val="24"/>
                <w:lang w:val="en-US" w:eastAsia="en-US"/>
              </w:rPr>
              <w:t xml:space="preserve">Independent </w:t>
            </w:r>
            <w:r w:rsidRPr="008E7086">
              <w:rPr>
                <w:rFonts w:ascii="Arial" w:hAnsi="Arial" w:cs="Arial"/>
                <w:szCs w:val="24"/>
                <w:lang w:val="en-US" w:eastAsia="en-US"/>
              </w:rPr>
              <w:t>Auditor's Report</w:t>
            </w:r>
          </w:p>
        </w:tc>
        <w:tc>
          <w:tcPr>
            <w:tcW w:w="1098" w:type="dxa"/>
            <w:tcBorders>
              <w:top w:val="nil"/>
              <w:left w:val="nil"/>
              <w:bottom w:val="nil"/>
              <w:right w:val="nil"/>
            </w:tcBorders>
            <w:vAlign w:val="bottom"/>
          </w:tcPr>
          <w:p w:rsidR="005D711E" w:rsidRPr="008E7086" w:rsidRDefault="0067451B" w:rsidP="000A6103">
            <w:pPr>
              <w:pStyle w:val="EndnoteText"/>
              <w:tabs>
                <w:tab w:val="right" w:pos="562"/>
              </w:tabs>
              <w:suppressAutoHyphens/>
              <w:rPr>
                <w:rFonts w:ascii="Arial" w:hAnsi="Arial" w:cs="Arial"/>
                <w:szCs w:val="24"/>
                <w:lang w:val="en-US" w:eastAsia="en-US"/>
              </w:rPr>
            </w:pPr>
            <w:r w:rsidRPr="008E7086">
              <w:rPr>
                <w:rFonts w:ascii="Arial" w:hAnsi="Arial" w:cs="Arial"/>
                <w:szCs w:val="24"/>
                <w:lang w:val="en-US" w:eastAsia="en-US"/>
              </w:rPr>
              <w:t>1</w:t>
            </w:r>
          </w:p>
        </w:tc>
      </w:tr>
      <w:tr w:rsidR="004755F0" w:rsidRPr="008E7086" w:rsidTr="000A6103">
        <w:tc>
          <w:tcPr>
            <w:tcW w:w="8478" w:type="dxa"/>
            <w:tcBorders>
              <w:top w:val="nil"/>
              <w:left w:val="nil"/>
              <w:bottom w:val="nil"/>
              <w:right w:val="nil"/>
            </w:tcBorders>
          </w:tcPr>
          <w:p w:rsidR="00991813" w:rsidRPr="008E7086" w:rsidRDefault="00991813" w:rsidP="00037B1E">
            <w:pPr>
              <w:pStyle w:val="EndnoteText"/>
              <w:tabs>
                <w:tab w:val="left" w:pos="9180"/>
              </w:tabs>
              <w:suppressAutoHyphens/>
              <w:ind w:left="360"/>
              <w:jc w:val="left"/>
              <w:rPr>
                <w:rFonts w:ascii="Arial" w:hAnsi="Arial" w:cs="Arial"/>
                <w:szCs w:val="24"/>
                <w:lang w:val="en-US" w:eastAsia="en-US"/>
              </w:rPr>
            </w:pPr>
          </w:p>
          <w:p w:rsidR="004755F0" w:rsidRPr="008E7086" w:rsidRDefault="0091529D" w:rsidP="00244CCF">
            <w:pPr>
              <w:pStyle w:val="EndnoteText"/>
              <w:tabs>
                <w:tab w:val="left" w:pos="9180"/>
              </w:tabs>
              <w:suppressAutoHyphens/>
              <w:ind w:left="360"/>
              <w:jc w:val="left"/>
              <w:rPr>
                <w:rFonts w:ascii="Arial" w:hAnsi="Arial" w:cs="Arial"/>
                <w:szCs w:val="24"/>
                <w:lang w:val="en-US" w:eastAsia="en-US"/>
              </w:rPr>
            </w:pPr>
            <w:r>
              <w:rPr>
                <w:rFonts w:ascii="Arial" w:hAnsi="Arial" w:cs="Arial"/>
                <w:szCs w:val="24"/>
                <w:lang w:val="en-US" w:eastAsia="en-US"/>
              </w:rPr>
              <w:t xml:space="preserve">Condensed </w:t>
            </w:r>
            <w:r w:rsidR="00E56A7B" w:rsidRPr="008E7086">
              <w:rPr>
                <w:rFonts w:ascii="Arial" w:hAnsi="Arial" w:cs="Arial"/>
                <w:szCs w:val="24"/>
                <w:lang w:val="en-US" w:eastAsia="en-US"/>
              </w:rPr>
              <w:t>Statement of Generation S</w:t>
            </w:r>
            <w:r w:rsidR="00991813" w:rsidRPr="008E7086">
              <w:rPr>
                <w:rFonts w:ascii="Arial" w:hAnsi="Arial" w:cs="Arial"/>
                <w:szCs w:val="24"/>
                <w:lang w:val="en-US" w:eastAsia="en-US"/>
              </w:rPr>
              <w:t>upply</w:t>
            </w:r>
            <w:r w:rsidR="00E56A7B" w:rsidRPr="008E7086">
              <w:rPr>
                <w:rFonts w:ascii="Arial" w:hAnsi="Arial" w:cs="Arial"/>
                <w:szCs w:val="24"/>
                <w:lang w:val="en-US" w:eastAsia="en-US"/>
              </w:rPr>
              <w:t xml:space="preserve"> </w:t>
            </w:r>
            <w:r w:rsidR="00A052A6" w:rsidRPr="008E7086">
              <w:rPr>
                <w:rFonts w:ascii="Arial" w:hAnsi="Arial" w:cs="Arial"/>
                <w:szCs w:val="24"/>
                <w:lang w:val="en-US" w:eastAsia="en-US"/>
              </w:rPr>
              <w:t xml:space="preserve">Adjustment </w:t>
            </w:r>
            <w:r w:rsidR="00BB2BCC" w:rsidRPr="008E7086">
              <w:rPr>
                <w:rFonts w:ascii="Arial" w:hAnsi="Arial" w:cs="Arial"/>
                <w:szCs w:val="24"/>
                <w:lang w:val="en-US" w:eastAsia="en-US"/>
              </w:rPr>
              <w:t>(GS</w:t>
            </w:r>
            <w:r w:rsidR="00A052A6" w:rsidRPr="008E7086">
              <w:rPr>
                <w:rFonts w:ascii="Arial" w:hAnsi="Arial" w:cs="Arial"/>
                <w:szCs w:val="24"/>
                <w:lang w:val="en-US" w:eastAsia="en-US"/>
              </w:rPr>
              <w:t>A</w:t>
            </w:r>
            <w:r w:rsidR="00BB2BCC" w:rsidRPr="008E7086">
              <w:rPr>
                <w:rFonts w:ascii="Arial" w:hAnsi="Arial" w:cs="Arial"/>
                <w:szCs w:val="24"/>
                <w:lang w:val="en-US" w:eastAsia="en-US"/>
              </w:rPr>
              <w:t>)</w:t>
            </w:r>
            <w:r w:rsidR="00E56A7B" w:rsidRPr="008E7086">
              <w:rPr>
                <w:rFonts w:ascii="Arial" w:hAnsi="Arial" w:cs="Arial"/>
                <w:szCs w:val="24"/>
                <w:lang w:val="en-US" w:eastAsia="en-US"/>
              </w:rPr>
              <w:t xml:space="preserve"> Over/(Under) </w:t>
            </w:r>
            <w:r w:rsidR="00BF3FC7" w:rsidRPr="008E7086">
              <w:rPr>
                <w:rFonts w:ascii="Arial" w:hAnsi="Arial" w:cs="Arial"/>
                <w:szCs w:val="24"/>
                <w:lang w:val="en-US" w:eastAsia="en-US"/>
              </w:rPr>
              <w:t>Collection</w:t>
            </w:r>
            <w:r w:rsidR="00991BAA" w:rsidRPr="008E7086">
              <w:rPr>
                <w:rFonts w:ascii="Arial" w:hAnsi="Arial" w:cs="Arial"/>
                <w:szCs w:val="24"/>
                <w:lang w:val="en-US" w:eastAsia="en-US"/>
              </w:rPr>
              <w:t>s</w:t>
            </w:r>
            <w:r w:rsidR="00BF3FC7" w:rsidRPr="008E7086">
              <w:rPr>
                <w:rFonts w:ascii="Arial" w:hAnsi="Arial" w:cs="Arial"/>
                <w:szCs w:val="24"/>
                <w:lang w:val="en-US" w:eastAsia="en-US"/>
              </w:rPr>
              <w:t xml:space="preserve"> (Section 1307(e)</w:t>
            </w:r>
            <w:r w:rsidR="00344493" w:rsidRPr="008E7086">
              <w:rPr>
                <w:rFonts w:ascii="Arial" w:hAnsi="Arial" w:cs="Arial"/>
                <w:szCs w:val="24"/>
                <w:lang w:val="en-US" w:eastAsia="en-US"/>
              </w:rPr>
              <w:t>)</w:t>
            </w:r>
            <w:r w:rsidR="00BF3FC7" w:rsidRPr="008E7086">
              <w:rPr>
                <w:rFonts w:ascii="Arial" w:hAnsi="Arial" w:cs="Arial"/>
                <w:szCs w:val="24"/>
                <w:lang w:val="en-US" w:eastAsia="en-US"/>
              </w:rPr>
              <w:t xml:space="preserve"> </w:t>
            </w:r>
            <w:r w:rsidR="00E56A7B" w:rsidRPr="008E7086">
              <w:rPr>
                <w:rFonts w:ascii="Arial" w:hAnsi="Arial" w:cs="Arial"/>
                <w:szCs w:val="24"/>
                <w:lang w:val="en-US" w:eastAsia="en-US"/>
              </w:rPr>
              <w:t xml:space="preserve">For The </w:t>
            </w:r>
            <w:r w:rsidR="00A052A6" w:rsidRPr="008E7086">
              <w:rPr>
                <w:rFonts w:ascii="Arial" w:hAnsi="Arial" w:cs="Arial"/>
                <w:szCs w:val="24"/>
                <w:lang w:val="en-US" w:eastAsia="en-US"/>
              </w:rPr>
              <w:t xml:space="preserve">Twelve </w:t>
            </w:r>
            <w:r>
              <w:rPr>
                <w:rFonts w:ascii="Arial" w:hAnsi="Arial" w:cs="Arial"/>
                <w:szCs w:val="24"/>
                <w:lang w:val="en-US" w:eastAsia="en-US"/>
              </w:rPr>
              <w:t xml:space="preserve">Months Ended </w:t>
            </w:r>
            <w:r w:rsidR="00A052A6" w:rsidRPr="008E7086">
              <w:rPr>
                <w:rFonts w:ascii="Arial" w:hAnsi="Arial" w:cs="Arial"/>
                <w:szCs w:val="24"/>
                <w:lang w:val="en-US" w:eastAsia="en-US"/>
              </w:rPr>
              <w:t>December</w:t>
            </w:r>
            <w:r w:rsidR="00A143F7" w:rsidRPr="008E7086">
              <w:rPr>
                <w:rFonts w:ascii="Arial" w:hAnsi="Arial" w:cs="Arial"/>
                <w:szCs w:val="24"/>
                <w:lang w:val="en-US" w:eastAsia="en-US"/>
              </w:rPr>
              <w:t xml:space="preserve"> 31</w:t>
            </w:r>
            <w:r w:rsidR="00E56A7B" w:rsidRPr="008E7086">
              <w:rPr>
                <w:rFonts w:ascii="Arial" w:hAnsi="Arial" w:cs="Arial"/>
                <w:szCs w:val="24"/>
                <w:lang w:val="en-US" w:eastAsia="en-US"/>
              </w:rPr>
              <w:t>, 201</w:t>
            </w:r>
            <w:r w:rsidR="00244CCF">
              <w:rPr>
                <w:rFonts w:ascii="Arial" w:hAnsi="Arial" w:cs="Arial"/>
                <w:szCs w:val="24"/>
                <w:lang w:val="en-US" w:eastAsia="en-US"/>
              </w:rPr>
              <w:t>4</w:t>
            </w:r>
          </w:p>
        </w:tc>
        <w:tc>
          <w:tcPr>
            <w:tcW w:w="1098" w:type="dxa"/>
            <w:tcBorders>
              <w:top w:val="nil"/>
              <w:left w:val="nil"/>
              <w:bottom w:val="nil"/>
              <w:right w:val="nil"/>
            </w:tcBorders>
            <w:vAlign w:val="bottom"/>
          </w:tcPr>
          <w:p w:rsidR="004755F0" w:rsidRPr="008E7086" w:rsidRDefault="004755F0" w:rsidP="000A6103">
            <w:pPr>
              <w:tabs>
                <w:tab w:val="right" w:pos="562"/>
              </w:tabs>
              <w:suppressAutoHyphens/>
              <w:rPr>
                <w:rFonts w:ascii="Arial" w:hAnsi="Arial" w:cs="Arial"/>
                <w:szCs w:val="24"/>
              </w:rPr>
            </w:pPr>
          </w:p>
          <w:p w:rsidR="004755F0" w:rsidRPr="008E7086" w:rsidRDefault="004755F0" w:rsidP="000A6103">
            <w:pPr>
              <w:rPr>
                <w:rFonts w:ascii="Arial" w:hAnsi="Arial" w:cs="Arial"/>
                <w:szCs w:val="24"/>
              </w:rPr>
            </w:pPr>
          </w:p>
          <w:p w:rsidR="00356D1C" w:rsidRPr="008E7086" w:rsidRDefault="00356D1C" w:rsidP="000A6103">
            <w:pPr>
              <w:rPr>
                <w:rFonts w:ascii="Arial" w:hAnsi="Arial" w:cs="Arial"/>
                <w:szCs w:val="24"/>
              </w:rPr>
            </w:pPr>
          </w:p>
          <w:p w:rsidR="004755F0" w:rsidRPr="008E7086" w:rsidRDefault="00E161D7" w:rsidP="000A6103">
            <w:pPr>
              <w:rPr>
                <w:rFonts w:ascii="Arial" w:hAnsi="Arial" w:cs="Arial"/>
                <w:szCs w:val="24"/>
              </w:rPr>
            </w:pPr>
            <w:r>
              <w:rPr>
                <w:rFonts w:ascii="Arial" w:hAnsi="Arial" w:cs="Arial"/>
                <w:szCs w:val="24"/>
              </w:rPr>
              <w:t>3</w:t>
            </w:r>
          </w:p>
        </w:tc>
      </w:tr>
      <w:tr w:rsidR="00745C71" w:rsidRPr="008E7086" w:rsidTr="007D7C40">
        <w:tc>
          <w:tcPr>
            <w:tcW w:w="8478" w:type="dxa"/>
            <w:tcBorders>
              <w:top w:val="nil"/>
              <w:left w:val="nil"/>
              <w:bottom w:val="nil"/>
              <w:right w:val="nil"/>
            </w:tcBorders>
          </w:tcPr>
          <w:p w:rsidR="00745C71" w:rsidRPr="008E7086" w:rsidRDefault="00745C71" w:rsidP="007D7C40">
            <w:pPr>
              <w:pStyle w:val="EndnoteText"/>
              <w:tabs>
                <w:tab w:val="left" w:pos="9180"/>
              </w:tabs>
              <w:suppressAutoHyphens/>
              <w:ind w:left="360"/>
              <w:jc w:val="left"/>
              <w:rPr>
                <w:rFonts w:ascii="Arial" w:hAnsi="Arial" w:cs="Arial"/>
                <w:szCs w:val="24"/>
                <w:lang w:val="en-US" w:eastAsia="en-US"/>
              </w:rPr>
            </w:pPr>
          </w:p>
          <w:p w:rsidR="00745C71" w:rsidRPr="008E7086" w:rsidRDefault="00745C71" w:rsidP="00244CCF">
            <w:pPr>
              <w:pStyle w:val="EndnoteText"/>
              <w:tabs>
                <w:tab w:val="left" w:pos="9180"/>
              </w:tabs>
              <w:suppressAutoHyphens/>
              <w:ind w:left="360"/>
              <w:jc w:val="left"/>
              <w:rPr>
                <w:rFonts w:ascii="Arial" w:hAnsi="Arial" w:cs="Arial"/>
                <w:szCs w:val="24"/>
                <w:lang w:val="en-US" w:eastAsia="en-US"/>
              </w:rPr>
            </w:pPr>
            <w:r>
              <w:rPr>
                <w:rFonts w:ascii="Arial" w:hAnsi="Arial" w:cs="Arial"/>
                <w:szCs w:val="24"/>
                <w:lang w:val="en-US" w:eastAsia="en-US"/>
              </w:rPr>
              <w:t xml:space="preserve">Condensed </w:t>
            </w:r>
            <w:r w:rsidRPr="008E7086">
              <w:rPr>
                <w:rFonts w:ascii="Arial" w:hAnsi="Arial" w:cs="Arial"/>
                <w:szCs w:val="24"/>
                <w:lang w:val="en-US" w:eastAsia="en-US"/>
              </w:rPr>
              <w:t xml:space="preserve">Statement of Generation Supply Adjustment (GSA) Over/(Under) Collections (Section 1307(e)) For The Twelve </w:t>
            </w:r>
            <w:r>
              <w:rPr>
                <w:rFonts w:ascii="Arial" w:hAnsi="Arial" w:cs="Arial"/>
                <w:szCs w:val="24"/>
                <w:lang w:val="en-US" w:eastAsia="en-US"/>
              </w:rPr>
              <w:t xml:space="preserve">Months Ended </w:t>
            </w:r>
            <w:r w:rsidRPr="008E7086">
              <w:rPr>
                <w:rFonts w:ascii="Arial" w:hAnsi="Arial" w:cs="Arial"/>
                <w:szCs w:val="24"/>
                <w:lang w:val="en-US" w:eastAsia="en-US"/>
              </w:rPr>
              <w:t>December 31, 201</w:t>
            </w:r>
            <w:r w:rsidR="00244CCF">
              <w:rPr>
                <w:rFonts w:ascii="Arial" w:hAnsi="Arial" w:cs="Arial"/>
                <w:szCs w:val="24"/>
                <w:lang w:val="en-US" w:eastAsia="en-US"/>
              </w:rPr>
              <w:t>3</w:t>
            </w:r>
          </w:p>
        </w:tc>
        <w:tc>
          <w:tcPr>
            <w:tcW w:w="1098" w:type="dxa"/>
            <w:tcBorders>
              <w:top w:val="nil"/>
              <w:left w:val="nil"/>
              <w:bottom w:val="nil"/>
              <w:right w:val="nil"/>
            </w:tcBorders>
            <w:vAlign w:val="bottom"/>
          </w:tcPr>
          <w:p w:rsidR="00745C71" w:rsidRPr="008E7086" w:rsidRDefault="00745C71" w:rsidP="007D7C40">
            <w:pPr>
              <w:tabs>
                <w:tab w:val="right" w:pos="562"/>
              </w:tabs>
              <w:suppressAutoHyphens/>
              <w:rPr>
                <w:rFonts w:ascii="Arial" w:hAnsi="Arial" w:cs="Arial"/>
                <w:szCs w:val="24"/>
              </w:rPr>
            </w:pPr>
          </w:p>
          <w:p w:rsidR="00745C71" w:rsidRPr="008E7086" w:rsidRDefault="00745C71" w:rsidP="007D7C40">
            <w:pPr>
              <w:rPr>
                <w:rFonts w:ascii="Arial" w:hAnsi="Arial" w:cs="Arial"/>
                <w:szCs w:val="24"/>
              </w:rPr>
            </w:pPr>
          </w:p>
          <w:p w:rsidR="00745C71" w:rsidRPr="008E7086" w:rsidRDefault="00745C71" w:rsidP="007D7C40">
            <w:pPr>
              <w:rPr>
                <w:rFonts w:ascii="Arial" w:hAnsi="Arial" w:cs="Arial"/>
                <w:szCs w:val="24"/>
              </w:rPr>
            </w:pPr>
          </w:p>
          <w:p w:rsidR="00745C71" w:rsidRPr="008E7086" w:rsidRDefault="00E161D7" w:rsidP="00745C71">
            <w:pPr>
              <w:rPr>
                <w:rFonts w:ascii="Arial" w:hAnsi="Arial" w:cs="Arial"/>
                <w:szCs w:val="24"/>
              </w:rPr>
            </w:pPr>
            <w:r>
              <w:rPr>
                <w:rFonts w:ascii="Arial" w:hAnsi="Arial" w:cs="Arial"/>
                <w:szCs w:val="24"/>
              </w:rPr>
              <w:t>4</w:t>
            </w:r>
          </w:p>
        </w:tc>
      </w:tr>
      <w:tr w:rsidR="00745C71" w:rsidRPr="008E7086" w:rsidTr="007D7C40">
        <w:tc>
          <w:tcPr>
            <w:tcW w:w="8478" w:type="dxa"/>
            <w:tcBorders>
              <w:top w:val="nil"/>
              <w:left w:val="nil"/>
              <w:bottom w:val="nil"/>
              <w:right w:val="nil"/>
            </w:tcBorders>
          </w:tcPr>
          <w:p w:rsidR="00745C71" w:rsidRPr="008E7086" w:rsidRDefault="00745C71" w:rsidP="007D7C40">
            <w:pPr>
              <w:pStyle w:val="EndnoteText"/>
              <w:tabs>
                <w:tab w:val="left" w:pos="9180"/>
              </w:tabs>
              <w:suppressAutoHyphens/>
              <w:ind w:left="360"/>
              <w:jc w:val="left"/>
              <w:rPr>
                <w:rFonts w:ascii="Arial" w:hAnsi="Arial" w:cs="Arial"/>
                <w:szCs w:val="24"/>
                <w:lang w:val="en-US" w:eastAsia="en-US"/>
              </w:rPr>
            </w:pPr>
          </w:p>
          <w:p w:rsidR="00745C71" w:rsidRPr="008E7086" w:rsidRDefault="00745C71" w:rsidP="00244CCF">
            <w:pPr>
              <w:pStyle w:val="EndnoteText"/>
              <w:tabs>
                <w:tab w:val="left" w:pos="9180"/>
              </w:tabs>
              <w:suppressAutoHyphens/>
              <w:ind w:left="360"/>
              <w:jc w:val="left"/>
              <w:rPr>
                <w:rFonts w:ascii="Arial" w:hAnsi="Arial" w:cs="Arial"/>
                <w:szCs w:val="24"/>
                <w:lang w:val="en-US" w:eastAsia="en-US"/>
              </w:rPr>
            </w:pPr>
            <w:r>
              <w:rPr>
                <w:rFonts w:ascii="Arial" w:hAnsi="Arial" w:cs="Arial"/>
                <w:szCs w:val="24"/>
                <w:lang w:val="en-US" w:eastAsia="en-US"/>
              </w:rPr>
              <w:t xml:space="preserve">Condensed </w:t>
            </w:r>
            <w:r w:rsidRPr="008E7086">
              <w:rPr>
                <w:rFonts w:ascii="Arial" w:hAnsi="Arial" w:cs="Arial"/>
                <w:szCs w:val="24"/>
                <w:lang w:val="en-US" w:eastAsia="en-US"/>
              </w:rPr>
              <w:t xml:space="preserve">Statement of Generation Supply Adjustment (GSA) Over/(Under) Collections (Section 1307(e)) For The Twelve </w:t>
            </w:r>
            <w:r>
              <w:rPr>
                <w:rFonts w:ascii="Arial" w:hAnsi="Arial" w:cs="Arial"/>
                <w:szCs w:val="24"/>
                <w:lang w:val="en-US" w:eastAsia="en-US"/>
              </w:rPr>
              <w:t xml:space="preserve">Months Ended </w:t>
            </w:r>
            <w:r w:rsidRPr="008E7086">
              <w:rPr>
                <w:rFonts w:ascii="Arial" w:hAnsi="Arial" w:cs="Arial"/>
                <w:szCs w:val="24"/>
                <w:lang w:val="en-US" w:eastAsia="en-US"/>
              </w:rPr>
              <w:t>December 31, 201</w:t>
            </w:r>
            <w:r w:rsidR="00244CCF">
              <w:rPr>
                <w:rFonts w:ascii="Arial" w:hAnsi="Arial" w:cs="Arial"/>
                <w:szCs w:val="24"/>
                <w:lang w:val="en-US" w:eastAsia="en-US"/>
              </w:rPr>
              <w:t>2</w:t>
            </w:r>
          </w:p>
        </w:tc>
        <w:tc>
          <w:tcPr>
            <w:tcW w:w="1098" w:type="dxa"/>
            <w:tcBorders>
              <w:top w:val="nil"/>
              <w:left w:val="nil"/>
              <w:bottom w:val="nil"/>
              <w:right w:val="nil"/>
            </w:tcBorders>
            <w:vAlign w:val="bottom"/>
          </w:tcPr>
          <w:p w:rsidR="00745C71" w:rsidRPr="008E7086" w:rsidRDefault="00745C71" w:rsidP="007D7C40">
            <w:pPr>
              <w:tabs>
                <w:tab w:val="right" w:pos="562"/>
              </w:tabs>
              <w:suppressAutoHyphens/>
              <w:rPr>
                <w:rFonts w:ascii="Arial" w:hAnsi="Arial" w:cs="Arial"/>
                <w:szCs w:val="24"/>
              </w:rPr>
            </w:pPr>
          </w:p>
          <w:p w:rsidR="00745C71" w:rsidRPr="008E7086" w:rsidRDefault="00745C71" w:rsidP="007D7C40">
            <w:pPr>
              <w:rPr>
                <w:rFonts w:ascii="Arial" w:hAnsi="Arial" w:cs="Arial"/>
                <w:szCs w:val="24"/>
              </w:rPr>
            </w:pPr>
          </w:p>
          <w:p w:rsidR="00745C71" w:rsidRPr="008E7086" w:rsidRDefault="00745C71" w:rsidP="007D7C40">
            <w:pPr>
              <w:rPr>
                <w:rFonts w:ascii="Arial" w:hAnsi="Arial" w:cs="Arial"/>
                <w:szCs w:val="24"/>
              </w:rPr>
            </w:pPr>
          </w:p>
          <w:p w:rsidR="00745C71" w:rsidRPr="008E7086" w:rsidRDefault="00E161D7" w:rsidP="00745C71">
            <w:pPr>
              <w:rPr>
                <w:rFonts w:ascii="Arial" w:hAnsi="Arial" w:cs="Arial"/>
                <w:szCs w:val="24"/>
              </w:rPr>
            </w:pPr>
            <w:r>
              <w:rPr>
                <w:rFonts w:ascii="Arial" w:hAnsi="Arial" w:cs="Arial"/>
                <w:szCs w:val="24"/>
              </w:rPr>
              <w:t>5</w:t>
            </w:r>
          </w:p>
        </w:tc>
      </w:tr>
      <w:tr w:rsidR="00745C71" w:rsidRPr="008E7086" w:rsidTr="007D7C40">
        <w:tc>
          <w:tcPr>
            <w:tcW w:w="8478" w:type="dxa"/>
            <w:tcBorders>
              <w:top w:val="nil"/>
              <w:left w:val="nil"/>
              <w:bottom w:val="nil"/>
              <w:right w:val="nil"/>
            </w:tcBorders>
          </w:tcPr>
          <w:p w:rsidR="00745C71" w:rsidRPr="008E7086" w:rsidRDefault="00745C71" w:rsidP="007D7C40">
            <w:pPr>
              <w:pStyle w:val="EndnoteText"/>
              <w:tabs>
                <w:tab w:val="left" w:pos="9180"/>
              </w:tabs>
              <w:suppressAutoHyphens/>
              <w:ind w:left="360"/>
              <w:jc w:val="left"/>
              <w:rPr>
                <w:rFonts w:ascii="Arial" w:hAnsi="Arial" w:cs="Arial"/>
                <w:szCs w:val="24"/>
                <w:lang w:val="en-US" w:eastAsia="en-US"/>
              </w:rPr>
            </w:pPr>
          </w:p>
        </w:tc>
        <w:tc>
          <w:tcPr>
            <w:tcW w:w="1098" w:type="dxa"/>
            <w:tcBorders>
              <w:top w:val="nil"/>
              <w:left w:val="nil"/>
              <w:bottom w:val="nil"/>
              <w:right w:val="nil"/>
            </w:tcBorders>
            <w:vAlign w:val="bottom"/>
          </w:tcPr>
          <w:p w:rsidR="00745C71" w:rsidRPr="008E7086" w:rsidRDefault="00745C71" w:rsidP="007D7C40">
            <w:pPr>
              <w:tabs>
                <w:tab w:val="right" w:pos="562"/>
              </w:tabs>
              <w:suppressAutoHyphens/>
              <w:rPr>
                <w:rFonts w:ascii="Arial" w:hAnsi="Arial" w:cs="Arial"/>
                <w:szCs w:val="24"/>
              </w:rPr>
            </w:pPr>
          </w:p>
        </w:tc>
      </w:tr>
      <w:tr w:rsidR="00991813" w:rsidRPr="008E7086" w:rsidTr="000A6103">
        <w:tc>
          <w:tcPr>
            <w:tcW w:w="8478" w:type="dxa"/>
            <w:tcBorders>
              <w:top w:val="nil"/>
              <w:left w:val="nil"/>
              <w:bottom w:val="nil"/>
              <w:right w:val="nil"/>
            </w:tcBorders>
          </w:tcPr>
          <w:p w:rsidR="00991813" w:rsidRPr="008E7086" w:rsidRDefault="00991813" w:rsidP="00037B1E">
            <w:pPr>
              <w:tabs>
                <w:tab w:val="left" w:pos="390"/>
                <w:tab w:val="left" w:pos="9180"/>
              </w:tabs>
              <w:suppressAutoHyphens/>
              <w:ind w:left="360"/>
              <w:jc w:val="left"/>
              <w:rPr>
                <w:rFonts w:ascii="Arial" w:hAnsi="Arial" w:cs="Arial"/>
                <w:szCs w:val="24"/>
              </w:rPr>
            </w:pPr>
            <w:r w:rsidRPr="008E7086">
              <w:rPr>
                <w:rFonts w:ascii="Arial" w:hAnsi="Arial" w:cs="Arial"/>
                <w:szCs w:val="24"/>
              </w:rPr>
              <w:t>Notes To The Financial Statement</w:t>
            </w:r>
            <w:r w:rsidR="006B1465">
              <w:rPr>
                <w:rFonts w:ascii="Arial" w:hAnsi="Arial" w:cs="Arial"/>
                <w:szCs w:val="24"/>
              </w:rPr>
              <w:t>s</w:t>
            </w:r>
          </w:p>
        </w:tc>
        <w:tc>
          <w:tcPr>
            <w:tcW w:w="1098" w:type="dxa"/>
            <w:tcBorders>
              <w:top w:val="nil"/>
              <w:left w:val="nil"/>
              <w:bottom w:val="nil"/>
              <w:right w:val="nil"/>
            </w:tcBorders>
            <w:vAlign w:val="bottom"/>
          </w:tcPr>
          <w:p w:rsidR="00991813" w:rsidRPr="008E7086" w:rsidRDefault="00E161D7" w:rsidP="00745C71">
            <w:pPr>
              <w:tabs>
                <w:tab w:val="right" w:pos="562"/>
              </w:tabs>
              <w:suppressAutoHyphens/>
              <w:rPr>
                <w:rFonts w:ascii="Arial" w:hAnsi="Arial" w:cs="Arial"/>
                <w:szCs w:val="24"/>
              </w:rPr>
            </w:pPr>
            <w:r>
              <w:rPr>
                <w:rFonts w:ascii="Arial" w:hAnsi="Arial" w:cs="Arial"/>
                <w:szCs w:val="24"/>
              </w:rPr>
              <w:t>6</w:t>
            </w:r>
          </w:p>
        </w:tc>
      </w:tr>
      <w:tr w:rsidR="00991813" w:rsidRPr="008E7086" w:rsidTr="000A6103">
        <w:tc>
          <w:tcPr>
            <w:tcW w:w="8478" w:type="dxa"/>
            <w:tcBorders>
              <w:top w:val="nil"/>
              <w:left w:val="nil"/>
              <w:bottom w:val="nil"/>
              <w:right w:val="nil"/>
            </w:tcBorders>
          </w:tcPr>
          <w:p w:rsidR="00991813" w:rsidRPr="008E7086" w:rsidRDefault="00991813" w:rsidP="00037B1E">
            <w:pPr>
              <w:tabs>
                <w:tab w:val="left" w:pos="390"/>
                <w:tab w:val="left" w:pos="9180"/>
              </w:tabs>
              <w:suppressAutoHyphens/>
              <w:ind w:left="360"/>
              <w:jc w:val="left"/>
              <w:rPr>
                <w:rFonts w:ascii="Arial" w:hAnsi="Arial" w:cs="Arial"/>
                <w:szCs w:val="24"/>
              </w:rPr>
            </w:pPr>
          </w:p>
        </w:tc>
        <w:tc>
          <w:tcPr>
            <w:tcW w:w="1098" w:type="dxa"/>
            <w:tcBorders>
              <w:top w:val="nil"/>
              <w:left w:val="nil"/>
              <w:bottom w:val="nil"/>
              <w:right w:val="nil"/>
            </w:tcBorders>
            <w:vAlign w:val="bottom"/>
          </w:tcPr>
          <w:p w:rsidR="00991813" w:rsidRPr="008E7086" w:rsidRDefault="00991813" w:rsidP="000A6103">
            <w:pPr>
              <w:tabs>
                <w:tab w:val="right" w:pos="562"/>
              </w:tabs>
              <w:suppressAutoHyphens/>
              <w:rPr>
                <w:rFonts w:ascii="Arial" w:hAnsi="Arial" w:cs="Arial"/>
                <w:szCs w:val="24"/>
              </w:rPr>
            </w:pPr>
          </w:p>
        </w:tc>
      </w:tr>
      <w:tr w:rsidR="00991813" w:rsidRPr="008E7086" w:rsidTr="000A6103">
        <w:trPr>
          <w:trHeight w:val="252"/>
        </w:trPr>
        <w:tc>
          <w:tcPr>
            <w:tcW w:w="8478" w:type="dxa"/>
            <w:tcBorders>
              <w:top w:val="nil"/>
              <w:left w:val="nil"/>
              <w:bottom w:val="nil"/>
              <w:right w:val="nil"/>
            </w:tcBorders>
          </w:tcPr>
          <w:p w:rsidR="00991813" w:rsidRPr="00E161D7" w:rsidRDefault="00991813" w:rsidP="00037B1E">
            <w:pPr>
              <w:tabs>
                <w:tab w:val="left" w:pos="-720"/>
                <w:tab w:val="left" w:pos="360"/>
                <w:tab w:val="left" w:pos="1440"/>
                <w:tab w:val="left" w:pos="9180"/>
              </w:tabs>
              <w:suppressAutoHyphens/>
              <w:jc w:val="left"/>
              <w:rPr>
                <w:rFonts w:ascii="Arial" w:hAnsi="Arial" w:cs="Arial"/>
                <w:b/>
                <w:szCs w:val="24"/>
              </w:rPr>
            </w:pPr>
            <w:r w:rsidRPr="00E161D7">
              <w:rPr>
                <w:rFonts w:ascii="Arial" w:hAnsi="Arial" w:cs="Arial"/>
                <w:b/>
                <w:szCs w:val="24"/>
              </w:rPr>
              <w:t>BACKGROUND AND OPERATIONAL REVIEW</w:t>
            </w:r>
          </w:p>
        </w:tc>
        <w:tc>
          <w:tcPr>
            <w:tcW w:w="1098" w:type="dxa"/>
            <w:tcBorders>
              <w:top w:val="nil"/>
              <w:left w:val="nil"/>
              <w:bottom w:val="nil"/>
              <w:right w:val="nil"/>
            </w:tcBorders>
            <w:vAlign w:val="bottom"/>
          </w:tcPr>
          <w:p w:rsidR="00991813" w:rsidRPr="008E7086" w:rsidRDefault="00991813" w:rsidP="00745C71">
            <w:pPr>
              <w:tabs>
                <w:tab w:val="right" w:pos="562"/>
              </w:tabs>
              <w:suppressAutoHyphens/>
              <w:rPr>
                <w:rFonts w:ascii="Arial" w:hAnsi="Arial" w:cs="Arial"/>
                <w:szCs w:val="24"/>
              </w:rPr>
            </w:pPr>
          </w:p>
        </w:tc>
      </w:tr>
      <w:tr w:rsidR="00991813" w:rsidRPr="008E7086" w:rsidTr="000A6103">
        <w:trPr>
          <w:trHeight w:val="252"/>
        </w:trPr>
        <w:tc>
          <w:tcPr>
            <w:tcW w:w="8478" w:type="dxa"/>
            <w:tcBorders>
              <w:top w:val="nil"/>
              <w:left w:val="nil"/>
              <w:bottom w:val="nil"/>
              <w:right w:val="nil"/>
            </w:tcBorders>
          </w:tcPr>
          <w:p w:rsidR="00991813" w:rsidRPr="008E7086" w:rsidRDefault="00991813" w:rsidP="00905409">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vAlign w:val="bottom"/>
          </w:tcPr>
          <w:p w:rsidR="00991813" w:rsidRPr="008E7086" w:rsidRDefault="00991813" w:rsidP="000A6103">
            <w:pPr>
              <w:tabs>
                <w:tab w:val="right" w:pos="562"/>
              </w:tabs>
              <w:suppressAutoHyphens/>
              <w:rPr>
                <w:rFonts w:ascii="Arial" w:hAnsi="Arial" w:cs="Arial"/>
                <w:szCs w:val="24"/>
              </w:rPr>
            </w:pPr>
          </w:p>
        </w:tc>
      </w:tr>
      <w:tr w:rsidR="00F720B6" w:rsidRPr="008E7086" w:rsidTr="000A6103">
        <w:trPr>
          <w:trHeight w:val="252"/>
        </w:trPr>
        <w:tc>
          <w:tcPr>
            <w:tcW w:w="8478" w:type="dxa"/>
            <w:tcBorders>
              <w:top w:val="nil"/>
              <w:left w:val="nil"/>
              <w:bottom w:val="nil"/>
              <w:right w:val="nil"/>
            </w:tcBorders>
          </w:tcPr>
          <w:p w:rsidR="00F720B6" w:rsidRPr="00F720B6" w:rsidRDefault="00F720B6" w:rsidP="00F720B6">
            <w:pPr>
              <w:tabs>
                <w:tab w:val="left" w:pos="-720"/>
                <w:tab w:val="left" w:pos="360"/>
                <w:tab w:val="left" w:pos="1440"/>
                <w:tab w:val="left" w:pos="9180"/>
              </w:tabs>
              <w:suppressAutoHyphens/>
              <w:jc w:val="left"/>
              <w:rPr>
                <w:rFonts w:ascii="Arial" w:hAnsi="Arial" w:cs="Arial"/>
                <w:szCs w:val="24"/>
              </w:rPr>
            </w:pPr>
            <w:r>
              <w:rPr>
                <w:rFonts w:ascii="Arial" w:hAnsi="Arial" w:cs="Arial"/>
                <w:szCs w:val="24"/>
              </w:rPr>
              <w:t xml:space="preserve">     Background</w:t>
            </w:r>
          </w:p>
        </w:tc>
        <w:tc>
          <w:tcPr>
            <w:tcW w:w="1098" w:type="dxa"/>
            <w:tcBorders>
              <w:top w:val="nil"/>
              <w:left w:val="nil"/>
              <w:bottom w:val="nil"/>
              <w:right w:val="nil"/>
            </w:tcBorders>
            <w:vAlign w:val="bottom"/>
          </w:tcPr>
          <w:p w:rsidR="00F720B6" w:rsidRPr="008E7086" w:rsidRDefault="00F720B6" w:rsidP="000A6103">
            <w:pPr>
              <w:tabs>
                <w:tab w:val="right" w:pos="562"/>
              </w:tabs>
              <w:suppressAutoHyphens/>
              <w:rPr>
                <w:rFonts w:ascii="Arial" w:hAnsi="Arial" w:cs="Arial"/>
                <w:szCs w:val="24"/>
              </w:rPr>
            </w:pPr>
            <w:r>
              <w:rPr>
                <w:rFonts w:ascii="Arial" w:hAnsi="Arial" w:cs="Arial"/>
                <w:szCs w:val="24"/>
              </w:rPr>
              <w:t>7</w:t>
            </w:r>
          </w:p>
        </w:tc>
      </w:tr>
      <w:tr w:rsidR="00F720B6" w:rsidRPr="008E7086" w:rsidTr="000A6103">
        <w:trPr>
          <w:trHeight w:val="252"/>
        </w:trPr>
        <w:tc>
          <w:tcPr>
            <w:tcW w:w="8478" w:type="dxa"/>
            <w:tcBorders>
              <w:top w:val="nil"/>
              <w:left w:val="nil"/>
              <w:bottom w:val="nil"/>
              <w:right w:val="nil"/>
            </w:tcBorders>
          </w:tcPr>
          <w:p w:rsidR="00F720B6" w:rsidRPr="008E7086" w:rsidRDefault="00F720B6" w:rsidP="00905409">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vAlign w:val="bottom"/>
          </w:tcPr>
          <w:p w:rsidR="00F720B6" w:rsidRPr="008E7086" w:rsidRDefault="00F720B6" w:rsidP="000A6103">
            <w:pPr>
              <w:tabs>
                <w:tab w:val="right" w:pos="562"/>
              </w:tabs>
              <w:suppressAutoHyphens/>
              <w:rPr>
                <w:rFonts w:ascii="Arial" w:hAnsi="Arial" w:cs="Arial"/>
                <w:szCs w:val="24"/>
              </w:rPr>
            </w:pPr>
          </w:p>
        </w:tc>
      </w:tr>
      <w:tr w:rsidR="00C50F32" w:rsidRPr="008E7086" w:rsidTr="00C50F32">
        <w:trPr>
          <w:trHeight w:val="252"/>
        </w:trPr>
        <w:tc>
          <w:tcPr>
            <w:tcW w:w="8478" w:type="dxa"/>
            <w:tcBorders>
              <w:top w:val="nil"/>
              <w:left w:val="nil"/>
              <w:bottom w:val="nil"/>
              <w:right w:val="nil"/>
            </w:tcBorders>
          </w:tcPr>
          <w:p w:rsidR="00C50F32" w:rsidRPr="00C50F32" w:rsidRDefault="00DE7C2E" w:rsidP="00DE7C2E">
            <w:pPr>
              <w:tabs>
                <w:tab w:val="left" w:pos="-720"/>
                <w:tab w:val="left" w:pos="360"/>
                <w:tab w:val="left" w:pos="1440"/>
                <w:tab w:val="left" w:pos="9180"/>
              </w:tabs>
              <w:suppressAutoHyphens/>
              <w:jc w:val="left"/>
              <w:rPr>
                <w:rFonts w:ascii="Arial" w:hAnsi="Arial" w:cs="Arial"/>
                <w:szCs w:val="24"/>
              </w:rPr>
            </w:pPr>
            <w:r>
              <w:rPr>
                <w:rFonts w:ascii="Arial" w:hAnsi="Arial" w:cs="Arial"/>
                <w:szCs w:val="24"/>
              </w:rPr>
              <w:t xml:space="preserve">     </w:t>
            </w:r>
            <w:r w:rsidR="00C50F32">
              <w:rPr>
                <w:rFonts w:ascii="Arial" w:hAnsi="Arial" w:cs="Arial"/>
                <w:szCs w:val="24"/>
              </w:rPr>
              <w:t xml:space="preserve">Current </w:t>
            </w:r>
            <w:r>
              <w:rPr>
                <w:rFonts w:ascii="Arial" w:hAnsi="Arial" w:cs="Arial"/>
                <w:szCs w:val="24"/>
              </w:rPr>
              <w:t>Period</w:t>
            </w:r>
            <w:r w:rsidR="00C50F32">
              <w:rPr>
                <w:rFonts w:ascii="Arial" w:hAnsi="Arial" w:cs="Arial"/>
                <w:szCs w:val="24"/>
              </w:rPr>
              <w:t>’s Audit Finding</w:t>
            </w:r>
          </w:p>
        </w:tc>
        <w:tc>
          <w:tcPr>
            <w:tcW w:w="1098" w:type="dxa"/>
            <w:tcBorders>
              <w:top w:val="nil"/>
              <w:left w:val="nil"/>
              <w:bottom w:val="nil"/>
              <w:right w:val="nil"/>
            </w:tcBorders>
            <w:vAlign w:val="bottom"/>
          </w:tcPr>
          <w:p w:rsidR="00C50F32" w:rsidRPr="008E7086" w:rsidRDefault="00C50F32" w:rsidP="000A6103">
            <w:pPr>
              <w:tabs>
                <w:tab w:val="right" w:pos="562"/>
              </w:tabs>
              <w:suppressAutoHyphens/>
              <w:rPr>
                <w:rFonts w:ascii="Arial" w:hAnsi="Arial" w:cs="Arial"/>
                <w:szCs w:val="24"/>
              </w:rPr>
            </w:pPr>
          </w:p>
        </w:tc>
      </w:tr>
      <w:tr w:rsidR="00C50F32" w:rsidRPr="008E7086" w:rsidTr="00C50F32">
        <w:trPr>
          <w:trHeight w:val="252"/>
        </w:trPr>
        <w:tc>
          <w:tcPr>
            <w:tcW w:w="8478" w:type="dxa"/>
            <w:tcBorders>
              <w:top w:val="nil"/>
              <w:left w:val="nil"/>
              <w:bottom w:val="nil"/>
              <w:right w:val="nil"/>
            </w:tcBorders>
          </w:tcPr>
          <w:p w:rsidR="00C50F32" w:rsidRDefault="00C50F32" w:rsidP="00C50F32">
            <w:pPr>
              <w:tabs>
                <w:tab w:val="left" w:pos="-720"/>
                <w:tab w:val="left" w:pos="360"/>
                <w:tab w:val="left" w:pos="1440"/>
                <w:tab w:val="left" w:pos="9180"/>
              </w:tabs>
              <w:suppressAutoHyphens/>
              <w:jc w:val="left"/>
              <w:rPr>
                <w:rFonts w:ascii="Arial" w:hAnsi="Arial" w:cs="Arial"/>
                <w:szCs w:val="24"/>
              </w:rPr>
            </w:pPr>
          </w:p>
        </w:tc>
        <w:tc>
          <w:tcPr>
            <w:tcW w:w="1098" w:type="dxa"/>
            <w:tcBorders>
              <w:top w:val="nil"/>
              <w:left w:val="nil"/>
              <w:bottom w:val="nil"/>
              <w:right w:val="nil"/>
            </w:tcBorders>
            <w:vAlign w:val="bottom"/>
          </w:tcPr>
          <w:p w:rsidR="00C50F32" w:rsidRPr="008E7086" w:rsidRDefault="00C50F32" w:rsidP="000A6103">
            <w:pPr>
              <w:tabs>
                <w:tab w:val="right" w:pos="562"/>
              </w:tabs>
              <w:suppressAutoHyphens/>
              <w:rPr>
                <w:rFonts w:ascii="Arial" w:hAnsi="Arial" w:cs="Arial"/>
                <w:szCs w:val="24"/>
              </w:rPr>
            </w:pPr>
          </w:p>
        </w:tc>
      </w:tr>
      <w:tr w:rsidR="00C50F32" w:rsidRPr="008E7086" w:rsidTr="000A6103">
        <w:trPr>
          <w:trHeight w:val="252"/>
        </w:trPr>
        <w:tc>
          <w:tcPr>
            <w:tcW w:w="8478" w:type="dxa"/>
            <w:tcBorders>
              <w:top w:val="nil"/>
              <w:left w:val="nil"/>
              <w:bottom w:val="nil"/>
              <w:right w:val="nil"/>
            </w:tcBorders>
          </w:tcPr>
          <w:p w:rsidR="00C50F32" w:rsidRPr="008E7086" w:rsidRDefault="00DE7C2E" w:rsidP="00DE7C2E">
            <w:pPr>
              <w:tabs>
                <w:tab w:val="left" w:pos="-720"/>
              </w:tabs>
              <w:suppressAutoHyphens/>
              <w:ind w:left="180" w:hanging="180"/>
              <w:rPr>
                <w:rFonts w:ascii="Arial" w:hAnsi="Arial" w:cs="Arial"/>
                <w:b/>
                <w:szCs w:val="24"/>
                <w:u w:val="single"/>
              </w:rPr>
            </w:pPr>
            <w:r>
              <w:rPr>
                <w:rFonts w:ascii="Arial" w:hAnsi="Arial" w:cs="Arial"/>
                <w:b/>
                <w:szCs w:val="24"/>
              </w:rPr>
              <w:t xml:space="preserve">        </w:t>
            </w:r>
            <w:r w:rsidR="00C50F32">
              <w:rPr>
                <w:rFonts w:ascii="Arial" w:hAnsi="Arial" w:cs="Arial"/>
                <w:b/>
                <w:szCs w:val="24"/>
              </w:rPr>
              <w:t xml:space="preserve">Finding – </w:t>
            </w:r>
            <w:r w:rsidR="00C50F32" w:rsidRPr="00C50F32">
              <w:rPr>
                <w:rFonts w:ascii="Arial" w:hAnsi="Arial" w:cs="Arial"/>
                <w:b/>
                <w:szCs w:val="24"/>
              </w:rPr>
              <w:t>The Compa</w:t>
            </w:r>
            <w:r w:rsidR="00C12F90">
              <w:rPr>
                <w:rFonts w:ascii="Arial" w:hAnsi="Arial" w:cs="Arial"/>
                <w:b/>
                <w:szCs w:val="24"/>
              </w:rPr>
              <w:t>ny Overstated GSA Costs by $12,5</w:t>
            </w:r>
            <w:r w:rsidR="00C50F32" w:rsidRPr="00C50F32">
              <w:rPr>
                <w:rFonts w:ascii="Arial" w:hAnsi="Arial" w:cs="Arial"/>
                <w:b/>
                <w:szCs w:val="24"/>
              </w:rPr>
              <w:t>33 for the</w:t>
            </w:r>
            <w:r>
              <w:rPr>
                <w:rFonts w:ascii="Arial" w:hAnsi="Arial" w:cs="Arial"/>
                <w:b/>
                <w:szCs w:val="24"/>
              </w:rPr>
              <w:t xml:space="preserve"> </w:t>
            </w:r>
            <w:r w:rsidR="00C50F32" w:rsidRPr="00C50F32">
              <w:rPr>
                <w:rFonts w:ascii="Arial" w:hAnsi="Arial" w:cs="Arial"/>
                <w:b/>
                <w:szCs w:val="24"/>
              </w:rPr>
              <w:t>Twelve Months Ended December 31, 2013</w:t>
            </w:r>
            <w:r>
              <w:rPr>
                <w:rFonts w:ascii="Arial" w:hAnsi="Arial" w:cs="Arial"/>
                <w:b/>
                <w:szCs w:val="24"/>
              </w:rPr>
              <w:t>.</w:t>
            </w:r>
          </w:p>
        </w:tc>
        <w:tc>
          <w:tcPr>
            <w:tcW w:w="1098" w:type="dxa"/>
            <w:tcBorders>
              <w:top w:val="nil"/>
              <w:left w:val="nil"/>
              <w:bottom w:val="nil"/>
              <w:right w:val="nil"/>
            </w:tcBorders>
            <w:vAlign w:val="bottom"/>
          </w:tcPr>
          <w:p w:rsidR="00C50F32" w:rsidRPr="008E7086" w:rsidRDefault="00E161D7" w:rsidP="000A6103">
            <w:pPr>
              <w:tabs>
                <w:tab w:val="right" w:pos="562"/>
              </w:tabs>
              <w:suppressAutoHyphens/>
              <w:rPr>
                <w:rFonts w:ascii="Arial" w:hAnsi="Arial" w:cs="Arial"/>
                <w:szCs w:val="24"/>
              </w:rPr>
            </w:pPr>
            <w:r>
              <w:rPr>
                <w:rFonts w:ascii="Arial" w:hAnsi="Arial" w:cs="Arial"/>
                <w:szCs w:val="24"/>
              </w:rPr>
              <w:t>8</w:t>
            </w:r>
          </w:p>
        </w:tc>
      </w:tr>
      <w:tr w:rsidR="00C50F32" w:rsidRPr="008E7086" w:rsidTr="000A6103">
        <w:trPr>
          <w:trHeight w:val="252"/>
        </w:trPr>
        <w:tc>
          <w:tcPr>
            <w:tcW w:w="8478" w:type="dxa"/>
            <w:tcBorders>
              <w:top w:val="nil"/>
              <w:left w:val="nil"/>
              <w:bottom w:val="nil"/>
              <w:right w:val="nil"/>
            </w:tcBorders>
          </w:tcPr>
          <w:p w:rsidR="00C50F32" w:rsidRPr="008E7086" w:rsidRDefault="00C50F32" w:rsidP="00905409">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vAlign w:val="bottom"/>
          </w:tcPr>
          <w:p w:rsidR="00C50F32" w:rsidRPr="008E7086" w:rsidRDefault="00C50F32" w:rsidP="000A6103">
            <w:pPr>
              <w:tabs>
                <w:tab w:val="right" w:pos="562"/>
              </w:tabs>
              <w:suppressAutoHyphens/>
              <w:rPr>
                <w:rFonts w:ascii="Arial" w:hAnsi="Arial" w:cs="Arial"/>
                <w:szCs w:val="24"/>
              </w:rPr>
            </w:pPr>
          </w:p>
        </w:tc>
      </w:tr>
      <w:tr w:rsidR="000A6103" w:rsidRPr="008E7086" w:rsidTr="000A6103">
        <w:trPr>
          <w:trHeight w:val="252"/>
        </w:trPr>
        <w:tc>
          <w:tcPr>
            <w:tcW w:w="8478" w:type="dxa"/>
            <w:tcBorders>
              <w:top w:val="nil"/>
              <w:left w:val="nil"/>
              <w:bottom w:val="nil"/>
              <w:right w:val="nil"/>
            </w:tcBorders>
          </w:tcPr>
          <w:p w:rsidR="000A6103" w:rsidRPr="00E161D7" w:rsidRDefault="000A6103" w:rsidP="000A6103">
            <w:pPr>
              <w:tabs>
                <w:tab w:val="left" w:pos="-720"/>
                <w:tab w:val="left" w:pos="360"/>
                <w:tab w:val="left" w:pos="1440"/>
                <w:tab w:val="left" w:pos="9180"/>
              </w:tabs>
              <w:suppressAutoHyphens/>
              <w:jc w:val="left"/>
              <w:rPr>
                <w:rFonts w:ascii="Arial" w:hAnsi="Arial" w:cs="Arial"/>
                <w:b/>
                <w:szCs w:val="24"/>
              </w:rPr>
            </w:pPr>
            <w:r w:rsidRPr="00E161D7">
              <w:rPr>
                <w:rFonts w:ascii="Arial" w:hAnsi="Arial" w:cs="Arial"/>
                <w:b/>
                <w:szCs w:val="24"/>
              </w:rPr>
              <w:t>ACKNOWLEDGEMENTS</w:t>
            </w:r>
          </w:p>
        </w:tc>
        <w:tc>
          <w:tcPr>
            <w:tcW w:w="1098" w:type="dxa"/>
            <w:tcBorders>
              <w:top w:val="nil"/>
              <w:left w:val="nil"/>
              <w:bottom w:val="nil"/>
              <w:right w:val="nil"/>
            </w:tcBorders>
            <w:vAlign w:val="bottom"/>
          </w:tcPr>
          <w:p w:rsidR="000A6103" w:rsidRPr="008E7086" w:rsidRDefault="00E161D7" w:rsidP="00745C71">
            <w:pPr>
              <w:tabs>
                <w:tab w:val="right" w:pos="562"/>
              </w:tabs>
              <w:suppressAutoHyphens/>
              <w:rPr>
                <w:rFonts w:ascii="Arial" w:hAnsi="Arial" w:cs="Arial"/>
                <w:szCs w:val="24"/>
              </w:rPr>
            </w:pPr>
            <w:r>
              <w:rPr>
                <w:rFonts w:ascii="Arial" w:hAnsi="Arial" w:cs="Arial"/>
                <w:szCs w:val="24"/>
              </w:rPr>
              <w:t>9</w:t>
            </w:r>
          </w:p>
        </w:tc>
      </w:tr>
    </w:tbl>
    <w:p w:rsidR="00FB1D8B" w:rsidRPr="008E7086" w:rsidRDefault="000A6103" w:rsidP="00905409">
      <w:pPr>
        <w:tabs>
          <w:tab w:val="center" w:pos="4680"/>
        </w:tabs>
        <w:suppressAutoHyphen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FB1D8B" w:rsidRPr="008E7086" w:rsidRDefault="00FB1D8B" w:rsidP="00905409">
      <w:pPr>
        <w:tabs>
          <w:tab w:val="center" w:pos="4680"/>
        </w:tabs>
        <w:suppressAutoHyphens/>
        <w:rPr>
          <w:rFonts w:ascii="Arial" w:hAnsi="Arial" w:cs="Arial"/>
          <w:szCs w:val="24"/>
        </w:rPr>
      </w:pPr>
    </w:p>
    <w:p w:rsidR="005D711E" w:rsidRPr="008E7086" w:rsidRDefault="005D711E" w:rsidP="00905409">
      <w:pPr>
        <w:tabs>
          <w:tab w:val="center" w:pos="4680"/>
        </w:tabs>
        <w:suppressAutoHyphens/>
        <w:rPr>
          <w:rFonts w:ascii="Arial" w:hAnsi="Arial" w:cs="Arial"/>
          <w:szCs w:val="24"/>
        </w:rPr>
      </w:pPr>
    </w:p>
    <w:p w:rsidR="00592663" w:rsidRPr="008E7086" w:rsidRDefault="00592663" w:rsidP="00905409">
      <w:pPr>
        <w:tabs>
          <w:tab w:val="center" w:pos="4680"/>
        </w:tabs>
        <w:suppressAutoHyphens/>
        <w:rPr>
          <w:rFonts w:ascii="Arial" w:hAnsi="Arial" w:cs="Arial"/>
          <w:szCs w:val="24"/>
        </w:rPr>
      </w:pPr>
    </w:p>
    <w:p w:rsidR="00B8416D" w:rsidRPr="008E7086" w:rsidRDefault="00B8416D" w:rsidP="00905409">
      <w:pPr>
        <w:tabs>
          <w:tab w:val="center" w:pos="4680"/>
        </w:tabs>
        <w:suppressAutoHyphens/>
        <w:rPr>
          <w:rFonts w:ascii="Arial" w:hAnsi="Arial" w:cs="Arial"/>
          <w:szCs w:val="24"/>
        </w:rPr>
      </w:pPr>
    </w:p>
    <w:p w:rsidR="0067451B" w:rsidRPr="008E7086" w:rsidRDefault="0067451B" w:rsidP="00905409">
      <w:pPr>
        <w:tabs>
          <w:tab w:val="center" w:pos="4680"/>
        </w:tabs>
        <w:suppressAutoHyphens/>
        <w:rPr>
          <w:rFonts w:ascii="Arial" w:hAnsi="Arial" w:cs="Arial"/>
          <w:szCs w:val="24"/>
        </w:rPr>
      </w:pPr>
    </w:p>
    <w:p w:rsidR="00901A3F" w:rsidRPr="008E7086" w:rsidRDefault="00901A3F" w:rsidP="00905409">
      <w:pPr>
        <w:tabs>
          <w:tab w:val="left" w:pos="-1440"/>
          <w:tab w:val="left" w:pos="-720"/>
        </w:tabs>
        <w:suppressAutoHyphens/>
        <w:rPr>
          <w:rFonts w:ascii="Arial" w:hAnsi="Arial" w:cs="Arial"/>
          <w:szCs w:val="24"/>
        </w:rPr>
      </w:pPr>
    </w:p>
    <w:p w:rsidR="00B613F2" w:rsidRPr="008E7086" w:rsidRDefault="00B613F2" w:rsidP="00905409">
      <w:pPr>
        <w:tabs>
          <w:tab w:val="center" w:pos="4680"/>
        </w:tabs>
        <w:suppressAutoHyphens/>
        <w:rPr>
          <w:rFonts w:ascii="Arial" w:hAnsi="Arial" w:cs="Arial"/>
          <w:szCs w:val="24"/>
        </w:rPr>
        <w:sectPr w:rsidR="00B613F2" w:rsidRPr="008E7086" w:rsidSect="002A53CB">
          <w:headerReference w:type="even" r:id="rId15"/>
          <w:headerReference w:type="default" r:id="rId16"/>
          <w:footerReference w:type="default" r:id="rId17"/>
          <w:headerReference w:type="first" r:id="rId18"/>
          <w:endnotePr>
            <w:numFmt w:val="decimal"/>
          </w:endnotePr>
          <w:pgSz w:w="12240" w:h="15840" w:code="1"/>
          <w:pgMar w:top="1440" w:right="1440" w:bottom="1152" w:left="1440" w:header="0" w:footer="720" w:gutter="0"/>
          <w:pgNumType w:start="1"/>
          <w:cols w:space="720"/>
          <w:noEndnote/>
        </w:sect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6ADA" w:rsidRDefault="005D6ADA" w:rsidP="00905409">
      <w:pPr>
        <w:pStyle w:val="Heading4"/>
        <w:tabs>
          <w:tab w:val="clear" w:pos="4680"/>
        </w:tabs>
        <w:rPr>
          <w:rFonts w:ascii="Arial" w:hAnsi="Arial" w:cs="Arial"/>
          <w:sz w:val="36"/>
          <w:szCs w:val="36"/>
          <w:u w:val="none"/>
        </w:rPr>
      </w:pPr>
    </w:p>
    <w:p w:rsidR="005D711E" w:rsidRPr="008E7086" w:rsidRDefault="005D711E" w:rsidP="00905409">
      <w:pPr>
        <w:pStyle w:val="Heading4"/>
        <w:tabs>
          <w:tab w:val="clear" w:pos="4680"/>
        </w:tabs>
        <w:rPr>
          <w:rFonts w:ascii="Arial" w:hAnsi="Arial" w:cs="Arial"/>
          <w:sz w:val="36"/>
          <w:szCs w:val="36"/>
          <w:u w:val="none"/>
        </w:rPr>
      </w:pPr>
      <w:r w:rsidRPr="008E7086">
        <w:rPr>
          <w:rFonts w:ascii="Arial" w:hAnsi="Arial" w:cs="Arial"/>
          <w:sz w:val="36"/>
          <w:szCs w:val="36"/>
          <w:u w:val="none"/>
        </w:rPr>
        <w:t>FINANCIAL REVIEW</w:t>
      </w:r>
    </w:p>
    <w:p w:rsidR="005D711E" w:rsidRPr="008E7086" w:rsidRDefault="005D711E" w:rsidP="00905409">
      <w:pPr>
        <w:tabs>
          <w:tab w:val="left" w:pos="-1440"/>
          <w:tab w:val="left" w:pos="-720"/>
        </w:tabs>
        <w:suppressAutoHyphens/>
        <w:rPr>
          <w:rFonts w:ascii="Arial" w:hAnsi="Arial" w:cs="Arial"/>
          <w:szCs w:val="24"/>
        </w:rPr>
      </w:pPr>
    </w:p>
    <w:p w:rsidR="005D711E" w:rsidRPr="008E7086" w:rsidRDefault="005D711E" w:rsidP="00905409">
      <w:pPr>
        <w:tabs>
          <w:tab w:val="left" w:pos="1440"/>
          <w:tab w:val="center" w:pos="4464"/>
        </w:tabs>
        <w:suppressAutoHyphens/>
        <w:rPr>
          <w:rFonts w:ascii="Arial" w:hAnsi="Arial" w:cs="Arial"/>
          <w:szCs w:val="24"/>
        </w:rPr>
        <w:sectPr w:rsidR="005D711E" w:rsidRPr="008E7086" w:rsidSect="002A53CB">
          <w:endnotePr>
            <w:numFmt w:val="decimal"/>
          </w:endnotePr>
          <w:pgSz w:w="12240" w:h="15840" w:code="1"/>
          <w:pgMar w:top="1440" w:right="1440" w:bottom="1152" w:left="1440" w:header="0" w:footer="720" w:gutter="0"/>
          <w:pgNumType w:start="1"/>
          <w:cols w:space="720"/>
          <w:noEndnote/>
        </w:sectPr>
      </w:pPr>
    </w:p>
    <w:tbl>
      <w:tblPr>
        <w:tblpPr w:leftFromText="180" w:rightFromText="180" w:horzAnchor="margin" w:tblpXSpec="center" w:tblpY="-620"/>
        <w:tblW w:w="10890" w:type="dxa"/>
        <w:tblLayout w:type="fixed"/>
        <w:tblLook w:val="0000" w:firstRow="0" w:lastRow="0" w:firstColumn="0" w:lastColumn="0" w:noHBand="0" w:noVBand="0"/>
      </w:tblPr>
      <w:tblGrid>
        <w:gridCol w:w="1363"/>
        <w:gridCol w:w="8075"/>
        <w:gridCol w:w="1452"/>
      </w:tblGrid>
      <w:tr w:rsidR="00A05907" w:rsidRPr="00BC5B24" w:rsidTr="00A05907">
        <w:trPr>
          <w:trHeight w:val="990"/>
        </w:trPr>
        <w:tc>
          <w:tcPr>
            <w:tcW w:w="1363" w:type="dxa"/>
          </w:tcPr>
          <w:p w:rsidR="00A05907" w:rsidRPr="00BC5B24" w:rsidRDefault="00A05907" w:rsidP="00A05907">
            <w:pPr>
              <w:rPr>
                <w:rFonts w:ascii="Arial" w:hAnsi="Arial" w:cs="Arial"/>
              </w:rPr>
            </w:pPr>
            <w:r>
              <w:rPr>
                <w:rFonts w:ascii="Arial" w:hAnsi="Arial" w:cs="Arial"/>
                <w:noProof/>
                <w:spacing w:val="-2"/>
              </w:rPr>
              <w:lastRenderedPageBreak/>
              <w:drawing>
                <wp:inline distT="0" distB="0" distL="0" distR="0" wp14:anchorId="5AA89B17" wp14:editId="1152B174">
                  <wp:extent cx="723900" cy="723900"/>
                  <wp:effectExtent l="0" t="0" r="0" b="0"/>
                  <wp:docPr id="4"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05907" w:rsidRPr="00BC5B24" w:rsidRDefault="00A05907" w:rsidP="00A05907">
            <w:pPr>
              <w:suppressAutoHyphens/>
              <w:spacing w:line="204" w:lineRule="auto"/>
              <w:rPr>
                <w:rFonts w:ascii="Arial" w:hAnsi="Arial" w:cs="Arial"/>
                <w:color w:val="000080"/>
                <w:spacing w:val="-3"/>
                <w:sz w:val="26"/>
              </w:rPr>
            </w:pPr>
          </w:p>
          <w:p w:rsidR="00A05907" w:rsidRPr="00BC5B24" w:rsidRDefault="00A05907" w:rsidP="00A05907">
            <w:pPr>
              <w:suppressAutoHyphens/>
              <w:spacing w:line="204" w:lineRule="auto"/>
              <w:rPr>
                <w:rFonts w:ascii="Arial" w:hAnsi="Arial" w:cs="Arial"/>
                <w:color w:val="000080"/>
                <w:spacing w:val="-3"/>
                <w:sz w:val="26"/>
              </w:rPr>
            </w:pPr>
            <w:smartTag w:uri="urn:schemas-microsoft-com:office:smarttags" w:element="place">
              <w:smartTag w:uri="urn:schemas-microsoft-com:office:smarttags" w:element="PlaceType">
                <w:r w:rsidRPr="00BC5B24">
                  <w:rPr>
                    <w:rFonts w:ascii="Arial" w:hAnsi="Arial" w:cs="Arial"/>
                    <w:color w:val="000080"/>
                    <w:spacing w:val="-3"/>
                    <w:sz w:val="26"/>
                  </w:rPr>
                  <w:t>COMMONWEALTH</w:t>
                </w:r>
              </w:smartTag>
              <w:r w:rsidRPr="00BC5B24">
                <w:rPr>
                  <w:rFonts w:ascii="Arial" w:hAnsi="Arial" w:cs="Arial"/>
                  <w:color w:val="000080"/>
                  <w:spacing w:val="-3"/>
                  <w:sz w:val="26"/>
                </w:rPr>
                <w:t xml:space="preserve"> OF </w:t>
              </w:r>
              <w:smartTag w:uri="urn:schemas-microsoft-com:office:smarttags" w:element="PlaceName">
                <w:r w:rsidRPr="00BC5B24">
                  <w:rPr>
                    <w:rFonts w:ascii="Arial" w:hAnsi="Arial" w:cs="Arial"/>
                    <w:color w:val="000080"/>
                    <w:spacing w:val="-3"/>
                    <w:sz w:val="26"/>
                  </w:rPr>
                  <w:t>PENNSYLVANIA</w:t>
                </w:r>
              </w:smartTag>
            </w:smartTag>
          </w:p>
          <w:p w:rsidR="00A05907" w:rsidRDefault="00A05907" w:rsidP="00A05907">
            <w:pPr>
              <w:suppressAutoHyphens/>
              <w:spacing w:line="204" w:lineRule="auto"/>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05907" w:rsidRDefault="00A05907" w:rsidP="00A05907">
            <w:pPr>
              <w:suppressAutoHyphens/>
              <w:spacing w:line="204" w:lineRule="auto"/>
              <w:rPr>
                <w:rFonts w:ascii="Arial" w:hAnsi="Arial"/>
                <w:color w:val="000080"/>
                <w:spacing w:val="-3"/>
                <w:sz w:val="26"/>
              </w:rPr>
            </w:pPr>
            <w:r>
              <w:rPr>
                <w:rFonts w:ascii="Arial" w:hAnsi="Arial"/>
                <w:color w:val="000080"/>
                <w:spacing w:val="-3"/>
                <w:sz w:val="26"/>
              </w:rPr>
              <w:t>COMMONWEALTH KEYSTONE BUILDING</w:t>
            </w:r>
          </w:p>
          <w:p w:rsidR="00A05907" w:rsidRPr="00BC5B24" w:rsidRDefault="00A05907" w:rsidP="00A05907">
            <w:pPr>
              <w:rPr>
                <w:rFonts w:ascii="Arial" w:hAnsi="Arial" w:cs="Arial"/>
                <w:sz w:val="12"/>
              </w:rPr>
            </w:pPr>
            <w:r>
              <w:rPr>
                <w:rFonts w:ascii="Arial" w:hAnsi="Arial"/>
                <w:color w:val="000080"/>
                <w:spacing w:val="-3"/>
                <w:sz w:val="26"/>
              </w:rPr>
              <w:t>400 NORTH STREET, HARRISBURG, PA  17120</w:t>
            </w:r>
          </w:p>
        </w:tc>
        <w:tc>
          <w:tcPr>
            <w:tcW w:w="1452" w:type="dxa"/>
          </w:tcPr>
          <w:p w:rsidR="00A05907" w:rsidRPr="00BC5B24" w:rsidRDefault="00A05907" w:rsidP="00A05907">
            <w:pPr>
              <w:rPr>
                <w:rFonts w:ascii="Arial" w:hAnsi="Arial" w:cs="Arial"/>
                <w:sz w:val="12"/>
              </w:rPr>
            </w:pPr>
          </w:p>
          <w:p w:rsidR="00A05907" w:rsidRPr="00BC5B24" w:rsidRDefault="00A05907" w:rsidP="00A05907">
            <w:pPr>
              <w:rPr>
                <w:rFonts w:ascii="Arial" w:hAnsi="Arial" w:cs="Arial"/>
                <w:sz w:val="12"/>
              </w:rPr>
            </w:pPr>
          </w:p>
          <w:p w:rsidR="00A05907" w:rsidRPr="00BC5B24" w:rsidRDefault="00A05907" w:rsidP="00A05907">
            <w:pPr>
              <w:rPr>
                <w:rFonts w:ascii="Arial" w:hAnsi="Arial" w:cs="Arial"/>
                <w:sz w:val="12"/>
              </w:rPr>
            </w:pPr>
          </w:p>
          <w:p w:rsidR="00A05907" w:rsidRPr="00BC5B24" w:rsidRDefault="00A05907" w:rsidP="00A05907">
            <w:pPr>
              <w:rPr>
                <w:rFonts w:ascii="Arial" w:hAnsi="Arial" w:cs="Arial"/>
                <w:b/>
                <w:spacing w:val="-1"/>
                <w:sz w:val="12"/>
              </w:rPr>
            </w:pPr>
          </w:p>
          <w:p w:rsidR="00A05907" w:rsidRPr="00BC5B24" w:rsidRDefault="00A05907" w:rsidP="00A05907">
            <w:pPr>
              <w:rPr>
                <w:rFonts w:ascii="Arial" w:hAnsi="Arial" w:cs="Arial"/>
                <w:sz w:val="12"/>
              </w:rPr>
            </w:pPr>
            <w:r w:rsidRPr="00BC5B24">
              <w:rPr>
                <w:rFonts w:ascii="Arial" w:hAnsi="Arial" w:cs="Arial"/>
                <w:b/>
                <w:spacing w:val="-1"/>
                <w:sz w:val="12"/>
              </w:rPr>
              <w:t>IN REPLY PLEASE REFER TO OUR FILE</w:t>
            </w:r>
          </w:p>
        </w:tc>
      </w:tr>
    </w:tbl>
    <w:p w:rsidR="005D711E" w:rsidRPr="008E7086" w:rsidRDefault="005D711E" w:rsidP="00905409">
      <w:pPr>
        <w:pStyle w:val="Heading1"/>
        <w:tabs>
          <w:tab w:val="clear" w:pos="4680"/>
        </w:tabs>
        <w:jc w:val="left"/>
        <w:rPr>
          <w:rFonts w:ascii="Arial" w:hAnsi="Arial" w:cs="Arial"/>
          <w:szCs w:val="24"/>
        </w:rPr>
      </w:pPr>
    </w:p>
    <w:p w:rsidR="00C96D37" w:rsidRPr="00F16976" w:rsidRDefault="00C96D37" w:rsidP="00A05907">
      <w:pPr>
        <w:tabs>
          <w:tab w:val="center" w:pos="4680"/>
          <w:tab w:val="left" w:pos="8820"/>
        </w:tabs>
        <w:outlineLvl w:val="0"/>
        <w:rPr>
          <w:rFonts w:ascii="Arial" w:hAnsi="Arial" w:cs="Arial"/>
          <w:b/>
          <w:sz w:val="26"/>
          <w:szCs w:val="26"/>
        </w:rPr>
      </w:pPr>
      <w:r w:rsidRPr="00F16976">
        <w:rPr>
          <w:rFonts w:ascii="Arial" w:hAnsi="Arial" w:cs="Arial"/>
          <w:b/>
          <w:sz w:val="26"/>
          <w:szCs w:val="26"/>
        </w:rPr>
        <w:t>INDEPENDENT AUDITOR'S REPORT</w:t>
      </w:r>
    </w:p>
    <w:p w:rsidR="00C96D37" w:rsidRPr="004F00DD" w:rsidRDefault="00C96D37" w:rsidP="00A05907">
      <w:pPr>
        <w:tabs>
          <w:tab w:val="left" w:pos="-720"/>
          <w:tab w:val="left" w:pos="8820"/>
        </w:tabs>
        <w:rPr>
          <w:rFonts w:ascii="Arial" w:hAnsi="Arial" w:cs="Arial"/>
          <w:sz w:val="26"/>
          <w:szCs w:val="26"/>
        </w:rPr>
      </w:pPr>
    </w:p>
    <w:p w:rsidR="00C96D37" w:rsidRPr="004F00DD" w:rsidRDefault="00C96D37" w:rsidP="00A05907">
      <w:pPr>
        <w:tabs>
          <w:tab w:val="center" w:pos="4680"/>
          <w:tab w:val="left" w:pos="8820"/>
        </w:tabs>
        <w:outlineLvl w:val="0"/>
        <w:rPr>
          <w:rFonts w:ascii="Arial" w:hAnsi="Arial" w:cs="Arial"/>
          <w:sz w:val="26"/>
          <w:szCs w:val="26"/>
        </w:rPr>
      </w:pPr>
      <w:r w:rsidRPr="004F00DD">
        <w:rPr>
          <w:rFonts w:ascii="Arial" w:hAnsi="Arial" w:cs="Arial"/>
          <w:b/>
          <w:sz w:val="26"/>
          <w:szCs w:val="26"/>
        </w:rPr>
        <w:t>To The Pennsylvania Public Utility Commission</w:t>
      </w:r>
    </w:p>
    <w:p w:rsidR="00C96D37" w:rsidRPr="004F00DD" w:rsidRDefault="00C96D37" w:rsidP="00C96D37">
      <w:pPr>
        <w:tabs>
          <w:tab w:val="left" w:pos="-720"/>
          <w:tab w:val="left" w:pos="8820"/>
        </w:tabs>
        <w:jc w:val="left"/>
        <w:rPr>
          <w:rFonts w:ascii="Arial" w:hAnsi="Arial" w:cs="Arial"/>
          <w:sz w:val="26"/>
          <w:szCs w:val="26"/>
        </w:rPr>
      </w:pPr>
    </w:p>
    <w:p w:rsidR="00C96D37" w:rsidRPr="004F00DD" w:rsidRDefault="00C96D37" w:rsidP="00C96D37">
      <w:pPr>
        <w:jc w:val="left"/>
        <w:rPr>
          <w:rFonts w:ascii="Arial" w:hAnsi="Arial" w:cs="Arial"/>
          <w:b/>
          <w:bCs/>
          <w:szCs w:val="24"/>
        </w:rPr>
      </w:pPr>
      <w:r w:rsidRPr="004F00DD">
        <w:rPr>
          <w:rFonts w:ascii="Arial" w:hAnsi="Arial" w:cs="Arial"/>
          <w:b/>
          <w:bCs/>
          <w:szCs w:val="24"/>
        </w:rPr>
        <w:t>Report on the Financial Statements</w:t>
      </w:r>
    </w:p>
    <w:p w:rsidR="00C96D37" w:rsidRPr="004F00DD" w:rsidRDefault="00C96D37" w:rsidP="00C96D37">
      <w:pPr>
        <w:jc w:val="left"/>
        <w:rPr>
          <w:rFonts w:ascii="Arial" w:hAnsi="Arial" w:cs="Arial"/>
          <w:b/>
          <w:bCs/>
          <w:szCs w:val="24"/>
        </w:rPr>
      </w:pPr>
    </w:p>
    <w:p w:rsidR="00C96D37" w:rsidRPr="004F00DD" w:rsidRDefault="00C96D37" w:rsidP="00C96D37">
      <w:pPr>
        <w:tabs>
          <w:tab w:val="left" w:pos="720"/>
        </w:tabs>
        <w:jc w:val="left"/>
        <w:rPr>
          <w:rFonts w:ascii="Arial" w:hAnsi="Arial" w:cs="Arial"/>
          <w:szCs w:val="24"/>
        </w:rPr>
      </w:pPr>
      <w:r w:rsidRPr="004F00DD">
        <w:rPr>
          <w:rFonts w:ascii="CG Times" w:hAnsi="CG Times"/>
          <w:szCs w:val="24"/>
        </w:rPr>
        <w:tab/>
      </w:r>
      <w:r w:rsidRPr="00F16976">
        <w:rPr>
          <w:rFonts w:ascii="Arial" w:hAnsi="Arial" w:cs="Arial"/>
          <w:szCs w:val="24"/>
        </w:rPr>
        <w:t xml:space="preserve">We have audited PECO Energy Company’s Statements of </w:t>
      </w:r>
      <w:r w:rsidR="00A05907">
        <w:rPr>
          <w:rFonts w:ascii="Arial" w:hAnsi="Arial" w:cs="Arial"/>
          <w:szCs w:val="24"/>
        </w:rPr>
        <w:t>Generation Supply Adjustment Over</w:t>
      </w:r>
      <w:r w:rsidRPr="00F16976">
        <w:rPr>
          <w:rFonts w:ascii="Arial" w:hAnsi="Arial" w:cs="Arial"/>
          <w:szCs w:val="24"/>
        </w:rPr>
        <w:t xml:space="preserve">/Under Collections (Section 1307(e)) for the twelve month periods ended </w:t>
      </w:r>
      <w:r w:rsidR="00A05907">
        <w:rPr>
          <w:rFonts w:ascii="Arial" w:hAnsi="Arial" w:cs="Arial"/>
          <w:szCs w:val="24"/>
        </w:rPr>
        <w:t>December</w:t>
      </w:r>
      <w:r w:rsidRPr="00F16976">
        <w:rPr>
          <w:rFonts w:ascii="Arial" w:hAnsi="Arial" w:cs="Arial"/>
          <w:szCs w:val="24"/>
        </w:rPr>
        <w:t xml:space="preserve"> 3</w:t>
      </w:r>
      <w:r w:rsidR="00A05907">
        <w:rPr>
          <w:rFonts w:ascii="Arial" w:hAnsi="Arial" w:cs="Arial"/>
          <w:szCs w:val="24"/>
        </w:rPr>
        <w:t>1</w:t>
      </w:r>
      <w:r w:rsidRPr="00F16976">
        <w:rPr>
          <w:rFonts w:ascii="Arial" w:hAnsi="Arial" w:cs="Arial"/>
          <w:szCs w:val="24"/>
        </w:rPr>
        <w:t>, 201</w:t>
      </w:r>
      <w:r w:rsidR="00A05907">
        <w:rPr>
          <w:rFonts w:ascii="Arial" w:hAnsi="Arial" w:cs="Arial"/>
          <w:szCs w:val="24"/>
        </w:rPr>
        <w:t>4</w:t>
      </w:r>
      <w:r w:rsidRPr="00F16976">
        <w:rPr>
          <w:rFonts w:ascii="Arial" w:hAnsi="Arial" w:cs="Arial"/>
          <w:szCs w:val="24"/>
        </w:rPr>
        <w:t xml:space="preserve">, </w:t>
      </w:r>
      <w:r w:rsidR="00A05907">
        <w:rPr>
          <w:rFonts w:ascii="Arial" w:hAnsi="Arial" w:cs="Arial"/>
          <w:szCs w:val="24"/>
        </w:rPr>
        <w:t>December 31</w:t>
      </w:r>
      <w:r w:rsidRPr="00F16976">
        <w:rPr>
          <w:rFonts w:ascii="Arial" w:hAnsi="Arial" w:cs="Arial"/>
          <w:szCs w:val="24"/>
        </w:rPr>
        <w:t>, 201</w:t>
      </w:r>
      <w:r w:rsidR="00A05907">
        <w:rPr>
          <w:rFonts w:ascii="Arial" w:hAnsi="Arial" w:cs="Arial"/>
          <w:szCs w:val="24"/>
        </w:rPr>
        <w:t>3</w:t>
      </w:r>
      <w:r w:rsidRPr="00F16976">
        <w:rPr>
          <w:rFonts w:ascii="Arial" w:hAnsi="Arial" w:cs="Arial"/>
          <w:szCs w:val="24"/>
        </w:rPr>
        <w:t xml:space="preserve">, and </w:t>
      </w:r>
      <w:r w:rsidR="00A05907">
        <w:rPr>
          <w:rFonts w:ascii="Arial" w:hAnsi="Arial" w:cs="Arial"/>
          <w:szCs w:val="24"/>
        </w:rPr>
        <w:t>December 31</w:t>
      </w:r>
      <w:r w:rsidRPr="00F16976">
        <w:rPr>
          <w:rFonts w:ascii="Arial" w:hAnsi="Arial" w:cs="Arial"/>
          <w:szCs w:val="24"/>
        </w:rPr>
        <w:t>, 201</w:t>
      </w:r>
      <w:r w:rsidR="00A05907">
        <w:rPr>
          <w:rFonts w:ascii="Arial" w:hAnsi="Arial" w:cs="Arial"/>
          <w:szCs w:val="24"/>
        </w:rPr>
        <w:t>2</w:t>
      </w:r>
      <w:r w:rsidRPr="00F16976">
        <w:rPr>
          <w:rFonts w:ascii="Arial" w:hAnsi="Arial" w:cs="Arial"/>
          <w:szCs w:val="24"/>
        </w:rPr>
        <w:t>.</w:t>
      </w:r>
    </w:p>
    <w:p w:rsidR="00C96D37" w:rsidRPr="004F00DD" w:rsidRDefault="00C96D37" w:rsidP="00C96D37">
      <w:pPr>
        <w:jc w:val="left"/>
        <w:rPr>
          <w:rFonts w:ascii="Arial" w:hAnsi="Arial" w:cs="Arial"/>
          <w:i/>
          <w:szCs w:val="24"/>
        </w:rPr>
      </w:pPr>
    </w:p>
    <w:p w:rsidR="00C96D37" w:rsidRPr="004F00DD" w:rsidRDefault="00C96D37" w:rsidP="00C96D37">
      <w:pPr>
        <w:jc w:val="left"/>
        <w:rPr>
          <w:rFonts w:ascii="Arial" w:hAnsi="Arial" w:cs="Arial"/>
          <w:szCs w:val="24"/>
        </w:rPr>
      </w:pPr>
      <w:r w:rsidRPr="004F00DD">
        <w:rPr>
          <w:rFonts w:ascii="Arial" w:hAnsi="Arial" w:cs="Arial"/>
          <w:b/>
          <w:bCs/>
          <w:iCs/>
          <w:szCs w:val="24"/>
        </w:rPr>
        <w:t>Management’s Responsibility for the Financial Statements</w:t>
      </w:r>
    </w:p>
    <w:p w:rsidR="00C96D37" w:rsidRPr="004F00DD" w:rsidRDefault="00C96D37" w:rsidP="00C96D37">
      <w:pPr>
        <w:jc w:val="left"/>
        <w:rPr>
          <w:rFonts w:ascii="Arial" w:hAnsi="Arial" w:cs="Arial"/>
          <w:i/>
          <w:szCs w:val="24"/>
        </w:rPr>
      </w:pPr>
    </w:p>
    <w:p w:rsidR="00C96D37" w:rsidRPr="004F00DD" w:rsidRDefault="00C96D37" w:rsidP="00C96D37">
      <w:pPr>
        <w:ind w:firstLine="720"/>
        <w:jc w:val="left"/>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C96D37" w:rsidRPr="004F00DD" w:rsidRDefault="00C96D37" w:rsidP="00C96D37">
      <w:pPr>
        <w:jc w:val="left"/>
        <w:rPr>
          <w:rFonts w:ascii="Arial" w:hAnsi="Arial" w:cs="Arial"/>
          <w:i/>
          <w:szCs w:val="24"/>
        </w:rPr>
      </w:pPr>
    </w:p>
    <w:p w:rsidR="00C96D37" w:rsidRPr="004F00DD" w:rsidRDefault="00C96D37" w:rsidP="00C96D37">
      <w:pPr>
        <w:jc w:val="left"/>
        <w:rPr>
          <w:rFonts w:ascii="Arial" w:hAnsi="Arial" w:cs="Arial"/>
          <w:b/>
          <w:bCs/>
          <w:iCs/>
          <w:szCs w:val="24"/>
        </w:rPr>
      </w:pPr>
      <w:r w:rsidRPr="004F00DD">
        <w:rPr>
          <w:rFonts w:ascii="Arial" w:hAnsi="Arial" w:cs="Arial"/>
          <w:b/>
          <w:bCs/>
          <w:iCs/>
          <w:szCs w:val="24"/>
        </w:rPr>
        <w:t>Auditor’s Responsibility</w:t>
      </w:r>
    </w:p>
    <w:p w:rsidR="00C96D37" w:rsidRPr="004F00DD" w:rsidRDefault="00C96D37" w:rsidP="00C96D37">
      <w:pPr>
        <w:jc w:val="left"/>
        <w:rPr>
          <w:rFonts w:ascii="Arial" w:hAnsi="Arial" w:cs="Arial"/>
          <w:szCs w:val="24"/>
        </w:rPr>
      </w:pPr>
    </w:p>
    <w:p w:rsidR="00C96D37" w:rsidRPr="00982C30" w:rsidRDefault="00C96D37" w:rsidP="00C96D37">
      <w:pPr>
        <w:ind w:firstLine="720"/>
        <w:jc w:val="left"/>
        <w:rPr>
          <w:rFonts w:ascii="Arial" w:hAnsi="Arial" w:cs="Arial"/>
          <w:szCs w:val="24"/>
        </w:rPr>
      </w:pPr>
      <w:r w:rsidRPr="00982C30">
        <w:rPr>
          <w:rFonts w:ascii="Arial" w:hAnsi="Arial" w:cs="Arial"/>
          <w:szCs w:val="24"/>
        </w:rPr>
        <w:t>Our responsibility is to express an opinion on these statements based on our audit.  We conducted our audit in accordance with auditing standards generally accepted in the United States of America.  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C96D37" w:rsidRDefault="00C96D37" w:rsidP="00C96D37">
      <w:pPr>
        <w:jc w:val="left"/>
        <w:rPr>
          <w:rFonts w:ascii="Arial" w:hAnsi="Arial" w:cs="Arial"/>
          <w:b/>
          <w:bCs/>
          <w:iCs/>
          <w:szCs w:val="24"/>
        </w:rPr>
      </w:pPr>
    </w:p>
    <w:p w:rsidR="00C96D37" w:rsidRDefault="00C96D37" w:rsidP="00C96D37">
      <w:pPr>
        <w:jc w:val="left"/>
        <w:rPr>
          <w:rFonts w:ascii="Arial" w:hAnsi="Arial" w:cs="Arial"/>
          <w:b/>
          <w:bCs/>
          <w:iCs/>
          <w:szCs w:val="24"/>
        </w:rPr>
      </w:pPr>
    </w:p>
    <w:p w:rsidR="00C96D37" w:rsidRDefault="00C96D37" w:rsidP="00C96D37">
      <w:pPr>
        <w:jc w:val="left"/>
        <w:rPr>
          <w:rFonts w:ascii="Arial" w:hAnsi="Arial" w:cs="Arial"/>
          <w:b/>
          <w:bCs/>
          <w:iCs/>
          <w:szCs w:val="24"/>
        </w:rPr>
        <w:sectPr w:rsidR="00C96D37" w:rsidSect="002A53CB">
          <w:headerReference w:type="even" r:id="rId20"/>
          <w:headerReference w:type="default" r:id="rId21"/>
          <w:footerReference w:type="default" r:id="rId22"/>
          <w:headerReference w:type="first" r:id="rId23"/>
          <w:endnotePr>
            <w:numFmt w:val="decimal"/>
          </w:endnotePr>
          <w:pgSz w:w="12240" w:h="15840" w:code="1"/>
          <w:pgMar w:top="1440" w:right="1440" w:bottom="1440" w:left="1440" w:header="0" w:footer="720" w:gutter="0"/>
          <w:pgNumType w:fmt="numberInDash" w:start="1"/>
          <w:cols w:space="720"/>
          <w:noEndnote/>
          <w:docGrid w:linePitch="326"/>
        </w:sectPr>
      </w:pPr>
    </w:p>
    <w:p w:rsidR="00C96D37" w:rsidRPr="004F00DD" w:rsidRDefault="00C96D37" w:rsidP="00C96D37">
      <w:pPr>
        <w:jc w:val="left"/>
        <w:rPr>
          <w:rFonts w:ascii="Arial" w:hAnsi="Arial" w:cs="Arial"/>
          <w:szCs w:val="24"/>
        </w:rPr>
      </w:pPr>
      <w:r w:rsidRPr="004F00DD">
        <w:rPr>
          <w:rFonts w:ascii="Arial" w:hAnsi="Arial" w:cs="Arial"/>
          <w:b/>
          <w:bCs/>
          <w:iCs/>
          <w:szCs w:val="24"/>
        </w:rPr>
        <w:lastRenderedPageBreak/>
        <w:t>Opinion</w:t>
      </w:r>
    </w:p>
    <w:p w:rsidR="00C96D37" w:rsidRPr="004F00DD" w:rsidRDefault="00C96D37" w:rsidP="00C96D37">
      <w:pPr>
        <w:jc w:val="left"/>
        <w:rPr>
          <w:rFonts w:ascii="Arial" w:hAnsi="Arial" w:cs="Arial"/>
          <w:szCs w:val="24"/>
        </w:rPr>
      </w:pPr>
    </w:p>
    <w:p w:rsidR="00A05907" w:rsidRDefault="00C96D37" w:rsidP="00C96D37">
      <w:pPr>
        <w:tabs>
          <w:tab w:val="left" w:pos="720"/>
        </w:tabs>
        <w:jc w:val="left"/>
        <w:rPr>
          <w:rFonts w:ascii="Arial" w:hAnsi="Arial" w:cs="Arial"/>
          <w:szCs w:val="24"/>
        </w:rPr>
      </w:pPr>
      <w:r>
        <w:rPr>
          <w:rFonts w:ascii="Arial" w:hAnsi="Arial" w:cs="Arial"/>
          <w:szCs w:val="24"/>
        </w:rPr>
        <w:tab/>
      </w:r>
      <w:r w:rsidRPr="004F00DD">
        <w:rPr>
          <w:rFonts w:ascii="Arial" w:hAnsi="Arial" w:cs="Arial"/>
          <w:szCs w:val="24"/>
        </w:rPr>
        <w:t xml:space="preserve">In our opinion, the information set forth in the accompanying </w:t>
      </w:r>
      <w:r>
        <w:rPr>
          <w:rFonts w:ascii="Arial" w:hAnsi="Arial" w:cs="Arial"/>
          <w:szCs w:val="24"/>
        </w:rPr>
        <w:t>C</w:t>
      </w:r>
      <w:r w:rsidRPr="004F00DD">
        <w:rPr>
          <w:rFonts w:ascii="Arial" w:hAnsi="Arial" w:cs="Arial"/>
          <w:szCs w:val="24"/>
        </w:rPr>
        <w:t xml:space="preserve">ondensed Statements of </w:t>
      </w:r>
      <w:r w:rsidR="00A05907">
        <w:rPr>
          <w:rFonts w:ascii="Arial" w:hAnsi="Arial" w:cs="Arial"/>
          <w:szCs w:val="24"/>
        </w:rPr>
        <w:t>Generation Supply Adjustment</w:t>
      </w:r>
      <w:r w:rsidRPr="004F00DD">
        <w:rPr>
          <w:rFonts w:ascii="Arial" w:hAnsi="Arial" w:cs="Arial"/>
          <w:szCs w:val="24"/>
        </w:rPr>
        <w:t xml:space="preserve"> Over/Under Collections </w:t>
      </w:r>
      <w:r w:rsidRPr="00F16976">
        <w:rPr>
          <w:rFonts w:ascii="Arial" w:hAnsi="Arial" w:cs="Arial"/>
          <w:szCs w:val="24"/>
        </w:rPr>
        <w:t xml:space="preserve">(Section 1307(e)) </w:t>
      </w:r>
    </w:p>
    <w:p w:rsidR="00C96D37" w:rsidRPr="004F00DD" w:rsidRDefault="00A05907" w:rsidP="00C96D37">
      <w:pPr>
        <w:tabs>
          <w:tab w:val="left" w:pos="720"/>
        </w:tabs>
        <w:jc w:val="left"/>
        <w:rPr>
          <w:rFonts w:ascii="Arial" w:hAnsi="Arial" w:cs="Arial"/>
          <w:szCs w:val="24"/>
        </w:rPr>
      </w:pPr>
      <w:r w:rsidRPr="00F16976">
        <w:rPr>
          <w:rFonts w:ascii="Arial" w:hAnsi="Arial" w:cs="Arial"/>
          <w:szCs w:val="24"/>
        </w:rPr>
        <w:t xml:space="preserve">for the twelve month periods ended </w:t>
      </w:r>
      <w:r>
        <w:rPr>
          <w:rFonts w:ascii="Arial" w:hAnsi="Arial" w:cs="Arial"/>
          <w:szCs w:val="24"/>
        </w:rPr>
        <w:t>December</w:t>
      </w:r>
      <w:r w:rsidRPr="00F16976">
        <w:rPr>
          <w:rFonts w:ascii="Arial" w:hAnsi="Arial" w:cs="Arial"/>
          <w:szCs w:val="24"/>
        </w:rPr>
        <w:t xml:space="preserve"> 3</w:t>
      </w:r>
      <w:r>
        <w:rPr>
          <w:rFonts w:ascii="Arial" w:hAnsi="Arial" w:cs="Arial"/>
          <w:szCs w:val="24"/>
        </w:rPr>
        <w:t>1</w:t>
      </w:r>
      <w:r w:rsidRPr="00F16976">
        <w:rPr>
          <w:rFonts w:ascii="Arial" w:hAnsi="Arial" w:cs="Arial"/>
          <w:szCs w:val="24"/>
        </w:rPr>
        <w:t>, 201</w:t>
      </w:r>
      <w:r>
        <w:rPr>
          <w:rFonts w:ascii="Arial" w:hAnsi="Arial" w:cs="Arial"/>
          <w:szCs w:val="24"/>
        </w:rPr>
        <w:t>4</w:t>
      </w:r>
      <w:r w:rsidRPr="00F16976">
        <w:rPr>
          <w:rFonts w:ascii="Arial" w:hAnsi="Arial" w:cs="Arial"/>
          <w:szCs w:val="24"/>
        </w:rPr>
        <w:t xml:space="preserve">, </w:t>
      </w:r>
      <w:r>
        <w:rPr>
          <w:rFonts w:ascii="Arial" w:hAnsi="Arial" w:cs="Arial"/>
          <w:szCs w:val="24"/>
        </w:rPr>
        <w:t>December 31</w:t>
      </w:r>
      <w:r w:rsidRPr="00F16976">
        <w:rPr>
          <w:rFonts w:ascii="Arial" w:hAnsi="Arial" w:cs="Arial"/>
          <w:szCs w:val="24"/>
        </w:rPr>
        <w:t>, 201</w:t>
      </w:r>
      <w:r>
        <w:rPr>
          <w:rFonts w:ascii="Arial" w:hAnsi="Arial" w:cs="Arial"/>
          <w:szCs w:val="24"/>
        </w:rPr>
        <w:t>3</w:t>
      </w:r>
      <w:r w:rsidRPr="00F16976">
        <w:rPr>
          <w:rFonts w:ascii="Arial" w:hAnsi="Arial" w:cs="Arial"/>
          <w:szCs w:val="24"/>
        </w:rPr>
        <w:t xml:space="preserve">, and </w:t>
      </w:r>
      <w:r>
        <w:rPr>
          <w:rFonts w:ascii="Arial" w:hAnsi="Arial" w:cs="Arial"/>
          <w:szCs w:val="24"/>
        </w:rPr>
        <w:t>December 31</w:t>
      </w:r>
      <w:r w:rsidRPr="00F16976">
        <w:rPr>
          <w:rFonts w:ascii="Arial" w:hAnsi="Arial" w:cs="Arial"/>
          <w:szCs w:val="24"/>
        </w:rPr>
        <w:t>, 201</w:t>
      </w:r>
      <w:r>
        <w:rPr>
          <w:rFonts w:ascii="Arial" w:hAnsi="Arial" w:cs="Arial"/>
          <w:szCs w:val="24"/>
        </w:rPr>
        <w:t>2</w:t>
      </w:r>
      <w:r w:rsidR="00C96D37">
        <w:rPr>
          <w:rFonts w:ascii="Arial" w:hAnsi="Arial" w:cs="Arial"/>
          <w:szCs w:val="24"/>
        </w:rPr>
        <w:t xml:space="preserve"> </w:t>
      </w:r>
      <w:r w:rsidR="00C96D37" w:rsidRPr="004F00DD">
        <w:rPr>
          <w:rFonts w:ascii="Arial" w:hAnsi="Arial" w:cs="Arial"/>
          <w:szCs w:val="24"/>
        </w:rPr>
        <w:t xml:space="preserve">of </w:t>
      </w:r>
      <w:r w:rsidR="00C96D37" w:rsidRPr="00B94ACC">
        <w:rPr>
          <w:rFonts w:ascii="Arial" w:hAnsi="Arial" w:cs="Arial"/>
          <w:szCs w:val="24"/>
        </w:rPr>
        <w:t>PECO Energy</w:t>
      </w:r>
      <w:r w:rsidR="00C96D37">
        <w:rPr>
          <w:rFonts w:ascii="Arial" w:hAnsi="Arial" w:cs="Arial"/>
          <w:szCs w:val="24"/>
        </w:rPr>
        <w:t xml:space="preserve"> Company</w:t>
      </w:r>
      <w:r>
        <w:rPr>
          <w:rFonts w:ascii="Arial" w:hAnsi="Arial" w:cs="Arial"/>
          <w:szCs w:val="24"/>
        </w:rPr>
        <w:t>,</w:t>
      </w:r>
      <w:r w:rsidR="00C96D37" w:rsidRPr="004F00DD">
        <w:rPr>
          <w:rFonts w:ascii="Arial" w:hAnsi="Arial" w:cs="Arial"/>
          <w:szCs w:val="24"/>
        </w:rPr>
        <w:t xml:space="preserve"> present fairly, in all material respects, in relation to the audited financial statements from which </w:t>
      </w:r>
      <w:r w:rsidR="00C96D37">
        <w:rPr>
          <w:rFonts w:ascii="Arial" w:hAnsi="Arial" w:cs="Arial"/>
          <w:szCs w:val="24"/>
        </w:rPr>
        <w:t>they were</w:t>
      </w:r>
      <w:r w:rsidR="00C96D37" w:rsidRPr="004F00DD">
        <w:rPr>
          <w:rFonts w:ascii="Arial" w:hAnsi="Arial" w:cs="Arial"/>
          <w:szCs w:val="24"/>
        </w:rPr>
        <w:t xml:space="preserve"> derived.</w:t>
      </w:r>
    </w:p>
    <w:p w:rsidR="00C96D37" w:rsidRPr="004F00DD" w:rsidRDefault="00C96D37" w:rsidP="00C96D37">
      <w:pPr>
        <w:jc w:val="left"/>
        <w:rPr>
          <w:rFonts w:ascii="Times New Roman" w:hAnsi="Times New Roman"/>
          <w:szCs w:val="24"/>
        </w:rPr>
      </w:pPr>
    </w:p>
    <w:p w:rsidR="00C96D37" w:rsidRPr="004F00DD" w:rsidRDefault="00C96D37" w:rsidP="00C96D37">
      <w:pPr>
        <w:jc w:val="left"/>
        <w:rPr>
          <w:rFonts w:ascii="Arial" w:hAnsi="Arial" w:cs="Arial"/>
          <w:szCs w:val="24"/>
        </w:rPr>
      </w:pPr>
      <w:r w:rsidRPr="004F00DD">
        <w:rPr>
          <w:rFonts w:ascii="Arial" w:hAnsi="Arial" w:cs="Arial"/>
          <w:b/>
          <w:bCs/>
          <w:szCs w:val="24"/>
        </w:rPr>
        <w:t>Report on Other Legal and Regulatory Requirements</w:t>
      </w:r>
    </w:p>
    <w:p w:rsidR="00C96D37" w:rsidRPr="004F00DD" w:rsidRDefault="00C96D37" w:rsidP="00C96D37">
      <w:pPr>
        <w:jc w:val="left"/>
        <w:rPr>
          <w:rFonts w:ascii="Arial" w:hAnsi="Arial" w:cs="Arial"/>
          <w:szCs w:val="24"/>
        </w:rPr>
      </w:pPr>
    </w:p>
    <w:p w:rsidR="00C96D37" w:rsidRPr="004F00DD" w:rsidRDefault="00C96D37" w:rsidP="00C96D37">
      <w:pPr>
        <w:jc w:val="left"/>
        <w:rPr>
          <w:rFonts w:ascii="Arial" w:hAnsi="Arial" w:cs="Arial"/>
          <w:szCs w:val="24"/>
        </w:rPr>
      </w:pPr>
      <w:r w:rsidRPr="004F00DD">
        <w:rPr>
          <w:rFonts w:ascii="Arial" w:hAnsi="Arial" w:cs="Arial"/>
          <w:szCs w:val="24"/>
        </w:rPr>
        <w:tab/>
        <w:t xml:space="preserve">The accompanying statements were prepared for the purpose of complying with the rules and regulations of the Pennsylvania Public Utility Commission and are not intended to be a complete presentation of </w:t>
      </w:r>
      <w:r>
        <w:rPr>
          <w:rFonts w:ascii="Arial" w:hAnsi="Arial" w:cs="Arial"/>
          <w:szCs w:val="24"/>
        </w:rPr>
        <w:t>PECO Energy Company’s</w:t>
      </w:r>
      <w:r w:rsidR="00DF24D3">
        <w:rPr>
          <w:rFonts w:ascii="Arial" w:hAnsi="Arial" w:cs="Arial"/>
          <w:szCs w:val="24"/>
        </w:rPr>
        <w:t xml:space="preserve"> revenues and </w:t>
      </w:r>
      <w:r w:rsidRPr="004F00DD">
        <w:rPr>
          <w:rFonts w:ascii="Arial" w:hAnsi="Arial" w:cs="Arial"/>
          <w:szCs w:val="24"/>
        </w:rPr>
        <w:t>expenses.</w:t>
      </w:r>
    </w:p>
    <w:p w:rsidR="0047509D" w:rsidRDefault="0047509D" w:rsidP="00905409">
      <w:pPr>
        <w:suppressAutoHyphens/>
        <w:rPr>
          <w:rFonts w:ascii="Arial" w:hAnsi="Arial" w:cs="Arial"/>
          <w:szCs w:val="24"/>
        </w:rPr>
      </w:pPr>
    </w:p>
    <w:p w:rsidR="00DF24D3" w:rsidRDefault="00DF24D3" w:rsidP="00905409">
      <w:pPr>
        <w:suppressAutoHyphens/>
        <w:rPr>
          <w:rFonts w:ascii="Arial" w:hAnsi="Arial" w:cs="Arial"/>
          <w:szCs w:val="24"/>
        </w:rPr>
      </w:pPr>
    </w:p>
    <w:p w:rsidR="00DF24D3" w:rsidRDefault="00DF24D3" w:rsidP="00905409">
      <w:pPr>
        <w:suppressAutoHyphens/>
        <w:rPr>
          <w:rFonts w:ascii="Arial" w:hAnsi="Arial" w:cs="Arial"/>
          <w:szCs w:val="24"/>
        </w:rPr>
      </w:pPr>
    </w:p>
    <w:p w:rsidR="00DF24D3" w:rsidRDefault="00DF24D3" w:rsidP="00905409">
      <w:pPr>
        <w:suppressAutoHyphens/>
        <w:rPr>
          <w:rFonts w:ascii="Arial" w:hAnsi="Arial" w:cs="Arial"/>
          <w:szCs w:val="24"/>
        </w:rPr>
      </w:pPr>
    </w:p>
    <w:p w:rsidR="00DF24D3" w:rsidRDefault="00DF24D3" w:rsidP="00905409">
      <w:pPr>
        <w:suppressAutoHyphens/>
        <w:rPr>
          <w:rFonts w:ascii="Arial" w:hAnsi="Arial" w:cs="Arial"/>
          <w:szCs w:val="24"/>
        </w:rPr>
      </w:pPr>
    </w:p>
    <w:p w:rsidR="00DF24D3" w:rsidRDefault="00DF24D3" w:rsidP="00DF24D3">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DF24D3" w:rsidRDefault="00DF24D3" w:rsidP="00DF24D3">
      <w:pPr>
        <w:ind w:firstLine="4860"/>
        <w:jc w:val="left"/>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3719D5">
        <w:rPr>
          <w:rFonts w:ascii="Arial" w:hAnsi="Arial" w:cs="Arial"/>
          <w:szCs w:val="24"/>
        </w:rPr>
        <w:t>Kelly A. Monaghan, CPA, CGFM, CFE</w:t>
      </w:r>
    </w:p>
    <w:p w:rsidR="00DF24D3" w:rsidRPr="00C8306A" w:rsidRDefault="00DF24D3" w:rsidP="00DF24D3">
      <w:pPr>
        <w:ind w:left="4770"/>
        <w:jc w:val="left"/>
        <w:rPr>
          <w:rFonts w:ascii="Arial" w:hAnsi="Arial" w:cs="Arial"/>
          <w:szCs w:val="24"/>
        </w:rPr>
      </w:pPr>
      <w:r w:rsidRPr="00C8306A">
        <w:rPr>
          <w:rFonts w:ascii="Arial" w:hAnsi="Arial" w:cs="Arial"/>
          <w:szCs w:val="24"/>
        </w:rPr>
        <w:tab/>
        <w:t>Director</w:t>
      </w:r>
    </w:p>
    <w:p w:rsidR="00DF24D3" w:rsidRPr="00C8306A" w:rsidRDefault="00DF24D3" w:rsidP="00DF24D3">
      <w:pPr>
        <w:tabs>
          <w:tab w:val="left" w:pos="5040"/>
        </w:tabs>
        <w:jc w:val="left"/>
        <w:rPr>
          <w:rFonts w:ascii="Arial" w:hAnsi="Arial" w:cs="Arial"/>
          <w:szCs w:val="24"/>
        </w:rPr>
      </w:pPr>
      <w:r w:rsidRPr="00C8306A">
        <w:rPr>
          <w:rFonts w:ascii="Arial" w:hAnsi="Arial" w:cs="Arial"/>
          <w:szCs w:val="24"/>
        </w:rPr>
        <w:tab/>
        <w:t>Bureau of Audits</w:t>
      </w:r>
    </w:p>
    <w:p w:rsidR="00DF24D3" w:rsidRDefault="00DF24D3" w:rsidP="00DF24D3">
      <w:pPr>
        <w:tabs>
          <w:tab w:val="left" w:pos="5040"/>
          <w:tab w:val="left" w:pos="5400"/>
        </w:tabs>
        <w:jc w:val="left"/>
        <w:rPr>
          <w:rFonts w:ascii="Arial" w:hAnsi="Arial" w:cs="Arial"/>
          <w:szCs w:val="24"/>
        </w:rPr>
      </w:pPr>
      <w:r w:rsidRPr="00C8306A">
        <w:rPr>
          <w:rFonts w:ascii="Arial" w:hAnsi="Arial" w:cs="Arial"/>
          <w:szCs w:val="24"/>
        </w:rPr>
        <w:tab/>
        <w:t>Harrisburg, PA</w:t>
      </w:r>
    </w:p>
    <w:p w:rsidR="00DF24D3" w:rsidRPr="00DF24D3" w:rsidRDefault="00DF24D3" w:rsidP="00DF24D3">
      <w:pPr>
        <w:tabs>
          <w:tab w:val="left" w:pos="5040"/>
        </w:tabs>
        <w:jc w:val="left"/>
        <w:rPr>
          <w:rFonts w:ascii="Arial" w:hAnsi="Arial" w:cs="Arial"/>
          <w:color w:val="FF0000"/>
          <w:szCs w:val="24"/>
        </w:rPr>
      </w:pPr>
      <w:r>
        <w:rPr>
          <w:rFonts w:ascii="Arial" w:hAnsi="Arial" w:cs="Arial"/>
          <w:szCs w:val="24"/>
        </w:rPr>
        <w:tab/>
      </w:r>
      <w:r w:rsidR="00E61B35">
        <w:rPr>
          <w:rFonts w:ascii="Arial" w:hAnsi="Arial" w:cs="Arial"/>
          <w:szCs w:val="24"/>
        </w:rPr>
        <w:t>March 1, 2017</w:t>
      </w:r>
    </w:p>
    <w:p w:rsidR="00DF24D3" w:rsidRPr="00E03226" w:rsidRDefault="00DF24D3" w:rsidP="00DF24D3">
      <w:pPr>
        <w:rPr>
          <w:rFonts w:ascii="Arial" w:hAnsi="Arial" w:cs="Arial"/>
          <w:color w:val="FF0000"/>
          <w:szCs w:val="24"/>
        </w:rPr>
      </w:pPr>
    </w:p>
    <w:p w:rsidR="00DF24D3" w:rsidRPr="008E7086" w:rsidRDefault="00DF24D3" w:rsidP="00905409">
      <w:pPr>
        <w:suppressAutoHyphens/>
        <w:rPr>
          <w:rFonts w:ascii="Arial" w:hAnsi="Arial" w:cs="Arial"/>
          <w:szCs w:val="24"/>
        </w:rPr>
        <w:sectPr w:rsidR="00DF24D3" w:rsidRPr="008E7086" w:rsidSect="002A53CB">
          <w:headerReference w:type="even" r:id="rId24"/>
          <w:headerReference w:type="default" r:id="rId25"/>
          <w:footerReference w:type="default" r:id="rId26"/>
          <w:headerReference w:type="first" r:id="rId27"/>
          <w:endnotePr>
            <w:numFmt w:val="decimal"/>
          </w:endnotePr>
          <w:pgSz w:w="12240" w:h="15840" w:code="1"/>
          <w:pgMar w:top="1440" w:right="1440" w:bottom="1440" w:left="1440" w:header="0" w:footer="720" w:gutter="0"/>
          <w:pgNumType w:fmt="numberInDash" w:start="2"/>
          <w:cols w:space="720"/>
          <w:noEndnote/>
        </w:sectPr>
      </w:pPr>
    </w:p>
    <w:p w:rsidR="000577C0" w:rsidRPr="0077381F" w:rsidRDefault="00425941" w:rsidP="000577C0">
      <w:pPr>
        <w:tabs>
          <w:tab w:val="center" w:pos="4680"/>
        </w:tabs>
        <w:suppressAutoHyphens/>
        <w:rPr>
          <w:rFonts w:ascii="Arial" w:hAnsi="Arial" w:cs="Arial"/>
          <w:b/>
          <w:sz w:val="26"/>
          <w:szCs w:val="26"/>
        </w:rPr>
      </w:pPr>
      <w:r w:rsidRPr="0077381F">
        <w:rPr>
          <w:rFonts w:ascii="Arial" w:hAnsi="Arial" w:cs="Arial"/>
          <w:b/>
          <w:sz w:val="26"/>
          <w:szCs w:val="26"/>
        </w:rPr>
        <w:lastRenderedPageBreak/>
        <w:t>PECO ENERGY COMPANY</w:t>
      </w:r>
    </w:p>
    <w:p w:rsidR="000577C0" w:rsidRDefault="000577C0" w:rsidP="000577C0">
      <w:pPr>
        <w:tabs>
          <w:tab w:val="left" w:pos="-1440"/>
          <w:tab w:val="left" w:pos="-720"/>
          <w:tab w:val="left" w:pos="864"/>
          <w:tab w:val="left" w:pos="5040"/>
          <w:tab w:val="left" w:pos="7056"/>
        </w:tabs>
        <w:suppressAutoHyphens/>
        <w:rPr>
          <w:rFonts w:ascii="Arial" w:hAnsi="Arial" w:cs="Arial"/>
          <w:szCs w:val="24"/>
        </w:rPr>
      </w:pPr>
    </w:p>
    <w:p w:rsidR="00ED0DE1" w:rsidRDefault="00ED0DE1" w:rsidP="00ED0DE1">
      <w:pPr>
        <w:rPr>
          <w:rFonts w:ascii="Arial" w:hAnsi="Arial" w:cs="Arial"/>
          <w:b/>
          <w:sz w:val="26"/>
          <w:szCs w:val="26"/>
        </w:rPr>
      </w:pPr>
      <w:r>
        <w:rPr>
          <w:rFonts w:ascii="Arial" w:hAnsi="Arial" w:cs="Arial"/>
          <w:b/>
          <w:sz w:val="26"/>
          <w:szCs w:val="26"/>
        </w:rPr>
        <w:t>Condensed (Note 1)</w:t>
      </w:r>
    </w:p>
    <w:p w:rsidR="00ED0DE1" w:rsidRDefault="00ED0DE1" w:rsidP="002F3A6C">
      <w:pPr>
        <w:rPr>
          <w:rFonts w:ascii="Arial" w:hAnsi="Arial" w:cs="Arial"/>
          <w:b/>
          <w:sz w:val="26"/>
          <w:szCs w:val="26"/>
        </w:rPr>
      </w:pPr>
      <w:r w:rsidRPr="00470786">
        <w:rPr>
          <w:rFonts w:ascii="Arial" w:hAnsi="Arial" w:cs="Arial"/>
          <w:b/>
          <w:sz w:val="26"/>
          <w:szCs w:val="26"/>
        </w:rPr>
        <w:t xml:space="preserve">Statement Of </w:t>
      </w:r>
      <w:r w:rsidR="002F3A6C" w:rsidRPr="00ED0DE1">
        <w:rPr>
          <w:rFonts w:ascii="Arial" w:hAnsi="Arial" w:cs="Arial"/>
          <w:b/>
          <w:sz w:val="26"/>
          <w:szCs w:val="26"/>
        </w:rPr>
        <w:t xml:space="preserve">Generation Supply Adjustment (GSA) </w:t>
      </w:r>
    </w:p>
    <w:p w:rsidR="008C0642" w:rsidRDefault="00ED0DE1" w:rsidP="002F3A6C">
      <w:pPr>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008C0642">
        <w:rPr>
          <w:rFonts w:ascii="Arial" w:hAnsi="Arial" w:cs="Arial"/>
          <w:b/>
          <w:sz w:val="26"/>
          <w:szCs w:val="26"/>
        </w:rPr>
        <w:t>(</w:t>
      </w:r>
      <w:r w:rsidR="002F3A6C" w:rsidRPr="00ED0DE1">
        <w:rPr>
          <w:rFonts w:ascii="Arial" w:hAnsi="Arial" w:cs="Arial"/>
          <w:b/>
          <w:sz w:val="26"/>
          <w:szCs w:val="26"/>
        </w:rPr>
        <w:t>Section 1307(e)</w:t>
      </w:r>
      <w:r w:rsidR="008C0642">
        <w:rPr>
          <w:rFonts w:ascii="Arial" w:hAnsi="Arial" w:cs="Arial"/>
          <w:b/>
          <w:sz w:val="26"/>
          <w:szCs w:val="26"/>
        </w:rPr>
        <w:t>)</w:t>
      </w:r>
      <w:r w:rsidR="002F3A6C" w:rsidRPr="00ED0DE1">
        <w:rPr>
          <w:rFonts w:ascii="Arial" w:hAnsi="Arial" w:cs="Arial"/>
          <w:b/>
          <w:sz w:val="26"/>
          <w:szCs w:val="26"/>
        </w:rPr>
        <w:t xml:space="preserve"> </w:t>
      </w:r>
    </w:p>
    <w:p w:rsidR="002F3A6C" w:rsidRPr="00ED0DE1" w:rsidRDefault="002F3A6C" w:rsidP="002F3A6C">
      <w:pPr>
        <w:rPr>
          <w:rFonts w:ascii="Arial" w:hAnsi="Arial" w:cs="Arial"/>
          <w:b/>
          <w:sz w:val="26"/>
          <w:szCs w:val="26"/>
        </w:rPr>
      </w:pPr>
      <w:r w:rsidRPr="00ED0DE1">
        <w:rPr>
          <w:rFonts w:ascii="Arial" w:hAnsi="Arial" w:cs="Arial"/>
          <w:b/>
          <w:sz w:val="26"/>
          <w:szCs w:val="26"/>
        </w:rPr>
        <w:t>For The Twelve Months Ended December 31, 201</w:t>
      </w:r>
      <w:r w:rsidR="00F70EA8">
        <w:rPr>
          <w:rFonts w:ascii="Arial" w:hAnsi="Arial" w:cs="Arial"/>
          <w:b/>
          <w:sz w:val="26"/>
          <w:szCs w:val="26"/>
        </w:rPr>
        <w:t>4</w:t>
      </w:r>
      <w:r w:rsidR="00ED0DE1">
        <w:rPr>
          <w:rFonts w:ascii="Arial" w:hAnsi="Arial" w:cs="Arial"/>
          <w:b/>
          <w:sz w:val="26"/>
          <w:szCs w:val="26"/>
        </w:rPr>
        <w:t>*</w:t>
      </w:r>
    </w:p>
    <w:p w:rsidR="00D27E49" w:rsidRPr="0077381F" w:rsidRDefault="00D27E49" w:rsidP="00235BB8">
      <w:pPr>
        <w:tabs>
          <w:tab w:val="center" w:pos="4680"/>
        </w:tabs>
        <w:suppressAutoHyphens/>
        <w:rPr>
          <w:rFonts w:ascii="Arial" w:hAnsi="Arial" w:cs="Arial"/>
          <w:szCs w:val="24"/>
        </w:rPr>
      </w:pPr>
    </w:p>
    <w:p w:rsidR="00D27E49" w:rsidRPr="008E7086" w:rsidRDefault="00D27E49" w:rsidP="00235BB8">
      <w:pPr>
        <w:tabs>
          <w:tab w:val="center" w:pos="4680"/>
        </w:tabs>
        <w:suppressAutoHyphens/>
        <w:rPr>
          <w:rFonts w:ascii="Arial" w:hAnsi="Arial" w:cs="Arial"/>
          <w:szCs w:val="24"/>
        </w:rPr>
      </w:pPr>
    </w:p>
    <w:tbl>
      <w:tblPr>
        <w:tblpPr w:leftFromText="180" w:rightFromText="180" w:vertAnchor="page" w:horzAnchor="margin" w:tblpXSpec="center" w:tblpY="4121"/>
        <w:tblW w:w="9468" w:type="dxa"/>
        <w:tblLook w:val="0000" w:firstRow="0" w:lastRow="0" w:firstColumn="0" w:lastColumn="0" w:noHBand="0" w:noVBand="0"/>
      </w:tblPr>
      <w:tblGrid>
        <w:gridCol w:w="2448"/>
        <w:gridCol w:w="241"/>
        <w:gridCol w:w="2099"/>
        <w:gridCol w:w="246"/>
        <w:gridCol w:w="2184"/>
        <w:gridCol w:w="270"/>
        <w:gridCol w:w="1980"/>
      </w:tblGrid>
      <w:tr w:rsidR="001822BA" w:rsidRPr="008E7086" w:rsidTr="008C0642">
        <w:trPr>
          <w:trHeight w:val="812"/>
        </w:trPr>
        <w:tc>
          <w:tcPr>
            <w:tcW w:w="2448" w:type="dxa"/>
            <w:noWrap/>
          </w:tcPr>
          <w:p w:rsidR="001822BA" w:rsidRPr="001822BA" w:rsidRDefault="001822BA" w:rsidP="00ED0DE1">
            <w:pPr>
              <w:rPr>
                <w:rFonts w:ascii="Arial" w:hAnsi="Arial" w:cs="Arial"/>
                <w:u w:val="single"/>
              </w:rPr>
            </w:pPr>
          </w:p>
          <w:p w:rsidR="001822BA" w:rsidRPr="001822BA" w:rsidRDefault="001822BA" w:rsidP="00ED0DE1">
            <w:pPr>
              <w:rPr>
                <w:rFonts w:ascii="Arial" w:hAnsi="Arial" w:cs="Arial"/>
                <w:u w:val="single"/>
              </w:rPr>
            </w:pPr>
          </w:p>
          <w:p w:rsidR="001822BA" w:rsidRPr="001822BA" w:rsidRDefault="001822BA" w:rsidP="00ED0DE1">
            <w:pPr>
              <w:rPr>
                <w:rFonts w:ascii="Arial" w:hAnsi="Arial" w:cs="Arial"/>
                <w:u w:val="single"/>
              </w:rPr>
            </w:pPr>
          </w:p>
          <w:p w:rsidR="001822BA" w:rsidRPr="001822BA" w:rsidRDefault="001822BA" w:rsidP="00ED0DE1">
            <w:pPr>
              <w:rPr>
                <w:rFonts w:ascii="Arial" w:hAnsi="Arial" w:cs="Arial"/>
              </w:rPr>
            </w:pPr>
          </w:p>
          <w:p w:rsidR="001822BA" w:rsidRPr="008C0642" w:rsidRDefault="001822BA" w:rsidP="00ED0DE1">
            <w:pPr>
              <w:rPr>
                <w:rFonts w:ascii="Arial" w:hAnsi="Arial" w:cs="Arial"/>
                <w:b/>
                <w:u w:val="single"/>
              </w:rPr>
            </w:pPr>
            <w:r w:rsidRPr="008C0642">
              <w:rPr>
                <w:rFonts w:ascii="Arial" w:hAnsi="Arial" w:cs="Arial"/>
                <w:b/>
                <w:u w:val="single"/>
              </w:rPr>
              <w:t>Rate Class</w:t>
            </w:r>
          </w:p>
        </w:tc>
        <w:tc>
          <w:tcPr>
            <w:tcW w:w="241" w:type="dxa"/>
          </w:tcPr>
          <w:p w:rsidR="001822BA" w:rsidRPr="001822BA" w:rsidRDefault="001822BA" w:rsidP="00466447">
            <w:pPr>
              <w:rPr>
                <w:rFonts w:ascii="Arial" w:hAnsi="Arial" w:cs="Arial"/>
              </w:rPr>
            </w:pPr>
          </w:p>
        </w:tc>
        <w:tc>
          <w:tcPr>
            <w:tcW w:w="2099" w:type="dxa"/>
            <w:noWrap/>
            <w:vAlign w:val="bottom"/>
          </w:tcPr>
          <w:p w:rsidR="001822BA" w:rsidRPr="001822BA" w:rsidRDefault="001822BA" w:rsidP="00466447">
            <w:pPr>
              <w:rPr>
                <w:rFonts w:ascii="Arial" w:hAnsi="Arial" w:cs="Arial"/>
              </w:rPr>
            </w:pPr>
          </w:p>
          <w:p w:rsidR="001822BA" w:rsidRPr="001822BA" w:rsidRDefault="001822BA" w:rsidP="00466447">
            <w:pPr>
              <w:rPr>
                <w:rFonts w:ascii="Arial" w:hAnsi="Arial" w:cs="Arial"/>
              </w:rPr>
            </w:pPr>
          </w:p>
          <w:p w:rsidR="001822BA" w:rsidRPr="002A53CB" w:rsidRDefault="001822BA" w:rsidP="001822BA">
            <w:pPr>
              <w:rPr>
                <w:rFonts w:ascii="Arial" w:hAnsi="Arial" w:cs="Arial"/>
                <w:b/>
                <w:u w:val="single"/>
              </w:rPr>
            </w:pPr>
            <w:r w:rsidRPr="002A53CB">
              <w:rPr>
                <w:rFonts w:ascii="Arial" w:hAnsi="Arial" w:cs="Arial"/>
                <w:b/>
                <w:u w:val="single"/>
              </w:rPr>
              <w:t>GSA Revenues</w:t>
            </w:r>
          </w:p>
        </w:tc>
        <w:tc>
          <w:tcPr>
            <w:tcW w:w="246" w:type="dxa"/>
          </w:tcPr>
          <w:p w:rsidR="001822BA" w:rsidRPr="001822BA" w:rsidRDefault="001822BA" w:rsidP="00466447">
            <w:pPr>
              <w:rPr>
                <w:rFonts w:ascii="Arial" w:hAnsi="Arial" w:cs="Arial"/>
              </w:rPr>
            </w:pPr>
          </w:p>
        </w:tc>
        <w:tc>
          <w:tcPr>
            <w:tcW w:w="2184" w:type="dxa"/>
            <w:noWrap/>
            <w:vAlign w:val="bottom"/>
          </w:tcPr>
          <w:p w:rsidR="001822BA" w:rsidRPr="001822BA" w:rsidRDefault="001822BA" w:rsidP="00466447">
            <w:pPr>
              <w:rPr>
                <w:rFonts w:ascii="Arial" w:hAnsi="Arial" w:cs="Arial"/>
              </w:rPr>
            </w:pPr>
          </w:p>
          <w:p w:rsidR="001822BA" w:rsidRPr="001822BA" w:rsidRDefault="001822BA" w:rsidP="00466447">
            <w:pPr>
              <w:rPr>
                <w:rFonts w:ascii="Arial" w:hAnsi="Arial" w:cs="Arial"/>
              </w:rPr>
            </w:pPr>
          </w:p>
          <w:p w:rsidR="001822BA" w:rsidRPr="001822BA" w:rsidRDefault="001822BA" w:rsidP="00466447">
            <w:pPr>
              <w:rPr>
                <w:rFonts w:ascii="Arial" w:hAnsi="Arial" w:cs="Arial"/>
              </w:rPr>
            </w:pPr>
          </w:p>
          <w:p w:rsidR="001822BA" w:rsidRPr="008C0642" w:rsidRDefault="001822BA" w:rsidP="00466447">
            <w:pPr>
              <w:rPr>
                <w:rFonts w:ascii="Arial" w:hAnsi="Arial" w:cs="Arial"/>
                <w:b/>
                <w:u w:val="single"/>
              </w:rPr>
            </w:pPr>
            <w:r w:rsidRPr="008C0642">
              <w:rPr>
                <w:rFonts w:ascii="Arial" w:hAnsi="Arial" w:cs="Arial"/>
                <w:b/>
                <w:u w:val="single"/>
              </w:rPr>
              <w:t>GSA Costs</w:t>
            </w:r>
          </w:p>
        </w:tc>
        <w:tc>
          <w:tcPr>
            <w:tcW w:w="270" w:type="dxa"/>
          </w:tcPr>
          <w:p w:rsidR="001822BA" w:rsidRPr="001822BA" w:rsidRDefault="001822BA" w:rsidP="00ED0DE1">
            <w:pPr>
              <w:rPr>
                <w:rFonts w:ascii="Arial" w:hAnsi="Arial" w:cs="Arial"/>
              </w:rPr>
            </w:pPr>
          </w:p>
        </w:tc>
        <w:tc>
          <w:tcPr>
            <w:tcW w:w="1980" w:type="dxa"/>
            <w:noWrap/>
            <w:vAlign w:val="bottom"/>
          </w:tcPr>
          <w:p w:rsidR="001822BA" w:rsidRPr="001822BA" w:rsidRDefault="001822BA" w:rsidP="00ED0DE1">
            <w:pPr>
              <w:rPr>
                <w:rFonts w:ascii="Arial" w:hAnsi="Arial" w:cs="Arial"/>
              </w:rPr>
            </w:pPr>
          </w:p>
          <w:p w:rsidR="001822BA" w:rsidRPr="001822BA" w:rsidRDefault="001822BA" w:rsidP="00ED0DE1">
            <w:pPr>
              <w:rPr>
                <w:rFonts w:ascii="Arial" w:hAnsi="Arial" w:cs="Arial"/>
              </w:rPr>
            </w:pPr>
          </w:p>
          <w:p w:rsidR="001822BA" w:rsidRPr="008C0642" w:rsidRDefault="001822BA" w:rsidP="00ED0DE1">
            <w:pPr>
              <w:rPr>
                <w:rFonts w:ascii="Arial" w:hAnsi="Arial" w:cs="Arial"/>
                <w:b/>
              </w:rPr>
            </w:pPr>
            <w:r w:rsidRPr="008C0642">
              <w:rPr>
                <w:rFonts w:ascii="Arial" w:hAnsi="Arial" w:cs="Arial"/>
                <w:b/>
              </w:rPr>
              <w:t>Over/(Under)</w:t>
            </w:r>
          </w:p>
          <w:p w:rsidR="001822BA" w:rsidRPr="008C0642" w:rsidRDefault="001822BA" w:rsidP="00466447">
            <w:pPr>
              <w:rPr>
                <w:rFonts w:ascii="Arial" w:hAnsi="Arial" w:cs="Arial"/>
                <w:u w:val="single"/>
              </w:rPr>
            </w:pPr>
            <w:r w:rsidRPr="008C0642">
              <w:rPr>
                <w:rFonts w:ascii="Arial" w:hAnsi="Arial" w:cs="Arial"/>
                <w:b/>
                <w:u w:val="single"/>
              </w:rPr>
              <w:t>Collections</w:t>
            </w:r>
          </w:p>
        </w:tc>
      </w:tr>
      <w:tr w:rsidR="001822BA" w:rsidRPr="008E7086" w:rsidTr="008C0642">
        <w:trPr>
          <w:trHeight w:val="83"/>
        </w:trPr>
        <w:tc>
          <w:tcPr>
            <w:tcW w:w="2448" w:type="dxa"/>
            <w:noWrap/>
          </w:tcPr>
          <w:p w:rsidR="001822BA" w:rsidRPr="008E7086" w:rsidRDefault="001822BA" w:rsidP="00ED0DE1">
            <w:pPr>
              <w:rPr>
                <w:rFonts w:ascii="Arial" w:hAnsi="Arial" w:cs="Arial"/>
              </w:rPr>
            </w:pPr>
          </w:p>
        </w:tc>
        <w:tc>
          <w:tcPr>
            <w:tcW w:w="241" w:type="dxa"/>
          </w:tcPr>
          <w:p w:rsidR="001822BA" w:rsidRPr="001822BA" w:rsidRDefault="001822BA" w:rsidP="00ED0DE1">
            <w:pPr>
              <w:rPr>
                <w:rFonts w:ascii="Arial" w:hAnsi="Arial" w:cs="Arial"/>
              </w:rPr>
            </w:pPr>
          </w:p>
        </w:tc>
        <w:tc>
          <w:tcPr>
            <w:tcW w:w="2099" w:type="dxa"/>
            <w:noWrap/>
          </w:tcPr>
          <w:p w:rsidR="001822BA" w:rsidRPr="001822BA" w:rsidRDefault="00755793" w:rsidP="00ED0DE1">
            <w:pPr>
              <w:rPr>
                <w:rFonts w:ascii="Arial" w:hAnsi="Arial" w:cs="Arial"/>
              </w:rPr>
            </w:pPr>
            <w:r>
              <w:rPr>
                <w:rFonts w:ascii="Arial" w:hAnsi="Arial" w:cs="Arial"/>
              </w:rPr>
              <w:t>(1)</w:t>
            </w:r>
          </w:p>
        </w:tc>
        <w:tc>
          <w:tcPr>
            <w:tcW w:w="246" w:type="dxa"/>
          </w:tcPr>
          <w:p w:rsidR="001822BA" w:rsidRPr="001822BA" w:rsidRDefault="001822BA" w:rsidP="00ED0DE1">
            <w:pPr>
              <w:rPr>
                <w:rFonts w:ascii="Arial" w:hAnsi="Arial" w:cs="Arial"/>
              </w:rPr>
            </w:pPr>
          </w:p>
        </w:tc>
        <w:tc>
          <w:tcPr>
            <w:tcW w:w="2184" w:type="dxa"/>
            <w:noWrap/>
          </w:tcPr>
          <w:p w:rsidR="001822BA" w:rsidRPr="001822BA" w:rsidRDefault="00755793" w:rsidP="00ED0DE1">
            <w:pPr>
              <w:rPr>
                <w:rFonts w:ascii="Arial" w:hAnsi="Arial" w:cs="Arial"/>
              </w:rPr>
            </w:pPr>
            <w:r>
              <w:rPr>
                <w:rFonts w:ascii="Arial" w:hAnsi="Arial" w:cs="Arial"/>
              </w:rPr>
              <w:t>(2)</w:t>
            </w:r>
          </w:p>
        </w:tc>
        <w:tc>
          <w:tcPr>
            <w:tcW w:w="270" w:type="dxa"/>
          </w:tcPr>
          <w:p w:rsidR="001822BA" w:rsidRPr="001822BA" w:rsidRDefault="001822BA" w:rsidP="00ED0DE1">
            <w:pPr>
              <w:rPr>
                <w:rFonts w:ascii="Arial" w:hAnsi="Arial" w:cs="Arial"/>
              </w:rPr>
            </w:pPr>
          </w:p>
        </w:tc>
        <w:tc>
          <w:tcPr>
            <w:tcW w:w="1980" w:type="dxa"/>
            <w:noWrap/>
          </w:tcPr>
          <w:p w:rsidR="001822BA" w:rsidRPr="001822BA" w:rsidRDefault="00755793" w:rsidP="00ED0DE1">
            <w:pPr>
              <w:rPr>
                <w:rFonts w:ascii="Arial" w:hAnsi="Arial" w:cs="Arial"/>
              </w:rPr>
            </w:pPr>
            <w:r>
              <w:rPr>
                <w:rFonts w:ascii="Arial" w:hAnsi="Arial" w:cs="Arial"/>
              </w:rPr>
              <w:t>(3)=(1)-(2)</w:t>
            </w:r>
          </w:p>
        </w:tc>
      </w:tr>
      <w:tr w:rsidR="001822BA" w:rsidRPr="008E7086" w:rsidTr="00C029A5">
        <w:trPr>
          <w:trHeight w:val="83"/>
        </w:trPr>
        <w:tc>
          <w:tcPr>
            <w:tcW w:w="2448" w:type="dxa"/>
            <w:noWrap/>
          </w:tcPr>
          <w:p w:rsidR="001822BA" w:rsidRPr="008E7086" w:rsidRDefault="001822BA" w:rsidP="00ED0DE1">
            <w:pPr>
              <w:rPr>
                <w:rFonts w:ascii="Arial" w:hAnsi="Arial" w:cs="Arial"/>
              </w:rPr>
            </w:pPr>
          </w:p>
        </w:tc>
        <w:tc>
          <w:tcPr>
            <w:tcW w:w="241" w:type="dxa"/>
          </w:tcPr>
          <w:p w:rsidR="001822BA" w:rsidRPr="001822BA" w:rsidRDefault="001822BA" w:rsidP="00ED0DE1">
            <w:pPr>
              <w:rPr>
                <w:rFonts w:ascii="Arial" w:hAnsi="Arial" w:cs="Arial"/>
              </w:rPr>
            </w:pPr>
          </w:p>
        </w:tc>
        <w:tc>
          <w:tcPr>
            <w:tcW w:w="2099" w:type="dxa"/>
            <w:noWrap/>
          </w:tcPr>
          <w:p w:rsidR="001822BA" w:rsidRPr="001822BA" w:rsidRDefault="001822BA" w:rsidP="002720E7">
            <w:pPr>
              <w:rPr>
                <w:rFonts w:ascii="Arial" w:hAnsi="Arial" w:cs="Arial"/>
              </w:rPr>
            </w:pPr>
            <w:r w:rsidRPr="001822BA">
              <w:rPr>
                <w:rFonts w:ascii="Arial" w:hAnsi="Arial" w:cs="Arial"/>
              </w:rPr>
              <w:t xml:space="preserve">(Note </w:t>
            </w:r>
            <w:r w:rsidR="002720E7">
              <w:rPr>
                <w:rFonts w:ascii="Arial" w:hAnsi="Arial" w:cs="Arial"/>
              </w:rPr>
              <w:t>2</w:t>
            </w:r>
            <w:r w:rsidRPr="001822BA">
              <w:rPr>
                <w:rFonts w:ascii="Arial" w:hAnsi="Arial" w:cs="Arial"/>
              </w:rPr>
              <w:t>)</w:t>
            </w:r>
          </w:p>
        </w:tc>
        <w:tc>
          <w:tcPr>
            <w:tcW w:w="246" w:type="dxa"/>
          </w:tcPr>
          <w:p w:rsidR="001822BA" w:rsidRPr="001822BA" w:rsidRDefault="001822BA" w:rsidP="00ED0DE1">
            <w:pPr>
              <w:rPr>
                <w:rFonts w:ascii="Arial" w:hAnsi="Arial" w:cs="Arial"/>
              </w:rPr>
            </w:pPr>
          </w:p>
        </w:tc>
        <w:tc>
          <w:tcPr>
            <w:tcW w:w="2184" w:type="dxa"/>
            <w:noWrap/>
          </w:tcPr>
          <w:p w:rsidR="001822BA" w:rsidRPr="001822BA" w:rsidRDefault="001822BA" w:rsidP="002720E7">
            <w:pPr>
              <w:rPr>
                <w:rFonts w:ascii="Arial" w:hAnsi="Arial" w:cs="Arial"/>
              </w:rPr>
            </w:pPr>
            <w:r w:rsidRPr="001822BA">
              <w:rPr>
                <w:rFonts w:ascii="Arial" w:hAnsi="Arial" w:cs="Arial"/>
              </w:rPr>
              <w:t xml:space="preserve">(Note </w:t>
            </w:r>
            <w:r w:rsidR="002720E7">
              <w:rPr>
                <w:rFonts w:ascii="Arial" w:hAnsi="Arial" w:cs="Arial"/>
              </w:rPr>
              <w:t>3</w:t>
            </w:r>
            <w:r w:rsidRPr="001822BA">
              <w:rPr>
                <w:rFonts w:ascii="Arial" w:hAnsi="Arial" w:cs="Arial"/>
              </w:rPr>
              <w:t>)</w:t>
            </w:r>
          </w:p>
        </w:tc>
        <w:tc>
          <w:tcPr>
            <w:tcW w:w="270" w:type="dxa"/>
          </w:tcPr>
          <w:p w:rsidR="001822BA" w:rsidRPr="001822BA" w:rsidRDefault="001822BA" w:rsidP="00ED0DE1">
            <w:pPr>
              <w:rPr>
                <w:rFonts w:ascii="Arial" w:hAnsi="Arial" w:cs="Arial"/>
              </w:rPr>
            </w:pPr>
          </w:p>
        </w:tc>
        <w:tc>
          <w:tcPr>
            <w:tcW w:w="1980" w:type="dxa"/>
            <w:noWrap/>
          </w:tcPr>
          <w:p w:rsidR="001822BA" w:rsidRPr="001822BA" w:rsidRDefault="001822BA" w:rsidP="002720E7">
            <w:pPr>
              <w:rPr>
                <w:rFonts w:ascii="Arial" w:hAnsi="Arial" w:cs="Arial"/>
              </w:rPr>
            </w:pPr>
            <w:r w:rsidRPr="001822BA">
              <w:rPr>
                <w:rFonts w:ascii="Arial" w:hAnsi="Arial" w:cs="Arial"/>
              </w:rPr>
              <w:t xml:space="preserve">(Note </w:t>
            </w:r>
            <w:r w:rsidR="002720E7">
              <w:rPr>
                <w:rFonts w:ascii="Arial" w:hAnsi="Arial" w:cs="Arial"/>
              </w:rPr>
              <w:t>4</w:t>
            </w:r>
            <w:r w:rsidRPr="001822BA">
              <w:rPr>
                <w:rFonts w:ascii="Arial" w:hAnsi="Arial" w:cs="Arial"/>
              </w:rPr>
              <w:t>)</w:t>
            </w:r>
          </w:p>
        </w:tc>
      </w:tr>
      <w:tr w:rsidR="001822BA" w:rsidRPr="008E7086" w:rsidTr="00C029A5">
        <w:trPr>
          <w:trHeight w:val="83"/>
        </w:trPr>
        <w:tc>
          <w:tcPr>
            <w:tcW w:w="2448" w:type="dxa"/>
            <w:noWrap/>
          </w:tcPr>
          <w:p w:rsidR="001822BA" w:rsidRPr="008E7086" w:rsidRDefault="001822BA" w:rsidP="00ED0DE1">
            <w:pPr>
              <w:rPr>
                <w:rFonts w:ascii="Arial" w:hAnsi="Arial" w:cs="Arial"/>
              </w:rPr>
            </w:pPr>
          </w:p>
        </w:tc>
        <w:tc>
          <w:tcPr>
            <w:tcW w:w="241" w:type="dxa"/>
          </w:tcPr>
          <w:p w:rsidR="001822BA" w:rsidRPr="008E7086" w:rsidRDefault="001822BA" w:rsidP="00ED0DE1">
            <w:pPr>
              <w:rPr>
                <w:rFonts w:ascii="Arial" w:hAnsi="Arial" w:cs="Arial"/>
              </w:rPr>
            </w:pPr>
          </w:p>
        </w:tc>
        <w:tc>
          <w:tcPr>
            <w:tcW w:w="2099" w:type="dxa"/>
            <w:noWrap/>
          </w:tcPr>
          <w:p w:rsidR="001822BA" w:rsidRPr="008E7086" w:rsidRDefault="001822BA" w:rsidP="00ED0DE1">
            <w:pPr>
              <w:rPr>
                <w:rFonts w:ascii="Arial" w:hAnsi="Arial" w:cs="Arial"/>
              </w:rPr>
            </w:pPr>
          </w:p>
        </w:tc>
        <w:tc>
          <w:tcPr>
            <w:tcW w:w="246" w:type="dxa"/>
          </w:tcPr>
          <w:p w:rsidR="001822BA" w:rsidRPr="008E7086" w:rsidRDefault="001822BA" w:rsidP="00ED0DE1">
            <w:pPr>
              <w:rPr>
                <w:rFonts w:ascii="Arial" w:hAnsi="Arial" w:cs="Arial"/>
              </w:rPr>
            </w:pPr>
          </w:p>
        </w:tc>
        <w:tc>
          <w:tcPr>
            <w:tcW w:w="2184" w:type="dxa"/>
            <w:noWrap/>
          </w:tcPr>
          <w:p w:rsidR="001822BA" w:rsidRPr="008E7086" w:rsidRDefault="001822BA" w:rsidP="00ED0DE1">
            <w:pPr>
              <w:rPr>
                <w:rFonts w:ascii="Arial" w:hAnsi="Arial" w:cs="Arial"/>
              </w:rPr>
            </w:pPr>
          </w:p>
        </w:tc>
        <w:tc>
          <w:tcPr>
            <w:tcW w:w="270" w:type="dxa"/>
          </w:tcPr>
          <w:p w:rsidR="001822BA" w:rsidRPr="008E7086" w:rsidRDefault="001822BA" w:rsidP="00ED0DE1">
            <w:pPr>
              <w:rPr>
                <w:rFonts w:ascii="Arial" w:hAnsi="Arial" w:cs="Arial"/>
              </w:rPr>
            </w:pPr>
          </w:p>
        </w:tc>
        <w:tc>
          <w:tcPr>
            <w:tcW w:w="1980" w:type="dxa"/>
            <w:noWrap/>
          </w:tcPr>
          <w:p w:rsidR="001822BA" w:rsidRPr="008E7086" w:rsidRDefault="001822BA" w:rsidP="00ED0DE1">
            <w:pPr>
              <w:rPr>
                <w:rFonts w:ascii="Arial" w:hAnsi="Arial" w:cs="Arial"/>
              </w:rPr>
            </w:pPr>
          </w:p>
        </w:tc>
      </w:tr>
      <w:tr w:rsidR="001822BA" w:rsidRPr="008E7086" w:rsidTr="00C029A5">
        <w:trPr>
          <w:trHeight w:val="209"/>
        </w:trPr>
        <w:tc>
          <w:tcPr>
            <w:tcW w:w="2448" w:type="dxa"/>
            <w:noWrap/>
            <w:vAlign w:val="bottom"/>
          </w:tcPr>
          <w:p w:rsidR="001822BA" w:rsidRPr="008E7086" w:rsidRDefault="001822BA" w:rsidP="005D1CDD">
            <w:pPr>
              <w:jc w:val="left"/>
              <w:rPr>
                <w:rFonts w:ascii="Arial" w:hAnsi="Arial" w:cs="Arial"/>
              </w:rPr>
            </w:pPr>
            <w:r w:rsidRPr="008E7086">
              <w:rPr>
                <w:rFonts w:ascii="Arial" w:hAnsi="Arial" w:cs="Arial"/>
              </w:rPr>
              <w:t>Residential</w:t>
            </w:r>
          </w:p>
        </w:tc>
        <w:tc>
          <w:tcPr>
            <w:tcW w:w="241" w:type="dxa"/>
          </w:tcPr>
          <w:p w:rsidR="001822BA" w:rsidRPr="008E7086" w:rsidRDefault="001822BA" w:rsidP="00ED0DE1">
            <w:pPr>
              <w:jc w:val="right"/>
              <w:rPr>
                <w:rFonts w:ascii="Arial" w:hAnsi="Arial" w:cs="Arial"/>
              </w:rPr>
            </w:pPr>
          </w:p>
        </w:tc>
        <w:tc>
          <w:tcPr>
            <w:tcW w:w="2099" w:type="dxa"/>
            <w:noWrap/>
          </w:tcPr>
          <w:p w:rsidR="001822BA" w:rsidRPr="008E7086" w:rsidRDefault="001822BA" w:rsidP="002638CA">
            <w:pPr>
              <w:jc w:val="right"/>
              <w:rPr>
                <w:rFonts w:ascii="Arial" w:hAnsi="Arial" w:cs="Arial"/>
              </w:rPr>
            </w:pPr>
            <w:r w:rsidRPr="008E7086">
              <w:rPr>
                <w:rFonts w:ascii="Arial" w:hAnsi="Arial" w:cs="Arial"/>
              </w:rPr>
              <w:t>$</w:t>
            </w:r>
            <w:r w:rsidR="00CC472A">
              <w:rPr>
                <w:rFonts w:ascii="Arial" w:hAnsi="Arial" w:cs="Arial"/>
              </w:rPr>
              <w:t xml:space="preserve"> </w:t>
            </w:r>
            <w:r w:rsidR="0012275F">
              <w:rPr>
                <w:rFonts w:ascii="Arial" w:hAnsi="Arial" w:cs="Arial"/>
              </w:rPr>
              <w:t xml:space="preserve">  </w:t>
            </w:r>
            <w:r w:rsidR="001F28EA">
              <w:rPr>
                <w:rFonts w:ascii="Arial" w:hAnsi="Arial" w:cs="Arial"/>
              </w:rPr>
              <w:t>640</w:t>
            </w:r>
            <w:r w:rsidRPr="008E7086">
              <w:rPr>
                <w:rFonts w:ascii="Arial" w:hAnsi="Arial" w:cs="Arial"/>
              </w:rPr>
              <w:t>,1</w:t>
            </w:r>
            <w:r w:rsidR="001F28EA">
              <w:rPr>
                <w:rFonts w:ascii="Arial" w:hAnsi="Arial" w:cs="Arial"/>
              </w:rPr>
              <w:t>71</w:t>
            </w:r>
            <w:r w:rsidRPr="008E7086">
              <w:rPr>
                <w:rFonts w:ascii="Arial" w:hAnsi="Arial" w:cs="Arial"/>
              </w:rPr>
              <w:t>,</w:t>
            </w:r>
            <w:r w:rsidR="001F28EA">
              <w:rPr>
                <w:rFonts w:ascii="Arial" w:hAnsi="Arial" w:cs="Arial"/>
              </w:rPr>
              <w:t>980</w:t>
            </w:r>
          </w:p>
        </w:tc>
        <w:tc>
          <w:tcPr>
            <w:tcW w:w="246" w:type="dxa"/>
          </w:tcPr>
          <w:p w:rsidR="001822BA" w:rsidRPr="008E7086" w:rsidRDefault="001822BA" w:rsidP="00ED0DE1">
            <w:pPr>
              <w:jc w:val="right"/>
              <w:rPr>
                <w:rFonts w:ascii="Arial" w:hAnsi="Arial" w:cs="Arial"/>
              </w:rPr>
            </w:pPr>
          </w:p>
        </w:tc>
        <w:tc>
          <w:tcPr>
            <w:tcW w:w="2184" w:type="dxa"/>
            <w:noWrap/>
          </w:tcPr>
          <w:p w:rsidR="001822BA" w:rsidRPr="008E7086" w:rsidRDefault="001822BA" w:rsidP="002638CA">
            <w:pPr>
              <w:jc w:val="right"/>
              <w:rPr>
                <w:rFonts w:ascii="Arial" w:hAnsi="Arial" w:cs="Arial"/>
              </w:rPr>
            </w:pPr>
            <w:r w:rsidRPr="008E7086">
              <w:rPr>
                <w:rFonts w:ascii="Arial" w:hAnsi="Arial" w:cs="Arial"/>
              </w:rPr>
              <w:t>$</w:t>
            </w:r>
            <w:r w:rsidR="0012275F">
              <w:rPr>
                <w:rFonts w:ascii="Arial" w:hAnsi="Arial" w:cs="Arial"/>
              </w:rPr>
              <w:t xml:space="preserve">   </w:t>
            </w:r>
            <w:r w:rsidR="001F28EA">
              <w:rPr>
                <w:rFonts w:ascii="Arial" w:hAnsi="Arial" w:cs="Arial"/>
              </w:rPr>
              <w:t>637</w:t>
            </w:r>
            <w:r w:rsidRPr="008E7086">
              <w:rPr>
                <w:rFonts w:ascii="Arial" w:hAnsi="Arial" w:cs="Arial"/>
              </w:rPr>
              <w:t>,</w:t>
            </w:r>
            <w:r w:rsidR="001F28EA">
              <w:rPr>
                <w:rFonts w:ascii="Arial" w:hAnsi="Arial" w:cs="Arial"/>
              </w:rPr>
              <w:t>165</w:t>
            </w:r>
            <w:r w:rsidRPr="008E7086">
              <w:rPr>
                <w:rFonts w:ascii="Arial" w:hAnsi="Arial" w:cs="Arial"/>
              </w:rPr>
              <w:t>,</w:t>
            </w:r>
            <w:r w:rsidR="001F28EA">
              <w:rPr>
                <w:rFonts w:ascii="Arial" w:hAnsi="Arial" w:cs="Arial"/>
              </w:rPr>
              <w:t>142</w:t>
            </w:r>
          </w:p>
        </w:tc>
        <w:tc>
          <w:tcPr>
            <w:tcW w:w="270" w:type="dxa"/>
          </w:tcPr>
          <w:p w:rsidR="001822BA" w:rsidRPr="008E7086" w:rsidRDefault="001822BA" w:rsidP="00ED0DE1">
            <w:pPr>
              <w:jc w:val="right"/>
              <w:rPr>
                <w:rFonts w:ascii="Arial" w:hAnsi="Arial" w:cs="Arial"/>
              </w:rPr>
            </w:pPr>
          </w:p>
        </w:tc>
        <w:tc>
          <w:tcPr>
            <w:tcW w:w="1980" w:type="dxa"/>
            <w:noWrap/>
          </w:tcPr>
          <w:p w:rsidR="001822BA" w:rsidRPr="008E7086" w:rsidRDefault="001822BA" w:rsidP="001F28EA">
            <w:pPr>
              <w:jc w:val="right"/>
              <w:rPr>
                <w:rFonts w:ascii="Arial" w:hAnsi="Arial" w:cs="Arial"/>
              </w:rPr>
            </w:pPr>
            <w:r w:rsidRPr="008E7086">
              <w:rPr>
                <w:rFonts w:ascii="Arial" w:hAnsi="Arial" w:cs="Arial"/>
              </w:rPr>
              <w:t>$</w:t>
            </w:r>
            <w:r w:rsidR="002638CA">
              <w:rPr>
                <w:rFonts w:ascii="Arial" w:hAnsi="Arial" w:cs="Arial"/>
              </w:rPr>
              <w:t xml:space="preserve"> </w:t>
            </w:r>
            <w:r w:rsidR="0012275F">
              <w:rPr>
                <w:rFonts w:ascii="Arial" w:hAnsi="Arial" w:cs="Arial"/>
              </w:rPr>
              <w:t xml:space="preserve">  </w:t>
            </w:r>
            <w:r w:rsidR="001F28EA">
              <w:rPr>
                <w:rFonts w:ascii="Arial" w:hAnsi="Arial" w:cs="Arial"/>
              </w:rPr>
              <w:t xml:space="preserve"> 3</w:t>
            </w:r>
            <w:r w:rsidRPr="008E7086">
              <w:rPr>
                <w:rFonts w:ascii="Arial" w:hAnsi="Arial" w:cs="Arial"/>
              </w:rPr>
              <w:t>,</w:t>
            </w:r>
            <w:r w:rsidR="001F28EA">
              <w:rPr>
                <w:rFonts w:ascii="Arial" w:hAnsi="Arial" w:cs="Arial"/>
              </w:rPr>
              <w:t>006</w:t>
            </w:r>
            <w:r w:rsidRPr="008E7086">
              <w:rPr>
                <w:rFonts w:ascii="Arial" w:hAnsi="Arial" w:cs="Arial"/>
              </w:rPr>
              <w:t>,</w:t>
            </w:r>
            <w:r w:rsidR="001F28EA">
              <w:rPr>
                <w:rFonts w:ascii="Arial" w:hAnsi="Arial" w:cs="Arial"/>
              </w:rPr>
              <w:t>838</w:t>
            </w:r>
          </w:p>
        </w:tc>
      </w:tr>
      <w:tr w:rsidR="001822BA" w:rsidRPr="008E7086" w:rsidTr="00C029A5">
        <w:trPr>
          <w:trHeight w:val="119"/>
        </w:trPr>
        <w:tc>
          <w:tcPr>
            <w:tcW w:w="2448" w:type="dxa"/>
            <w:noWrap/>
            <w:vAlign w:val="bottom"/>
          </w:tcPr>
          <w:p w:rsidR="001822BA" w:rsidRPr="008E7086" w:rsidRDefault="001822BA" w:rsidP="005D1CDD">
            <w:pPr>
              <w:jc w:val="left"/>
              <w:rPr>
                <w:rFonts w:ascii="Arial" w:hAnsi="Arial" w:cs="Arial"/>
              </w:rPr>
            </w:pPr>
          </w:p>
        </w:tc>
        <w:tc>
          <w:tcPr>
            <w:tcW w:w="241" w:type="dxa"/>
          </w:tcPr>
          <w:p w:rsidR="001822BA" w:rsidRPr="008E7086" w:rsidRDefault="001822BA" w:rsidP="00ED0DE1">
            <w:pPr>
              <w:jc w:val="right"/>
              <w:rPr>
                <w:rFonts w:ascii="Arial" w:hAnsi="Arial" w:cs="Arial"/>
              </w:rPr>
            </w:pPr>
          </w:p>
        </w:tc>
        <w:tc>
          <w:tcPr>
            <w:tcW w:w="2099" w:type="dxa"/>
            <w:noWrap/>
          </w:tcPr>
          <w:p w:rsidR="001822BA" w:rsidRPr="008E7086" w:rsidRDefault="001822BA" w:rsidP="00ED0DE1">
            <w:pPr>
              <w:jc w:val="right"/>
              <w:rPr>
                <w:rFonts w:ascii="Arial" w:hAnsi="Arial" w:cs="Arial"/>
              </w:rPr>
            </w:pPr>
          </w:p>
        </w:tc>
        <w:tc>
          <w:tcPr>
            <w:tcW w:w="246" w:type="dxa"/>
          </w:tcPr>
          <w:p w:rsidR="001822BA" w:rsidRPr="008E7086" w:rsidRDefault="001822BA" w:rsidP="00ED0DE1">
            <w:pPr>
              <w:jc w:val="right"/>
              <w:rPr>
                <w:rFonts w:ascii="Arial" w:hAnsi="Arial" w:cs="Arial"/>
              </w:rPr>
            </w:pPr>
          </w:p>
        </w:tc>
        <w:tc>
          <w:tcPr>
            <w:tcW w:w="2184" w:type="dxa"/>
            <w:noWrap/>
          </w:tcPr>
          <w:p w:rsidR="001822BA" w:rsidRPr="008E7086" w:rsidRDefault="001822BA" w:rsidP="00ED0DE1">
            <w:pPr>
              <w:jc w:val="right"/>
              <w:rPr>
                <w:rFonts w:ascii="Arial" w:hAnsi="Arial" w:cs="Arial"/>
              </w:rPr>
            </w:pPr>
          </w:p>
        </w:tc>
        <w:tc>
          <w:tcPr>
            <w:tcW w:w="270" w:type="dxa"/>
          </w:tcPr>
          <w:p w:rsidR="001822BA" w:rsidRPr="008E7086" w:rsidRDefault="001822BA" w:rsidP="00ED0DE1">
            <w:pPr>
              <w:jc w:val="right"/>
              <w:rPr>
                <w:rFonts w:ascii="Arial" w:hAnsi="Arial" w:cs="Arial"/>
              </w:rPr>
            </w:pPr>
          </w:p>
        </w:tc>
        <w:tc>
          <w:tcPr>
            <w:tcW w:w="1980" w:type="dxa"/>
            <w:noWrap/>
          </w:tcPr>
          <w:p w:rsidR="001822BA" w:rsidRPr="008E7086" w:rsidRDefault="001822BA" w:rsidP="00ED0DE1">
            <w:pPr>
              <w:jc w:val="right"/>
              <w:rPr>
                <w:rFonts w:ascii="Arial" w:hAnsi="Arial" w:cs="Arial"/>
              </w:rPr>
            </w:pPr>
          </w:p>
        </w:tc>
      </w:tr>
      <w:tr w:rsidR="001822BA" w:rsidRPr="008E7086" w:rsidTr="00C029A5">
        <w:trPr>
          <w:trHeight w:val="380"/>
        </w:trPr>
        <w:tc>
          <w:tcPr>
            <w:tcW w:w="2448" w:type="dxa"/>
            <w:noWrap/>
            <w:vAlign w:val="bottom"/>
          </w:tcPr>
          <w:p w:rsidR="001822BA" w:rsidRPr="008E7086" w:rsidRDefault="001822BA" w:rsidP="005D1CDD">
            <w:pPr>
              <w:jc w:val="left"/>
              <w:rPr>
                <w:rFonts w:ascii="Arial" w:hAnsi="Arial" w:cs="Arial"/>
              </w:rPr>
            </w:pPr>
            <w:r w:rsidRPr="008E7086">
              <w:rPr>
                <w:rFonts w:ascii="Arial" w:hAnsi="Arial" w:cs="Arial"/>
              </w:rPr>
              <w:t>Small Commercial</w:t>
            </w:r>
            <w:r w:rsidR="00CC472A">
              <w:rPr>
                <w:rFonts w:ascii="Arial" w:hAnsi="Arial" w:cs="Arial"/>
              </w:rPr>
              <w:t xml:space="preserve"> and Industrial</w:t>
            </w:r>
          </w:p>
        </w:tc>
        <w:tc>
          <w:tcPr>
            <w:tcW w:w="241" w:type="dxa"/>
          </w:tcPr>
          <w:p w:rsidR="001822BA" w:rsidRPr="008E7086" w:rsidRDefault="001822BA" w:rsidP="00ED0DE1">
            <w:pPr>
              <w:jc w:val="right"/>
              <w:rPr>
                <w:rFonts w:ascii="Arial" w:hAnsi="Arial" w:cs="Arial"/>
              </w:rPr>
            </w:pPr>
          </w:p>
        </w:tc>
        <w:tc>
          <w:tcPr>
            <w:tcW w:w="2099" w:type="dxa"/>
            <w:noWrap/>
            <w:vAlign w:val="bottom"/>
          </w:tcPr>
          <w:p w:rsidR="001822BA" w:rsidRPr="008E7086" w:rsidRDefault="001F28EA" w:rsidP="001F28EA">
            <w:pPr>
              <w:jc w:val="right"/>
              <w:rPr>
                <w:rFonts w:ascii="Arial" w:hAnsi="Arial" w:cs="Arial"/>
              </w:rPr>
            </w:pPr>
            <w:r>
              <w:rPr>
                <w:rFonts w:ascii="Arial" w:hAnsi="Arial" w:cs="Arial"/>
              </w:rPr>
              <w:t>133</w:t>
            </w:r>
            <w:r w:rsidR="001822BA" w:rsidRPr="008E7086">
              <w:rPr>
                <w:rFonts w:ascii="Arial" w:hAnsi="Arial" w:cs="Arial"/>
              </w:rPr>
              <w:t>,</w:t>
            </w:r>
            <w:r>
              <w:rPr>
                <w:rFonts w:ascii="Arial" w:hAnsi="Arial" w:cs="Arial"/>
              </w:rPr>
              <w:t>138</w:t>
            </w:r>
            <w:r w:rsidR="001822BA" w:rsidRPr="008E7086">
              <w:rPr>
                <w:rFonts w:ascii="Arial" w:hAnsi="Arial" w:cs="Arial"/>
              </w:rPr>
              <w:t>,</w:t>
            </w:r>
            <w:r>
              <w:rPr>
                <w:rFonts w:ascii="Arial" w:hAnsi="Arial" w:cs="Arial"/>
              </w:rPr>
              <w:t>037</w:t>
            </w:r>
          </w:p>
        </w:tc>
        <w:tc>
          <w:tcPr>
            <w:tcW w:w="246" w:type="dxa"/>
            <w:vAlign w:val="bottom"/>
          </w:tcPr>
          <w:p w:rsidR="001822BA" w:rsidRPr="008E7086" w:rsidRDefault="001822BA" w:rsidP="00CC472A">
            <w:pPr>
              <w:jc w:val="right"/>
              <w:rPr>
                <w:rFonts w:ascii="Arial" w:hAnsi="Arial" w:cs="Arial"/>
              </w:rPr>
            </w:pPr>
          </w:p>
        </w:tc>
        <w:tc>
          <w:tcPr>
            <w:tcW w:w="2184" w:type="dxa"/>
            <w:noWrap/>
            <w:vAlign w:val="bottom"/>
          </w:tcPr>
          <w:p w:rsidR="001822BA" w:rsidRPr="008E7086" w:rsidRDefault="001F28EA" w:rsidP="001F28EA">
            <w:pPr>
              <w:jc w:val="right"/>
              <w:rPr>
                <w:rFonts w:ascii="Arial" w:hAnsi="Arial" w:cs="Arial"/>
              </w:rPr>
            </w:pPr>
            <w:r>
              <w:rPr>
                <w:rFonts w:ascii="Arial" w:hAnsi="Arial" w:cs="Arial"/>
              </w:rPr>
              <w:t>131</w:t>
            </w:r>
            <w:r w:rsidR="001822BA" w:rsidRPr="008E7086">
              <w:rPr>
                <w:rFonts w:ascii="Arial" w:hAnsi="Arial" w:cs="Arial"/>
              </w:rPr>
              <w:t>,</w:t>
            </w:r>
            <w:r>
              <w:rPr>
                <w:rFonts w:ascii="Arial" w:hAnsi="Arial" w:cs="Arial"/>
              </w:rPr>
              <w:t>880</w:t>
            </w:r>
            <w:r w:rsidR="001822BA" w:rsidRPr="008E7086">
              <w:rPr>
                <w:rFonts w:ascii="Arial" w:hAnsi="Arial" w:cs="Arial"/>
              </w:rPr>
              <w:t>,</w:t>
            </w:r>
            <w:r>
              <w:rPr>
                <w:rFonts w:ascii="Arial" w:hAnsi="Arial" w:cs="Arial"/>
              </w:rPr>
              <w:t>976</w:t>
            </w:r>
          </w:p>
        </w:tc>
        <w:tc>
          <w:tcPr>
            <w:tcW w:w="270" w:type="dxa"/>
            <w:vAlign w:val="bottom"/>
          </w:tcPr>
          <w:p w:rsidR="001822BA" w:rsidRPr="008E7086" w:rsidRDefault="001822BA" w:rsidP="00CC472A">
            <w:pPr>
              <w:jc w:val="right"/>
              <w:rPr>
                <w:rFonts w:ascii="Arial" w:hAnsi="Arial" w:cs="Arial"/>
              </w:rPr>
            </w:pPr>
          </w:p>
        </w:tc>
        <w:tc>
          <w:tcPr>
            <w:tcW w:w="1980" w:type="dxa"/>
            <w:noWrap/>
            <w:vAlign w:val="bottom"/>
          </w:tcPr>
          <w:p w:rsidR="001822BA" w:rsidRPr="008E7086" w:rsidRDefault="0012275F" w:rsidP="006E6439">
            <w:pPr>
              <w:jc w:val="right"/>
              <w:rPr>
                <w:rFonts w:ascii="Arial" w:hAnsi="Arial" w:cs="Arial"/>
              </w:rPr>
            </w:pPr>
            <w:r w:rsidRPr="008E7086">
              <w:rPr>
                <w:rFonts w:ascii="Arial" w:hAnsi="Arial" w:cs="Arial"/>
              </w:rPr>
              <w:t xml:space="preserve"> </w:t>
            </w:r>
            <w:r w:rsidR="001F28EA">
              <w:rPr>
                <w:rFonts w:ascii="Arial" w:hAnsi="Arial" w:cs="Arial"/>
              </w:rPr>
              <w:t>1</w:t>
            </w:r>
            <w:r w:rsidR="001822BA" w:rsidRPr="008E7086">
              <w:rPr>
                <w:rFonts w:ascii="Arial" w:hAnsi="Arial" w:cs="Arial"/>
              </w:rPr>
              <w:t>,</w:t>
            </w:r>
            <w:r w:rsidR="001F28EA">
              <w:rPr>
                <w:rFonts w:ascii="Arial" w:hAnsi="Arial" w:cs="Arial"/>
              </w:rPr>
              <w:t>25</w:t>
            </w:r>
            <w:r w:rsidR="001822BA" w:rsidRPr="008E7086">
              <w:rPr>
                <w:rFonts w:ascii="Arial" w:hAnsi="Arial" w:cs="Arial"/>
              </w:rPr>
              <w:t>7,</w:t>
            </w:r>
            <w:r w:rsidR="006E6439">
              <w:rPr>
                <w:rFonts w:ascii="Arial" w:hAnsi="Arial" w:cs="Arial"/>
              </w:rPr>
              <w:t>06</w:t>
            </w:r>
            <w:r w:rsidR="001822BA" w:rsidRPr="008E7086">
              <w:rPr>
                <w:rFonts w:ascii="Arial" w:hAnsi="Arial" w:cs="Arial"/>
              </w:rPr>
              <w:t>1</w:t>
            </w:r>
          </w:p>
        </w:tc>
      </w:tr>
      <w:tr w:rsidR="001822BA" w:rsidRPr="008E7086" w:rsidTr="00C029A5">
        <w:trPr>
          <w:trHeight w:val="281"/>
        </w:trPr>
        <w:tc>
          <w:tcPr>
            <w:tcW w:w="2448" w:type="dxa"/>
            <w:noWrap/>
            <w:vAlign w:val="bottom"/>
          </w:tcPr>
          <w:p w:rsidR="001822BA" w:rsidRPr="008E7086" w:rsidRDefault="001822BA" w:rsidP="005D1CDD">
            <w:pPr>
              <w:jc w:val="left"/>
              <w:rPr>
                <w:rFonts w:ascii="Arial" w:hAnsi="Arial" w:cs="Arial"/>
              </w:rPr>
            </w:pPr>
          </w:p>
        </w:tc>
        <w:tc>
          <w:tcPr>
            <w:tcW w:w="241" w:type="dxa"/>
          </w:tcPr>
          <w:p w:rsidR="001822BA" w:rsidRPr="008E7086" w:rsidRDefault="001822BA" w:rsidP="00ED0DE1">
            <w:pPr>
              <w:jc w:val="right"/>
              <w:rPr>
                <w:rFonts w:ascii="Arial" w:hAnsi="Arial" w:cs="Arial"/>
              </w:rPr>
            </w:pPr>
          </w:p>
        </w:tc>
        <w:tc>
          <w:tcPr>
            <w:tcW w:w="2099" w:type="dxa"/>
            <w:noWrap/>
          </w:tcPr>
          <w:p w:rsidR="001822BA" w:rsidRPr="008E7086" w:rsidRDefault="001822BA" w:rsidP="00ED0DE1">
            <w:pPr>
              <w:jc w:val="right"/>
              <w:rPr>
                <w:rFonts w:ascii="Arial" w:hAnsi="Arial" w:cs="Arial"/>
              </w:rPr>
            </w:pPr>
          </w:p>
        </w:tc>
        <w:tc>
          <w:tcPr>
            <w:tcW w:w="246" w:type="dxa"/>
          </w:tcPr>
          <w:p w:rsidR="001822BA" w:rsidRPr="008E7086" w:rsidRDefault="001822BA" w:rsidP="00ED0DE1">
            <w:pPr>
              <w:jc w:val="right"/>
              <w:rPr>
                <w:rFonts w:ascii="Arial" w:hAnsi="Arial" w:cs="Arial"/>
              </w:rPr>
            </w:pPr>
          </w:p>
        </w:tc>
        <w:tc>
          <w:tcPr>
            <w:tcW w:w="2184" w:type="dxa"/>
            <w:noWrap/>
          </w:tcPr>
          <w:p w:rsidR="001822BA" w:rsidRPr="008E7086" w:rsidRDefault="001822BA" w:rsidP="00ED0DE1">
            <w:pPr>
              <w:jc w:val="right"/>
              <w:rPr>
                <w:rFonts w:ascii="Arial" w:hAnsi="Arial" w:cs="Arial"/>
              </w:rPr>
            </w:pPr>
          </w:p>
        </w:tc>
        <w:tc>
          <w:tcPr>
            <w:tcW w:w="270" w:type="dxa"/>
          </w:tcPr>
          <w:p w:rsidR="001822BA" w:rsidRPr="008E7086" w:rsidRDefault="001822BA" w:rsidP="00ED0DE1">
            <w:pPr>
              <w:jc w:val="right"/>
              <w:rPr>
                <w:rFonts w:ascii="Arial" w:hAnsi="Arial" w:cs="Arial"/>
              </w:rPr>
            </w:pPr>
          </w:p>
        </w:tc>
        <w:tc>
          <w:tcPr>
            <w:tcW w:w="1980" w:type="dxa"/>
            <w:noWrap/>
          </w:tcPr>
          <w:p w:rsidR="001822BA" w:rsidRPr="008E7086" w:rsidRDefault="001822BA" w:rsidP="00ED0DE1">
            <w:pPr>
              <w:jc w:val="right"/>
              <w:rPr>
                <w:rFonts w:ascii="Arial" w:hAnsi="Arial" w:cs="Arial"/>
              </w:rPr>
            </w:pPr>
          </w:p>
        </w:tc>
      </w:tr>
      <w:tr w:rsidR="001822BA" w:rsidRPr="008E7086" w:rsidTr="00C029A5">
        <w:trPr>
          <w:trHeight w:val="255"/>
        </w:trPr>
        <w:tc>
          <w:tcPr>
            <w:tcW w:w="2448" w:type="dxa"/>
            <w:noWrap/>
            <w:vAlign w:val="bottom"/>
          </w:tcPr>
          <w:p w:rsidR="001822BA" w:rsidRPr="008E7086" w:rsidRDefault="001822BA" w:rsidP="005D1CDD">
            <w:pPr>
              <w:jc w:val="left"/>
              <w:rPr>
                <w:rFonts w:ascii="Arial" w:hAnsi="Arial" w:cs="Arial"/>
              </w:rPr>
            </w:pPr>
            <w:r w:rsidRPr="008E7086">
              <w:rPr>
                <w:rFonts w:ascii="Arial" w:hAnsi="Arial" w:cs="Arial"/>
              </w:rPr>
              <w:t>Medium Commercial</w:t>
            </w:r>
            <w:r w:rsidR="00CC472A">
              <w:rPr>
                <w:rFonts w:ascii="Arial" w:hAnsi="Arial" w:cs="Arial"/>
              </w:rPr>
              <w:t xml:space="preserve"> and Industrial</w:t>
            </w:r>
          </w:p>
        </w:tc>
        <w:tc>
          <w:tcPr>
            <w:tcW w:w="241" w:type="dxa"/>
          </w:tcPr>
          <w:p w:rsidR="001822BA" w:rsidRPr="008E7086" w:rsidRDefault="001822BA" w:rsidP="00ED0DE1">
            <w:pPr>
              <w:jc w:val="right"/>
              <w:rPr>
                <w:rFonts w:ascii="Arial" w:hAnsi="Arial" w:cs="Arial"/>
              </w:rPr>
            </w:pPr>
          </w:p>
        </w:tc>
        <w:tc>
          <w:tcPr>
            <w:tcW w:w="2099" w:type="dxa"/>
            <w:noWrap/>
            <w:vAlign w:val="bottom"/>
          </w:tcPr>
          <w:p w:rsidR="001822BA" w:rsidRPr="008E7086" w:rsidRDefault="006E6439" w:rsidP="006E6439">
            <w:pPr>
              <w:jc w:val="right"/>
              <w:rPr>
                <w:rFonts w:ascii="Arial" w:hAnsi="Arial" w:cs="Arial"/>
              </w:rPr>
            </w:pPr>
            <w:r>
              <w:rPr>
                <w:rFonts w:ascii="Arial" w:hAnsi="Arial" w:cs="Arial"/>
              </w:rPr>
              <w:t>48</w:t>
            </w:r>
            <w:r w:rsidR="001822BA" w:rsidRPr="008E7086">
              <w:rPr>
                <w:rFonts w:ascii="Arial" w:hAnsi="Arial" w:cs="Arial"/>
              </w:rPr>
              <w:t>,</w:t>
            </w:r>
            <w:r>
              <w:rPr>
                <w:rFonts w:ascii="Arial" w:hAnsi="Arial" w:cs="Arial"/>
              </w:rPr>
              <w:t>645</w:t>
            </w:r>
            <w:r w:rsidR="001822BA" w:rsidRPr="008E7086">
              <w:rPr>
                <w:rFonts w:ascii="Arial" w:hAnsi="Arial" w:cs="Arial"/>
              </w:rPr>
              <w:t>,</w:t>
            </w:r>
            <w:r>
              <w:rPr>
                <w:rFonts w:ascii="Arial" w:hAnsi="Arial" w:cs="Arial"/>
              </w:rPr>
              <w:t>805</w:t>
            </w:r>
          </w:p>
        </w:tc>
        <w:tc>
          <w:tcPr>
            <w:tcW w:w="246" w:type="dxa"/>
            <w:vAlign w:val="bottom"/>
          </w:tcPr>
          <w:p w:rsidR="001822BA" w:rsidRPr="008E7086" w:rsidRDefault="001822BA" w:rsidP="00CC472A">
            <w:pPr>
              <w:jc w:val="right"/>
              <w:rPr>
                <w:rFonts w:ascii="Arial" w:hAnsi="Arial" w:cs="Arial"/>
              </w:rPr>
            </w:pPr>
          </w:p>
        </w:tc>
        <w:tc>
          <w:tcPr>
            <w:tcW w:w="2184" w:type="dxa"/>
            <w:noWrap/>
            <w:vAlign w:val="bottom"/>
          </w:tcPr>
          <w:p w:rsidR="001822BA" w:rsidRPr="008E7086" w:rsidRDefault="006E6439" w:rsidP="006E6439">
            <w:pPr>
              <w:jc w:val="right"/>
              <w:rPr>
                <w:rFonts w:ascii="Arial" w:hAnsi="Arial" w:cs="Arial"/>
              </w:rPr>
            </w:pPr>
            <w:r>
              <w:rPr>
                <w:rFonts w:ascii="Arial" w:hAnsi="Arial" w:cs="Arial"/>
              </w:rPr>
              <w:t>48</w:t>
            </w:r>
            <w:r w:rsidR="001822BA" w:rsidRPr="008E7086">
              <w:rPr>
                <w:rFonts w:ascii="Arial" w:hAnsi="Arial" w:cs="Arial"/>
              </w:rPr>
              <w:t>,</w:t>
            </w:r>
            <w:r>
              <w:rPr>
                <w:rFonts w:ascii="Arial" w:hAnsi="Arial" w:cs="Arial"/>
              </w:rPr>
              <w:t>230</w:t>
            </w:r>
            <w:r w:rsidR="001822BA" w:rsidRPr="008E7086">
              <w:rPr>
                <w:rFonts w:ascii="Arial" w:hAnsi="Arial" w:cs="Arial"/>
              </w:rPr>
              <w:t>,2</w:t>
            </w:r>
            <w:r>
              <w:rPr>
                <w:rFonts w:ascii="Arial" w:hAnsi="Arial" w:cs="Arial"/>
              </w:rPr>
              <w:t>97</w:t>
            </w:r>
          </w:p>
        </w:tc>
        <w:tc>
          <w:tcPr>
            <w:tcW w:w="270" w:type="dxa"/>
            <w:vAlign w:val="bottom"/>
          </w:tcPr>
          <w:p w:rsidR="001822BA" w:rsidRPr="008E7086" w:rsidRDefault="001822BA" w:rsidP="00CC472A">
            <w:pPr>
              <w:jc w:val="right"/>
              <w:rPr>
                <w:rFonts w:ascii="Arial" w:hAnsi="Arial" w:cs="Arial"/>
              </w:rPr>
            </w:pPr>
          </w:p>
        </w:tc>
        <w:tc>
          <w:tcPr>
            <w:tcW w:w="1980" w:type="dxa"/>
            <w:noWrap/>
            <w:vAlign w:val="bottom"/>
          </w:tcPr>
          <w:p w:rsidR="001822BA" w:rsidRPr="008E7086" w:rsidRDefault="001822BA" w:rsidP="006E6439">
            <w:pPr>
              <w:jc w:val="right"/>
              <w:rPr>
                <w:rFonts w:ascii="Arial" w:hAnsi="Arial" w:cs="Arial"/>
              </w:rPr>
            </w:pPr>
            <w:r w:rsidRPr="008E7086">
              <w:rPr>
                <w:rFonts w:ascii="Arial" w:hAnsi="Arial" w:cs="Arial"/>
              </w:rPr>
              <w:t>4</w:t>
            </w:r>
            <w:r w:rsidR="006E6439">
              <w:rPr>
                <w:rFonts w:ascii="Arial" w:hAnsi="Arial" w:cs="Arial"/>
              </w:rPr>
              <w:t>15</w:t>
            </w:r>
            <w:r w:rsidRPr="008E7086">
              <w:rPr>
                <w:rFonts w:ascii="Arial" w:hAnsi="Arial" w:cs="Arial"/>
              </w:rPr>
              <w:t>,</w:t>
            </w:r>
            <w:r w:rsidR="006E6439">
              <w:rPr>
                <w:rFonts w:ascii="Arial" w:hAnsi="Arial" w:cs="Arial"/>
              </w:rPr>
              <w:t>508</w:t>
            </w:r>
          </w:p>
        </w:tc>
      </w:tr>
      <w:tr w:rsidR="001822BA" w:rsidRPr="008E7086" w:rsidTr="00C029A5">
        <w:trPr>
          <w:trHeight w:val="255"/>
        </w:trPr>
        <w:tc>
          <w:tcPr>
            <w:tcW w:w="2448" w:type="dxa"/>
            <w:noWrap/>
            <w:vAlign w:val="bottom"/>
          </w:tcPr>
          <w:p w:rsidR="001822BA" w:rsidRPr="008E7086" w:rsidRDefault="001822BA" w:rsidP="005D1CDD">
            <w:pPr>
              <w:jc w:val="left"/>
              <w:rPr>
                <w:rFonts w:ascii="Arial" w:hAnsi="Arial" w:cs="Arial"/>
              </w:rPr>
            </w:pPr>
          </w:p>
        </w:tc>
        <w:tc>
          <w:tcPr>
            <w:tcW w:w="241" w:type="dxa"/>
          </w:tcPr>
          <w:p w:rsidR="001822BA" w:rsidRPr="008E7086" w:rsidRDefault="001822BA" w:rsidP="00ED0DE1">
            <w:pPr>
              <w:jc w:val="right"/>
              <w:rPr>
                <w:rFonts w:ascii="Arial" w:hAnsi="Arial" w:cs="Arial"/>
              </w:rPr>
            </w:pPr>
          </w:p>
        </w:tc>
        <w:tc>
          <w:tcPr>
            <w:tcW w:w="2099" w:type="dxa"/>
            <w:noWrap/>
          </w:tcPr>
          <w:p w:rsidR="001822BA" w:rsidRPr="008E7086" w:rsidRDefault="001822BA" w:rsidP="00ED0DE1">
            <w:pPr>
              <w:jc w:val="right"/>
              <w:rPr>
                <w:rFonts w:ascii="Arial" w:hAnsi="Arial" w:cs="Arial"/>
              </w:rPr>
            </w:pPr>
          </w:p>
        </w:tc>
        <w:tc>
          <w:tcPr>
            <w:tcW w:w="246" w:type="dxa"/>
          </w:tcPr>
          <w:p w:rsidR="001822BA" w:rsidRPr="008E7086" w:rsidRDefault="001822BA" w:rsidP="00ED0DE1">
            <w:pPr>
              <w:jc w:val="right"/>
              <w:rPr>
                <w:rFonts w:ascii="Arial" w:hAnsi="Arial" w:cs="Arial"/>
              </w:rPr>
            </w:pPr>
          </w:p>
        </w:tc>
        <w:tc>
          <w:tcPr>
            <w:tcW w:w="2184" w:type="dxa"/>
            <w:noWrap/>
          </w:tcPr>
          <w:p w:rsidR="001822BA" w:rsidRPr="008E7086" w:rsidRDefault="001822BA" w:rsidP="00ED0DE1">
            <w:pPr>
              <w:jc w:val="right"/>
              <w:rPr>
                <w:rFonts w:ascii="Arial" w:hAnsi="Arial" w:cs="Arial"/>
              </w:rPr>
            </w:pPr>
          </w:p>
        </w:tc>
        <w:tc>
          <w:tcPr>
            <w:tcW w:w="270" w:type="dxa"/>
          </w:tcPr>
          <w:p w:rsidR="001822BA" w:rsidRPr="008E7086" w:rsidRDefault="001822BA" w:rsidP="00ED0DE1">
            <w:pPr>
              <w:jc w:val="right"/>
              <w:rPr>
                <w:rFonts w:ascii="Arial" w:hAnsi="Arial" w:cs="Arial"/>
              </w:rPr>
            </w:pPr>
          </w:p>
        </w:tc>
        <w:tc>
          <w:tcPr>
            <w:tcW w:w="1980" w:type="dxa"/>
            <w:noWrap/>
          </w:tcPr>
          <w:p w:rsidR="001822BA" w:rsidRPr="008E7086" w:rsidRDefault="001822BA" w:rsidP="00ED0DE1">
            <w:pPr>
              <w:jc w:val="right"/>
              <w:rPr>
                <w:rFonts w:ascii="Arial" w:hAnsi="Arial" w:cs="Arial"/>
              </w:rPr>
            </w:pPr>
          </w:p>
        </w:tc>
      </w:tr>
      <w:tr w:rsidR="001822BA" w:rsidRPr="008E7086" w:rsidTr="00C029A5">
        <w:trPr>
          <w:trHeight w:val="255"/>
        </w:trPr>
        <w:tc>
          <w:tcPr>
            <w:tcW w:w="2448" w:type="dxa"/>
            <w:noWrap/>
            <w:vAlign w:val="bottom"/>
          </w:tcPr>
          <w:p w:rsidR="001822BA" w:rsidRPr="008E7086" w:rsidRDefault="001822BA" w:rsidP="005D1CDD">
            <w:pPr>
              <w:jc w:val="left"/>
              <w:rPr>
                <w:rFonts w:ascii="Arial" w:hAnsi="Arial" w:cs="Arial"/>
              </w:rPr>
            </w:pPr>
            <w:r w:rsidRPr="008E7086">
              <w:rPr>
                <w:rFonts w:ascii="Arial" w:hAnsi="Arial" w:cs="Arial"/>
              </w:rPr>
              <w:t>Large Commercial and Industrial</w:t>
            </w:r>
          </w:p>
        </w:tc>
        <w:tc>
          <w:tcPr>
            <w:tcW w:w="241" w:type="dxa"/>
          </w:tcPr>
          <w:p w:rsidR="001822BA" w:rsidRPr="008E7086" w:rsidRDefault="001822BA" w:rsidP="00ED0DE1">
            <w:pPr>
              <w:jc w:val="right"/>
              <w:rPr>
                <w:rFonts w:ascii="Arial" w:hAnsi="Arial" w:cs="Arial"/>
                <w:u w:val="single"/>
              </w:rPr>
            </w:pPr>
          </w:p>
        </w:tc>
        <w:tc>
          <w:tcPr>
            <w:tcW w:w="2099" w:type="dxa"/>
            <w:noWrap/>
            <w:vAlign w:val="bottom"/>
          </w:tcPr>
          <w:p w:rsidR="001822BA" w:rsidRPr="008E7086" w:rsidRDefault="00FC6500" w:rsidP="006E6439">
            <w:pPr>
              <w:rPr>
                <w:rFonts w:ascii="Arial" w:hAnsi="Arial" w:cs="Arial"/>
                <w:u w:val="single"/>
              </w:rPr>
            </w:pPr>
            <w:r w:rsidRPr="00FC6500">
              <w:rPr>
                <w:rFonts w:ascii="Arial" w:hAnsi="Arial" w:cs="Arial"/>
              </w:rPr>
              <w:t xml:space="preserve">   </w:t>
            </w:r>
            <w:r>
              <w:rPr>
                <w:rFonts w:ascii="Arial" w:hAnsi="Arial" w:cs="Arial"/>
                <w:u w:val="single"/>
              </w:rPr>
              <w:t xml:space="preserve">       </w:t>
            </w:r>
            <w:r w:rsidR="006E6439">
              <w:rPr>
                <w:rFonts w:ascii="Arial" w:hAnsi="Arial" w:cs="Arial"/>
                <w:u w:val="single"/>
              </w:rPr>
              <w:t>36</w:t>
            </w:r>
            <w:r w:rsidR="001822BA" w:rsidRPr="008E7086">
              <w:rPr>
                <w:rFonts w:ascii="Arial" w:hAnsi="Arial" w:cs="Arial"/>
                <w:u w:val="single"/>
              </w:rPr>
              <w:t>,</w:t>
            </w:r>
            <w:r w:rsidR="006E6439">
              <w:rPr>
                <w:rFonts w:ascii="Arial" w:hAnsi="Arial" w:cs="Arial"/>
                <w:u w:val="single"/>
              </w:rPr>
              <w:t>0</w:t>
            </w:r>
            <w:r w:rsidR="001822BA" w:rsidRPr="008E7086">
              <w:rPr>
                <w:rFonts w:ascii="Arial" w:hAnsi="Arial" w:cs="Arial"/>
                <w:u w:val="single"/>
              </w:rPr>
              <w:t>70,</w:t>
            </w:r>
            <w:r w:rsidR="006E6439">
              <w:rPr>
                <w:rFonts w:ascii="Arial" w:hAnsi="Arial" w:cs="Arial"/>
                <w:u w:val="single"/>
              </w:rPr>
              <w:t>509</w:t>
            </w:r>
          </w:p>
        </w:tc>
        <w:tc>
          <w:tcPr>
            <w:tcW w:w="246" w:type="dxa"/>
          </w:tcPr>
          <w:p w:rsidR="001822BA" w:rsidRPr="00C029A5" w:rsidRDefault="00C029A5" w:rsidP="00C029A5">
            <w:pPr>
              <w:rPr>
                <w:rFonts w:ascii="Arial" w:hAnsi="Arial" w:cs="Arial"/>
              </w:rPr>
            </w:pPr>
            <w:r>
              <w:rPr>
                <w:rFonts w:ascii="Arial" w:hAnsi="Arial" w:cs="Arial"/>
              </w:rPr>
              <w:t xml:space="preserve"> </w:t>
            </w:r>
          </w:p>
        </w:tc>
        <w:tc>
          <w:tcPr>
            <w:tcW w:w="2184" w:type="dxa"/>
            <w:noWrap/>
            <w:vAlign w:val="bottom"/>
          </w:tcPr>
          <w:p w:rsidR="001822BA" w:rsidRPr="00C029A5" w:rsidRDefault="002922D7" w:rsidP="006E6439">
            <w:pPr>
              <w:ind w:left="6"/>
              <w:rPr>
                <w:rFonts w:ascii="Arial" w:hAnsi="Arial" w:cs="Arial"/>
                <w:u w:val="single"/>
              </w:rPr>
            </w:pPr>
            <w:r w:rsidRPr="002922D7">
              <w:rPr>
                <w:rFonts w:ascii="Arial" w:hAnsi="Arial" w:cs="Arial"/>
              </w:rPr>
              <w:t xml:space="preserve">   </w:t>
            </w:r>
            <w:r>
              <w:rPr>
                <w:rFonts w:ascii="Arial" w:hAnsi="Arial" w:cs="Arial"/>
                <w:u w:val="single"/>
              </w:rPr>
              <w:t xml:space="preserve">        </w:t>
            </w:r>
            <w:r w:rsidR="006E6439">
              <w:rPr>
                <w:rFonts w:ascii="Arial" w:hAnsi="Arial" w:cs="Arial"/>
                <w:u w:val="single"/>
              </w:rPr>
              <w:t>35</w:t>
            </w:r>
            <w:r w:rsidRPr="008E7086">
              <w:rPr>
                <w:rFonts w:ascii="Arial" w:hAnsi="Arial" w:cs="Arial"/>
                <w:u w:val="single"/>
              </w:rPr>
              <w:t>,</w:t>
            </w:r>
            <w:r w:rsidR="006E6439">
              <w:rPr>
                <w:rFonts w:ascii="Arial" w:hAnsi="Arial" w:cs="Arial"/>
                <w:u w:val="single"/>
              </w:rPr>
              <w:t>565</w:t>
            </w:r>
            <w:r w:rsidRPr="008E7086">
              <w:rPr>
                <w:rFonts w:ascii="Arial" w:hAnsi="Arial" w:cs="Arial"/>
                <w:u w:val="single"/>
              </w:rPr>
              <w:t>,</w:t>
            </w:r>
            <w:r>
              <w:rPr>
                <w:rFonts w:ascii="Arial" w:hAnsi="Arial" w:cs="Arial"/>
                <w:u w:val="single"/>
              </w:rPr>
              <w:t>4</w:t>
            </w:r>
            <w:r w:rsidR="006E6439">
              <w:rPr>
                <w:rFonts w:ascii="Arial" w:hAnsi="Arial" w:cs="Arial"/>
                <w:u w:val="single"/>
              </w:rPr>
              <w:t>3</w:t>
            </w:r>
            <w:r>
              <w:rPr>
                <w:rFonts w:ascii="Arial" w:hAnsi="Arial" w:cs="Arial"/>
                <w:u w:val="single"/>
              </w:rPr>
              <w:t>1</w:t>
            </w:r>
            <w:r w:rsidR="0012275F" w:rsidRPr="0012275F">
              <w:rPr>
                <w:rFonts w:ascii="Arial" w:hAnsi="Arial" w:cs="Arial"/>
              </w:rPr>
              <w:t xml:space="preserve">      </w:t>
            </w:r>
            <w:r w:rsidR="0012275F" w:rsidRPr="00C029A5">
              <w:rPr>
                <w:rFonts w:ascii="Arial" w:hAnsi="Arial" w:cs="Arial"/>
              </w:rPr>
              <w:t xml:space="preserve">       </w:t>
            </w:r>
            <w:r w:rsidR="00C029A5" w:rsidRPr="00C029A5">
              <w:rPr>
                <w:rFonts w:ascii="Arial" w:hAnsi="Arial" w:cs="Arial"/>
              </w:rPr>
              <w:t xml:space="preserve">                                                </w:t>
            </w:r>
            <w:r w:rsidR="00C029A5">
              <w:rPr>
                <w:rFonts w:ascii="Arial" w:hAnsi="Arial" w:cs="Arial"/>
              </w:rPr>
              <w:t xml:space="preserve">                  </w:t>
            </w:r>
            <w:r w:rsidR="00C029A5">
              <w:rPr>
                <w:rFonts w:ascii="Arial" w:hAnsi="Arial" w:cs="Arial"/>
                <w:u w:val="single"/>
              </w:rPr>
              <w:t xml:space="preserve">    </w:t>
            </w:r>
          </w:p>
        </w:tc>
        <w:tc>
          <w:tcPr>
            <w:tcW w:w="270" w:type="dxa"/>
          </w:tcPr>
          <w:p w:rsidR="001822BA" w:rsidRPr="008E7086" w:rsidRDefault="001822BA" w:rsidP="00ED0DE1">
            <w:pPr>
              <w:jc w:val="right"/>
              <w:rPr>
                <w:rFonts w:ascii="Arial" w:hAnsi="Arial" w:cs="Arial"/>
                <w:u w:val="single"/>
              </w:rPr>
            </w:pPr>
          </w:p>
        </w:tc>
        <w:tc>
          <w:tcPr>
            <w:tcW w:w="1980" w:type="dxa"/>
            <w:noWrap/>
            <w:vAlign w:val="bottom"/>
          </w:tcPr>
          <w:p w:rsidR="001822BA" w:rsidRPr="008E7086" w:rsidRDefault="00FC6500" w:rsidP="006E6439">
            <w:pPr>
              <w:rPr>
                <w:rFonts w:ascii="Arial" w:hAnsi="Arial" w:cs="Arial"/>
                <w:u w:val="single"/>
              </w:rPr>
            </w:pPr>
            <w:r w:rsidRPr="00FC6500">
              <w:rPr>
                <w:rFonts w:ascii="Arial" w:hAnsi="Arial" w:cs="Arial"/>
              </w:rPr>
              <w:t xml:space="preserve"> </w:t>
            </w:r>
            <w:r w:rsidRPr="002638CA">
              <w:rPr>
                <w:rFonts w:ascii="Arial" w:hAnsi="Arial" w:cs="Arial"/>
              </w:rPr>
              <w:t xml:space="preserve"> </w:t>
            </w:r>
            <w:r>
              <w:rPr>
                <w:rFonts w:ascii="Arial" w:hAnsi="Arial" w:cs="Arial"/>
                <w:u w:val="single"/>
              </w:rPr>
              <w:t xml:space="preserve">    </w:t>
            </w:r>
            <w:r w:rsidR="006E6439">
              <w:rPr>
                <w:rFonts w:ascii="Arial" w:hAnsi="Arial" w:cs="Arial"/>
                <w:u w:val="single"/>
              </w:rPr>
              <w:t xml:space="preserve">  </w:t>
            </w:r>
            <w:r w:rsidR="00D81FB2">
              <w:rPr>
                <w:rFonts w:ascii="Arial" w:hAnsi="Arial" w:cs="Arial"/>
                <w:u w:val="single"/>
              </w:rPr>
              <w:t xml:space="preserve">   </w:t>
            </w:r>
            <w:r w:rsidR="006E6439">
              <w:rPr>
                <w:rFonts w:ascii="Arial" w:hAnsi="Arial" w:cs="Arial"/>
                <w:u w:val="single"/>
              </w:rPr>
              <w:t xml:space="preserve"> 50</w:t>
            </w:r>
            <w:r w:rsidR="001822BA" w:rsidRPr="008E7086">
              <w:rPr>
                <w:rFonts w:ascii="Arial" w:hAnsi="Arial" w:cs="Arial"/>
                <w:u w:val="single"/>
              </w:rPr>
              <w:t>5,</w:t>
            </w:r>
            <w:r w:rsidR="006E6439">
              <w:rPr>
                <w:rFonts w:ascii="Arial" w:hAnsi="Arial" w:cs="Arial"/>
                <w:u w:val="single"/>
              </w:rPr>
              <w:t>078</w:t>
            </w:r>
          </w:p>
        </w:tc>
      </w:tr>
      <w:tr w:rsidR="001822BA" w:rsidRPr="008E7086" w:rsidTr="00C029A5">
        <w:trPr>
          <w:trHeight w:val="255"/>
        </w:trPr>
        <w:tc>
          <w:tcPr>
            <w:tcW w:w="2448" w:type="dxa"/>
            <w:noWrap/>
            <w:vAlign w:val="bottom"/>
          </w:tcPr>
          <w:p w:rsidR="001822BA" w:rsidRPr="008E7086" w:rsidRDefault="001822BA" w:rsidP="005D1CDD">
            <w:pPr>
              <w:jc w:val="left"/>
              <w:rPr>
                <w:rFonts w:ascii="Arial" w:hAnsi="Arial" w:cs="Arial"/>
              </w:rPr>
            </w:pPr>
          </w:p>
        </w:tc>
        <w:tc>
          <w:tcPr>
            <w:tcW w:w="241" w:type="dxa"/>
          </w:tcPr>
          <w:p w:rsidR="001822BA" w:rsidRPr="008E7086" w:rsidRDefault="001822BA" w:rsidP="00ED0DE1">
            <w:pPr>
              <w:jc w:val="right"/>
              <w:rPr>
                <w:rFonts w:ascii="Arial" w:hAnsi="Arial" w:cs="Arial"/>
              </w:rPr>
            </w:pPr>
          </w:p>
        </w:tc>
        <w:tc>
          <w:tcPr>
            <w:tcW w:w="2099" w:type="dxa"/>
            <w:noWrap/>
          </w:tcPr>
          <w:p w:rsidR="001822BA" w:rsidRPr="008E7086" w:rsidRDefault="001822BA" w:rsidP="00ED0DE1">
            <w:pPr>
              <w:jc w:val="right"/>
              <w:rPr>
                <w:rFonts w:ascii="Arial" w:hAnsi="Arial" w:cs="Arial"/>
              </w:rPr>
            </w:pPr>
          </w:p>
        </w:tc>
        <w:tc>
          <w:tcPr>
            <w:tcW w:w="246" w:type="dxa"/>
          </w:tcPr>
          <w:p w:rsidR="001822BA" w:rsidRPr="008E7086" w:rsidRDefault="001822BA" w:rsidP="00ED0DE1">
            <w:pPr>
              <w:jc w:val="right"/>
              <w:rPr>
                <w:rFonts w:ascii="Arial" w:hAnsi="Arial" w:cs="Arial"/>
              </w:rPr>
            </w:pPr>
          </w:p>
        </w:tc>
        <w:tc>
          <w:tcPr>
            <w:tcW w:w="2184" w:type="dxa"/>
            <w:noWrap/>
          </w:tcPr>
          <w:p w:rsidR="001822BA" w:rsidRPr="008E7086" w:rsidRDefault="001822BA" w:rsidP="00ED0DE1">
            <w:pPr>
              <w:jc w:val="right"/>
              <w:rPr>
                <w:rFonts w:ascii="Arial" w:hAnsi="Arial" w:cs="Arial"/>
              </w:rPr>
            </w:pPr>
          </w:p>
        </w:tc>
        <w:tc>
          <w:tcPr>
            <w:tcW w:w="270" w:type="dxa"/>
          </w:tcPr>
          <w:p w:rsidR="001822BA" w:rsidRPr="008E7086" w:rsidRDefault="001822BA" w:rsidP="00ED0DE1">
            <w:pPr>
              <w:jc w:val="right"/>
              <w:rPr>
                <w:rFonts w:ascii="Arial" w:hAnsi="Arial" w:cs="Arial"/>
              </w:rPr>
            </w:pPr>
          </w:p>
        </w:tc>
        <w:tc>
          <w:tcPr>
            <w:tcW w:w="1980" w:type="dxa"/>
            <w:noWrap/>
          </w:tcPr>
          <w:p w:rsidR="001822BA" w:rsidRPr="008E7086" w:rsidRDefault="001822BA" w:rsidP="00ED0DE1">
            <w:pPr>
              <w:jc w:val="right"/>
              <w:rPr>
                <w:rFonts w:ascii="Arial" w:hAnsi="Arial" w:cs="Arial"/>
              </w:rPr>
            </w:pPr>
          </w:p>
        </w:tc>
      </w:tr>
      <w:tr w:rsidR="001822BA" w:rsidRPr="008E7086" w:rsidTr="009A01A3">
        <w:trPr>
          <w:trHeight w:val="497"/>
        </w:trPr>
        <w:tc>
          <w:tcPr>
            <w:tcW w:w="2448" w:type="dxa"/>
            <w:noWrap/>
            <w:vAlign w:val="bottom"/>
          </w:tcPr>
          <w:p w:rsidR="001822BA" w:rsidRPr="008E7086" w:rsidRDefault="002638CA" w:rsidP="004E0E15">
            <w:pPr>
              <w:jc w:val="left"/>
              <w:rPr>
                <w:rFonts w:ascii="Arial" w:hAnsi="Arial" w:cs="Arial"/>
              </w:rPr>
            </w:pPr>
            <w:r>
              <w:rPr>
                <w:rFonts w:ascii="Arial" w:hAnsi="Arial" w:cs="Arial"/>
              </w:rPr>
              <w:t xml:space="preserve">     </w:t>
            </w:r>
            <w:r w:rsidR="001822BA" w:rsidRPr="008E7086">
              <w:rPr>
                <w:rFonts w:ascii="Arial" w:hAnsi="Arial" w:cs="Arial"/>
              </w:rPr>
              <w:t>Total</w:t>
            </w:r>
            <w:r w:rsidR="001822BA">
              <w:rPr>
                <w:rFonts w:ascii="Arial" w:hAnsi="Arial" w:cs="Arial"/>
              </w:rPr>
              <w:t>s</w:t>
            </w:r>
          </w:p>
        </w:tc>
        <w:tc>
          <w:tcPr>
            <w:tcW w:w="241" w:type="dxa"/>
            <w:vAlign w:val="bottom"/>
          </w:tcPr>
          <w:p w:rsidR="001822BA" w:rsidRPr="008E7086" w:rsidRDefault="001822BA" w:rsidP="009A01A3">
            <w:pPr>
              <w:rPr>
                <w:rFonts w:ascii="Arial" w:hAnsi="Arial" w:cs="Arial"/>
                <w:u w:val="double"/>
              </w:rPr>
            </w:pPr>
          </w:p>
        </w:tc>
        <w:tc>
          <w:tcPr>
            <w:tcW w:w="2099" w:type="dxa"/>
            <w:noWrap/>
            <w:vAlign w:val="bottom"/>
          </w:tcPr>
          <w:p w:rsidR="001822BA" w:rsidRPr="002638CA" w:rsidRDefault="004E0E15" w:rsidP="00FE4A4F">
            <w:pPr>
              <w:rPr>
                <w:rFonts w:ascii="Arial" w:hAnsi="Arial" w:cs="Arial"/>
                <w:u w:val="double"/>
              </w:rPr>
            </w:pPr>
            <w:r w:rsidRPr="004E0E15">
              <w:rPr>
                <w:rFonts w:ascii="Arial" w:hAnsi="Arial" w:cs="Arial"/>
              </w:rPr>
              <w:t xml:space="preserve">  </w:t>
            </w:r>
            <w:r w:rsidR="001822BA" w:rsidRPr="002638CA">
              <w:rPr>
                <w:rFonts w:ascii="Arial" w:hAnsi="Arial" w:cs="Arial"/>
                <w:u w:val="double"/>
              </w:rPr>
              <w:t>$</w:t>
            </w:r>
            <w:r w:rsidR="0012275F" w:rsidRPr="002638CA">
              <w:rPr>
                <w:rFonts w:ascii="Arial" w:hAnsi="Arial" w:cs="Arial"/>
                <w:u w:val="double"/>
              </w:rPr>
              <w:t xml:space="preserve"> </w:t>
            </w:r>
            <w:r w:rsidR="00FE4A4F" w:rsidRPr="002638CA">
              <w:rPr>
                <w:rFonts w:ascii="Arial" w:hAnsi="Arial" w:cs="Arial"/>
                <w:u w:val="double"/>
              </w:rPr>
              <w:t xml:space="preserve">  858</w:t>
            </w:r>
            <w:r w:rsidR="001822BA" w:rsidRPr="002638CA">
              <w:rPr>
                <w:rFonts w:ascii="Arial" w:hAnsi="Arial" w:cs="Arial"/>
                <w:u w:val="double"/>
              </w:rPr>
              <w:t>,</w:t>
            </w:r>
            <w:r w:rsidR="00FE4A4F" w:rsidRPr="002638CA">
              <w:rPr>
                <w:rFonts w:ascii="Arial" w:hAnsi="Arial" w:cs="Arial"/>
                <w:u w:val="double"/>
              </w:rPr>
              <w:t>026</w:t>
            </w:r>
            <w:r w:rsidR="001822BA" w:rsidRPr="002638CA">
              <w:rPr>
                <w:rFonts w:ascii="Arial" w:hAnsi="Arial" w:cs="Arial"/>
                <w:u w:val="double"/>
              </w:rPr>
              <w:t>,</w:t>
            </w:r>
            <w:r w:rsidR="00FE4A4F" w:rsidRPr="002638CA">
              <w:rPr>
                <w:rFonts w:ascii="Arial" w:hAnsi="Arial" w:cs="Arial"/>
                <w:u w:val="double"/>
              </w:rPr>
              <w:t>331</w:t>
            </w:r>
          </w:p>
        </w:tc>
        <w:tc>
          <w:tcPr>
            <w:tcW w:w="246" w:type="dxa"/>
            <w:vAlign w:val="bottom"/>
          </w:tcPr>
          <w:p w:rsidR="001822BA" w:rsidRPr="008E7086" w:rsidRDefault="001822BA" w:rsidP="009A01A3">
            <w:pPr>
              <w:rPr>
                <w:rFonts w:ascii="Arial" w:hAnsi="Arial" w:cs="Arial"/>
                <w:u w:val="double"/>
              </w:rPr>
            </w:pPr>
          </w:p>
        </w:tc>
        <w:tc>
          <w:tcPr>
            <w:tcW w:w="2184" w:type="dxa"/>
            <w:noWrap/>
            <w:vAlign w:val="bottom"/>
          </w:tcPr>
          <w:p w:rsidR="001822BA" w:rsidRPr="008E7086" w:rsidRDefault="004E0E15" w:rsidP="00FE4A4F">
            <w:pPr>
              <w:rPr>
                <w:rFonts w:ascii="Arial" w:hAnsi="Arial" w:cs="Arial"/>
                <w:u w:val="double"/>
              </w:rPr>
            </w:pPr>
            <w:r w:rsidRPr="004E0E15">
              <w:rPr>
                <w:rFonts w:ascii="Arial" w:hAnsi="Arial" w:cs="Arial"/>
              </w:rPr>
              <w:t xml:space="preserve">  </w:t>
            </w:r>
            <w:r w:rsidRPr="002638CA">
              <w:rPr>
                <w:rFonts w:ascii="Arial" w:hAnsi="Arial" w:cs="Arial"/>
              </w:rPr>
              <w:t xml:space="preserve"> </w:t>
            </w:r>
            <w:r w:rsidR="001822BA" w:rsidRPr="008E7086">
              <w:rPr>
                <w:rFonts w:ascii="Arial" w:hAnsi="Arial" w:cs="Arial"/>
                <w:u w:val="double"/>
              </w:rPr>
              <w:t>$</w:t>
            </w:r>
            <w:r w:rsidR="0012275F">
              <w:rPr>
                <w:rFonts w:ascii="Arial" w:hAnsi="Arial" w:cs="Arial"/>
                <w:u w:val="double"/>
              </w:rPr>
              <w:t xml:space="preserve"> </w:t>
            </w:r>
            <w:r w:rsidR="00FE4A4F">
              <w:rPr>
                <w:rFonts w:ascii="Arial" w:hAnsi="Arial" w:cs="Arial"/>
                <w:u w:val="double"/>
              </w:rPr>
              <w:t xml:space="preserve">  852</w:t>
            </w:r>
            <w:r w:rsidR="001822BA" w:rsidRPr="008E7086">
              <w:rPr>
                <w:rFonts w:ascii="Arial" w:hAnsi="Arial" w:cs="Arial"/>
                <w:u w:val="double"/>
              </w:rPr>
              <w:t>,</w:t>
            </w:r>
            <w:r w:rsidR="00FE4A4F">
              <w:rPr>
                <w:rFonts w:ascii="Arial" w:hAnsi="Arial" w:cs="Arial"/>
                <w:u w:val="double"/>
              </w:rPr>
              <w:t>841</w:t>
            </w:r>
            <w:r w:rsidR="001822BA" w:rsidRPr="008E7086">
              <w:rPr>
                <w:rFonts w:ascii="Arial" w:hAnsi="Arial" w:cs="Arial"/>
                <w:u w:val="double"/>
              </w:rPr>
              <w:t>,</w:t>
            </w:r>
            <w:r w:rsidR="00FE4A4F">
              <w:rPr>
                <w:rFonts w:ascii="Arial" w:hAnsi="Arial" w:cs="Arial"/>
                <w:u w:val="double"/>
              </w:rPr>
              <w:t>846</w:t>
            </w:r>
          </w:p>
        </w:tc>
        <w:tc>
          <w:tcPr>
            <w:tcW w:w="270" w:type="dxa"/>
            <w:vAlign w:val="bottom"/>
          </w:tcPr>
          <w:p w:rsidR="001822BA" w:rsidRPr="008E7086" w:rsidRDefault="001822BA" w:rsidP="009A01A3">
            <w:pPr>
              <w:rPr>
                <w:rFonts w:ascii="Arial" w:hAnsi="Arial" w:cs="Arial"/>
                <w:u w:val="double"/>
              </w:rPr>
            </w:pPr>
          </w:p>
        </w:tc>
        <w:tc>
          <w:tcPr>
            <w:tcW w:w="1980" w:type="dxa"/>
            <w:noWrap/>
            <w:vAlign w:val="bottom"/>
          </w:tcPr>
          <w:p w:rsidR="001822BA" w:rsidRPr="008E7086" w:rsidRDefault="004E0E15" w:rsidP="00FE4A4F">
            <w:pPr>
              <w:rPr>
                <w:rFonts w:ascii="Arial" w:hAnsi="Arial" w:cs="Arial"/>
                <w:u w:val="double"/>
              </w:rPr>
            </w:pPr>
            <w:r w:rsidRPr="004E0E15">
              <w:rPr>
                <w:rFonts w:ascii="Arial" w:hAnsi="Arial" w:cs="Arial"/>
              </w:rPr>
              <w:t xml:space="preserve"> </w:t>
            </w:r>
            <w:r w:rsidR="001822BA" w:rsidRPr="008E7086">
              <w:rPr>
                <w:rFonts w:ascii="Arial" w:hAnsi="Arial" w:cs="Arial"/>
                <w:u w:val="double"/>
              </w:rPr>
              <w:t>$</w:t>
            </w:r>
            <w:r w:rsidR="0012275F">
              <w:rPr>
                <w:rFonts w:ascii="Arial" w:hAnsi="Arial" w:cs="Arial"/>
                <w:u w:val="double"/>
              </w:rPr>
              <w:t xml:space="preserve">  </w:t>
            </w:r>
            <w:r w:rsidR="00FE4A4F">
              <w:rPr>
                <w:rFonts w:ascii="Arial" w:hAnsi="Arial" w:cs="Arial"/>
                <w:u w:val="double"/>
              </w:rPr>
              <w:t xml:space="preserve">  5</w:t>
            </w:r>
            <w:r w:rsidR="001822BA" w:rsidRPr="008E7086">
              <w:rPr>
                <w:rFonts w:ascii="Arial" w:hAnsi="Arial" w:cs="Arial"/>
                <w:u w:val="double"/>
              </w:rPr>
              <w:t>,</w:t>
            </w:r>
            <w:r w:rsidR="00FE4A4F">
              <w:rPr>
                <w:rFonts w:ascii="Arial" w:hAnsi="Arial" w:cs="Arial"/>
                <w:u w:val="double"/>
              </w:rPr>
              <w:t>184</w:t>
            </w:r>
            <w:r w:rsidR="001822BA" w:rsidRPr="008E7086">
              <w:rPr>
                <w:rFonts w:ascii="Arial" w:hAnsi="Arial" w:cs="Arial"/>
                <w:u w:val="double"/>
              </w:rPr>
              <w:t>,</w:t>
            </w:r>
            <w:r w:rsidR="00FE4A4F">
              <w:rPr>
                <w:rFonts w:ascii="Arial" w:hAnsi="Arial" w:cs="Arial"/>
                <w:u w:val="double"/>
              </w:rPr>
              <w:t>485</w:t>
            </w:r>
          </w:p>
        </w:tc>
      </w:tr>
    </w:tbl>
    <w:p w:rsidR="00D27E49" w:rsidRPr="008E7086" w:rsidRDefault="00D27E49" w:rsidP="00235BB8">
      <w:pPr>
        <w:tabs>
          <w:tab w:val="center" w:pos="4680"/>
        </w:tabs>
        <w:suppressAutoHyphens/>
        <w:rPr>
          <w:rFonts w:ascii="Arial" w:hAnsi="Arial" w:cs="Arial"/>
          <w:szCs w:val="24"/>
        </w:rPr>
      </w:pPr>
    </w:p>
    <w:p w:rsidR="00C013D3" w:rsidRPr="008E7086" w:rsidRDefault="00C013D3" w:rsidP="007D10AA">
      <w:pPr>
        <w:tabs>
          <w:tab w:val="center" w:pos="4680"/>
        </w:tabs>
        <w:suppressAutoHyphens/>
        <w:ind w:left="90" w:hanging="90"/>
        <w:rPr>
          <w:rFonts w:ascii="Arial" w:hAnsi="Arial" w:cs="Arial"/>
          <w:szCs w:val="24"/>
        </w:rPr>
      </w:pPr>
    </w:p>
    <w:p w:rsidR="00C013D3" w:rsidRPr="008E7086" w:rsidRDefault="00C013D3" w:rsidP="007D10AA">
      <w:pPr>
        <w:tabs>
          <w:tab w:val="center" w:pos="4680"/>
        </w:tabs>
        <w:suppressAutoHyphens/>
        <w:ind w:left="90" w:hanging="90"/>
        <w:rPr>
          <w:rFonts w:ascii="Arial" w:hAnsi="Arial" w:cs="Arial"/>
          <w:szCs w:val="24"/>
        </w:rPr>
      </w:pPr>
    </w:p>
    <w:p w:rsidR="00C731EE" w:rsidRDefault="00C731EE" w:rsidP="009A49A0">
      <w:pPr>
        <w:tabs>
          <w:tab w:val="left" w:pos="-1440"/>
          <w:tab w:val="left" w:pos="-720"/>
          <w:tab w:val="left" w:pos="0"/>
          <w:tab w:val="left" w:pos="5040"/>
          <w:tab w:val="left" w:pos="7056"/>
        </w:tabs>
        <w:suppressAutoHyphens/>
        <w:outlineLvl w:val="0"/>
        <w:rPr>
          <w:rFonts w:ascii="Arial" w:hAnsi="Arial" w:cs="Arial"/>
        </w:rPr>
      </w:pPr>
    </w:p>
    <w:p w:rsidR="00C415BB" w:rsidRDefault="00C415BB" w:rsidP="00450E99">
      <w:pPr>
        <w:tabs>
          <w:tab w:val="center" w:pos="4680"/>
        </w:tabs>
        <w:suppressAutoHyphens/>
        <w:ind w:left="90" w:hanging="90"/>
        <w:jc w:val="left"/>
        <w:rPr>
          <w:rFonts w:ascii="Arial" w:hAnsi="Arial" w:cs="Arial"/>
          <w:szCs w:val="24"/>
        </w:rPr>
      </w:pPr>
      <w:r w:rsidRPr="00936DE2">
        <w:rPr>
          <w:rFonts w:ascii="Arial" w:hAnsi="Arial" w:cs="Arial"/>
          <w:szCs w:val="24"/>
        </w:rPr>
        <w:t>*</w:t>
      </w:r>
      <w:r w:rsidR="00450E99">
        <w:rPr>
          <w:rFonts w:ascii="Arial" w:hAnsi="Arial" w:cs="Arial"/>
          <w:szCs w:val="24"/>
        </w:rPr>
        <w:t xml:space="preserve"> - </w:t>
      </w:r>
      <w:r>
        <w:rPr>
          <w:rFonts w:ascii="Arial" w:hAnsi="Arial" w:cs="Arial"/>
          <w:szCs w:val="24"/>
        </w:rPr>
        <w:t>As reported to the Commission</w:t>
      </w:r>
      <w:r w:rsidRPr="00936DE2">
        <w:rPr>
          <w:rFonts w:ascii="Arial" w:hAnsi="Arial" w:cs="Arial"/>
          <w:szCs w:val="24"/>
        </w:rPr>
        <w:t xml:space="preserve"> at Docket No.</w:t>
      </w:r>
      <w:r>
        <w:rPr>
          <w:rFonts w:ascii="Arial" w:hAnsi="Arial" w:cs="Arial"/>
          <w:szCs w:val="24"/>
        </w:rPr>
        <w:t xml:space="preserve"> </w:t>
      </w:r>
      <w:r w:rsidRPr="00936DE2">
        <w:rPr>
          <w:rFonts w:ascii="Arial" w:hAnsi="Arial" w:cs="Arial"/>
          <w:szCs w:val="24"/>
        </w:rPr>
        <w:t>M</w:t>
      </w:r>
      <w:r>
        <w:rPr>
          <w:rFonts w:ascii="Arial" w:hAnsi="Arial" w:cs="Arial"/>
          <w:szCs w:val="24"/>
        </w:rPr>
        <w:noBreakHyphen/>
      </w:r>
      <w:r w:rsidRPr="00936DE2">
        <w:rPr>
          <w:rFonts w:ascii="Arial" w:hAnsi="Arial" w:cs="Arial"/>
          <w:szCs w:val="24"/>
        </w:rPr>
        <w:t>20</w:t>
      </w:r>
      <w:r>
        <w:rPr>
          <w:rFonts w:ascii="Arial" w:hAnsi="Arial" w:cs="Arial"/>
          <w:szCs w:val="24"/>
        </w:rPr>
        <w:t>1</w:t>
      </w:r>
      <w:r w:rsidR="003F6795">
        <w:rPr>
          <w:rFonts w:ascii="Arial" w:hAnsi="Arial" w:cs="Arial"/>
          <w:szCs w:val="24"/>
        </w:rPr>
        <w:t>5</w:t>
      </w:r>
      <w:r>
        <w:rPr>
          <w:rFonts w:ascii="Arial" w:hAnsi="Arial" w:cs="Arial"/>
          <w:szCs w:val="24"/>
        </w:rPr>
        <w:noBreakHyphen/>
      </w:r>
      <w:r w:rsidR="00E85C00">
        <w:rPr>
          <w:rFonts w:ascii="Arial" w:hAnsi="Arial" w:cs="Arial"/>
          <w:szCs w:val="24"/>
        </w:rPr>
        <w:t>2464667</w:t>
      </w:r>
      <w:r w:rsidRPr="00936DE2">
        <w:rPr>
          <w:rFonts w:ascii="Arial" w:hAnsi="Arial" w:cs="Arial"/>
          <w:szCs w:val="24"/>
        </w:rPr>
        <w:t>.</w:t>
      </w:r>
    </w:p>
    <w:p w:rsidR="00C415BB" w:rsidRDefault="00C415BB" w:rsidP="00C415BB">
      <w:pPr>
        <w:tabs>
          <w:tab w:val="center" w:pos="4680"/>
        </w:tabs>
        <w:suppressAutoHyphens/>
        <w:ind w:left="90" w:hanging="90"/>
        <w:rPr>
          <w:rFonts w:ascii="Arial" w:hAnsi="Arial" w:cs="Arial"/>
          <w:szCs w:val="24"/>
        </w:rPr>
      </w:pPr>
    </w:p>
    <w:p w:rsidR="00C415BB" w:rsidRPr="00BE0936" w:rsidRDefault="00C415BB" w:rsidP="00450E99">
      <w:pPr>
        <w:tabs>
          <w:tab w:val="center" w:pos="4680"/>
        </w:tabs>
        <w:suppressAutoHyphens/>
        <w:ind w:hanging="90"/>
        <w:jc w:val="left"/>
        <w:rPr>
          <w:rFonts w:ascii="Arial" w:hAnsi="Arial" w:cs="Arial"/>
          <w:szCs w:val="24"/>
        </w:rPr>
      </w:pPr>
      <w:r>
        <w:rPr>
          <w:rFonts w:ascii="Arial" w:hAnsi="Arial" w:cs="Arial"/>
          <w:szCs w:val="24"/>
        </w:rPr>
        <w:t xml:space="preserve"> </w:t>
      </w:r>
      <w:r w:rsidRPr="00BE0936">
        <w:rPr>
          <w:rFonts w:ascii="Arial" w:hAnsi="Arial" w:cs="Arial"/>
          <w:szCs w:val="24"/>
        </w:rPr>
        <w:t>Notes to the Fi</w:t>
      </w:r>
      <w:r>
        <w:rPr>
          <w:rFonts w:ascii="Arial" w:hAnsi="Arial" w:cs="Arial"/>
          <w:szCs w:val="24"/>
        </w:rPr>
        <w:t>nancial Statement</w:t>
      </w:r>
      <w:r w:rsidR="00450E99">
        <w:rPr>
          <w:rFonts w:ascii="Arial" w:hAnsi="Arial" w:cs="Arial"/>
          <w:szCs w:val="24"/>
        </w:rPr>
        <w:t>s</w:t>
      </w:r>
      <w:r w:rsidRPr="00BE0936">
        <w:rPr>
          <w:rFonts w:ascii="Arial" w:hAnsi="Arial" w:cs="Arial"/>
          <w:szCs w:val="24"/>
        </w:rPr>
        <w:t xml:space="preserve"> are an integral part of this report.</w:t>
      </w:r>
    </w:p>
    <w:p w:rsidR="00F05A87" w:rsidRDefault="00F05A87">
      <w:pPr>
        <w:rPr>
          <w:rFonts w:ascii="Arial" w:hAnsi="Arial" w:cs="Arial"/>
          <w:b/>
          <w:sz w:val="26"/>
          <w:szCs w:val="26"/>
        </w:rPr>
      </w:pPr>
      <w:r>
        <w:rPr>
          <w:rFonts w:ascii="Arial" w:hAnsi="Arial" w:cs="Arial"/>
          <w:b/>
          <w:sz w:val="26"/>
          <w:szCs w:val="26"/>
        </w:rPr>
        <w:br w:type="page"/>
      </w:r>
    </w:p>
    <w:p w:rsidR="00F70EA8" w:rsidRPr="0077381F" w:rsidRDefault="00F70EA8" w:rsidP="00F70EA8">
      <w:pPr>
        <w:tabs>
          <w:tab w:val="center" w:pos="4680"/>
        </w:tabs>
        <w:suppressAutoHyphens/>
        <w:rPr>
          <w:rFonts w:ascii="Arial" w:hAnsi="Arial" w:cs="Arial"/>
          <w:b/>
          <w:sz w:val="26"/>
          <w:szCs w:val="26"/>
        </w:rPr>
      </w:pPr>
      <w:r w:rsidRPr="0077381F">
        <w:rPr>
          <w:rFonts w:ascii="Arial" w:hAnsi="Arial" w:cs="Arial"/>
          <w:b/>
          <w:sz w:val="26"/>
          <w:szCs w:val="26"/>
        </w:rPr>
        <w:lastRenderedPageBreak/>
        <w:t>PECO ENERGY COMPANY</w:t>
      </w:r>
    </w:p>
    <w:p w:rsidR="00F70EA8" w:rsidRDefault="00F70EA8" w:rsidP="00F70EA8">
      <w:pPr>
        <w:tabs>
          <w:tab w:val="left" w:pos="-1440"/>
          <w:tab w:val="left" w:pos="-720"/>
          <w:tab w:val="left" w:pos="864"/>
          <w:tab w:val="left" w:pos="5040"/>
          <w:tab w:val="left" w:pos="7056"/>
        </w:tabs>
        <w:suppressAutoHyphens/>
        <w:rPr>
          <w:rFonts w:ascii="Arial" w:hAnsi="Arial" w:cs="Arial"/>
          <w:szCs w:val="24"/>
        </w:rPr>
      </w:pPr>
    </w:p>
    <w:p w:rsidR="00F70EA8" w:rsidRDefault="00F70EA8" w:rsidP="00F70EA8">
      <w:pPr>
        <w:rPr>
          <w:rFonts w:ascii="Arial" w:hAnsi="Arial" w:cs="Arial"/>
          <w:b/>
          <w:sz w:val="26"/>
          <w:szCs w:val="26"/>
        </w:rPr>
      </w:pPr>
      <w:r>
        <w:rPr>
          <w:rFonts w:ascii="Arial" w:hAnsi="Arial" w:cs="Arial"/>
          <w:b/>
          <w:sz w:val="26"/>
          <w:szCs w:val="26"/>
        </w:rPr>
        <w:t>Condensed (Note 1)</w:t>
      </w:r>
    </w:p>
    <w:p w:rsidR="00F70EA8" w:rsidRDefault="00F70EA8" w:rsidP="00F70EA8">
      <w:pPr>
        <w:rPr>
          <w:rFonts w:ascii="Arial" w:hAnsi="Arial" w:cs="Arial"/>
          <w:b/>
          <w:sz w:val="26"/>
          <w:szCs w:val="26"/>
        </w:rPr>
      </w:pPr>
      <w:r w:rsidRPr="00470786">
        <w:rPr>
          <w:rFonts w:ascii="Arial" w:hAnsi="Arial" w:cs="Arial"/>
          <w:b/>
          <w:sz w:val="26"/>
          <w:szCs w:val="26"/>
        </w:rPr>
        <w:t xml:space="preserve">Statement Of </w:t>
      </w:r>
      <w:r w:rsidRPr="00ED0DE1">
        <w:rPr>
          <w:rFonts w:ascii="Arial" w:hAnsi="Arial" w:cs="Arial"/>
          <w:b/>
          <w:sz w:val="26"/>
          <w:szCs w:val="26"/>
        </w:rPr>
        <w:t xml:space="preserve">Generation Supply Adjustment (GSA) </w:t>
      </w:r>
    </w:p>
    <w:p w:rsidR="00AD0EFD" w:rsidRDefault="00F70EA8" w:rsidP="00F70EA8">
      <w:pPr>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ED0DE1">
        <w:rPr>
          <w:rFonts w:ascii="Arial" w:hAnsi="Arial" w:cs="Arial"/>
          <w:b/>
          <w:sz w:val="26"/>
          <w:szCs w:val="26"/>
        </w:rPr>
        <w:t xml:space="preserve">Section 1307(e) </w:t>
      </w:r>
    </w:p>
    <w:p w:rsidR="00F70EA8" w:rsidRPr="00ED0DE1" w:rsidRDefault="00F70EA8" w:rsidP="00F70EA8">
      <w:pPr>
        <w:rPr>
          <w:rFonts w:ascii="Arial" w:hAnsi="Arial" w:cs="Arial"/>
          <w:b/>
          <w:sz w:val="26"/>
          <w:szCs w:val="26"/>
        </w:rPr>
      </w:pPr>
      <w:r w:rsidRPr="00ED0DE1">
        <w:rPr>
          <w:rFonts w:ascii="Arial" w:hAnsi="Arial" w:cs="Arial"/>
          <w:b/>
          <w:sz w:val="26"/>
          <w:szCs w:val="26"/>
        </w:rPr>
        <w:t>For The Twelve Months Ended December 31, 201</w:t>
      </w:r>
      <w:r>
        <w:rPr>
          <w:rFonts w:ascii="Arial" w:hAnsi="Arial" w:cs="Arial"/>
          <w:b/>
          <w:sz w:val="26"/>
          <w:szCs w:val="26"/>
        </w:rPr>
        <w:t>3*</w:t>
      </w:r>
    </w:p>
    <w:p w:rsidR="00F70EA8" w:rsidRPr="0077381F" w:rsidRDefault="00F70EA8" w:rsidP="00F70EA8">
      <w:pPr>
        <w:tabs>
          <w:tab w:val="center" w:pos="4680"/>
        </w:tabs>
        <w:suppressAutoHyphens/>
        <w:rPr>
          <w:rFonts w:ascii="Arial" w:hAnsi="Arial" w:cs="Arial"/>
          <w:szCs w:val="24"/>
        </w:rPr>
      </w:pPr>
    </w:p>
    <w:p w:rsidR="00F70EA8" w:rsidRPr="008E7086" w:rsidRDefault="00F70EA8" w:rsidP="00F70EA8">
      <w:pPr>
        <w:tabs>
          <w:tab w:val="center" w:pos="4680"/>
        </w:tabs>
        <w:suppressAutoHyphens/>
        <w:rPr>
          <w:rFonts w:ascii="Arial" w:hAnsi="Arial" w:cs="Arial"/>
          <w:szCs w:val="24"/>
        </w:rPr>
      </w:pPr>
    </w:p>
    <w:tbl>
      <w:tblPr>
        <w:tblpPr w:leftFromText="180" w:rightFromText="180" w:vertAnchor="page" w:horzAnchor="margin" w:tblpXSpec="center" w:tblpY="4121"/>
        <w:tblW w:w="9468" w:type="dxa"/>
        <w:tblLook w:val="0000" w:firstRow="0" w:lastRow="0" w:firstColumn="0" w:lastColumn="0" w:noHBand="0" w:noVBand="0"/>
      </w:tblPr>
      <w:tblGrid>
        <w:gridCol w:w="2448"/>
        <w:gridCol w:w="241"/>
        <w:gridCol w:w="2099"/>
        <w:gridCol w:w="246"/>
        <w:gridCol w:w="2184"/>
        <w:gridCol w:w="270"/>
        <w:gridCol w:w="1980"/>
      </w:tblGrid>
      <w:tr w:rsidR="00AD0EFD" w:rsidRPr="008E7086" w:rsidTr="002A53CB">
        <w:trPr>
          <w:trHeight w:val="812"/>
        </w:trPr>
        <w:tc>
          <w:tcPr>
            <w:tcW w:w="2448" w:type="dxa"/>
            <w:noWrap/>
          </w:tcPr>
          <w:p w:rsidR="00AD0EFD" w:rsidRPr="001822BA" w:rsidRDefault="00AD0EFD" w:rsidP="00AD0EFD">
            <w:pPr>
              <w:rPr>
                <w:rFonts w:ascii="Arial" w:hAnsi="Arial" w:cs="Arial"/>
                <w:u w:val="single"/>
              </w:rPr>
            </w:pPr>
          </w:p>
          <w:p w:rsidR="00AD0EFD" w:rsidRPr="001822BA" w:rsidRDefault="00AD0EFD" w:rsidP="00AD0EFD">
            <w:pPr>
              <w:rPr>
                <w:rFonts w:ascii="Arial" w:hAnsi="Arial" w:cs="Arial"/>
                <w:u w:val="single"/>
              </w:rPr>
            </w:pPr>
          </w:p>
          <w:p w:rsidR="00AD0EFD" w:rsidRPr="001822BA" w:rsidRDefault="00AD0EFD" w:rsidP="00AD0EFD">
            <w:pPr>
              <w:rPr>
                <w:rFonts w:ascii="Arial" w:hAnsi="Arial" w:cs="Arial"/>
                <w:u w:val="single"/>
              </w:rPr>
            </w:pPr>
          </w:p>
          <w:p w:rsidR="00AD0EFD" w:rsidRPr="001822BA" w:rsidRDefault="00AD0EFD" w:rsidP="00AD0EFD">
            <w:pPr>
              <w:rPr>
                <w:rFonts w:ascii="Arial" w:hAnsi="Arial" w:cs="Arial"/>
              </w:rPr>
            </w:pPr>
          </w:p>
          <w:p w:rsidR="00AD0EFD" w:rsidRPr="008C0642" w:rsidRDefault="00AD0EFD" w:rsidP="00AD0EFD">
            <w:pPr>
              <w:rPr>
                <w:rFonts w:ascii="Arial" w:hAnsi="Arial" w:cs="Arial"/>
                <w:b/>
                <w:u w:val="single"/>
              </w:rPr>
            </w:pPr>
            <w:r w:rsidRPr="008C0642">
              <w:rPr>
                <w:rFonts w:ascii="Arial" w:hAnsi="Arial" w:cs="Arial"/>
                <w:b/>
                <w:u w:val="single"/>
              </w:rPr>
              <w:t>Rate Class</w:t>
            </w:r>
          </w:p>
        </w:tc>
        <w:tc>
          <w:tcPr>
            <w:tcW w:w="241" w:type="dxa"/>
          </w:tcPr>
          <w:p w:rsidR="00AD0EFD" w:rsidRPr="001822BA" w:rsidRDefault="00AD0EFD" w:rsidP="00AD0EFD">
            <w:pPr>
              <w:rPr>
                <w:rFonts w:ascii="Arial" w:hAnsi="Arial" w:cs="Arial"/>
              </w:rPr>
            </w:pPr>
          </w:p>
        </w:tc>
        <w:tc>
          <w:tcPr>
            <w:tcW w:w="2099" w:type="dxa"/>
            <w:noWrap/>
            <w:vAlign w:val="bottom"/>
          </w:tcPr>
          <w:p w:rsidR="00AD0EFD" w:rsidRPr="001822BA" w:rsidRDefault="00AD0EFD" w:rsidP="00AD0EFD">
            <w:pPr>
              <w:rPr>
                <w:rFonts w:ascii="Arial" w:hAnsi="Arial" w:cs="Arial"/>
              </w:rPr>
            </w:pPr>
          </w:p>
          <w:p w:rsidR="00AD0EFD" w:rsidRPr="001822BA" w:rsidRDefault="00AD0EFD" w:rsidP="00AD0EFD">
            <w:pPr>
              <w:rPr>
                <w:rFonts w:ascii="Arial" w:hAnsi="Arial" w:cs="Arial"/>
              </w:rPr>
            </w:pPr>
          </w:p>
          <w:p w:rsidR="00AD0EFD" w:rsidRPr="008C0642" w:rsidRDefault="00AD0EFD" w:rsidP="00AD0EFD">
            <w:pPr>
              <w:rPr>
                <w:rFonts w:ascii="Arial" w:hAnsi="Arial" w:cs="Arial"/>
                <w:b/>
                <w:u w:val="single"/>
              </w:rPr>
            </w:pPr>
            <w:r w:rsidRPr="008C0642">
              <w:rPr>
                <w:rFonts w:ascii="Arial" w:hAnsi="Arial" w:cs="Arial"/>
                <w:b/>
                <w:u w:val="single"/>
              </w:rPr>
              <w:t>GSA Revenues</w:t>
            </w:r>
          </w:p>
        </w:tc>
        <w:tc>
          <w:tcPr>
            <w:tcW w:w="246" w:type="dxa"/>
          </w:tcPr>
          <w:p w:rsidR="00AD0EFD" w:rsidRPr="001822BA" w:rsidRDefault="00AD0EFD" w:rsidP="00AD0EFD">
            <w:pPr>
              <w:rPr>
                <w:rFonts w:ascii="Arial" w:hAnsi="Arial" w:cs="Arial"/>
              </w:rPr>
            </w:pPr>
          </w:p>
        </w:tc>
        <w:tc>
          <w:tcPr>
            <w:tcW w:w="2184" w:type="dxa"/>
            <w:noWrap/>
            <w:vAlign w:val="bottom"/>
          </w:tcPr>
          <w:p w:rsidR="00AD0EFD" w:rsidRPr="001822BA" w:rsidRDefault="00AD0EFD" w:rsidP="00AD0EFD">
            <w:pPr>
              <w:rPr>
                <w:rFonts w:ascii="Arial" w:hAnsi="Arial" w:cs="Arial"/>
              </w:rPr>
            </w:pPr>
          </w:p>
          <w:p w:rsidR="00AD0EFD" w:rsidRPr="001822BA" w:rsidRDefault="00AD0EFD" w:rsidP="00AD0EFD">
            <w:pPr>
              <w:rPr>
                <w:rFonts w:ascii="Arial" w:hAnsi="Arial" w:cs="Arial"/>
              </w:rPr>
            </w:pPr>
          </w:p>
          <w:p w:rsidR="00AD0EFD" w:rsidRPr="001822BA" w:rsidRDefault="00AD0EFD" w:rsidP="00AD0EFD">
            <w:pPr>
              <w:rPr>
                <w:rFonts w:ascii="Arial" w:hAnsi="Arial" w:cs="Arial"/>
              </w:rPr>
            </w:pPr>
          </w:p>
          <w:p w:rsidR="00AD0EFD" w:rsidRPr="008C0642" w:rsidRDefault="00AD0EFD" w:rsidP="00AD0EFD">
            <w:pPr>
              <w:rPr>
                <w:rFonts w:ascii="Arial" w:hAnsi="Arial" w:cs="Arial"/>
                <w:b/>
                <w:u w:val="single"/>
              </w:rPr>
            </w:pPr>
            <w:r w:rsidRPr="008C0642">
              <w:rPr>
                <w:rFonts w:ascii="Arial" w:hAnsi="Arial" w:cs="Arial"/>
                <w:b/>
                <w:u w:val="single"/>
              </w:rPr>
              <w:t>GSA Costs</w:t>
            </w:r>
          </w:p>
        </w:tc>
        <w:tc>
          <w:tcPr>
            <w:tcW w:w="270" w:type="dxa"/>
          </w:tcPr>
          <w:p w:rsidR="00AD0EFD" w:rsidRPr="001822BA" w:rsidRDefault="00AD0EFD" w:rsidP="00AD0EFD">
            <w:pPr>
              <w:rPr>
                <w:rFonts w:ascii="Arial" w:hAnsi="Arial" w:cs="Arial"/>
              </w:rPr>
            </w:pPr>
          </w:p>
        </w:tc>
        <w:tc>
          <w:tcPr>
            <w:tcW w:w="1980" w:type="dxa"/>
            <w:noWrap/>
            <w:vAlign w:val="bottom"/>
          </w:tcPr>
          <w:p w:rsidR="00AD0EFD" w:rsidRPr="001822BA" w:rsidRDefault="00AD0EFD" w:rsidP="00AD0EFD">
            <w:pPr>
              <w:rPr>
                <w:rFonts w:ascii="Arial" w:hAnsi="Arial" w:cs="Arial"/>
              </w:rPr>
            </w:pPr>
          </w:p>
          <w:p w:rsidR="00AD0EFD" w:rsidRPr="001822BA" w:rsidRDefault="00AD0EFD" w:rsidP="00AD0EFD">
            <w:pPr>
              <w:rPr>
                <w:rFonts w:ascii="Arial" w:hAnsi="Arial" w:cs="Arial"/>
              </w:rPr>
            </w:pPr>
          </w:p>
          <w:p w:rsidR="00AD0EFD" w:rsidRPr="008C0642" w:rsidRDefault="00AD0EFD" w:rsidP="00AD0EFD">
            <w:pPr>
              <w:rPr>
                <w:rFonts w:ascii="Arial" w:hAnsi="Arial" w:cs="Arial"/>
                <w:b/>
              </w:rPr>
            </w:pPr>
            <w:r w:rsidRPr="008C0642">
              <w:rPr>
                <w:rFonts w:ascii="Arial" w:hAnsi="Arial" w:cs="Arial"/>
                <w:b/>
              </w:rPr>
              <w:t>Over/(Under)</w:t>
            </w:r>
          </w:p>
          <w:p w:rsidR="00AD0EFD" w:rsidRPr="008C0642" w:rsidRDefault="00AD0EFD" w:rsidP="00AD0EFD">
            <w:pPr>
              <w:rPr>
                <w:rFonts w:ascii="Arial" w:hAnsi="Arial" w:cs="Arial"/>
                <w:u w:val="single"/>
              </w:rPr>
            </w:pPr>
            <w:r w:rsidRPr="008C0642">
              <w:rPr>
                <w:rFonts w:ascii="Arial" w:hAnsi="Arial" w:cs="Arial"/>
                <w:b/>
                <w:u w:val="single"/>
              </w:rPr>
              <w:t>Collections</w:t>
            </w:r>
          </w:p>
        </w:tc>
      </w:tr>
      <w:tr w:rsidR="00AD0EFD" w:rsidRPr="008E7086" w:rsidTr="002A53CB">
        <w:trPr>
          <w:trHeight w:val="83"/>
        </w:trPr>
        <w:tc>
          <w:tcPr>
            <w:tcW w:w="2448" w:type="dxa"/>
            <w:noWrap/>
          </w:tcPr>
          <w:p w:rsidR="00AD0EFD" w:rsidRPr="008E7086" w:rsidRDefault="00AD0EFD" w:rsidP="00AD0EFD">
            <w:pPr>
              <w:rPr>
                <w:rFonts w:ascii="Arial" w:hAnsi="Arial" w:cs="Arial"/>
              </w:rPr>
            </w:pPr>
          </w:p>
        </w:tc>
        <w:tc>
          <w:tcPr>
            <w:tcW w:w="241" w:type="dxa"/>
          </w:tcPr>
          <w:p w:rsidR="00AD0EFD" w:rsidRPr="001822BA" w:rsidRDefault="00AD0EFD" w:rsidP="00AD0EFD">
            <w:pPr>
              <w:rPr>
                <w:rFonts w:ascii="Arial" w:hAnsi="Arial" w:cs="Arial"/>
              </w:rPr>
            </w:pPr>
          </w:p>
        </w:tc>
        <w:tc>
          <w:tcPr>
            <w:tcW w:w="2099" w:type="dxa"/>
            <w:noWrap/>
          </w:tcPr>
          <w:p w:rsidR="00AD0EFD" w:rsidRPr="001822BA" w:rsidRDefault="00AD0EFD" w:rsidP="00AD0EFD">
            <w:pPr>
              <w:rPr>
                <w:rFonts w:ascii="Arial" w:hAnsi="Arial" w:cs="Arial"/>
              </w:rPr>
            </w:pPr>
            <w:r>
              <w:rPr>
                <w:rFonts w:ascii="Arial" w:hAnsi="Arial" w:cs="Arial"/>
              </w:rPr>
              <w:t>(1)</w:t>
            </w:r>
          </w:p>
        </w:tc>
        <w:tc>
          <w:tcPr>
            <w:tcW w:w="246" w:type="dxa"/>
          </w:tcPr>
          <w:p w:rsidR="00AD0EFD" w:rsidRPr="001822BA" w:rsidRDefault="00AD0EFD" w:rsidP="00AD0EFD">
            <w:pPr>
              <w:rPr>
                <w:rFonts w:ascii="Arial" w:hAnsi="Arial" w:cs="Arial"/>
              </w:rPr>
            </w:pPr>
          </w:p>
        </w:tc>
        <w:tc>
          <w:tcPr>
            <w:tcW w:w="2184" w:type="dxa"/>
            <w:noWrap/>
          </w:tcPr>
          <w:p w:rsidR="00AD0EFD" w:rsidRPr="001822BA" w:rsidRDefault="00AD0EFD" w:rsidP="00AD0EFD">
            <w:pPr>
              <w:rPr>
                <w:rFonts w:ascii="Arial" w:hAnsi="Arial" w:cs="Arial"/>
              </w:rPr>
            </w:pPr>
            <w:r>
              <w:rPr>
                <w:rFonts w:ascii="Arial" w:hAnsi="Arial" w:cs="Arial"/>
              </w:rPr>
              <w:t>(2)</w:t>
            </w:r>
          </w:p>
        </w:tc>
        <w:tc>
          <w:tcPr>
            <w:tcW w:w="270" w:type="dxa"/>
          </w:tcPr>
          <w:p w:rsidR="00AD0EFD" w:rsidRPr="001822BA" w:rsidRDefault="00AD0EFD" w:rsidP="00AD0EFD">
            <w:pPr>
              <w:rPr>
                <w:rFonts w:ascii="Arial" w:hAnsi="Arial" w:cs="Arial"/>
              </w:rPr>
            </w:pPr>
          </w:p>
        </w:tc>
        <w:tc>
          <w:tcPr>
            <w:tcW w:w="1980" w:type="dxa"/>
            <w:noWrap/>
          </w:tcPr>
          <w:p w:rsidR="00AD0EFD" w:rsidRPr="001822BA" w:rsidRDefault="00AD0EFD" w:rsidP="00AD0EFD">
            <w:pPr>
              <w:rPr>
                <w:rFonts w:ascii="Arial" w:hAnsi="Arial" w:cs="Arial"/>
              </w:rPr>
            </w:pPr>
            <w:r>
              <w:rPr>
                <w:rFonts w:ascii="Arial" w:hAnsi="Arial" w:cs="Arial"/>
              </w:rPr>
              <w:t>(3)=(1)-(2)</w:t>
            </w:r>
          </w:p>
        </w:tc>
      </w:tr>
      <w:tr w:rsidR="00AD0EFD" w:rsidRPr="008E7086" w:rsidTr="007D7C40">
        <w:trPr>
          <w:trHeight w:val="83"/>
        </w:trPr>
        <w:tc>
          <w:tcPr>
            <w:tcW w:w="2448" w:type="dxa"/>
            <w:noWrap/>
          </w:tcPr>
          <w:p w:rsidR="00AD0EFD" w:rsidRPr="008E7086" w:rsidRDefault="00AD0EFD" w:rsidP="00AD0EFD">
            <w:pPr>
              <w:rPr>
                <w:rFonts w:ascii="Arial" w:hAnsi="Arial" w:cs="Arial"/>
              </w:rPr>
            </w:pPr>
          </w:p>
        </w:tc>
        <w:tc>
          <w:tcPr>
            <w:tcW w:w="241" w:type="dxa"/>
          </w:tcPr>
          <w:p w:rsidR="00AD0EFD" w:rsidRPr="001822BA" w:rsidRDefault="00AD0EFD" w:rsidP="00AD0EFD">
            <w:pPr>
              <w:rPr>
                <w:rFonts w:ascii="Arial" w:hAnsi="Arial" w:cs="Arial"/>
              </w:rPr>
            </w:pPr>
          </w:p>
        </w:tc>
        <w:tc>
          <w:tcPr>
            <w:tcW w:w="2099" w:type="dxa"/>
            <w:noWrap/>
          </w:tcPr>
          <w:p w:rsidR="00AD0EFD" w:rsidRPr="001822BA" w:rsidRDefault="00AD0EFD" w:rsidP="00AD0EFD">
            <w:pPr>
              <w:rPr>
                <w:rFonts w:ascii="Arial" w:hAnsi="Arial" w:cs="Arial"/>
              </w:rPr>
            </w:pPr>
            <w:r w:rsidRPr="001822BA">
              <w:rPr>
                <w:rFonts w:ascii="Arial" w:hAnsi="Arial" w:cs="Arial"/>
              </w:rPr>
              <w:t xml:space="preserve">(Note </w:t>
            </w:r>
            <w:r>
              <w:rPr>
                <w:rFonts w:ascii="Arial" w:hAnsi="Arial" w:cs="Arial"/>
              </w:rPr>
              <w:t>2</w:t>
            </w:r>
            <w:r w:rsidRPr="001822BA">
              <w:rPr>
                <w:rFonts w:ascii="Arial" w:hAnsi="Arial" w:cs="Arial"/>
              </w:rPr>
              <w:t>)</w:t>
            </w:r>
          </w:p>
        </w:tc>
        <w:tc>
          <w:tcPr>
            <w:tcW w:w="246" w:type="dxa"/>
          </w:tcPr>
          <w:p w:rsidR="00AD0EFD" w:rsidRPr="001822BA" w:rsidRDefault="00AD0EFD" w:rsidP="00AD0EFD">
            <w:pPr>
              <w:rPr>
                <w:rFonts w:ascii="Arial" w:hAnsi="Arial" w:cs="Arial"/>
              </w:rPr>
            </w:pPr>
          </w:p>
        </w:tc>
        <w:tc>
          <w:tcPr>
            <w:tcW w:w="2184" w:type="dxa"/>
            <w:noWrap/>
          </w:tcPr>
          <w:p w:rsidR="00AD0EFD" w:rsidRPr="001822BA" w:rsidRDefault="00AD0EFD" w:rsidP="00AD0EFD">
            <w:pPr>
              <w:rPr>
                <w:rFonts w:ascii="Arial" w:hAnsi="Arial" w:cs="Arial"/>
              </w:rPr>
            </w:pPr>
            <w:r w:rsidRPr="001822BA">
              <w:rPr>
                <w:rFonts w:ascii="Arial" w:hAnsi="Arial" w:cs="Arial"/>
              </w:rPr>
              <w:t xml:space="preserve">(Note </w:t>
            </w:r>
            <w:r>
              <w:rPr>
                <w:rFonts w:ascii="Arial" w:hAnsi="Arial" w:cs="Arial"/>
              </w:rPr>
              <w:t>3</w:t>
            </w:r>
            <w:r w:rsidRPr="001822BA">
              <w:rPr>
                <w:rFonts w:ascii="Arial" w:hAnsi="Arial" w:cs="Arial"/>
              </w:rPr>
              <w:t>)</w:t>
            </w:r>
          </w:p>
        </w:tc>
        <w:tc>
          <w:tcPr>
            <w:tcW w:w="270" w:type="dxa"/>
          </w:tcPr>
          <w:p w:rsidR="00AD0EFD" w:rsidRPr="001822BA" w:rsidRDefault="00AD0EFD" w:rsidP="00AD0EFD">
            <w:pPr>
              <w:rPr>
                <w:rFonts w:ascii="Arial" w:hAnsi="Arial" w:cs="Arial"/>
              </w:rPr>
            </w:pPr>
          </w:p>
        </w:tc>
        <w:tc>
          <w:tcPr>
            <w:tcW w:w="1980" w:type="dxa"/>
            <w:noWrap/>
          </w:tcPr>
          <w:p w:rsidR="00AD0EFD" w:rsidRPr="001822BA" w:rsidRDefault="00AD0EFD" w:rsidP="00AD0EFD">
            <w:pPr>
              <w:rPr>
                <w:rFonts w:ascii="Arial" w:hAnsi="Arial" w:cs="Arial"/>
              </w:rPr>
            </w:pPr>
            <w:r w:rsidRPr="001822BA">
              <w:rPr>
                <w:rFonts w:ascii="Arial" w:hAnsi="Arial" w:cs="Arial"/>
              </w:rPr>
              <w:t xml:space="preserve">(Note </w:t>
            </w:r>
            <w:r>
              <w:rPr>
                <w:rFonts w:ascii="Arial" w:hAnsi="Arial" w:cs="Arial"/>
              </w:rPr>
              <w:t>4</w:t>
            </w:r>
            <w:r w:rsidRPr="001822BA">
              <w:rPr>
                <w:rFonts w:ascii="Arial" w:hAnsi="Arial" w:cs="Arial"/>
              </w:rPr>
              <w:t>)</w:t>
            </w:r>
          </w:p>
        </w:tc>
      </w:tr>
      <w:tr w:rsidR="00F70EA8" w:rsidRPr="008E7086" w:rsidTr="007D7C40">
        <w:trPr>
          <w:trHeight w:val="83"/>
        </w:trPr>
        <w:tc>
          <w:tcPr>
            <w:tcW w:w="2448" w:type="dxa"/>
            <w:noWrap/>
          </w:tcPr>
          <w:p w:rsidR="00F70EA8" w:rsidRPr="008E7086" w:rsidRDefault="00F70EA8" w:rsidP="007D7C40">
            <w:pPr>
              <w:rPr>
                <w:rFonts w:ascii="Arial" w:hAnsi="Arial" w:cs="Arial"/>
              </w:rPr>
            </w:pPr>
          </w:p>
        </w:tc>
        <w:tc>
          <w:tcPr>
            <w:tcW w:w="241" w:type="dxa"/>
          </w:tcPr>
          <w:p w:rsidR="00F70EA8" w:rsidRPr="008E7086" w:rsidRDefault="00F70EA8" w:rsidP="007D7C40">
            <w:pPr>
              <w:rPr>
                <w:rFonts w:ascii="Arial" w:hAnsi="Arial" w:cs="Arial"/>
              </w:rPr>
            </w:pPr>
          </w:p>
        </w:tc>
        <w:tc>
          <w:tcPr>
            <w:tcW w:w="2099" w:type="dxa"/>
            <w:noWrap/>
          </w:tcPr>
          <w:p w:rsidR="00F70EA8" w:rsidRPr="008E7086" w:rsidRDefault="00F70EA8" w:rsidP="007D7C40">
            <w:pPr>
              <w:rPr>
                <w:rFonts w:ascii="Arial" w:hAnsi="Arial" w:cs="Arial"/>
              </w:rPr>
            </w:pPr>
          </w:p>
        </w:tc>
        <w:tc>
          <w:tcPr>
            <w:tcW w:w="246" w:type="dxa"/>
          </w:tcPr>
          <w:p w:rsidR="00F70EA8" w:rsidRPr="008E7086" w:rsidRDefault="00F70EA8" w:rsidP="007D7C40">
            <w:pPr>
              <w:rPr>
                <w:rFonts w:ascii="Arial" w:hAnsi="Arial" w:cs="Arial"/>
              </w:rPr>
            </w:pPr>
          </w:p>
        </w:tc>
        <w:tc>
          <w:tcPr>
            <w:tcW w:w="2184" w:type="dxa"/>
            <w:noWrap/>
          </w:tcPr>
          <w:p w:rsidR="00F70EA8" w:rsidRPr="008E7086" w:rsidRDefault="00F70EA8" w:rsidP="007D7C40">
            <w:pPr>
              <w:rPr>
                <w:rFonts w:ascii="Arial" w:hAnsi="Arial" w:cs="Arial"/>
              </w:rPr>
            </w:pPr>
          </w:p>
        </w:tc>
        <w:tc>
          <w:tcPr>
            <w:tcW w:w="270" w:type="dxa"/>
          </w:tcPr>
          <w:p w:rsidR="00F70EA8" w:rsidRPr="008E7086" w:rsidRDefault="00F70EA8" w:rsidP="007D7C40">
            <w:pPr>
              <w:rPr>
                <w:rFonts w:ascii="Arial" w:hAnsi="Arial" w:cs="Arial"/>
              </w:rPr>
            </w:pPr>
          </w:p>
        </w:tc>
        <w:tc>
          <w:tcPr>
            <w:tcW w:w="1980" w:type="dxa"/>
            <w:noWrap/>
          </w:tcPr>
          <w:p w:rsidR="00F70EA8" w:rsidRPr="008E7086" w:rsidRDefault="00F70EA8" w:rsidP="007D7C40">
            <w:pPr>
              <w:rPr>
                <w:rFonts w:ascii="Arial" w:hAnsi="Arial" w:cs="Arial"/>
              </w:rPr>
            </w:pPr>
          </w:p>
        </w:tc>
      </w:tr>
      <w:tr w:rsidR="00F70EA8" w:rsidRPr="008E7086" w:rsidTr="007D7C40">
        <w:trPr>
          <w:trHeight w:val="209"/>
        </w:trPr>
        <w:tc>
          <w:tcPr>
            <w:tcW w:w="2448" w:type="dxa"/>
            <w:noWrap/>
            <w:vAlign w:val="bottom"/>
          </w:tcPr>
          <w:p w:rsidR="00F70EA8" w:rsidRPr="008E7086" w:rsidRDefault="00F70EA8" w:rsidP="007D7C40">
            <w:pPr>
              <w:jc w:val="left"/>
              <w:rPr>
                <w:rFonts w:ascii="Arial" w:hAnsi="Arial" w:cs="Arial"/>
              </w:rPr>
            </w:pPr>
            <w:r w:rsidRPr="008E7086">
              <w:rPr>
                <w:rFonts w:ascii="Arial" w:hAnsi="Arial" w:cs="Arial"/>
              </w:rPr>
              <w:t>Residential</w:t>
            </w:r>
          </w:p>
        </w:tc>
        <w:tc>
          <w:tcPr>
            <w:tcW w:w="241" w:type="dxa"/>
          </w:tcPr>
          <w:p w:rsidR="00F70EA8" w:rsidRPr="008E7086" w:rsidRDefault="00F70EA8" w:rsidP="007D7C40">
            <w:pPr>
              <w:jc w:val="right"/>
              <w:rPr>
                <w:rFonts w:ascii="Arial" w:hAnsi="Arial" w:cs="Arial"/>
              </w:rPr>
            </w:pPr>
          </w:p>
        </w:tc>
        <w:tc>
          <w:tcPr>
            <w:tcW w:w="2099" w:type="dxa"/>
            <w:noWrap/>
          </w:tcPr>
          <w:p w:rsidR="00F70EA8" w:rsidRPr="008E7086" w:rsidRDefault="00F70EA8" w:rsidP="0061051B">
            <w:pPr>
              <w:jc w:val="right"/>
              <w:rPr>
                <w:rFonts w:ascii="Arial" w:hAnsi="Arial" w:cs="Arial"/>
              </w:rPr>
            </w:pPr>
            <w:r w:rsidRPr="008E7086">
              <w:rPr>
                <w:rFonts w:ascii="Arial" w:hAnsi="Arial" w:cs="Arial"/>
              </w:rPr>
              <w:t>$</w:t>
            </w:r>
            <w:r>
              <w:rPr>
                <w:rFonts w:ascii="Arial" w:hAnsi="Arial" w:cs="Arial"/>
              </w:rPr>
              <w:t xml:space="preserve">   </w:t>
            </w:r>
            <w:r w:rsidR="005F74F1">
              <w:rPr>
                <w:rFonts w:ascii="Arial" w:hAnsi="Arial" w:cs="Arial"/>
              </w:rPr>
              <w:t>6</w:t>
            </w:r>
            <w:r w:rsidRPr="008E7086">
              <w:rPr>
                <w:rFonts w:ascii="Arial" w:hAnsi="Arial" w:cs="Arial"/>
              </w:rPr>
              <w:t>7</w:t>
            </w:r>
            <w:r w:rsidR="005F74F1">
              <w:rPr>
                <w:rFonts w:ascii="Arial" w:hAnsi="Arial" w:cs="Arial"/>
              </w:rPr>
              <w:t>8</w:t>
            </w:r>
            <w:r w:rsidRPr="008E7086">
              <w:rPr>
                <w:rFonts w:ascii="Arial" w:hAnsi="Arial" w:cs="Arial"/>
              </w:rPr>
              <w:t>,</w:t>
            </w:r>
            <w:r w:rsidR="005F74F1">
              <w:rPr>
                <w:rFonts w:ascii="Arial" w:hAnsi="Arial" w:cs="Arial"/>
              </w:rPr>
              <w:t>988</w:t>
            </w:r>
            <w:r w:rsidRPr="008E7086">
              <w:rPr>
                <w:rFonts w:ascii="Arial" w:hAnsi="Arial" w:cs="Arial"/>
              </w:rPr>
              <w:t>,</w:t>
            </w:r>
            <w:r w:rsidR="005F74F1">
              <w:rPr>
                <w:rFonts w:ascii="Arial" w:hAnsi="Arial" w:cs="Arial"/>
              </w:rPr>
              <w:t>960</w:t>
            </w:r>
          </w:p>
        </w:tc>
        <w:tc>
          <w:tcPr>
            <w:tcW w:w="246" w:type="dxa"/>
          </w:tcPr>
          <w:p w:rsidR="00F70EA8" w:rsidRPr="008E7086" w:rsidRDefault="00F70EA8" w:rsidP="007D7C40">
            <w:pPr>
              <w:jc w:val="right"/>
              <w:rPr>
                <w:rFonts w:ascii="Arial" w:hAnsi="Arial" w:cs="Arial"/>
              </w:rPr>
            </w:pPr>
          </w:p>
        </w:tc>
        <w:tc>
          <w:tcPr>
            <w:tcW w:w="2184" w:type="dxa"/>
            <w:noWrap/>
          </w:tcPr>
          <w:p w:rsidR="00F70EA8" w:rsidRPr="008E7086" w:rsidRDefault="00F70EA8" w:rsidP="0061051B">
            <w:pPr>
              <w:jc w:val="right"/>
              <w:rPr>
                <w:rFonts w:ascii="Arial" w:hAnsi="Arial" w:cs="Arial"/>
              </w:rPr>
            </w:pPr>
            <w:r w:rsidRPr="008E7086">
              <w:rPr>
                <w:rFonts w:ascii="Arial" w:hAnsi="Arial" w:cs="Arial"/>
              </w:rPr>
              <w:t>$</w:t>
            </w:r>
            <w:r>
              <w:rPr>
                <w:rFonts w:ascii="Arial" w:hAnsi="Arial" w:cs="Arial"/>
              </w:rPr>
              <w:t xml:space="preserve">   </w:t>
            </w:r>
            <w:r w:rsidR="005F74F1">
              <w:rPr>
                <w:rFonts w:ascii="Arial" w:hAnsi="Arial" w:cs="Arial"/>
              </w:rPr>
              <w:t>684</w:t>
            </w:r>
            <w:r w:rsidRPr="008E7086">
              <w:rPr>
                <w:rFonts w:ascii="Arial" w:hAnsi="Arial" w:cs="Arial"/>
              </w:rPr>
              <w:t>,</w:t>
            </w:r>
            <w:r w:rsidR="005F74F1">
              <w:rPr>
                <w:rFonts w:ascii="Arial" w:hAnsi="Arial" w:cs="Arial"/>
              </w:rPr>
              <w:t>663</w:t>
            </w:r>
            <w:r w:rsidRPr="008E7086">
              <w:rPr>
                <w:rFonts w:ascii="Arial" w:hAnsi="Arial" w:cs="Arial"/>
              </w:rPr>
              <w:t>,</w:t>
            </w:r>
            <w:r w:rsidR="005F74F1">
              <w:rPr>
                <w:rFonts w:ascii="Arial" w:hAnsi="Arial" w:cs="Arial"/>
              </w:rPr>
              <w:t>996</w:t>
            </w:r>
          </w:p>
        </w:tc>
        <w:tc>
          <w:tcPr>
            <w:tcW w:w="270" w:type="dxa"/>
          </w:tcPr>
          <w:p w:rsidR="00F70EA8" w:rsidRPr="008E7086" w:rsidRDefault="00F70EA8" w:rsidP="007D7C40">
            <w:pPr>
              <w:jc w:val="right"/>
              <w:rPr>
                <w:rFonts w:ascii="Arial" w:hAnsi="Arial" w:cs="Arial"/>
              </w:rPr>
            </w:pPr>
          </w:p>
        </w:tc>
        <w:tc>
          <w:tcPr>
            <w:tcW w:w="1980" w:type="dxa"/>
            <w:noWrap/>
          </w:tcPr>
          <w:p w:rsidR="00F70EA8" w:rsidRPr="008E7086" w:rsidRDefault="00F70EA8" w:rsidP="002E3C0F">
            <w:pPr>
              <w:ind w:right="72"/>
              <w:jc w:val="right"/>
              <w:rPr>
                <w:rFonts w:ascii="Arial" w:hAnsi="Arial" w:cs="Arial"/>
              </w:rPr>
            </w:pPr>
            <w:r w:rsidRPr="008E7086">
              <w:rPr>
                <w:rFonts w:ascii="Arial" w:hAnsi="Arial" w:cs="Arial"/>
              </w:rPr>
              <w:t>$</w:t>
            </w:r>
            <w:r>
              <w:rPr>
                <w:rFonts w:ascii="Arial" w:hAnsi="Arial" w:cs="Arial"/>
              </w:rPr>
              <w:t xml:space="preserve"> </w:t>
            </w:r>
            <w:r w:rsidR="005F74F1">
              <w:rPr>
                <w:rFonts w:ascii="Arial" w:hAnsi="Arial" w:cs="Arial"/>
              </w:rPr>
              <w:t xml:space="preserve"> </w:t>
            </w:r>
            <w:r>
              <w:rPr>
                <w:rFonts w:ascii="Arial" w:hAnsi="Arial" w:cs="Arial"/>
              </w:rPr>
              <w:t xml:space="preserve"> </w:t>
            </w:r>
            <w:r w:rsidRPr="008E7086">
              <w:rPr>
                <w:rFonts w:ascii="Arial" w:hAnsi="Arial" w:cs="Arial"/>
              </w:rPr>
              <w:t>(</w:t>
            </w:r>
            <w:r w:rsidR="005F74F1">
              <w:rPr>
                <w:rFonts w:ascii="Arial" w:hAnsi="Arial" w:cs="Arial"/>
              </w:rPr>
              <w:t>5</w:t>
            </w:r>
            <w:r w:rsidRPr="008E7086">
              <w:rPr>
                <w:rFonts w:ascii="Arial" w:hAnsi="Arial" w:cs="Arial"/>
              </w:rPr>
              <w:t>,</w:t>
            </w:r>
            <w:r w:rsidR="005F74F1">
              <w:rPr>
                <w:rFonts w:ascii="Arial" w:hAnsi="Arial" w:cs="Arial"/>
              </w:rPr>
              <w:t>675</w:t>
            </w:r>
            <w:r w:rsidRPr="008E7086">
              <w:rPr>
                <w:rFonts w:ascii="Arial" w:hAnsi="Arial" w:cs="Arial"/>
              </w:rPr>
              <w:t>,</w:t>
            </w:r>
            <w:r w:rsidR="005F74F1">
              <w:rPr>
                <w:rFonts w:ascii="Arial" w:hAnsi="Arial" w:cs="Arial"/>
              </w:rPr>
              <w:t>036</w:t>
            </w:r>
            <w:r w:rsidRPr="008E7086">
              <w:rPr>
                <w:rFonts w:ascii="Arial" w:hAnsi="Arial" w:cs="Arial"/>
              </w:rPr>
              <w:t>)</w:t>
            </w:r>
          </w:p>
        </w:tc>
      </w:tr>
      <w:tr w:rsidR="00F70EA8" w:rsidRPr="008E7086" w:rsidTr="007D7C40">
        <w:trPr>
          <w:trHeight w:val="119"/>
        </w:trPr>
        <w:tc>
          <w:tcPr>
            <w:tcW w:w="2448" w:type="dxa"/>
            <w:noWrap/>
            <w:vAlign w:val="bottom"/>
          </w:tcPr>
          <w:p w:rsidR="00F70EA8" w:rsidRPr="008E7086" w:rsidRDefault="00F70EA8" w:rsidP="007D7C40">
            <w:pPr>
              <w:jc w:val="left"/>
              <w:rPr>
                <w:rFonts w:ascii="Arial" w:hAnsi="Arial" w:cs="Arial"/>
              </w:rPr>
            </w:pPr>
          </w:p>
        </w:tc>
        <w:tc>
          <w:tcPr>
            <w:tcW w:w="241" w:type="dxa"/>
          </w:tcPr>
          <w:p w:rsidR="00F70EA8" w:rsidRPr="008E7086" w:rsidRDefault="00F70EA8" w:rsidP="007D7C40">
            <w:pPr>
              <w:jc w:val="right"/>
              <w:rPr>
                <w:rFonts w:ascii="Arial" w:hAnsi="Arial" w:cs="Arial"/>
              </w:rPr>
            </w:pPr>
          </w:p>
        </w:tc>
        <w:tc>
          <w:tcPr>
            <w:tcW w:w="2099" w:type="dxa"/>
            <w:noWrap/>
          </w:tcPr>
          <w:p w:rsidR="00F70EA8" w:rsidRPr="008E7086" w:rsidRDefault="00F70EA8" w:rsidP="007D7C40">
            <w:pPr>
              <w:jc w:val="right"/>
              <w:rPr>
                <w:rFonts w:ascii="Arial" w:hAnsi="Arial" w:cs="Arial"/>
              </w:rPr>
            </w:pPr>
          </w:p>
        </w:tc>
        <w:tc>
          <w:tcPr>
            <w:tcW w:w="246" w:type="dxa"/>
          </w:tcPr>
          <w:p w:rsidR="00F70EA8" w:rsidRPr="008E7086" w:rsidRDefault="00F70EA8" w:rsidP="007D7C40">
            <w:pPr>
              <w:jc w:val="right"/>
              <w:rPr>
                <w:rFonts w:ascii="Arial" w:hAnsi="Arial" w:cs="Arial"/>
              </w:rPr>
            </w:pPr>
          </w:p>
        </w:tc>
        <w:tc>
          <w:tcPr>
            <w:tcW w:w="2184" w:type="dxa"/>
            <w:noWrap/>
          </w:tcPr>
          <w:p w:rsidR="00F70EA8" w:rsidRPr="008E7086" w:rsidRDefault="00F70EA8" w:rsidP="007D7C40">
            <w:pPr>
              <w:jc w:val="right"/>
              <w:rPr>
                <w:rFonts w:ascii="Arial" w:hAnsi="Arial" w:cs="Arial"/>
              </w:rPr>
            </w:pPr>
          </w:p>
        </w:tc>
        <w:tc>
          <w:tcPr>
            <w:tcW w:w="270" w:type="dxa"/>
          </w:tcPr>
          <w:p w:rsidR="00F70EA8" w:rsidRPr="008E7086" w:rsidRDefault="00F70EA8" w:rsidP="007D7C40">
            <w:pPr>
              <w:jc w:val="right"/>
              <w:rPr>
                <w:rFonts w:ascii="Arial" w:hAnsi="Arial" w:cs="Arial"/>
              </w:rPr>
            </w:pPr>
          </w:p>
        </w:tc>
        <w:tc>
          <w:tcPr>
            <w:tcW w:w="1980" w:type="dxa"/>
            <w:noWrap/>
          </w:tcPr>
          <w:p w:rsidR="00F70EA8" w:rsidRPr="008E7086" w:rsidRDefault="00F70EA8" w:rsidP="007D7C40">
            <w:pPr>
              <w:jc w:val="right"/>
              <w:rPr>
                <w:rFonts w:ascii="Arial" w:hAnsi="Arial" w:cs="Arial"/>
              </w:rPr>
            </w:pPr>
          </w:p>
        </w:tc>
      </w:tr>
      <w:tr w:rsidR="00F70EA8" w:rsidRPr="008E7086" w:rsidTr="007D7C40">
        <w:trPr>
          <w:trHeight w:val="380"/>
        </w:trPr>
        <w:tc>
          <w:tcPr>
            <w:tcW w:w="2448" w:type="dxa"/>
            <w:noWrap/>
            <w:vAlign w:val="bottom"/>
          </w:tcPr>
          <w:p w:rsidR="00F70EA8" w:rsidRPr="008E7086" w:rsidRDefault="00F70EA8" w:rsidP="007D7C40">
            <w:pPr>
              <w:jc w:val="left"/>
              <w:rPr>
                <w:rFonts w:ascii="Arial" w:hAnsi="Arial" w:cs="Arial"/>
              </w:rPr>
            </w:pPr>
            <w:r w:rsidRPr="008E7086">
              <w:rPr>
                <w:rFonts w:ascii="Arial" w:hAnsi="Arial" w:cs="Arial"/>
              </w:rPr>
              <w:t>Small Commercial</w:t>
            </w:r>
            <w:r>
              <w:rPr>
                <w:rFonts w:ascii="Arial" w:hAnsi="Arial" w:cs="Arial"/>
              </w:rPr>
              <w:t xml:space="preserve"> and Industrial</w:t>
            </w:r>
          </w:p>
        </w:tc>
        <w:tc>
          <w:tcPr>
            <w:tcW w:w="241" w:type="dxa"/>
          </w:tcPr>
          <w:p w:rsidR="00F70EA8" w:rsidRPr="008E7086" w:rsidRDefault="00F70EA8" w:rsidP="007D7C40">
            <w:pPr>
              <w:jc w:val="right"/>
              <w:rPr>
                <w:rFonts w:ascii="Arial" w:hAnsi="Arial" w:cs="Arial"/>
              </w:rPr>
            </w:pPr>
          </w:p>
        </w:tc>
        <w:tc>
          <w:tcPr>
            <w:tcW w:w="2099" w:type="dxa"/>
            <w:noWrap/>
            <w:vAlign w:val="bottom"/>
          </w:tcPr>
          <w:p w:rsidR="00F70EA8" w:rsidRPr="008E7086" w:rsidRDefault="005F74F1" w:rsidP="005F74F1">
            <w:pPr>
              <w:jc w:val="right"/>
              <w:rPr>
                <w:rFonts w:ascii="Arial" w:hAnsi="Arial" w:cs="Arial"/>
              </w:rPr>
            </w:pPr>
            <w:r>
              <w:rPr>
                <w:rFonts w:ascii="Arial" w:hAnsi="Arial" w:cs="Arial"/>
              </w:rPr>
              <w:t>139</w:t>
            </w:r>
            <w:r w:rsidR="00F70EA8" w:rsidRPr="008E7086">
              <w:rPr>
                <w:rFonts w:ascii="Arial" w:hAnsi="Arial" w:cs="Arial"/>
              </w:rPr>
              <w:t>,</w:t>
            </w:r>
            <w:r>
              <w:rPr>
                <w:rFonts w:ascii="Arial" w:hAnsi="Arial" w:cs="Arial"/>
              </w:rPr>
              <w:t>393</w:t>
            </w:r>
            <w:r w:rsidR="00F70EA8" w:rsidRPr="008E7086">
              <w:rPr>
                <w:rFonts w:ascii="Arial" w:hAnsi="Arial" w:cs="Arial"/>
              </w:rPr>
              <w:t>,</w:t>
            </w:r>
            <w:r>
              <w:rPr>
                <w:rFonts w:ascii="Arial" w:hAnsi="Arial" w:cs="Arial"/>
              </w:rPr>
              <w:t>319</w:t>
            </w:r>
          </w:p>
        </w:tc>
        <w:tc>
          <w:tcPr>
            <w:tcW w:w="246" w:type="dxa"/>
            <w:vAlign w:val="bottom"/>
          </w:tcPr>
          <w:p w:rsidR="00F70EA8" w:rsidRPr="008E7086" w:rsidRDefault="00F70EA8" w:rsidP="007D7C40">
            <w:pPr>
              <w:jc w:val="right"/>
              <w:rPr>
                <w:rFonts w:ascii="Arial" w:hAnsi="Arial" w:cs="Arial"/>
              </w:rPr>
            </w:pPr>
          </w:p>
        </w:tc>
        <w:tc>
          <w:tcPr>
            <w:tcW w:w="2184" w:type="dxa"/>
            <w:noWrap/>
            <w:vAlign w:val="bottom"/>
          </w:tcPr>
          <w:p w:rsidR="00F70EA8" w:rsidRPr="008E7086" w:rsidRDefault="005F74F1" w:rsidP="005F74F1">
            <w:pPr>
              <w:jc w:val="right"/>
              <w:rPr>
                <w:rFonts w:ascii="Arial" w:hAnsi="Arial" w:cs="Arial"/>
              </w:rPr>
            </w:pPr>
            <w:r>
              <w:rPr>
                <w:rFonts w:ascii="Arial" w:hAnsi="Arial" w:cs="Arial"/>
              </w:rPr>
              <w:t>135</w:t>
            </w:r>
            <w:r w:rsidR="00F70EA8" w:rsidRPr="008E7086">
              <w:rPr>
                <w:rFonts w:ascii="Arial" w:hAnsi="Arial" w:cs="Arial"/>
              </w:rPr>
              <w:t>,</w:t>
            </w:r>
            <w:r>
              <w:rPr>
                <w:rFonts w:ascii="Arial" w:hAnsi="Arial" w:cs="Arial"/>
              </w:rPr>
              <w:t>946</w:t>
            </w:r>
            <w:r w:rsidR="00F70EA8" w:rsidRPr="008E7086">
              <w:rPr>
                <w:rFonts w:ascii="Arial" w:hAnsi="Arial" w:cs="Arial"/>
              </w:rPr>
              <w:t>,</w:t>
            </w:r>
            <w:r>
              <w:rPr>
                <w:rFonts w:ascii="Arial" w:hAnsi="Arial" w:cs="Arial"/>
              </w:rPr>
              <w:t>707</w:t>
            </w:r>
          </w:p>
        </w:tc>
        <w:tc>
          <w:tcPr>
            <w:tcW w:w="270" w:type="dxa"/>
            <w:vAlign w:val="bottom"/>
          </w:tcPr>
          <w:p w:rsidR="00F70EA8" w:rsidRPr="008E7086" w:rsidRDefault="00F70EA8" w:rsidP="007D7C40">
            <w:pPr>
              <w:jc w:val="right"/>
              <w:rPr>
                <w:rFonts w:ascii="Arial" w:hAnsi="Arial" w:cs="Arial"/>
              </w:rPr>
            </w:pPr>
          </w:p>
        </w:tc>
        <w:tc>
          <w:tcPr>
            <w:tcW w:w="1980" w:type="dxa"/>
            <w:noWrap/>
            <w:vAlign w:val="bottom"/>
          </w:tcPr>
          <w:p w:rsidR="00F70EA8" w:rsidRPr="008E7086" w:rsidRDefault="00F70EA8" w:rsidP="002E3C0F">
            <w:pPr>
              <w:ind w:right="162"/>
              <w:jc w:val="right"/>
              <w:rPr>
                <w:rFonts w:ascii="Arial" w:hAnsi="Arial" w:cs="Arial"/>
              </w:rPr>
            </w:pPr>
            <w:r w:rsidRPr="008E7086">
              <w:rPr>
                <w:rFonts w:ascii="Arial" w:hAnsi="Arial" w:cs="Arial"/>
              </w:rPr>
              <w:t xml:space="preserve"> </w:t>
            </w:r>
            <w:r w:rsidR="005F74F1">
              <w:rPr>
                <w:rFonts w:ascii="Arial" w:hAnsi="Arial" w:cs="Arial"/>
              </w:rPr>
              <w:t xml:space="preserve"> 3</w:t>
            </w:r>
            <w:r w:rsidRPr="008E7086">
              <w:rPr>
                <w:rFonts w:ascii="Arial" w:hAnsi="Arial" w:cs="Arial"/>
              </w:rPr>
              <w:t>,</w:t>
            </w:r>
            <w:r w:rsidR="005F74F1">
              <w:rPr>
                <w:rFonts w:ascii="Arial" w:hAnsi="Arial" w:cs="Arial"/>
              </w:rPr>
              <w:t>446</w:t>
            </w:r>
            <w:r w:rsidRPr="008E7086">
              <w:rPr>
                <w:rFonts w:ascii="Arial" w:hAnsi="Arial" w:cs="Arial"/>
              </w:rPr>
              <w:t>,</w:t>
            </w:r>
            <w:r w:rsidR="005F74F1">
              <w:rPr>
                <w:rFonts w:ascii="Arial" w:hAnsi="Arial" w:cs="Arial"/>
              </w:rPr>
              <w:t>612</w:t>
            </w:r>
          </w:p>
        </w:tc>
      </w:tr>
      <w:tr w:rsidR="00F70EA8" w:rsidRPr="008E7086" w:rsidTr="007D7C40">
        <w:trPr>
          <w:trHeight w:val="281"/>
        </w:trPr>
        <w:tc>
          <w:tcPr>
            <w:tcW w:w="2448" w:type="dxa"/>
            <w:noWrap/>
            <w:vAlign w:val="bottom"/>
          </w:tcPr>
          <w:p w:rsidR="00F70EA8" w:rsidRPr="008E7086" w:rsidRDefault="00F70EA8" w:rsidP="007D7C40">
            <w:pPr>
              <w:jc w:val="left"/>
              <w:rPr>
                <w:rFonts w:ascii="Arial" w:hAnsi="Arial" w:cs="Arial"/>
              </w:rPr>
            </w:pPr>
          </w:p>
        </w:tc>
        <w:tc>
          <w:tcPr>
            <w:tcW w:w="241" w:type="dxa"/>
          </w:tcPr>
          <w:p w:rsidR="00F70EA8" w:rsidRPr="008E7086" w:rsidRDefault="00F70EA8" w:rsidP="007D7C40">
            <w:pPr>
              <w:jc w:val="right"/>
              <w:rPr>
                <w:rFonts w:ascii="Arial" w:hAnsi="Arial" w:cs="Arial"/>
              </w:rPr>
            </w:pPr>
          </w:p>
        </w:tc>
        <w:tc>
          <w:tcPr>
            <w:tcW w:w="2099" w:type="dxa"/>
            <w:noWrap/>
          </w:tcPr>
          <w:p w:rsidR="00F70EA8" w:rsidRPr="008E7086" w:rsidRDefault="00F70EA8" w:rsidP="007D7C40">
            <w:pPr>
              <w:jc w:val="right"/>
              <w:rPr>
                <w:rFonts w:ascii="Arial" w:hAnsi="Arial" w:cs="Arial"/>
              </w:rPr>
            </w:pPr>
          </w:p>
        </w:tc>
        <w:tc>
          <w:tcPr>
            <w:tcW w:w="246" w:type="dxa"/>
          </w:tcPr>
          <w:p w:rsidR="00F70EA8" w:rsidRPr="008E7086" w:rsidRDefault="00F70EA8" w:rsidP="007D7C40">
            <w:pPr>
              <w:jc w:val="right"/>
              <w:rPr>
                <w:rFonts w:ascii="Arial" w:hAnsi="Arial" w:cs="Arial"/>
              </w:rPr>
            </w:pPr>
          </w:p>
        </w:tc>
        <w:tc>
          <w:tcPr>
            <w:tcW w:w="2184" w:type="dxa"/>
            <w:noWrap/>
          </w:tcPr>
          <w:p w:rsidR="00F70EA8" w:rsidRPr="008E7086" w:rsidRDefault="00F70EA8" w:rsidP="007D7C40">
            <w:pPr>
              <w:jc w:val="right"/>
              <w:rPr>
                <w:rFonts w:ascii="Arial" w:hAnsi="Arial" w:cs="Arial"/>
              </w:rPr>
            </w:pPr>
          </w:p>
        </w:tc>
        <w:tc>
          <w:tcPr>
            <w:tcW w:w="270" w:type="dxa"/>
          </w:tcPr>
          <w:p w:rsidR="00F70EA8" w:rsidRPr="008E7086" w:rsidRDefault="00F70EA8" w:rsidP="007D7C40">
            <w:pPr>
              <w:jc w:val="right"/>
              <w:rPr>
                <w:rFonts w:ascii="Arial" w:hAnsi="Arial" w:cs="Arial"/>
              </w:rPr>
            </w:pPr>
          </w:p>
        </w:tc>
        <w:tc>
          <w:tcPr>
            <w:tcW w:w="1980" w:type="dxa"/>
            <w:noWrap/>
          </w:tcPr>
          <w:p w:rsidR="00F70EA8" w:rsidRPr="008E7086" w:rsidRDefault="00F70EA8" w:rsidP="007D7C40">
            <w:pPr>
              <w:jc w:val="right"/>
              <w:rPr>
                <w:rFonts w:ascii="Arial" w:hAnsi="Arial" w:cs="Arial"/>
              </w:rPr>
            </w:pPr>
          </w:p>
        </w:tc>
      </w:tr>
      <w:tr w:rsidR="00F70EA8" w:rsidRPr="008E7086" w:rsidTr="007D7C40">
        <w:trPr>
          <w:trHeight w:val="255"/>
        </w:trPr>
        <w:tc>
          <w:tcPr>
            <w:tcW w:w="2448" w:type="dxa"/>
            <w:noWrap/>
            <w:vAlign w:val="bottom"/>
          </w:tcPr>
          <w:p w:rsidR="00F70EA8" w:rsidRPr="008E7086" w:rsidRDefault="00F70EA8" w:rsidP="007D7C40">
            <w:pPr>
              <w:jc w:val="left"/>
              <w:rPr>
                <w:rFonts w:ascii="Arial" w:hAnsi="Arial" w:cs="Arial"/>
              </w:rPr>
            </w:pPr>
            <w:r w:rsidRPr="008E7086">
              <w:rPr>
                <w:rFonts w:ascii="Arial" w:hAnsi="Arial" w:cs="Arial"/>
              </w:rPr>
              <w:t>Medium Commercial</w:t>
            </w:r>
            <w:r>
              <w:rPr>
                <w:rFonts w:ascii="Arial" w:hAnsi="Arial" w:cs="Arial"/>
              </w:rPr>
              <w:t xml:space="preserve"> and Industrial</w:t>
            </w:r>
          </w:p>
        </w:tc>
        <w:tc>
          <w:tcPr>
            <w:tcW w:w="241" w:type="dxa"/>
          </w:tcPr>
          <w:p w:rsidR="00F70EA8" w:rsidRPr="008E7086" w:rsidRDefault="00F70EA8" w:rsidP="007D7C40">
            <w:pPr>
              <w:jc w:val="right"/>
              <w:rPr>
                <w:rFonts w:ascii="Arial" w:hAnsi="Arial" w:cs="Arial"/>
              </w:rPr>
            </w:pPr>
          </w:p>
        </w:tc>
        <w:tc>
          <w:tcPr>
            <w:tcW w:w="2099" w:type="dxa"/>
            <w:noWrap/>
            <w:vAlign w:val="bottom"/>
          </w:tcPr>
          <w:p w:rsidR="00F70EA8" w:rsidRPr="008E7086" w:rsidRDefault="00290A1D" w:rsidP="00290A1D">
            <w:pPr>
              <w:jc w:val="right"/>
              <w:rPr>
                <w:rFonts w:ascii="Arial" w:hAnsi="Arial" w:cs="Arial"/>
              </w:rPr>
            </w:pPr>
            <w:r>
              <w:rPr>
                <w:rFonts w:ascii="Arial" w:hAnsi="Arial" w:cs="Arial"/>
              </w:rPr>
              <w:t>55</w:t>
            </w:r>
            <w:r w:rsidR="00F70EA8" w:rsidRPr="008E7086">
              <w:rPr>
                <w:rFonts w:ascii="Arial" w:hAnsi="Arial" w:cs="Arial"/>
              </w:rPr>
              <w:t>,</w:t>
            </w:r>
            <w:r>
              <w:rPr>
                <w:rFonts w:ascii="Arial" w:hAnsi="Arial" w:cs="Arial"/>
              </w:rPr>
              <w:t>263</w:t>
            </w:r>
            <w:r w:rsidR="00F70EA8" w:rsidRPr="008E7086">
              <w:rPr>
                <w:rFonts w:ascii="Arial" w:hAnsi="Arial" w:cs="Arial"/>
              </w:rPr>
              <w:t>,</w:t>
            </w:r>
            <w:r>
              <w:rPr>
                <w:rFonts w:ascii="Arial" w:hAnsi="Arial" w:cs="Arial"/>
              </w:rPr>
              <w:t>268</w:t>
            </w:r>
          </w:p>
        </w:tc>
        <w:tc>
          <w:tcPr>
            <w:tcW w:w="246" w:type="dxa"/>
            <w:vAlign w:val="bottom"/>
          </w:tcPr>
          <w:p w:rsidR="00F70EA8" w:rsidRPr="008E7086" w:rsidRDefault="00F70EA8" w:rsidP="007D7C40">
            <w:pPr>
              <w:jc w:val="right"/>
              <w:rPr>
                <w:rFonts w:ascii="Arial" w:hAnsi="Arial" w:cs="Arial"/>
              </w:rPr>
            </w:pPr>
          </w:p>
        </w:tc>
        <w:tc>
          <w:tcPr>
            <w:tcW w:w="2184" w:type="dxa"/>
            <w:noWrap/>
            <w:vAlign w:val="bottom"/>
          </w:tcPr>
          <w:p w:rsidR="00F70EA8" w:rsidRPr="008E7086" w:rsidRDefault="00290A1D" w:rsidP="00290A1D">
            <w:pPr>
              <w:jc w:val="right"/>
              <w:rPr>
                <w:rFonts w:ascii="Arial" w:hAnsi="Arial" w:cs="Arial"/>
              </w:rPr>
            </w:pPr>
            <w:r>
              <w:rPr>
                <w:rFonts w:ascii="Arial" w:hAnsi="Arial" w:cs="Arial"/>
              </w:rPr>
              <w:t>54</w:t>
            </w:r>
            <w:r w:rsidR="00F70EA8" w:rsidRPr="008E7086">
              <w:rPr>
                <w:rFonts w:ascii="Arial" w:hAnsi="Arial" w:cs="Arial"/>
              </w:rPr>
              <w:t>,</w:t>
            </w:r>
            <w:r>
              <w:rPr>
                <w:rFonts w:ascii="Arial" w:hAnsi="Arial" w:cs="Arial"/>
              </w:rPr>
              <w:t>218</w:t>
            </w:r>
            <w:r w:rsidR="00F70EA8" w:rsidRPr="008E7086">
              <w:rPr>
                <w:rFonts w:ascii="Arial" w:hAnsi="Arial" w:cs="Arial"/>
              </w:rPr>
              <w:t>,</w:t>
            </w:r>
            <w:r>
              <w:rPr>
                <w:rFonts w:ascii="Arial" w:hAnsi="Arial" w:cs="Arial"/>
              </w:rPr>
              <w:t>547</w:t>
            </w:r>
          </w:p>
        </w:tc>
        <w:tc>
          <w:tcPr>
            <w:tcW w:w="270" w:type="dxa"/>
            <w:vAlign w:val="bottom"/>
          </w:tcPr>
          <w:p w:rsidR="00F70EA8" w:rsidRPr="008E7086" w:rsidRDefault="00F70EA8" w:rsidP="007D7C40">
            <w:pPr>
              <w:jc w:val="right"/>
              <w:rPr>
                <w:rFonts w:ascii="Arial" w:hAnsi="Arial" w:cs="Arial"/>
              </w:rPr>
            </w:pPr>
          </w:p>
        </w:tc>
        <w:tc>
          <w:tcPr>
            <w:tcW w:w="1980" w:type="dxa"/>
            <w:noWrap/>
            <w:vAlign w:val="bottom"/>
          </w:tcPr>
          <w:p w:rsidR="00F70EA8" w:rsidRPr="008E7086" w:rsidRDefault="00F70EA8" w:rsidP="002E3C0F">
            <w:pPr>
              <w:ind w:right="162"/>
              <w:jc w:val="right"/>
              <w:rPr>
                <w:rFonts w:ascii="Arial" w:hAnsi="Arial" w:cs="Arial"/>
              </w:rPr>
            </w:pPr>
            <w:r w:rsidRPr="008E7086">
              <w:rPr>
                <w:rFonts w:ascii="Arial" w:hAnsi="Arial" w:cs="Arial"/>
              </w:rPr>
              <w:t xml:space="preserve"> </w:t>
            </w:r>
            <w:r w:rsidR="00290A1D">
              <w:rPr>
                <w:rFonts w:ascii="Arial" w:hAnsi="Arial" w:cs="Arial"/>
              </w:rPr>
              <w:t>1</w:t>
            </w:r>
            <w:r w:rsidRPr="008E7086">
              <w:rPr>
                <w:rFonts w:ascii="Arial" w:hAnsi="Arial" w:cs="Arial"/>
              </w:rPr>
              <w:t>,</w:t>
            </w:r>
            <w:r w:rsidR="00290A1D">
              <w:rPr>
                <w:rFonts w:ascii="Arial" w:hAnsi="Arial" w:cs="Arial"/>
              </w:rPr>
              <w:t>04</w:t>
            </w:r>
            <w:r w:rsidR="00E80EEE">
              <w:rPr>
                <w:rFonts w:ascii="Arial" w:hAnsi="Arial" w:cs="Arial"/>
              </w:rPr>
              <w:t>4</w:t>
            </w:r>
            <w:r w:rsidRPr="008E7086">
              <w:rPr>
                <w:rFonts w:ascii="Arial" w:hAnsi="Arial" w:cs="Arial"/>
              </w:rPr>
              <w:t>,</w:t>
            </w:r>
            <w:r w:rsidR="00290A1D">
              <w:rPr>
                <w:rFonts w:ascii="Arial" w:hAnsi="Arial" w:cs="Arial"/>
              </w:rPr>
              <w:t>721</w:t>
            </w:r>
          </w:p>
        </w:tc>
      </w:tr>
      <w:tr w:rsidR="00F70EA8" w:rsidRPr="008E7086" w:rsidTr="007D7C40">
        <w:trPr>
          <w:trHeight w:val="255"/>
        </w:trPr>
        <w:tc>
          <w:tcPr>
            <w:tcW w:w="2448" w:type="dxa"/>
            <w:noWrap/>
            <w:vAlign w:val="bottom"/>
          </w:tcPr>
          <w:p w:rsidR="00F70EA8" w:rsidRPr="008E7086" w:rsidRDefault="00F70EA8" w:rsidP="007D7C40">
            <w:pPr>
              <w:jc w:val="left"/>
              <w:rPr>
                <w:rFonts w:ascii="Arial" w:hAnsi="Arial" w:cs="Arial"/>
              </w:rPr>
            </w:pPr>
          </w:p>
        </w:tc>
        <w:tc>
          <w:tcPr>
            <w:tcW w:w="241" w:type="dxa"/>
          </w:tcPr>
          <w:p w:rsidR="00F70EA8" w:rsidRPr="008E7086" w:rsidRDefault="00F70EA8" w:rsidP="007D7C40">
            <w:pPr>
              <w:jc w:val="right"/>
              <w:rPr>
                <w:rFonts w:ascii="Arial" w:hAnsi="Arial" w:cs="Arial"/>
              </w:rPr>
            </w:pPr>
          </w:p>
        </w:tc>
        <w:tc>
          <w:tcPr>
            <w:tcW w:w="2099" w:type="dxa"/>
            <w:noWrap/>
          </w:tcPr>
          <w:p w:rsidR="00F70EA8" w:rsidRPr="008E7086" w:rsidRDefault="00F70EA8" w:rsidP="007D7C40">
            <w:pPr>
              <w:jc w:val="right"/>
              <w:rPr>
                <w:rFonts w:ascii="Arial" w:hAnsi="Arial" w:cs="Arial"/>
              </w:rPr>
            </w:pPr>
          </w:p>
        </w:tc>
        <w:tc>
          <w:tcPr>
            <w:tcW w:w="246" w:type="dxa"/>
          </w:tcPr>
          <w:p w:rsidR="00F70EA8" w:rsidRPr="008E7086" w:rsidRDefault="00F70EA8" w:rsidP="007D7C40">
            <w:pPr>
              <w:jc w:val="right"/>
              <w:rPr>
                <w:rFonts w:ascii="Arial" w:hAnsi="Arial" w:cs="Arial"/>
              </w:rPr>
            </w:pPr>
          </w:p>
        </w:tc>
        <w:tc>
          <w:tcPr>
            <w:tcW w:w="2184" w:type="dxa"/>
            <w:noWrap/>
          </w:tcPr>
          <w:p w:rsidR="00F70EA8" w:rsidRPr="008E7086" w:rsidRDefault="00F70EA8" w:rsidP="007D7C40">
            <w:pPr>
              <w:jc w:val="right"/>
              <w:rPr>
                <w:rFonts w:ascii="Arial" w:hAnsi="Arial" w:cs="Arial"/>
              </w:rPr>
            </w:pPr>
          </w:p>
        </w:tc>
        <w:tc>
          <w:tcPr>
            <w:tcW w:w="270" w:type="dxa"/>
          </w:tcPr>
          <w:p w:rsidR="00F70EA8" w:rsidRPr="008E7086" w:rsidRDefault="00F70EA8" w:rsidP="007D7C40">
            <w:pPr>
              <w:jc w:val="right"/>
              <w:rPr>
                <w:rFonts w:ascii="Arial" w:hAnsi="Arial" w:cs="Arial"/>
              </w:rPr>
            </w:pPr>
          </w:p>
        </w:tc>
        <w:tc>
          <w:tcPr>
            <w:tcW w:w="1980" w:type="dxa"/>
            <w:noWrap/>
          </w:tcPr>
          <w:p w:rsidR="00F70EA8" w:rsidRPr="008E7086" w:rsidRDefault="00F70EA8" w:rsidP="007D7C40">
            <w:pPr>
              <w:jc w:val="right"/>
              <w:rPr>
                <w:rFonts w:ascii="Arial" w:hAnsi="Arial" w:cs="Arial"/>
              </w:rPr>
            </w:pPr>
          </w:p>
        </w:tc>
      </w:tr>
      <w:tr w:rsidR="00F70EA8" w:rsidRPr="008E7086" w:rsidTr="007D7C40">
        <w:trPr>
          <w:trHeight w:val="255"/>
        </w:trPr>
        <w:tc>
          <w:tcPr>
            <w:tcW w:w="2448" w:type="dxa"/>
            <w:noWrap/>
            <w:vAlign w:val="bottom"/>
          </w:tcPr>
          <w:p w:rsidR="00F70EA8" w:rsidRPr="008E7086" w:rsidRDefault="00F70EA8" w:rsidP="007D7C40">
            <w:pPr>
              <w:jc w:val="left"/>
              <w:rPr>
                <w:rFonts w:ascii="Arial" w:hAnsi="Arial" w:cs="Arial"/>
              </w:rPr>
            </w:pPr>
            <w:r w:rsidRPr="008E7086">
              <w:rPr>
                <w:rFonts w:ascii="Arial" w:hAnsi="Arial" w:cs="Arial"/>
              </w:rPr>
              <w:t>Large Commercial and Industrial</w:t>
            </w:r>
          </w:p>
        </w:tc>
        <w:tc>
          <w:tcPr>
            <w:tcW w:w="241" w:type="dxa"/>
          </w:tcPr>
          <w:p w:rsidR="00F70EA8" w:rsidRPr="008E7086" w:rsidRDefault="00F70EA8" w:rsidP="007D7C40">
            <w:pPr>
              <w:jc w:val="right"/>
              <w:rPr>
                <w:rFonts w:ascii="Arial" w:hAnsi="Arial" w:cs="Arial"/>
                <w:u w:val="single"/>
              </w:rPr>
            </w:pPr>
          </w:p>
        </w:tc>
        <w:tc>
          <w:tcPr>
            <w:tcW w:w="2099" w:type="dxa"/>
            <w:noWrap/>
            <w:vAlign w:val="bottom"/>
          </w:tcPr>
          <w:p w:rsidR="00F70EA8" w:rsidRPr="008E7086" w:rsidRDefault="00F70EA8" w:rsidP="00290A1D">
            <w:pPr>
              <w:rPr>
                <w:rFonts w:ascii="Arial" w:hAnsi="Arial" w:cs="Arial"/>
                <w:u w:val="single"/>
              </w:rPr>
            </w:pPr>
            <w:r w:rsidRPr="00FC6500">
              <w:rPr>
                <w:rFonts w:ascii="Arial" w:hAnsi="Arial" w:cs="Arial"/>
              </w:rPr>
              <w:t xml:space="preserve">   </w:t>
            </w:r>
            <w:r>
              <w:rPr>
                <w:rFonts w:ascii="Arial" w:hAnsi="Arial" w:cs="Arial"/>
                <w:u w:val="single"/>
              </w:rPr>
              <w:t xml:space="preserve">       </w:t>
            </w:r>
            <w:r w:rsidR="00290A1D">
              <w:rPr>
                <w:rFonts w:ascii="Arial" w:hAnsi="Arial" w:cs="Arial"/>
                <w:u w:val="single"/>
              </w:rPr>
              <w:t>36</w:t>
            </w:r>
            <w:r w:rsidRPr="008E7086">
              <w:rPr>
                <w:rFonts w:ascii="Arial" w:hAnsi="Arial" w:cs="Arial"/>
                <w:u w:val="single"/>
              </w:rPr>
              <w:t>,</w:t>
            </w:r>
            <w:r w:rsidR="00290A1D">
              <w:rPr>
                <w:rFonts w:ascii="Arial" w:hAnsi="Arial" w:cs="Arial"/>
                <w:u w:val="single"/>
              </w:rPr>
              <w:t>906</w:t>
            </w:r>
            <w:r w:rsidRPr="008E7086">
              <w:rPr>
                <w:rFonts w:ascii="Arial" w:hAnsi="Arial" w:cs="Arial"/>
                <w:u w:val="single"/>
              </w:rPr>
              <w:t>,</w:t>
            </w:r>
            <w:r w:rsidR="00290A1D">
              <w:rPr>
                <w:rFonts w:ascii="Arial" w:hAnsi="Arial" w:cs="Arial"/>
                <w:u w:val="single"/>
              </w:rPr>
              <w:t>355</w:t>
            </w:r>
          </w:p>
        </w:tc>
        <w:tc>
          <w:tcPr>
            <w:tcW w:w="246" w:type="dxa"/>
          </w:tcPr>
          <w:p w:rsidR="00F70EA8" w:rsidRPr="00C029A5" w:rsidRDefault="00F70EA8" w:rsidP="007D7C40">
            <w:pPr>
              <w:rPr>
                <w:rFonts w:ascii="Arial" w:hAnsi="Arial" w:cs="Arial"/>
              </w:rPr>
            </w:pPr>
            <w:r>
              <w:rPr>
                <w:rFonts w:ascii="Arial" w:hAnsi="Arial" w:cs="Arial"/>
              </w:rPr>
              <w:t xml:space="preserve"> </w:t>
            </w:r>
          </w:p>
        </w:tc>
        <w:tc>
          <w:tcPr>
            <w:tcW w:w="2184" w:type="dxa"/>
            <w:noWrap/>
            <w:vAlign w:val="bottom"/>
          </w:tcPr>
          <w:p w:rsidR="00F70EA8" w:rsidRPr="00C029A5" w:rsidRDefault="00F70EA8" w:rsidP="00290A1D">
            <w:pPr>
              <w:ind w:left="6"/>
              <w:rPr>
                <w:rFonts w:ascii="Arial" w:hAnsi="Arial" w:cs="Arial"/>
                <w:u w:val="single"/>
              </w:rPr>
            </w:pPr>
            <w:r w:rsidRPr="002922D7">
              <w:rPr>
                <w:rFonts w:ascii="Arial" w:hAnsi="Arial" w:cs="Arial"/>
              </w:rPr>
              <w:t xml:space="preserve">   </w:t>
            </w:r>
            <w:r w:rsidRPr="0061051B">
              <w:rPr>
                <w:rFonts w:ascii="Arial" w:hAnsi="Arial" w:cs="Arial"/>
              </w:rPr>
              <w:t xml:space="preserve"> </w:t>
            </w:r>
            <w:r>
              <w:rPr>
                <w:rFonts w:ascii="Arial" w:hAnsi="Arial" w:cs="Arial"/>
                <w:u w:val="single"/>
              </w:rPr>
              <w:t xml:space="preserve">       </w:t>
            </w:r>
            <w:r w:rsidR="00290A1D">
              <w:rPr>
                <w:rFonts w:ascii="Arial" w:hAnsi="Arial" w:cs="Arial"/>
                <w:u w:val="single"/>
              </w:rPr>
              <w:t>37</w:t>
            </w:r>
            <w:r w:rsidRPr="008E7086">
              <w:rPr>
                <w:rFonts w:ascii="Arial" w:hAnsi="Arial" w:cs="Arial"/>
                <w:u w:val="single"/>
              </w:rPr>
              <w:t>,</w:t>
            </w:r>
            <w:r w:rsidR="00290A1D">
              <w:rPr>
                <w:rFonts w:ascii="Arial" w:hAnsi="Arial" w:cs="Arial"/>
                <w:u w:val="single"/>
              </w:rPr>
              <w:t>064</w:t>
            </w:r>
            <w:r w:rsidRPr="008E7086">
              <w:rPr>
                <w:rFonts w:ascii="Arial" w:hAnsi="Arial" w:cs="Arial"/>
                <w:u w:val="single"/>
              </w:rPr>
              <w:t>,</w:t>
            </w:r>
            <w:r w:rsidR="00290A1D">
              <w:rPr>
                <w:rFonts w:ascii="Arial" w:hAnsi="Arial" w:cs="Arial"/>
                <w:u w:val="single"/>
              </w:rPr>
              <w:t>544</w:t>
            </w:r>
            <w:r w:rsidRPr="0012275F">
              <w:rPr>
                <w:rFonts w:ascii="Arial" w:hAnsi="Arial" w:cs="Arial"/>
              </w:rPr>
              <w:t xml:space="preserve">      </w:t>
            </w:r>
            <w:r w:rsidRPr="00C029A5">
              <w:rPr>
                <w:rFonts w:ascii="Arial" w:hAnsi="Arial" w:cs="Arial"/>
              </w:rPr>
              <w:t xml:space="preserve">                                                       </w:t>
            </w:r>
            <w:r>
              <w:rPr>
                <w:rFonts w:ascii="Arial" w:hAnsi="Arial" w:cs="Arial"/>
              </w:rPr>
              <w:t xml:space="preserve">                  </w:t>
            </w:r>
            <w:r>
              <w:rPr>
                <w:rFonts w:ascii="Arial" w:hAnsi="Arial" w:cs="Arial"/>
                <w:u w:val="single"/>
              </w:rPr>
              <w:t xml:space="preserve">    </w:t>
            </w:r>
          </w:p>
        </w:tc>
        <w:tc>
          <w:tcPr>
            <w:tcW w:w="270" w:type="dxa"/>
          </w:tcPr>
          <w:p w:rsidR="00F70EA8" w:rsidRPr="008E7086" w:rsidRDefault="00F70EA8" w:rsidP="007D7C40">
            <w:pPr>
              <w:jc w:val="right"/>
              <w:rPr>
                <w:rFonts w:ascii="Arial" w:hAnsi="Arial" w:cs="Arial"/>
                <w:u w:val="single"/>
              </w:rPr>
            </w:pPr>
          </w:p>
        </w:tc>
        <w:tc>
          <w:tcPr>
            <w:tcW w:w="1980" w:type="dxa"/>
            <w:noWrap/>
            <w:vAlign w:val="bottom"/>
          </w:tcPr>
          <w:p w:rsidR="00F70EA8" w:rsidRPr="008E7086" w:rsidRDefault="00F70EA8" w:rsidP="000F3DB6">
            <w:pPr>
              <w:rPr>
                <w:rFonts w:ascii="Arial" w:hAnsi="Arial" w:cs="Arial"/>
                <w:u w:val="single"/>
              </w:rPr>
            </w:pPr>
            <w:r w:rsidRPr="00FC6500">
              <w:rPr>
                <w:rFonts w:ascii="Arial" w:hAnsi="Arial" w:cs="Arial"/>
              </w:rPr>
              <w:t xml:space="preserve"> </w:t>
            </w:r>
            <w:r>
              <w:rPr>
                <w:rFonts w:ascii="Arial" w:hAnsi="Arial" w:cs="Arial"/>
                <w:u w:val="single"/>
              </w:rPr>
              <w:t xml:space="preserve">    </w:t>
            </w:r>
            <w:r w:rsidR="000F3DB6">
              <w:rPr>
                <w:rFonts w:ascii="Arial" w:hAnsi="Arial" w:cs="Arial"/>
                <w:u w:val="single"/>
              </w:rPr>
              <w:t xml:space="preserve">  </w:t>
            </w:r>
            <w:r>
              <w:rPr>
                <w:rFonts w:ascii="Arial" w:hAnsi="Arial" w:cs="Arial"/>
                <w:u w:val="single"/>
              </w:rPr>
              <w:t xml:space="preserve"> </w:t>
            </w:r>
            <w:r w:rsidRPr="008E7086">
              <w:rPr>
                <w:rFonts w:ascii="Arial" w:hAnsi="Arial" w:cs="Arial"/>
                <w:u w:val="single"/>
              </w:rPr>
              <w:t>(</w:t>
            </w:r>
            <w:r w:rsidR="000F3DB6">
              <w:rPr>
                <w:rFonts w:ascii="Arial" w:hAnsi="Arial" w:cs="Arial"/>
                <w:u w:val="single"/>
              </w:rPr>
              <w:t>158</w:t>
            </w:r>
            <w:r w:rsidRPr="008E7086">
              <w:rPr>
                <w:rFonts w:ascii="Arial" w:hAnsi="Arial" w:cs="Arial"/>
                <w:u w:val="single"/>
              </w:rPr>
              <w:t>,</w:t>
            </w:r>
            <w:r w:rsidR="000F3DB6">
              <w:rPr>
                <w:rFonts w:ascii="Arial" w:hAnsi="Arial" w:cs="Arial"/>
                <w:u w:val="single"/>
              </w:rPr>
              <w:t>189</w:t>
            </w:r>
            <w:r w:rsidRPr="008E7086">
              <w:rPr>
                <w:rFonts w:ascii="Arial" w:hAnsi="Arial" w:cs="Arial"/>
                <w:u w:val="single"/>
              </w:rPr>
              <w:t>)</w:t>
            </w:r>
          </w:p>
        </w:tc>
      </w:tr>
      <w:tr w:rsidR="00F70EA8" w:rsidRPr="008E7086" w:rsidTr="007D7C40">
        <w:trPr>
          <w:trHeight w:val="255"/>
        </w:trPr>
        <w:tc>
          <w:tcPr>
            <w:tcW w:w="2448" w:type="dxa"/>
            <w:noWrap/>
            <w:vAlign w:val="bottom"/>
          </w:tcPr>
          <w:p w:rsidR="00F70EA8" w:rsidRPr="008E7086" w:rsidRDefault="00F70EA8" w:rsidP="007D7C40">
            <w:pPr>
              <w:jc w:val="left"/>
              <w:rPr>
                <w:rFonts w:ascii="Arial" w:hAnsi="Arial" w:cs="Arial"/>
              </w:rPr>
            </w:pPr>
          </w:p>
        </w:tc>
        <w:tc>
          <w:tcPr>
            <w:tcW w:w="241" w:type="dxa"/>
          </w:tcPr>
          <w:p w:rsidR="00F70EA8" w:rsidRPr="008E7086" w:rsidRDefault="00F70EA8" w:rsidP="007D7C40">
            <w:pPr>
              <w:jc w:val="right"/>
              <w:rPr>
                <w:rFonts w:ascii="Arial" w:hAnsi="Arial" w:cs="Arial"/>
              </w:rPr>
            </w:pPr>
          </w:p>
        </w:tc>
        <w:tc>
          <w:tcPr>
            <w:tcW w:w="2099" w:type="dxa"/>
            <w:noWrap/>
          </w:tcPr>
          <w:p w:rsidR="00F70EA8" w:rsidRPr="008E7086" w:rsidRDefault="00F70EA8" w:rsidP="007D7C40">
            <w:pPr>
              <w:jc w:val="right"/>
              <w:rPr>
                <w:rFonts w:ascii="Arial" w:hAnsi="Arial" w:cs="Arial"/>
              </w:rPr>
            </w:pPr>
          </w:p>
        </w:tc>
        <w:tc>
          <w:tcPr>
            <w:tcW w:w="246" w:type="dxa"/>
          </w:tcPr>
          <w:p w:rsidR="00F70EA8" w:rsidRPr="008E7086" w:rsidRDefault="00F70EA8" w:rsidP="007D7C40">
            <w:pPr>
              <w:jc w:val="right"/>
              <w:rPr>
                <w:rFonts w:ascii="Arial" w:hAnsi="Arial" w:cs="Arial"/>
              </w:rPr>
            </w:pPr>
          </w:p>
        </w:tc>
        <w:tc>
          <w:tcPr>
            <w:tcW w:w="2184" w:type="dxa"/>
            <w:noWrap/>
          </w:tcPr>
          <w:p w:rsidR="00F70EA8" w:rsidRPr="008E7086" w:rsidRDefault="00F70EA8" w:rsidP="007D7C40">
            <w:pPr>
              <w:jc w:val="right"/>
              <w:rPr>
                <w:rFonts w:ascii="Arial" w:hAnsi="Arial" w:cs="Arial"/>
              </w:rPr>
            </w:pPr>
          </w:p>
        </w:tc>
        <w:tc>
          <w:tcPr>
            <w:tcW w:w="270" w:type="dxa"/>
          </w:tcPr>
          <w:p w:rsidR="00F70EA8" w:rsidRPr="008E7086" w:rsidRDefault="00F70EA8" w:rsidP="007D7C40">
            <w:pPr>
              <w:jc w:val="right"/>
              <w:rPr>
                <w:rFonts w:ascii="Arial" w:hAnsi="Arial" w:cs="Arial"/>
              </w:rPr>
            </w:pPr>
          </w:p>
        </w:tc>
        <w:tc>
          <w:tcPr>
            <w:tcW w:w="1980" w:type="dxa"/>
            <w:noWrap/>
          </w:tcPr>
          <w:p w:rsidR="00F70EA8" w:rsidRPr="008E7086" w:rsidRDefault="00F70EA8" w:rsidP="007D7C40">
            <w:pPr>
              <w:jc w:val="right"/>
              <w:rPr>
                <w:rFonts w:ascii="Arial" w:hAnsi="Arial" w:cs="Arial"/>
              </w:rPr>
            </w:pPr>
          </w:p>
        </w:tc>
      </w:tr>
      <w:tr w:rsidR="00F70EA8" w:rsidRPr="008E7086" w:rsidTr="007D7C40">
        <w:trPr>
          <w:trHeight w:val="497"/>
        </w:trPr>
        <w:tc>
          <w:tcPr>
            <w:tcW w:w="2448" w:type="dxa"/>
            <w:noWrap/>
            <w:vAlign w:val="bottom"/>
          </w:tcPr>
          <w:p w:rsidR="00F70EA8" w:rsidRPr="008E7086" w:rsidRDefault="0061051B" w:rsidP="007D7C40">
            <w:pPr>
              <w:jc w:val="left"/>
              <w:rPr>
                <w:rFonts w:ascii="Arial" w:hAnsi="Arial" w:cs="Arial"/>
              </w:rPr>
            </w:pPr>
            <w:r>
              <w:rPr>
                <w:rFonts w:ascii="Arial" w:hAnsi="Arial" w:cs="Arial"/>
              </w:rPr>
              <w:t xml:space="preserve">     </w:t>
            </w:r>
            <w:r w:rsidR="00F70EA8" w:rsidRPr="008E7086">
              <w:rPr>
                <w:rFonts w:ascii="Arial" w:hAnsi="Arial" w:cs="Arial"/>
              </w:rPr>
              <w:t>Total</w:t>
            </w:r>
            <w:r w:rsidR="00F70EA8">
              <w:rPr>
                <w:rFonts w:ascii="Arial" w:hAnsi="Arial" w:cs="Arial"/>
              </w:rPr>
              <w:t>s</w:t>
            </w:r>
          </w:p>
        </w:tc>
        <w:tc>
          <w:tcPr>
            <w:tcW w:w="241" w:type="dxa"/>
            <w:vAlign w:val="bottom"/>
          </w:tcPr>
          <w:p w:rsidR="00F70EA8" w:rsidRPr="008E7086" w:rsidRDefault="00F70EA8" w:rsidP="007D7C40">
            <w:pPr>
              <w:rPr>
                <w:rFonts w:ascii="Arial" w:hAnsi="Arial" w:cs="Arial"/>
                <w:u w:val="double"/>
              </w:rPr>
            </w:pPr>
          </w:p>
        </w:tc>
        <w:tc>
          <w:tcPr>
            <w:tcW w:w="2099" w:type="dxa"/>
            <w:noWrap/>
            <w:vAlign w:val="bottom"/>
          </w:tcPr>
          <w:p w:rsidR="00F70EA8" w:rsidRPr="008E7086" w:rsidRDefault="00F70EA8" w:rsidP="00DB4CEB">
            <w:pPr>
              <w:rPr>
                <w:rFonts w:ascii="Arial" w:hAnsi="Arial" w:cs="Arial"/>
                <w:u w:val="double"/>
              </w:rPr>
            </w:pPr>
            <w:r w:rsidRPr="004E0E15">
              <w:rPr>
                <w:rFonts w:ascii="Arial" w:hAnsi="Arial" w:cs="Arial"/>
              </w:rPr>
              <w:t xml:space="preserve">  </w:t>
            </w:r>
            <w:r w:rsidRPr="008E7086">
              <w:rPr>
                <w:rFonts w:ascii="Arial" w:hAnsi="Arial" w:cs="Arial"/>
                <w:u w:val="double"/>
              </w:rPr>
              <w:t>$</w:t>
            </w:r>
            <w:r>
              <w:rPr>
                <w:rFonts w:ascii="Arial" w:hAnsi="Arial" w:cs="Arial"/>
                <w:u w:val="double"/>
              </w:rPr>
              <w:t xml:space="preserve"> </w:t>
            </w:r>
            <w:r w:rsidR="00DB4CEB">
              <w:rPr>
                <w:rFonts w:ascii="Arial" w:hAnsi="Arial" w:cs="Arial"/>
                <w:u w:val="double"/>
              </w:rPr>
              <w:t xml:space="preserve">  910</w:t>
            </w:r>
            <w:r w:rsidRPr="008E7086">
              <w:rPr>
                <w:rFonts w:ascii="Arial" w:hAnsi="Arial" w:cs="Arial"/>
                <w:u w:val="double"/>
              </w:rPr>
              <w:t>,</w:t>
            </w:r>
            <w:r w:rsidR="00DB4CEB">
              <w:rPr>
                <w:rFonts w:ascii="Arial" w:hAnsi="Arial" w:cs="Arial"/>
                <w:u w:val="double"/>
              </w:rPr>
              <w:t>551</w:t>
            </w:r>
            <w:r w:rsidRPr="008E7086">
              <w:rPr>
                <w:rFonts w:ascii="Arial" w:hAnsi="Arial" w:cs="Arial"/>
                <w:u w:val="double"/>
              </w:rPr>
              <w:t>,</w:t>
            </w:r>
            <w:r w:rsidR="00DB4CEB">
              <w:rPr>
                <w:rFonts w:ascii="Arial" w:hAnsi="Arial" w:cs="Arial"/>
                <w:u w:val="double"/>
              </w:rPr>
              <w:t>902</w:t>
            </w:r>
          </w:p>
        </w:tc>
        <w:tc>
          <w:tcPr>
            <w:tcW w:w="246" w:type="dxa"/>
            <w:vAlign w:val="bottom"/>
          </w:tcPr>
          <w:p w:rsidR="00F70EA8" w:rsidRPr="008E7086" w:rsidRDefault="00F70EA8" w:rsidP="007D7C40">
            <w:pPr>
              <w:rPr>
                <w:rFonts w:ascii="Arial" w:hAnsi="Arial" w:cs="Arial"/>
                <w:u w:val="double"/>
              </w:rPr>
            </w:pPr>
          </w:p>
        </w:tc>
        <w:tc>
          <w:tcPr>
            <w:tcW w:w="2184" w:type="dxa"/>
            <w:noWrap/>
            <w:vAlign w:val="bottom"/>
          </w:tcPr>
          <w:p w:rsidR="00F70EA8" w:rsidRPr="008E7086" w:rsidRDefault="00F70EA8" w:rsidP="00DB4CEB">
            <w:pPr>
              <w:rPr>
                <w:rFonts w:ascii="Arial" w:hAnsi="Arial" w:cs="Arial"/>
                <w:u w:val="double"/>
              </w:rPr>
            </w:pPr>
            <w:r w:rsidRPr="004E0E15">
              <w:rPr>
                <w:rFonts w:ascii="Arial" w:hAnsi="Arial" w:cs="Arial"/>
              </w:rPr>
              <w:t xml:space="preserve">  </w:t>
            </w:r>
            <w:r w:rsidRPr="0061051B">
              <w:rPr>
                <w:rFonts w:ascii="Arial" w:hAnsi="Arial" w:cs="Arial"/>
              </w:rPr>
              <w:t xml:space="preserve"> </w:t>
            </w:r>
            <w:r w:rsidRPr="008E7086">
              <w:rPr>
                <w:rFonts w:ascii="Arial" w:hAnsi="Arial" w:cs="Arial"/>
                <w:u w:val="double"/>
              </w:rPr>
              <w:t>$</w:t>
            </w:r>
            <w:r>
              <w:rPr>
                <w:rFonts w:ascii="Arial" w:hAnsi="Arial" w:cs="Arial"/>
                <w:u w:val="double"/>
              </w:rPr>
              <w:t xml:space="preserve"> </w:t>
            </w:r>
            <w:r w:rsidR="00DB4CEB">
              <w:rPr>
                <w:rFonts w:ascii="Arial" w:hAnsi="Arial" w:cs="Arial"/>
                <w:u w:val="double"/>
              </w:rPr>
              <w:t xml:space="preserve">  911</w:t>
            </w:r>
            <w:r w:rsidRPr="008E7086">
              <w:rPr>
                <w:rFonts w:ascii="Arial" w:hAnsi="Arial" w:cs="Arial"/>
                <w:u w:val="double"/>
              </w:rPr>
              <w:t>,</w:t>
            </w:r>
            <w:r w:rsidR="00DB4CEB">
              <w:rPr>
                <w:rFonts w:ascii="Arial" w:hAnsi="Arial" w:cs="Arial"/>
                <w:u w:val="double"/>
              </w:rPr>
              <w:t>893</w:t>
            </w:r>
            <w:r w:rsidRPr="008E7086">
              <w:rPr>
                <w:rFonts w:ascii="Arial" w:hAnsi="Arial" w:cs="Arial"/>
                <w:u w:val="double"/>
              </w:rPr>
              <w:t>,</w:t>
            </w:r>
            <w:r w:rsidR="00DB4CEB">
              <w:rPr>
                <w:rFonts w:ascii="Arial" w:hAnsi="Arial" w:cs="Arial"/>
                <w:u w:val="double"/>
              </w:rPr>
              <w:t>794</w:t>
            </w:r>
          </w:p>
        </w:tc>
        <w:tc>
          <w:tcPr>
            <w:tcW w:w="270" w:type="dxa"/>
            <w:vAlign w:val="bottom"/>
          </w:tcPr>
          <w:p w:rsidR="00F70EA8" w:rsidRPr="008E7086" w:rsidRDefault="00F70EA8" w:rsidP="007D7C40">
            <w:pPr>
              <w:rPr>
                <w:rFonts w:ascii="Arial" w:hAnsi="Arial" w:cs="Arial"/>
                <w:u w:val="double"/>
              </w:rPr>
            </w:pPr>
          </w:p>
        </w:tc>
        <w:tc>
          <w:tcPr>
            <w:tcW w:w="1980" w:type="dxa"/>
            <w:noWrap/>
            <w:vAlign w:val="bottom"/>
          </w:tcPr>
          <w:p w:rsidR="00F70EA8" w:rsidRPr="008E7086" w:rsidRDefault="00F70EA8" w:rsidP="00DB4CEB">
            <w:pPr>
              <w:rPr>
                <w:rFonts w:ascii="Arial" w:hAnsi="Arial" w:cs="Arial"/>
                <w:u w:val="double"/>
              </w:rPr>
            </w:pPr>
            <w:r w:rsidRPr="004E0E15">
              <w:rPr>
                <w:rFonts w:ascii="Arial" w:hAnsi="Arial" w:cs="Arial"/>
              </w:rPr>
              <w:t xml:space="preserve"> </w:t>
            </w:r>
            <w:r w:rsidRPr="008E7086">
              <w:rPr>
                <w:rFonts w:ascii="Arial" w:hAnsi="Arial" w:cs="Arial"/>
                <w:u w:val="double"/>
              </w:rPr>
              <w:t>$</w:t>
            </w:r>
            <w:r>
              <w:rPr>
                <w:rFonts w:ascii="Arial" w:hAnsi="Arial" w:cs="Arial"/>
                <w:u w:val="double"/>
              </w:rPr>
              <w:t xml:space="preserve"> </w:t>
            </w:r>
            <w:r w:rsidR="00DB4CEB">
              <w:rPr>
                <w:rFonts w:ascii="Arial" w:hAnsi="Arial" w:cs="Arial"/>
                <w:u w:val="double"/>
              </w:rPr>
              <w:t xml:space="preserve"> </w:t>
            </w:r>
            <w:r>
              <w:rPr>
                <w:rFonts w:ascii="Arial" w:hAnsi="Arial" w:cs="Arial"/>
                <w:u w:val="double"/>
              </w:rPr>
              <w:t xml:space="preserve"> </w:t>
            </w:r>
            <w:r w:rsidRPr="008E7086">
              <w:rPr>
                <w:rFonts w:ascii="Arial" w:hAnsi="Arial" w:cs="Arial"/>
                <w:u w:val="double"/>
              </w:rPr>
              <w:t>(</w:t>
            </w:r>
            <w:r w:rsidR="00DB4CEB">
              <w:rPr>
                <w:rFonts w:ascii="Arial" w:hAnsi="Arial" w:cs="Arial"/>
                <w:u w:val="double"/>
              </w:rPr>
              <w:t>1</w:t>
            </w:r>
            <w:r w:rsidRPr="008E7086">
              <w:rPr>
                <w:rFonts w:ascii="Arial" w:hAnsi="Arial" w:cs="Arial"/>
                <w:u w:val="double"/>
              </w:rPr>
              <w:t>,</w:t>
            </w:r>
            <w:r w:rsidR="00DB4CEB">
              <w:rPr>
                <w:rFonts w:ascii="Arial" w:hAnsi="Arial" w:cs="Arial"/>
                <w:u w:val="double"/>
              </w:rPr>
              <w:t>341</w:t>
            </w:r>
            <w:r w:rsidRPr="008E7086">
              <w:rPr>
                <w:rFonts w:ascii="Arial" w:hAnsi="Arial" w:cs="Arial"/>
                <w:u w:val="double"/>
              </w:rPr>
              <w:t>,</w:t>
            </w:r>
            <w:r w:rsidR="00DB4CEB">
              <w:rPr>
                <w:rFonts w:ascii="Arial" w:hAnsi="Arial" w:cs="Arial"/>
                <w:u w:val="double"/>
              </w:rPr>
              <w:t>892</w:t>
            </w:r>
            <w:r w:rsidRPr="008E7086">
              <w:rPr>
                <w:rFonts w:ascii="Arial" w:hAnsi="Arial" w:cs="Arial"/>
                <w:u w:val="double"/>
              </w:rPr>
              <w:t>)</w:t>
            </w:r>
          </w:p>
        </w:tc>
      </w:tr>
    </w:tbl>
    <w:p w:rsidR="00F70EA8" w:rsidRPr="008E7086" w:rsidRDefault="00F70EA8" w:rsidP="00F70EA8">
      <w:pPr>
        <w:tabs>
          <w:tab w:val="center" w:pos="4680"/>
        </w:tabs>
        <w:suppressAutoHyphens/>
        <w:rPr>
          <w:rFonts w:ascii="Arial" w:hAnsi="Arial" w:cs="Arial"/>
          <w:szCs w:val="24"/>
        </w:rPr>
      </w:pPr>
    </w:p>
    <w:p w:rsidR="00F70EA8" w:rsidRPr="008E7086" w:rsidRDefault="00F70EA8" w:rsidP="00F70EA8">
      <w:pPr>
        <w:tabs>
          <w:tab w:val="center" w:pos="4680"/>
        </w:tabs>
        <w:suppressAutoHyphens/>
        <w:ind w:left="90" w:hanging="90"/>
        <w:rPr>
          <w:rFonts w:ascii="Arial" w:hAnsi="Arial" w:cs="Arial"/>
          <w:szCs w:val="24"/>
        </w:rPr>
      </w:pPr>
    </w:p>
    <w:p w:rsidR="00F70EA8" w:rsidRPr="008E7086" w:rsidRDefault="00F70EA8" w:rsidP="00F70EA8">
      <w:pPr>
        <w:tabs>
          <w:tab w:val="center" w:pos="4680"/>
        </w:tabs>
        <w:suppressAutoHyphens/>
        <w:ind w:left="90" w:hanging="90"/>
        <w:rPr>
          <w:rFonts w:ascii="Arial" w:hAnsi="Arial" w:cs="Arial"/>
          <w:szCs w:val="24"/>
        </w:rPr>
      </w:pPr>
    </w:p>
    <w:p w:rsidR="00F70EA8" w:rsidRDefault="00F70EA8" w:rsidP="00F70EA8">
      <w:pPr>
        <w:tabs>
          <w:tab w:val="left" w:pos="-1440"/>
          <w:tab w:val="left" w:pos="-720"/>
          <w:tab w:val="left" w:pos="0"/>
          <w:tab w:val="left" w:pos="5040"/>
          <w:tab w:val="left" w:pos="7056"/>
        </w:tabs>
        <w:suppressAutoHyphens/>
        <w:outlineLvl w:val="0"/>
        <w:rPr>
          <w:rFonts w:ascii="Arial" w:hAnsi="Arial" w:cs="Arial"/>
        </w:rPr>
      </w:pPr>
    </w:p>
    <w:p w:rsidR="00F70EA8" w:rsidRDefault="00F70EA8" w:rsidP="0061051B">
      <w:pPr>
        <w:tabs>
          <w:tab w:val="center" w:pos="4680"/>
        </w:tabs>
        <w:suppressAutoHyphens/>
        <w:ind w:left="90" w:hanging="90"/>
        <w:jc w:val="left"/>
        <w:rPr>
          <w:rFonts w:ascii="Arial" w:hAnsi="Arial" w:cs="Arial"/>
          <w:szCs w:val="24"/>
        </w:rPr>
      </w:pPr>
      <w:r w:rsidRPr="00936DE2">
        <w:rPr>
          <w:rFonts w:ascii="Arial" w:hAnsi="Arial" w:cs="Arial"/>
          <w:szCs w:val="24"/>
        </w:rPr>
        <w:t>*</w:t>
      </w:r>
      <w:r w:rsidR="007621CE">
        <w:rPr>
          <w:rFonts w:ascii="Arial" w:hAnsi="Arial" w:cs="Arial"/>
          <w:szCs w:val="24"/>
        </w:rPr>
        <w:t xml:space="preserve"> - </w:t>
      </w:r>
      <w:r>
        <w:rPr>
          <w:rFonts w:ascii="Arial" w:hAnsi="Arial" w:cs="Arial"/>
          <w:szCs w:val="24"/>
        </w:rPr>
        <w:t>As reported to the Commission</w:t>
      </w:r>
      <w:r w:rsidR="0061051B">
        <w:rPr>
          <w:rFonts w:ascii="Arial" w:hAnsi="Arial" w:cs="Arial"/>
          <w:szCs w:val="24"/>
        </w:rPr>
        <w:t xml:space="preserve"> </w:t>
      </w:r>
      <w:r w:rsidRPr="00936DE2">
        <w:rPr>
          <w:rFonts w:ascii="Arial" w:hAnsi="Arial" w:cs="Arial"/>
          <w:szCs w:val="24"/>
        </w:rPr>
        <w:t>at Docket No.</w:t>
      </w:r>
      <w:r>
        <w:rPr>
          <w:rFonts w:ascii="Arial" w:hAnsi="Arial" w:cs="Arial"/>
          <w:szCs w:val="24"/>
        </w:rPr>
        <w:t xml:space="preserve"> </w:t>
      </w:r>
      <w:r w:rsidRPr="00936DE2">
        <w:rPr>
          <w:rFonts w:ascii="Arial" w:hAnsi="Arial" w:cs="Arial"/>
          <w:szCs w:val="24"/>
        </w:rPr>
        <w:t>M</w:t>
      </w:r>
      <w:r>
        <w:rPr>
          <w:rFonts w:ascii="Arial" w:hAnsi="Arial" w:cs="Arial"/>
          <w:szCs w:val="24"/>
        </w:rPr>
        <w:noBreakHyphen/>
      </w:r>
      <w:r w:rsidRPr="00936DE2">
        <w:rPr>
          <w:rFonts w:ascii="Arial" w:hAnsi="Arial" w:cs="Arial"/>
          <w:szCs w:val="24"/>
        </w:rPr>
        <w:t>20</w:t>
      </w:r>
      <w:r>
        <w:rPr>
          <w:rFonts w:ascii="Arial" w:hAnsi="Arial" w:cs="Arial"/>
          <w:szCs w:val="24"/>
        </w:rPr>
        <w:t>1</w:t>
      </w:r>
      <w:r w:rsidR="00DB4CEB">
        <w:rPr>
          <w:rFonts w:ascii="Arial" w:hAnsi="Arial" w:cs="Arial"/>
          <w:szCs w:val="24"/>
        </w:rPr>
        <w:t>4</w:t>
      </w:r>
      <w:r>
        <w:rPr>
          <w:rFonts w:ascii="Arial" w:hAnsi="Arial" w:cs="Arial"/>
          <w:szCs w:val="24"/>
        </w:rPr>
        <w:noBreakHyphen/>
      </w:r>
      <w:r w:rsidR="00FB7AC0">
        <w:rPr>
          <w:rFonts w:ascii="Arial" w:hAnsi="Arial" w:cs="Arial"/>
          <w:szCs w:val="24"/>
        </w:rPr>
        <w:t>2403464</w:t>
      </w:r>
      <w:r w:rsidRPr="00936DE2">
        <w:rPr>
          <w:rFonts w:ascii="Arial" w:hAnsi="Arial" w:cs="Arial"/>
          <w:szCs w:val="24"/>
        </w:rPr>
        <w:t>.</w:t>
      </w:r>
    </w:p>
    <w:p w:rsidR="00F70EA8" w:rsidRDefault="00F70EA8" w:rsidP="00F70EA8">
      <w:pPr>
        <w:tabs>
          <w:tab w:val="center" w:pos="4680"/>
        </w:tabs>
        <w:suppressAutoHyphens/>
        <w:ind w:left="90" w:hanging="90"/>
        <w:rPr>
          <w:rFonts w:ascii="Arial" w:hAnsi="Arial" w:cs="Arial"/>
          <w:szCs w:val="24"/>
        </w:rPr>
      </w:pPr>
    </w:p>
    <w:p w:rsidR="00F70EA8" w:rsidRPr="00BE0936" w:rsidRDefault="007621CE" w:rsidP="007621CE">
      <w:pPr>
        <w:tabs>
          <w:tab w:val="center" w:pos="4680"/>
        </w:tabs>
        <w:suppressAutoHyphens/>
        <w:ind w:hanging="90"/>
        <w:jc w:val="left"/>
        <w:rPr>
          <w:rFonts w:ascii="Arial" w:hAnsi="Arial" w:cs="Arial"/>
          <w:szCs w:val="24"/>
        </w:rPr>
      </w:pPr>
      <w:r>
        <w:rPr>
          <w:rFonts w:ascii="Arial" w:hAnsi="Arial" w:cs="Arial"/>
          <w:szCs w:val="24"/>
        </w:rPr>
        <w:t xml:space="preserve"> </w:t>
      </w:r>
      <w:r w:rsidR="00F70EA8" w:rsidRPr="00BE0936">
        <w:rPr>
          <w:rFonts w:ascii="Arial" w:hAnsi="Arial" w:cs="Arial"/>
          <w:szCs w:val="24"/>
        </w:rPr>
        <w:t>Notes to the Fi</w:t>
      </w:r>
      <w:r w:rsidR="00F70EA8">
        <w:rPr>
          <w:rFonts w:ascii="Arial" w:hAnsi="Arial" w:cs="Arial"/>
          <w:szCs w:val="24"/>
        </w:rPr>
        <w:t>nancial Statement</w:t>
      </w:r>
      <w:r w:rsidR="00D4707F">
        <w:rPr>
          <w:rFonts w:ascii="Arial" w:hAnsi="Arial" w:cs="Arial"/>
          <w:szCs w:val="24"/>
        </w:rPr>
        <w:t>s</w:t>
      </w:r>
      <w:r w:rsidR="00F70EA8" w:rsidRPr="00BE0936">
        <w:rPr>
          <w:rFonts w:ascii="Arial" w:hAnsi="Arial" w:cs="Arial"/>
          <w:szCs w:val="24"/>
        </w:rPr>
        <w:t xml:space="preserve"> are an integral part of this report.</w:t>
      </w:r>
    </w:p>
    <w:p w:rsidR="00F05A87" w:rsidRDefault="00F05A87">
      <w:pPr>
        <w:rPr>
          <w:rFonts w:ascii="Arial" w:hAnsi="Arial" w:cs="Arial"/>
          <w:b/>
          <w:sz w:val="26"/>
          <w:szCs w:val="26"/>
        </w:rPr>
      </w:pPr>
      <w:r>
        <w:rPr>
          <w:rFonts w:ascii="Arial" w:hAnsi="Arial" w:cs="Arial"/>
          <w:b/>
          <w:sz w:val="26"/>
          <w:szCs w:val="26"/>
        </w:rPr>
        <w:br w:type="page"/>
      </w:r>
    </w:p>
    <w:p w:rsidR="00F70EA8" w:rsidRPr="0077381F" w:rsidRDefault="00F70EA8" w:rsidP="00F70EA8">
      <w:pPr>
        <w:tabs>
          <w:tab w:val="center" w:pos="4680"/>
        </w:tabs>
        <w:suppressAutoHyphens/>
        <w:rPr>
          <w:rFonts w:ascii="Arial" w:hAnsi="Arial" w:cs="Arial"/>
          <w:b/>
          <w:sz w:val="26"/>
          <w:szCs w:val="26"/>
        </w:rPr>
      </w:pPr>
      <w:r w:rsidRPr="0077381F">
        <w:rPr>
          <w:rFonts w:ascii="Arial" w:hAnsi="Arial" w:cs="Arial"/>
          <w:b/>
          <w:sz w:val="26"/>
          <w:szCs w:val="26"/>
        </w:rPr>
        <w:lastRenderedPageBreak/>
        <w:t>PECO ENERGY COMPANY</w:t>
      </w:r>
    </w:p>
    <w:p w:rsidR="00F70EA8" w:rsidRDefault="00F70EA8" w:rsidP="00F70EA8">
      <w:pPr>
        <w:tabs>
          <w:tab w:val="left" w:pos="-1440"/>
          <w:tab w:val="left" w:pos="-720"/>
          <w:tab w:val="left" w:pos="864"/>
          <w:tab w:val="left" w:pos="5040"/>
          <w:tab w:val="left" w:pos="7056"/>
        </w:tabs>
        <w:suppressAutoHyphens/>
        <w:rPr>
          <w:rFonts w:ascii="Arial" w:hAnsi="Arial" w:cs="Arial"/>
          <w:szCs w:val="24"/>
        </w:rPr>
      </w:pPr>
    </w:p>
    <w:p w:rsidR="00F70EA8" w:rsidRDefault="00F70EA8" w:rsidP="00F70EA8">
      <w:pPr>
        <w:rPr>
          <w:rFonts w:ascii="Arial" w:hAnsi="Arial" w:cs="Arial"/>
          <w:b/>
          <w:sz w:val="26"/>
          <w:szCs w:val="26"/>
        </w:rPr>
      </w:pPr>
      <w:r>
        <w:rPr>
          <w:rFonts w:ascii="Arial" w:hAnsi="Arial" w:cs="Arial"/>
          <w:b/>
          <w:sz w:val="26"/>
          <w:szCs w:val="26"/>
        </w:rPr>
        <w:t>Condensed (Note 1)</w:t>
      </w:r>
    </w:p>
    <w:p w:rsidR="00F70EA8" w:rsidRDefault="00F70EA8" w:rsidP="00F70EA8">
      <w:pPr>
        <w:rPr>
          <w:rFonts w:ascii="Arial" w:hAnsi="Arial" w:cs="Arial"/>
          <w:b/>
          <w:sz w:val="26"/>
          <w:szCs w:val="26"/>
        </w:rPr>
      </w:pPr>
      <w:r w:rsidRPr="00470786">
        <w:rPr>
          <w:rFonts w:ascii="Arial" w:hAnsi="Arial" w:cs="Arial"/>
          <w:b/>
          <w:sz w:val="26"/>
          <w:szCs w:val="26"/>
        </w:rPr>
        <w:t xml:space="preserve">Statement Of </w:t>
      </w:r>
      <w:r w:rsidRPr="00ED0DE1">
        <w:rPr>
          <w:rFonts w:ascii="Arial" w:hAnsi="Arial" w:cs="Arial"/>
          <w:b/>
          <w:sz w:val="26"/>
          <w:szCs w:val="26"/>
        </w:rPr>
        <w:t xml:space="preserve">Generation Supply Adjustment (GSA) </w:t>
      </w:r>
    </w:p>
    <w:p w:rsidR="008F0B3F" w:rsidRDefault="00F70EA8" w:rsidP="00F70EA8">
      <w:pPr>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ED0DE1">
        <w:rPr>
          <w:rFonts w:ascii="Arial" w:hAnsi="Arial" w:cs="Arial"/>
          <w:b/>
          <w:sz w:val="26"/>
          <w:szCs w:val="26"/>
        </w:rPr>
        <w:t xml:space="preserve">Section </w:t>
      </w:r>
      <w:r w:rsidR="008F0B3F">
        <w:rPr>
          <w:rFonts w:ascii="Arial" w:hAnsi="Arial" w:cs="Arial"/>
          <w:b/>
          <w:sz w:val="26"/>
          <w:szCs w:val="26"/>
        </w:rPr>
        <w:t>1307(e)</w:t>
      </w:r>
    </w:p>
    <w:p w:rsidR="00F70EA8" w:rsidRPr="00ED0DE1" w:rsidRDefault="00F70EA8" w:rsidP="00F70EA8">
      <w:pPr>
        <w:rPr>
          <w:rFonts w:ascii="Arial" w:hAnsi="Arial" w:cs="Arial"/>
          <w:b/>
          <w:sz w:val="26"/>
          <w:szCs w:val="26"/>
        </w:rPr>
      </w:pPr>
      <w:r w:rsidRPr="00ED0DE1">
        <w:rPr>
          <w:rFonts w:ascii="Arial" w:hAnsi="Arial" w:cs="Arial"/>
          <w:b/>
          <w:sz w:val="26"/>
          <w:szCs w:val="26"/>
        </w:rPr>
        <w:t>For The Twelve Months Ended December 31, 201</w:t>
      </w:r>
      <w:r>
        <w:rPr>
          <w:rFonts w:ascii="Arial" w:hAnsi="Arial" w:cs="Arial"/>
          <w:b/>
          <w:sz w:val="26"/>
          <w:szCs w:val="26"/>
        </w:rPr>
        <w:t>2*</w:t>
      </w:r>
    </w:p>
    <w:p w:rsidR="00F70EA8" w:rsidRPr="0077381F" w:rsidRDefault="00F70EA8" w:rsidP="00F70EA8">
      <w:pPr>
        <w:tabs>
          <w:tab w:val="center" w:pos="4680"/>
        </w:tabs>
        <w:suppressAutoHyphens/>
        <w:rPr>
          <w:rFonts w:ascii="Arial" w:hAnsi="Arial" w:cs="Arial"/>
          <w:szCs w:val="24"/>
        </w:rPr>
      </w:pPr>
    </w:p>
    <w:p w:rsidR="00F70EA8" w:rsidRPr="008E7086" w:rsidRDefault="00F70EA8" w:rsidP="00F70EA8">
      <w:pPr>
        <w:tabs>
          <w:tab w:val="center" w:pos="4680"/>
        </w:tabs>
        <w:suppressAutoHyphens/>
        <w:rPr>
          <w:rFonts w:ascii="Arial" w:hAnsi="Arial" w:cs="Arial"/>
          <w:szCs w:val="24"/>
        </w:rPr>
      </w:pPr>
    </w:p>
    <w:tbl>
      <w:tblPr>
        <w:tblpPr w:leftFromText="180" w:rightFromText="180" w:vertAnchor="page" w:horzAnchor="margin" w:tblpXSpec="center" w:tblpY="4121"/>
        <w:tblW w:w="9468" w:type="dxa"/>
        <w:tblLook w:val="0000" w:firstRow="0" w:lastRow="0" w:firstColumn="0" w:lastColumn="0" w:noHBand="0" w:noVBand="0"/>
      </w:tblPr>
      <w:tblGrid>
        <w:gridCol w:w="2448"/>
        <w:gridCol w:w="241"/>
        <w:gridCol w:w="2099"/>
        <w:gridCol w:w="246"/>
        <w:gridCol w:w="2184"/>
        <w:gridCol w:w="270"/>
        <w:gridCol w:w="1980"/>
      </w:tblGrid>
      <w:tr w:rsidR="00B50BA6" w:rsidRPr="008E7086" w:rsidTr="00343A1D">
        <w:trPr>
          <w:trHeight w:val="812"/>
        </w:trPr>
        <w:tc>
          <w:tcPr>
            <w:tcW w:w="2448" w:type="dxa"/>
            <w:noWrap/>
          </w:tcPr>
          <w:p w:rsidR="00B50BA6" w:rsidRPr="001822BA" w:rsidRDefault="00B50BA6" w:rsidP="00B50BA6">
            <w:pPr>
              <w:rPr>
                <w:rFonts w:ascii="Arial" w:hAnsi="Arial" w:cs="Arial"/>
                <w:u w:val="single"/>
              </w:rPr>
            </w:pPr>
          </w:p>
          <w:p w:rsidR="00B50BA6" w:rsidRPr="001822BA" w:rsidRDefault="00B50BA6" w:rsidP="00B50BA6">
            <w:pPr>
              <w:rPr>
                <w:rFonts w:ascii="Arial" w:hAnsi="Arial" w:cs="Arial"/>
                <w:u w:val="single"/>
              </w:rPr>
            </w:pPr>
          </w:p>
          <w:p w:rsidR="00B50BA6" w:rsidRPr="001822BA" w:rsidRDefault="00B50BA6" w:rsidP="00B50BA6">
            <w:pPr>
              <w:rPr>
                <w:rFonts w:ascii="Arial" w:hAnsi="Arial" w:cs="Arial"/>
                <w:u w:val="single"/>
              </w:rPr>
            </w:pPr>
          </w:p>
          <w:p w:rsidR="00B50BA6" w:rsidRPr="001822BA" w:rsidRDefault="00B50BA6" w:rsidP="00B50BA6">
            <w:pPr>
              <w:rPr>
                <w:rFonts w:ascii="Arial" w:hAnsi="Arial" w:cs="Arial"/>
              </w:rPr>
            </w:pPr>
          </w:p>
          <w:p w:rsidR="00B50BA6" w:rsidRPr="008C0642" w:rsidRDefault="00B50BA6" w:rsidP="00B50BA6">
            <w:pPr>
              <w:rPr>
                <w:rFonts w:ascii="Arial" w:hAnsi="Arial" w:cs="Arial"/>
                <w:b/>
                <w:u w:val="single"/>
              </w:rPr>
            </w:pPr>
            <w:r w:rsidRPr="008C0642">
              <w:rPr>
                <w:rFonts w:ascii="Arial" w:hAnsi="Arial" w:cs="Arial"/>
                <w:b/>
                <w:u w:val="single"/>
              </w:rPr>
              <w:t>Rate Class</w:t>
            </w:r>
          </w:p>
        </w:tc>
        <w:tc>
          <w:tcPr>
            <w:tcW w:w="241" w:type="dxa"/>
          </w:tcPr>
          <w:p w:rsidR="00B50BA6" w:rsidRPr="001822BA" w:rsidRDefault="00B50BA6" w:rsidP="00B50BA6">
            <w:pPr>
              <w:rPr>
                <w:rFonts w:ascii="Arial" w:hAnsi="Arial" w:cs="Arial"/>
              </w:rPr>
            </w:pPr>
          </w:p>
        </w:tc>
        <w:tc>
          <w:tcPr>
            <w:tcW w:w="2099" w:type="dxa"/>
            <w:noWrap/>
            <w:vAlign w:val="bottom"/>
          </w:tcPr>
          <w:p w:rsidR="00B50BA6" w:rsidRPr="001822BA" w:rsidRDefault="00B50BA6" w:rsidP="00B50BA6">
            <w:pPr>
              <w:rPr>
                <w:rFonts w:ascii="Arial" w:hAnsi="Arial" w:cs="Arial"/>
              </w:rPr>
            </w:pPr>
          </w:p>
          <w:p w:rsidR="00B50BA6" w:rsidRPr="001822BA" w:rsidRDefault="00B50BA6" w:rsidP="00B50BA6">
            <w:pPr>
              <w:rPr>
                <w:rFonts w:ascii="Arial" w:hAnsi="Arial" w:cs="Arial"/>
              </w:rPr>
            </w:pPr>
          </w:p>
          <w:p w:rsidR="00B50BA6" w:rsidRPr="008C0642" w:rsidRDefault="00B50BA6" w:rsidP="00B50BA6">
            <w:pPr>
              <w:rPr>
                <w:rFonts w:ascii="Arial" w:hAnsi="Arial" w:cs="Arial"/>
                <w:b/>
                <w:u w:val="single"/>
              </w:rPr>
            </w:pPr>
            <w:r w:rsidRPr="008C0642">
              <w:rPr>
                <w:rFonts w:ascii="Arial" w:hAnsi="Arial" w:cs="Arial"/>
                <w:b/>
                <w:u w:val="single"/>
              </w:rPr>
              <w:t>GSA Revenues</w:t>
            </w:r>
          </w:p>
        </w:tc>
        <w:tc>
          <w:tcPr>
            <w:tcW w:w="246" w:type="dxa"/>
          </w:tcPr>
          <w:p w:rsidR="00B50BA6" w:rsidRPr="001822BA" w:rsidRDefault="00B50BA6" w:rsidP="00B50BA6">
            <w:pPr>
              <w:rPr>
                <w:rFonts w:ascii="Arial" w:hAnsi="Arial" w:cs="Arial"/>
              </w:rPr>
            </w:pPr>
          </w:p>
        </w:tc>
        <w:tc>
          <w:tcPr>
            <w:tcW w:w="2184" w:type="dxa"/>
            <w:noWrap/>
            <w:vAlign w:val="bottom"/>
          </w:tcPr>
          <w:p w:rsidR="00B50BA6" w:rsidRPr="001822BA" w:rsidRDefault="00B50BA6" w:rsidP="00B50BA6">
            <w:pPr>
              <w:rPr>
                <w:rFonts w:ascii="Arial" w:hAnsi="Arial" w:cs="Arial"/>
              </w:rPr>
            </w:pPr>
          </w:p>
          <w:p w:rsidR="00B50BA6" w:rsidRPr="001822BA" w:rsidRDefault="00B50BA6" w:rsidP="00B50BA6">
            <w:pPr>
              <w:rPr>
                <w:rFonts w:ascii="Arial" w:hAnsi="Arial" w:cs="Arial"/>
              </w:rPr>
            </w:pPr>
          </w:p>
          <w:p w:rsidR="00B50BA6" w:rsidRPr="001822BA" w:rsidRDefault="00B50BA6" w:rsidP="00B50BA6">
            <w:pPr>
              <w:rPr>
                <w:rFonts w:ascii="Arial" w:hAnsi="Arial" w:cs="Arial"/>
              </w:rPr>
            </w:pPr>
          </w:p>
          <w:p w:rsidR="00B50BA6" w:rsidRPr="008C0642" w:rsidRDefault="00B50BA6" w:rsidP="00B50BA6">
            <w:pPr>
              <w:rPr>
                <w:rFonts w:ascii="Arial" w:hAnsi="Arial" w:cs="Arial"/>
                <w:b/>
                <w:u w:val="single"/>
              </w:rPr>
            </w:pPr>
            <w:r w:rsidRPr="008C0642">
              <w:rPr>
                <w:rFonts w:ascii="Arial" w:hAnsi="Arial" w:cs="Arial"/>
                <w:b/>
                <w:u w:val="single"/>
              </w:rPr>
              <w:t>GSA Costs</w:t>
            </w:r>
          </w:p>
        </w:tc>
        <w:tc>
          <w:tcPr>
            <w:tcW w:w="270" w:type="dxa"/>
          </w:tcPr>
          <w:p w:rsidR="00B50BA6" w:rsidRPr="001822BA" w:rsidRDefault="00B50BA6" w:rsidP="00B50BA6">
            <w:pPr>
              <w:rPr>
                <w:rFonts w:ascii="Arial" w:hAnsi="Arial" w:cs="Arial"/>
              </w:rPr>
            </w:pPr>
          </w:p>
        </w:tc>
        <w:tc>
          <w:tcPr>
            <w:tcW w:w="1980" w:type="dxa"/>
            <w:noWrap/>
            <w:vAlign w:val="bottom"/>
          </w:tcPr>
          <w:p w:rsidR="00B50BA6" w:rsidRPr="001822BA" w:rsidRDefault="00B50BA6" w:rsidP="00B50BA6">
            <w:pPr>
              <w:rPr>
                <w:rFonts w:ascii="Arial" w:hAnsi="Arial" w:cs="Arial"/>
              </w:rPr>
            </w:pPr>
          </w:p>
          <w:p w:rsidR="00B50BA6" w:rsidRPr="001822BA" w:rsidRDefault="00B50BA6" w:rsidP="00B50BA6">
            <w:pPr>
              <w:rPr>
                <w:rFonts w:ascii="Arial" w:hAnsi="Arial" w:cs="Arial"/>
              </w:rPr>
            </w:pPr>
          </w:p>
          <w:p w:rsidR="00B50BA6" w:rsidRPr="008C0642" w:rsidRDefault="00B50BA6" w:rsidP="00B50BA6">
            <w:pPr>
              <w:rPr>
                <w:rFonts w:ascii="Arial" w:hAnsi="Arial" w:cs="Arial"/>
                <w:b/>
              </w:rPr>
            </w:pPr>
            <w:r w:rsidRPr="008C0642">
              <w:rPr>
                <w:rFonts w:ascii="Arial" w:hAnsi="Arial" w:cs="Arial"/>
                <w:b/>
              </w:rPr>
              <w:t>Over/(Under)</w:t>
            </w:r>
          </w:p>
          <w:p w:rsidR="00B50BA6" w:rsidRPr="008C0642" w:rsidRDefault="00B50BA6" w:rsidP="00B50BA6">
            <w:pPr>
              <w:rPr>
                <w:rFonts w:ascii="Arial" w:hAnsi="Arial" w:cs="Arial"/>
                <w:u w:val="single"/>
              </w:rPr>
            </w:pPr>
            <w:r w:rsidRPr="008C0642">
              <w:rPr>
                <w:rFonts w:ascii="Arial" w:hAnsi="Arial" w:cs="Arial"/>
                <w:b/>
                <w:u w:val="single"/>
              </w:rPr>
              <w:t>Collections</w:t>
            </w:r>
          </w:p>
        </w:tc>
      </w:tr>
      <w:tr w:rsidR="00B50BA6" w:rsidRPr="008E7086" w:rsidTr="00343A1D">
        <w:trPr>
          <w:trHeight w:val="83"/>
        </w:trPr>
        <w:tc>
          <w:tcPr>
            <w:tcW w:w="2448" w:type="dxa"/>
            <w:noWrap/>
          </w:tcPr>
          <w:p w:rsidR="00B50BA6" w:rsidRPr="008E7086" w:rsidRDefault="00B50BA6" w:rsidP="00B50BA6">
            <w:pPr>
              <w:rPr>
                <w:rFonts w:ascii="Arial" w:hAnsi="Arial" w:cs="Arial"/>
              </w:rPr>
            </w:pPr>
          </w:p>
        </w:tc>
        <w:tc>
          <w:tcPr>
            <w:tcW w:w="241" w:type="dxa"/>
          </w:tcPr>
          <w:p w:rsidR="00B50BA6" w:rsidRPr="001822BA" w:rsidRDefault="00B50BA6" w:rsidP="00B50BA6">
            <w:pPr>
              <w:rPr>
                <w:rFonts w:ascii="Arial" w:hAnsi="Arial" w:cs="Arial"/>
              </w:rPr>
            </w:pPr>
          </w:p>
        </w:tc>
        <w:tc>
          <w:tcPr>
            <w:tcW w:w="2099" w:type="dxa"/>
            <w:noWrap/>
          </w:tcPr>
          <w:p w:rsidR="00B50BA6" w:rsidRPr="001822BA" w:rsidRDefault="00B50BA6" w:rsidP="00B50BA6">
            <w:pPr>
              <w:rPr>
                <w:rFonts w:ascii="Arial" w:hAnsi="Arial" w:cs="Arial"/>
              </w:rPr>
            </w:pPr>
            <w:r>
              <w:rPr>
                <w:rFonts w:ascii="Arial" w:hAnsi="Arial" w:cs="Arial"/>
              </w:rPr>
              <w:t>(1)</w:t>
            </w:r>
          </w:p>
        </w:tc>
        <w:tc>
          <w:tcPr>
            <w:tcW w:w="246" w:type="dxa"/>
          </w:tcPr>
          <w:p w:rsidR="00B50BA6" w:rsidRPr="001822BA" w:rsidRDefault="00B50BA6" w:rsidP="00B50BA6">
            <w:pPr>
              <w:rPr>
                <w:rFonts w:ascii="Arial" w:hAnsi="Arial" w:cs="Arial"/>
              </w:rPr>
            </w:pPr>
          </w:p>
        </w:tc>
        <w:tc>
          <w:tcPr>
            <w:tcW w:w="2184" w:type="dxa"/>
            <w:noWrap/>
          </w:tcPr>
          <w:p w:rsidR="00B50BA6" w:rsidRPr="001822BA" w:rsidRDefault="00B50BA6" w:rsidP="00B50BA6">
            <w:pPr>
              <w:rPr>
                <w:rFonts w:ascii="Arial" w:hAnsi="Arial" w:cs="Arial"/>
              </w:rPr>
            </w:pPr>
            <w:r>
              <w:rPr>
                <w:rFonts w:ascii="Arial" w:hAnsi="Arial" w:cs="Arial"/>
              </w:rPr>
              <w:t>(2)</w:t>
            </w:r>
          </w:p>
        </w:tc>
        <w:tc>
          <w:tcPr>
            <w:tcW w:w="270" w:type="dxa"/>
          </w:tcPr>
          <w:p w:rsidR="00B50BA6" w:rsidRPr="001822BA" w:rsidRDefault="00B50BA6" w:rsidP="00B50BA6">
            <w:pPr>
              <w:rPr>
                <w:rFonts w:ascii="Arial" w:hAnsi="Arial" w:cs="Arial"/>
              </w:rPr>
            </w:pPr>
          </w:p>
        </w:tc>
        <w:tc>
          <w:tcPr>
            <w:tcW w:w="1980" w:type="dxa"/>
            <w:noWrap/>
          </w:tcPr>
          <w:p w:rsidR="00B50BA6" w:rsidRPr="001822BA" w:rsidRDefault="00B50BA6" w:rsidP="00B50BA6">
            <w:pPr>
              <w:rPr>
                <w:rFonts w:ascii="Arial" w:hAnsi="Arial" w:cs="Arial"/>
              </w:rPr>
            </w:pPr>
            <w:r>
              <w:rPr>
                <w:rFonts w:ascii="Arial" w:hAnsi="Arial" w:cs="Arial"/>
              </w:rPr>
              <w:t>(3)=(1)-(2)</w:t>
            </w:r>
          </w:p>
        </w:tc>
      </w:tr>
      <w:tr w:rsidR="00B50BA6" w:rsidRPr="008E7086" w:rsidTr="007D7C40">
        <w:trPr>
          <w:trHeight w:val="83"/>
        </w:trPr>
        <w:tc>
          <w:tcPr>
            <w:tcW w:w="2448" w:type="dxa"/>
            <w:noWrap/>
          </w:tcPr>
          <w:p w:rsidR="00B50BA6" w:rsidRPr="008E7086" w:rsidRDefault="00B50BA6" w:rsidP="00B50BA6">
            <w:pPr>
              <w:rPr>
                <w:rFonts w:ascii="Arial" w:hAnsi="Arial" w:cs="Arial"/>
              </w:rPr>
            </w:pPr>
          </w:p>
        </w:tc>
        <w:tc>
          <w:tcPr>
            <w:tcW w:w="241" w:type="dxa"/>
          </w:tcPr>
          <w:p w:rsidR="00B50BA6" w:rsidRPr="001822BA" w:rsidRDefault="00B50BA6" w:rsidP="00B50BA6">
            <w:pPr>
              <w:rPr>
                <w:rFonts w:ascii="Arial" w:hAnsi="Arial" w:cs="Arial"/>
              </w:rPr>
            </w:pPr>
          </w:p>
        </w:tc>
        <w:tc>
          <w:tcPr>
            <w:tcW w:w="2099" w:type="dxa"/>
            <w:noWrap/>
          </w:tcPr>
          <w:p w:rsidR="00B50BA6" w:rsidRPr="001822BA" w:rsidRDefault="00B50BA6" w:rsidP="00B50BA6">
            <w:pPr>
              <w:rPr>
                <w:rFonts w:ascii="Arial" w:hAnsi="Arial" w:cs="Arial"/>
              </w:rPr>
            </w:pPr>
            <w:r w:rsidRPr="001822BA">
              <w:rPr>
                <w:rFonts w:ascii="Arial" w:hAnsi="Arial" w:cs="Arial"/>
              </w:rPr>
              <w:t xml:space="preserve">(Note </w:t>
            </w:r>
            <w:r>
              <w:rPr>
                <w:rFonts w:ascii="Arial" w:hAnsi="Arial" w:cs="Arial"/>
              </w:rPr>
              <w:t>2</w:t>
            </w:r>
            <w:r w:rsidRPr="001822BA">
              <w:rPr>
                <w:rFonts w:ascii="Arial" w:hAnsi="Arial" w:cs="Arial"/>
              </w:rPr>
              <w:t>)</w:t>
            </w:r>
          </w:p>
        </w:tc>
        <w:tc>
          <w:tcPr>
            <w:tcW w:w="246" w:type="dxa"/>
          </w:tcPr>
          <w:p w:rsidR="00B50BA6" w:rsidRPr="001822BA" w:rsidRDefault="00B50BA6" w:rsidP="00B50BA6">
            <w:pPr>
              <w:rPr>
                <w:rFonts w:ascii="Arial" w:hAnsi="Arial" w:cs="Arial"/>
              </w:rPr>
            </w:pPr>
          </w:p>
        </w:tc>
        <w:tc>
          <w:tcPr>
            <w:tcW w:w="2184" w:type="dxa"/>
            <w:noWrap/>
          </w:tcPr>
          <w:p w:rsidR="00B50BA6" w:rsidRPr="001822BA" w:rsidRDefault="00B50BA6" w:rsidP="00B50BA6">
            <w:pPr>
              <w:rPr>
                <w:rFonts w:ascii="Arial" w:hAnsi="Arial" w:cs="Arial"/>
              </w:rPr>
            </w:pPr>
            <w:r w:rsidRPr="001822BA">
              <w:rPr>
                <w:rFonts w:ascii="Arial" w:hAnsi="Arial" w:cs="Arial"/>
              </w:rPr>
              <w:t xml:space="preserve">(Note </w:t>
            </w:r>
            <w:r>
              <w:rPr>
                <w:rFonts w:ascii="Arial" w:hAnsi="Arial" w:cs="Arial"/>
              </w:rPr>
              <w:t>3</w:t>
            </w:r>
            <w:r w:rsidRPr="001822BA">
              <w:rPr>
                <w:rFonts w:ascii="Arial" w:hAnsi="Arial" w:cs="Arial"/>
              </w:rPr>
              <w:t>)</w:t>
            </w:r>
          </w:p>
        </w:tc>
        <w:tc>
          <w:tcPr>
            <w:tcW w:w="270" w:type="dxa"/>
          </w:tcPr>
          <w:p w:rsidR="00B50BA6" w:rsidRPr="001822BA" w:rsidRDefault="00B50BA6" w:rsidP="00B50BA6">
            <w:pPr>
              <w:rPr>
                <w:rFonts w:ascii="Arial" w:hAnsi="Arial" w:cs="Arial"/>
              </w:rPr>
            </w:pPr>
          </w:p>
        </w:tc>
        <w:tc>
          <w:tcPr>
            <w:tcW w:w="1980" w:type="dxa"/>
            <w:noWrap/>
          </w:tcPr>
          <w:p w:rsidR="00B50BA6" w:rsidRPr="001822BA" w:rsidRDefault="00B50BA6" w:rsidP="00B50BA6">
            <w:pPr>
              <w:rPr>
                <w:rFonts w:ascii="Arial" w:hAnsi="Arial" w:cs="Arial"/>
              </w:rPr>
            </w:pPr>
            <w:r w:rsidRPr="001822BA">
              <w:rPr>
                <w:rFonts w:ascii="Arial" w:hAnsi="Arial" w:cs="Arial"/>
              </w:rPr>
              <w:t xml:space="preserve">(Note </w:t>
            </w:r>
            <w:r>
              <w:rPr>
                <w:rFonts w:ascii="Arial" w:hAnsi="Arial" w:cs="Arial"/>
              </w:rPr>
              <w:t>4</w:t>
            </w:r>
            <w:r w:rsidRPr="001822BA">
              <w:rPr>
                <w:rFonts w:ascii="Arial" w:hAnsi="Arial" w:cs="Arial"/>
              </w:rPr>
              <w:t>)</w:t>
            </w:r>
          </w:p>
        </w:tc>
      </w:tr>
      <w:tr w:rsidR="00F70EA8" w:rsidRPr="008E7086" w:rsidTr="007D7C40">
        <w:trPr>
          <w:trHeight w:val="83"/>
        </w:trPr>
        <w:tc>
          <w:tcPr>
            <w:tcW w:w="2448" w:type="dxa"/>
            <w:noWrap/>
          </w:tcPr>
          <w:p w:rsidR="00F70EA8" w:rsidRPr="008E7086" w:rsidRDefault="00F70EA8" w:rsidP="007D7C40">
            <w:pPr>
              <w:rPr>
                <w:rFonts w:ascii="Arial" w:hAnsi="Arial" w:cs="Arial"/>
              </w:rPr>
            </w:pPr>
          </w:p>
        </w:tc>
        <w:tc>
          <w:tcPr>
            <w:tcW w:w="241" w:type="dxa"/>
          </w:tcPr>
          <w:p w:rsidR="00F70EA8" w:rsidRPr="008E7086" w:rsidRDefault="00F70EA8" w:rsidP="007D7C40">
            <w:pPr>
              <w:rPr>
                <w:rFonts w:ascii="Arial" w:hAnsi="Arial" w:cs="Arial"/>
              </w:rPr>
            </w:pPr>
          </w:p>
        </w:tc>
        <w:tc>
          <w:tcPr>
            <w:tcW w:w="2099" w:type="dxa"/>
            <w:noWrap/>
          </w:tcPr>
          <w:p w:rsidR="00F70EA8" w:rsidRPr="008E7086" w:rsidRDefault="00F70EA8" w:rsidP="007D7C40">
            <w:pPr>
              <w:rPr>
                <w:rFonts w:ascii="Arial" w:hAnsi="Arial" w:cs="Arial"/>
              </w:rPr>
            </w:pPr>
          </w:p>
        </w:tc>
        <w:tc>
          <w:tcPr>
            <w:tcW w:w="246" w:type="dxa"/>
          </w:tcPr>
          <w:p w:rsidR="00F70EA8" w:rsidRPr="008E7086" w:rsidRDefault="00F70EA8" w:rsidP="007D7C40">
            <w:pPr>
              <w:rPr>
                <w:rFonts w:ascii="Arial" w:hAnsi="Arial" w:cs="Arial"/>
              </w:rPr>
            </w:pPr>
          </w:p>
        </w:tc>
        <w:tc>
          <w:tcPr>
            <w:tcW w:w="2184" w:type="dxa"/>
            <w:noWrap/>
          </w:tcPr>
          <w:p w:rsidR="00F70EA8" w:rsidRPr="008E7086" w:rsidRDefault="00F70EA8" w:rsidP="007D7C40">
            <w:pPr>
              <w:rPr>
                <w:rFonts w:ascii="Arial" w:hAnsi="Arial" w:cs="Arial"/>
              </w:rPr>
            </w:pPr>
          </w:p>
        </w:tc>
        <w:tc>
          <w:tcPr>
            <w:tcW w:w="270" w:type="dxa"/>
          </w:tcPr>
          <w:p w:rsidR="00F70EA8" w:rsidRPr="008E7086" w:rsidRDefault="00F70EA8" w:rsidP="007D7C40">
            <w:pPr>
              <w:rPr>
                <w:rFonts w:ascii="Arial" w:hAnsi="Arial" w:cs="Arial"/>
              </w:rPr>
            </w:pPr>
          </w:p>
        </w:tc>
        <w:tc>
          <w:tcPr>
            <w:tcW w:w="1980" w:type="dxa"/>
            <w:noWrap/>
          </w:tcPr>
          <w:p w:rsidR="00F70EA8" w:rsidRPr="008E7086" w:rsidRDefault="00F70EA8" w:rsidP="007D7C40">
            <w:pPr>
              <w:rPr>
                <w:rFonts w:ascii="Arial" w:hAnsi="Arial" w:cs="Arial"/>
              </w:rPr>
            </w:pPr>
          </w:p>
        </w:tc>
      </w:tr>
      <w:tr w:rsidR="00F70EA8" w:rsidRPr="008E7086" w:rsidTr="007D7C40">
        <w:trPr>
          <w:trHeight w:val="209"/>
        </w:trPr>
        <w:tc>
          <w:tcPr>
            <w:tcW w:w="2448" w:type="dxa"/>
            <w:noWrap/>
            <w:vAlign w:val="bottom"/>
          </w:tcPr>
          <w:p w:rsidR="00F70EA8" w:rsidRPr="008E7086" w:rsidRDefault="00F70EA8" w:rsidP="007D7C40">
            <w:pPr>
              <w:jc w:val="left"/>
              <w:rPr>
                <w:rFonts w:ascii="Arial" w:hAnsi="Arial" w:cs="Arial"/>
              </w:rPr>
            </w:pPr>
            <w:r w:rsidRPr="008E7086">
              <w:rPr>
                <w:rFonts w:ascii="Arial" w:hAnsi="Arial" w:cs="Arial"/>
              </w:rPr>
              <w:t>Residential</w:t>
            </w:r>
          </w:p>
        </w:tc>
        <w:tc>
          <w:tcPr>
            <w:tcW w:w="241" w:type="dxa"/>
          </w:tcPr>
          <w:p w:rsidR="00F70EA8" w:rsidRPr="008E7086" w:rsidRDefault="00F70EA8" w:rsidP="007D7C40">
            <w:pPr>
              <w:jc w:val="right"/>
              <w:rPr>
                <w:rFonts w:ascii="Arial" w:hAnsi="Arial" w:cs="Arial"/>
              </w:rPr>
            </w:pPr>
          </w:p>
        </w:tc>
        <w:tc>
          <w:tcPr>
            <w:tcW w:w="2099" w:type="dxa"/>
            <w:noWrap/>
          </w:tcPr>
          <w:p w:rsidR="00F70EA8" w:rsidRPr="008E7086" w:rsidRDefault="00F70EA8" w:rsidP="003F26F8">
            <w:pPr>
              <w:jc w:val="right"/>
              <w:rPr>
                <w:rFonts w:ascii="Arial" w:hAnsi="Arial" w:cs="Arial"/>
              </w:rPr>
            </w:pPr>
            <w:r w:rsidRPr="008E7086">
              <w:rPr>
                <w:rFonts w:ascii="Arial" w:hAnsi="Arial" w:cs="Arial"/>
              </w:rPr>
              <w:t>$</w:t>
            </w:r>
            <w:r>
              <w:rPr>
                <w:rFonts w:ascii="Arial" w:hAnsi="Arial" w:cs="Arial"/>
              </w:rPr>
              <w:t xml:space="preserve">   </w:t>
            </w:r>
            <w:r w:rsidR="001B5DD4">
              <w:rPr>
                <w:rFonts w:ascii="Arial" w:hAnsi="Arial" w:cs="Arial"/>
              </w:rPr>
              <w:t>753</w:t>
            </w:r>
            <w:r w:rsidRPr="008E7086">
              <w:rPr>
                <w:rFonts w:ascii="Arial" w:hAnsi="Arial" w:cs="Arial"/>
              </w:rPr>
              <w:t>,</w:t>
            </w:r>
            <w:r w:rsidR="001B5DD4">
              <w:rPr>
                <w:rFonts w:ascii="Arial" w:hAnsi="Arial" w:cs="Arial"/>
              </w:rPr>
              <w:t>248</w:t>
            </w:r>
            <w:r w:rsidRPr="008E7086">
              <w:rPr>
                <w:rFonts w:ascii="Arial" w:hAnsi="Arial" w:cs="Arial"/>
              </w:rPr>
              <w:t>,</w:t>
            </w:r>
            <w:r w:rsidR="001B5DD4">
              <w:rPr>
                <w:rFonts w:ascii="Arial" w:hAnsi="Arial" w:cs="Arial"/>
              </w:rPr>
              <w:t>069</w:t>
            </w:r>
          </w:p>
        </w:tc>
        <w:tc>
          <w:tcPr>
            <w:tcW w:w="246" w:type="dxa"/>
          </w:tcPr>
          <w:p w:rsidR="00F70EA8" w:rsidRPr="008E7086" w:rsidRDefault="00F70EA8" w:rsidP="007D7C40">
            <w:pPr>
              <w:jc w:val="right"/>
              <w:rPr>
                <w:rFonts w:ascii="Arial" w:hAnsi="Arial" w:cs="Arial"/>
              </w:rPr>
            </w:pPr>
          </w:p>
        </w:tc>
        <w:tc>
          <w:tcPr>
            <w:tcW w:w="2184" w:type="dxa"/>
            <w:noWrap/>
          </w:tcPr>
          <w:p w:rsidR="00F70EA8" w:rsidRPr="008E7086" w:rsidRDefault="00F70EA8" w:rsidP="003F26F8">
            <w:pPr>
              <w:jc w:val="right"/>
              <w:rPr>
                <w:rFonts w:ascii="Arial" w:hAnsi="Arial" w:cs="Arial"/>
              </w:rPr>
            </w:pPr>
            <w:r w:rsidRPr="008E7086">
              <w:rPr>
                <w:rFonts w:ascii="Arial" w:hAnsi="Arial" w:cs="Arial"/>
              </w:rPr>
              <w:t>$</w:t>
            </w:r>
            <w:r>
              <w:rPr>
                <w:rFonts w:ascii="Arial" w:hAnsi="Arial" w:cs="Arial"/>
              </w:rPr>
              <w:t xml:space="preserve">   </w:t>
            </w:r>
            <w:r w:rsidR="001B5DD4">
              <w:rPr>
                <w:rFonts w:ascii="Arial" w:hAnsi="Arial" w:cs="Arial"/>
              </w:rPr>
              <w:t>753</w:t>
            </w:r>
            <w:r w:rsidRPr="008E7086">
              <w:rPr>
                <w:rFonts w:ascii="Arial" w:hAnsi="Arial" w:cs="Arial"/>
              </w:rPr>
              <w:t>,</w:t>
            </w:r>
            <w:r w:rsidR="001B5DD4">
              <w:rPr>
                <w:rFonts w:ascii="Arial" w:hAnsi="Arial" w:cs="Arial"/>
              </w:rPr>
              <w:t>669</w:t>
            </w:r>
            <w:r w:rsidRPr="008E7086">
              <w:rPr>
                <w:rFonts w:ascii="Arial" w:hAnsi="Arial" w:cs="Arial"/>
              </w:rPr>
              <w:t>,</w:t>
            </w:r>
            <w:r w:rsidR="001B5DD4">
              <w:rPr>
                <w:rFonts w:ascii="Arial" w:hAnsi="Arial" w:cs="Arial"/>
              </w:rPr>
              <w:t>127</w:t>
            </w:r>
          </w:p>
        </w:tc>
        <w:tc>
          <w:tcPr>
            <w:tcW w:w="270" w:type="dxa"/>
          </w:tcPr>
          <w:p w:rsidR="00F70EA8" w:rsidRPr="008E7086" w:rsidRDefault="00F70EA8" w:rsidP="007D7C40">
            <w:pPr>
              <w:jc w:val="right"/>
              <w:rPr>
                <w:rFonts w:ascii="Arial" w:hAnsi="Arial" w:cs="Arial"/>
              </w:rPr>
            </w:pPr>
          </w:p>
        </w:tc>
        <w:tc>
          <w:tcPr>
            <w:tcW w:w="1980" w:type="dxa"/>
            <w:noWrap/>
          </w:tcPr>
          <w:p w:rsidR="00F70EA8" w:rsidRPr="008E7086" w:rsidRDefault="00F70EA8" w:rsidP="001B5DD4">
            <w:pPr>
              <w:jc w:val="right"/>
              <w:rPr>
                <w:rFonts w:ascii="Arial" w:hAnsi="Arial" w:cs="Arial"/>
              </w:rPr>
            </w:pPr>
            <w:r w:rsidRPr="008E7086">
              <w:rPr>
                <w:rFonts w:ascii="Arial" w:hAnsi="Arial" w:cs="Arial"/>
              </w:rPr>
              <w:t>$</w:t>
            </w:r>
            <w:r>
              <w:rPr>
                <w:rFonts w:ascii="Arial" w:hAnsi="Arial" w:cs="Arial"/>
              </w:rPr>
              <w:t xml:space="preserve"> </w:t>
            </w:r>
            <w:r w:rsidR="001B5DD4">
              <w:rPr>
                <w:rFonts w:ascii="Arial" w:hAnsi="Arial" w:cs="Arial"/>
              </w:rPr>
              <w:t xml:space="preserve">  </w:t>
            </w:r>
            <w:r w:rsidR="003F26F8">
              <w:rPr>
                <w:rFonts w:ascii="Arial" w:hAnsi="Arial" w:cs="Arial"/>
              </w:rPr>
              <w:t xml:space="preserve"> </w:t>
            </w:r>
            <w:r w:rsidR="001B5DD4">
              <w:rPr>
                <w:rFonts w:ascii="Arial" w:hAnsi="Arial" w:cs="Arial"/>
              </w:rPr>
              <w:t xml:space="preserve"> </w:t>
            </w:r>
            <w:r>
              <w:rPr>
                <w:rFonts w:ascii="Arial" w:hAnsi="Arial" w:cs="Arial"/>
              </w:rPr>
              <w:t xml:space="preserve"> </w:t>
            </w:r>
            <w:r w:rsidRPr="008E7086">
              <w:rPr>
                <w:rFonts w:ascii="Arial" w:hAnsi="Arial" w:cs="Arial"/>
              </w:rPr>
              <w:t>(</w:t>
            </w:r>
            <w:r w:rsidR="001B5DD4">
              <w:rPr>
                <w:rFonts w:ascii="Arial" w:hAnsi="Arial" w:cs="Arial"/>
              </w:rPr>
              <w:t>421</w:t>
            </w:r>
            <w:r w:rsidRPr="008E7086">
              <w:rPr>
                <w:rFonts w:ascii="Arial" w:hAnsi="Arial" w:cs="Arial"/>
              </w:rPr>
              <w:t>,</w:t>
            </w:r>
            <w:r w:rsidR="001B5DD4">
              <w:rPr>
                <w:rFonts w:ascii="Arial" w:hAnsi="Arial" w:cs="Arial"/>
              </w:rPr>
              <w:t>058</w:t>
            </w:r>
            <w:r w:rsidRPr="008E7086">
              <w:rPr>
                <w:rFonts w:ascii="Arial" w:hAnsi="Arial" w:cs="Arial"/>
              </w:rPr>
              <w:t>)</w:t>
            </w:r>
          </w:p>
        </w:tc>
      </w:tr>
      <w:tr w:rsidR="00F70EA8" w:rsidRPr="008E7086" w:rsidTr="007D7C40">
        <w:trPr>
          <w:trHeight w:val="119"/>
        </w:trPr>
        <w:tc>
          <w:tcPr>
            <w:tcW w:w="2448" w:type="dxa"/>
            <w:noWrap/>
            <w:vAlign w:val="bottom"/>
          </w:tcPr>
          <w:p w:rsidR="00F70EA8" w:rsidRPr="008E7086" w:rsidRDefault="00F70EA8" w:rsidP="007D7C40">
            <w:pPr>
              <w:jc w:val="left"/>
              <w:rPr>
                <w:rFonts w:ascii="Arial" w:hAnsi="Arial" w:cs="Arial"/>
              </w:rPr>
            </w:pPr>
          </w:p>
        </w:tc>
        <w:tc>
          <w:tcPr>
            <w:tcW w:w="241" w:type="dxa"/>
          </w:tcPr>
          <w:p w:rsidR="00F70EA8" w:rsidRPr="008E7086" w:rsidRDefault="00F70EA8" w:rsidP="007D7C40">
            <w:pPr>
              <w:jc w:val="right"/>
              <w:rPr>
                <w:rFonts w:ascii="Arial" w:hAnsi="Arial" w:cs="Arial"/>
              </w:rPr>
            </w:pPr>
          </w:p>
        </w:tc>
        <w:tc>
          <w:tcPr>
            <w:tcW w:w="2099" w:type="dxa"/>
            <w:noWrap/>
          </w:tcPr>
          <w:p w:rsidR="00F70EA8" w:rsidRPr="008E7086" w:rsidRDefault="00F70EA8" w:rsidP="007D7C40">
            <w:pPr>
              <w:jc w:val="right"/>
              <w:rPr>
                <w:rFonts w:ascii="Arial" w:hAnsi="Arial" w:cs="Arial"/>
              </w:rPr>
            </w:pPr>
          </w:p>
        </w:tc>
        <w:tc>
          <w:tcPr>
            <w:tcW w:w="246" w:type="dxa"/>
          </w:tcPr>
          <w:p w:rsidR="00F70EA8" w:rsidRPr="008E7086" w:rsidRDefault="00F70EA8" w:rsidP="007D7C40">
            <w:pPr>
              <w:jc w:val="right"/>
              <w:rPr>
                <w:rFonts w:ascii="Arial" w:hAnsi="Arial" w:cs="Arial"/>
              </w:rPr>
            </w:pPr>
          </w:p>
        </w:tc>
        <w:tc>
          <w:tcPr>
            <w:tcW w:w="2184" w:type="dxa"/>
            <w:noWrap/>
          </w:tcPr>
          <w:p w:rsidR="00F70EA8" w:rsidRPr="008E7086" w:rsidRDefault="00F70EA8" w:rsidP="007D7C40">
            <w:pPr>
              <w:jc w:val="right"/>
              <w:rPr>
                <w:rFonts w:ascii="Arial" w:hAnsi="Arial" w:cs="Arial"/>
              </w:rPr>
            </w:pPr>
          </w:p>
        </w:tc>
        <w:tc>
          <w:tcPr>
            <w:tcW w:w="270" w:type="dxa"/>
          </w:tcPr>
          <w:p w:rsidR="00F70EA8" w:rsidRPr="008E7086" w:rsidRDefault="00F70EA8" w:rsidP="007D7C40">
            <w:pPr>
              <w:jc w:val="right"/>
              <w:rPr>
                <w:rFonts w:ascii="Arial" w:hAnsi="Arial" w:cs="Arial"/>
              </w:rPr>
            </w:pPr>
          </w:p>
        </w:tc>
        <w:tc>
          <w:tcPr>
            <w:tcW w:w="1980" w:type="dxa"/>
            <w:noWrap/>
          </w:tcPr>
          <w:p w:rsidR="00F70EA8" w:rsidRPr="008E7086" w:rsidRDefault="00F70EA8" w:rsidP="007D7C40">
            <w:pPr>
              <w:jc w:val="right"/>
              <w:rPr>
                <w:rFonts w:ascii="Arial" w:hAnsi="Arial" w:cs="Arial"/>
              </w:rPr>
            </w:pPr>
          </w:p>
        </w:tc>
      </w:tr>
      <w:tr w:rsidR="00F70EA8" w:rsidRPr="008E7086" w:rsidTr="007D7C40">
        <w:trPr>
          <w:trHeight w:val="380"/>
        </w:trPr>
        <w:tc>
          <w:tcPr>
            <w:tcW w:w="2448" w:type="dxa"/>
            <w:noWrap/>
            <w:vAlign w:val="bottom"/>
          </w:tcPr>
          <w:p w:rsidR="00F70EA8" w:rsidRPr="008E7086" w:rsidRDefault="00F70EA8" w:rsidP="007D7C40">
            <w:pPr>
              <w:jc w:val="left"/>
              <w:rPr>
                <w:rFonts w:ascii="Arial" w:hAnsi="Arial" w:cs="Arial"/>
              </w:rPr>
            </w:pPr>
            <w:r w:rsidRPr="008E7086">
              <w:rPr>
                <w:rFonts w:ascii="Arial" w:hAnsi="Arial" w:cs="Arial"/>
              </w:rPr>
              <w:t>Small Commercial</w:t>
            </w:r>
            <w:r>
              <w:rPr>
                <w:rFonts w:ascii="Arial" w:hAnsi="Arial" w:cs="Arial"/>
              </w:rPr>
              <w:t xml:space="preserve"> and Industrial</w:t>
            </w:r>
          </w:p>
        </w:tc>
        <w:tc>
          <w:tcPr>
            <w:tcW w:w="241" w:type="dxa"/>
          </w:tcPr>
          <w:p w:rsidR="00F70EA8" w:rsidRPr="008E7086" w:rsidRDefault="00F70EA8" w:rsidP="007D7C40">
            <w:pPr>
              <w:jc w:val="right"/>
              <w:rPr>
                <w:rFonts w:ascii="Arial" w:hAnsi="Arial" w:cs="Arial"/>
              </w:rPr>
            </w:pPr>
          </w:p>
        </w:tc>
        <w:tc>
          <w:tcPr>
            <w:tcW w:w="2099" w:type="dxa"/>
            <w:noWrap/>
            <w:vAlign w:val="bottom"/>
          </w:tcPr>
          <w:p w:rsidR="00F70EA8" w:rsidRPr="008E7086" w:rsidRDefault="00536279" w:rsidP="00536279">
            <w:pPr>
              <w:jc w:val="right"/>
              <w:rPr>
                <w:rFonts w:ascii="Arial" w:hAnsi="Arial" w:cs="Arial"/>
              </w:rPr>
            </w:pPr>
            <w:r>
              <w:rPr>
                <w:rFonts w:ascii="Arial" w:hAnsi="Arial" w:cs="Arial"/>
              </w:rPr>
              <w:t>149</w:t>
            </w:r>
            <w:r w:rsidR="00F70EA8" w:rsidRPr="008E7086">
              <w:rPr>
                <w:rFonts w:ascii="Arial" w:hAnsi="Arial" w:cs="Arial"/>
              </w:rPr>
              <w:t>,</w:t>
            </w:r>
            <w:r>
              <w:rPr>
                <w:rFonts w:ascii="Arial" w:hAnsi="Arial" w:cs="Arial"/>
              </w:rPr>
              <w:t>596</w:t>
            </w:r>
            <w:r w:rsidR="00F70EA8" w:rsidRPr="008E7086">
              <w:rPr>
                <w:rFonts w:ascii="Arial" w:hAnsi="Arial" w:cs="Arial"/>
              </w:rPr>
              <w:t>,</w:t>
            </w:r>
            <w:r>
              <w:rPr>
                <w:rFonts w:ascii="Arial" w:hAnsi="Arial" w:cs="Arial"/>
              </w:rPr>
              <w:t>978</w:t>
            </w:r>
          </w:p>
        </w:tc>
        <w:tc>
          <w:tcPr>
            <w:tcW w:w="246" w:type="dxa"/>
            <w:vAlign w:val="bottom"/>
          </w:tcPr>
          <w:p w:rsidR="00F70EA8" w:rsidRPr="008E7086" w:rsidRDefault="00F70EA8" w:rsidP="007D7C40">
            <w:pPr>
              <w:jc w:val="right"/>
              <w:rPr>
                <w:rFonts w:ascii="Arial" w:hAnsi="Arial" w:cs="Arial"/>
              </w:rPr>
            </w:pPr>
          </w:p>
        </w:tc>
        <w:tc>
          <w:tcPr>
            <w:tcW w:w="2184" w:type="dxa"/>
            <w:noWrap/>
            <w:vAlign w:val="bottom"/>
          </w:tcPr>
          <w:p w:rsidR="00F70EA8" w:rsidRPr="008E7086" w:rsidRDefault="00536279" w:rsidP="00536279">
            <w:pPr>
              <w:jc w:val="right"/>
              <w:rPr>
                <w:rFonts w:ascii="Arial" w:hAnsi="Arial" w:cs="Arial"/>
              </w:rPr>
            </w:pPr>
            <w:r>
              <w:rPr>
                <w:rFonts w:ascii="Arial" w:hAnsi="Arial" w:cs="Arial"/>
              </w:rPr>
              <w:t>149</w:t>
            </w:r>
            <w:r w:rsidR="00F70EA8" w:rsidRPr="008E7086">
              <w:rPr>
                <w:rFonts w:ascii="Arial" w:hAnsi="Arial" w:cs="Arial"/>
              </w:rPr>
              <w:t>,</w:t>
            </w:r>
            <w:r>
              <w:rPr>
                <w:rFonts w:ascii="Arial" w:hAnsi="Arial" w:cs="Arial"/>
              </w:rPr>
              <w:t>434</w:t>
            </w:r>
            <w:r w:rsidR="00F70EA8" w:rsidRPr="008E7086">
              <w:rPr>
                <w:rFonts w:ascii="Arial" w:hAnsi="Arial" w:cs="Arial"/>
              </w:rPr>
              <w:t>,</w:t>
            </w:r>
            <w:r>
              <w:rPr>
                <w:rFonts w:ascii="Arial" w:hAnsi="Arial" w:cs="Arial"/>
              </w:rPr>
              <w:t>798</w:t>
            </w:r>
          </w:p>
        </w:tc>
        <w:tc>
          <w:tcPr>
            <w:tcW w:w="270" w:type="dxa"/>
            <w:vAlign w:val="bottom"/>
          </w:tcPr>
          <w:p w:rsidR="00F70EA8" w:rsidRPr="008E7086" w:rsidRDefault="00F70EA8" w:rsidP="007D7C40">
            <w:pPr>
              <w:jc w:val="right"/>
              <w:rPr>
                <w:rFonts w:ascii="Arial" w:hAnsi="Arial" w:cs="Arial"/>
              </w:rPr>
            </w:pPr>
          </w:p>
        </w:tc>
        <w:tc>
          <w:tcPr>
            <w:tcW w:w="1980" w:type="dxa"/>
            <w:noWrap/>
            <w:vAlign w:val="bottom"/>
          </w:tcPr>
          <w:p w:rsidR="00F70EA8" w:rsidRPr="008E7086" w:rsidRDefault="00F70EA8" w:rsidP="00536279">
            <w:pPr>
              <w:jc w:val="right"/>
              <w:rPr>
                <w:rFonts w:ascii="Arial" w:hAnsi="Arial" w:cs="Arial"/>
              </w:rPr>
            </w:pPr>
            <w:r w:rsidRPr="008E7086">
              <w:rPr>
                <w:rFonts w:ascii="Arial" w:hAnsi="Arial" w:cs="Arial"/>
              </w:rPr>
              <w:t xml:space="preserve"> </w:t>
            </w:r>
            <w:r w:rsidR="00536279">
              <w:rPr>
                <w:rFonts w:ascii="Arial" w:hAnsi="Arial" w:cs="Arial"/>
              </w:rPr>
              <w:t>162</w:t>
            </w:r>
            <w:r w:rsidRPr="008E7086">
              <w:rPr>
                <w:rFonts w:ascii="Arial" w:hAnsi="Arial" w:cs="Arial"/>
              </w:rPr>
              <w:t>,</w:t>
            </w:r>
            <w:r w:rsidR="00536279">
              <w:rPr>
                <w:rFonts w:ascii="Arial" w:hAnsi="Arial" w:cs="Arial"/>
              </w:rPr>
              <w:t>180</w:t>
            </w:r>
          </w:p>
        </w:tc>
      </w:tr>
      <w:tr w:rsidR="00F70EA8" w:rsidRPr="008E7086" w:rsidTr="007D7C40">
        <w:trPr>
          <w:trHeight w:val="281"/>
        </w:trPr>
        <w:tc>
          <w:tcPr>
            <w:tcW w:w="2448" w:type="dxa"/>
            <w:noWrap/>
            <w:vAlign w:val="bottom"/>
          </w:tcPr>
          <w:p w:rsidR="00F70EA8" w:rsidRPr="008E7086" w:rsidRDefault="00F70EA8" w:rsidP="007D7C40">
            <w:pPr>
              <w:jc w:val="left"/>
              <w:rPr>
                <w:rFonts w:ascii="Arial" w:hAnsi="Arial" w:cs="Arial"/>
              </w:rPr>
            </w:pPr>
          </w:p>
        </w:tc>
        <w:tc>
          <w:tcPr>
            <w:tcW w:w="241" w:type="dxa"/>
          </w:tcPr>
          <w:p w:rsidR="00F70EA8" w:rsidRPr="008E7086" w:rsidRDefault="00F70EA8" w:rsidP="007D7C40">
            <w:pPr>
              <w:jc w:val="right"/>
              <w:rPr>
                <w:rFonts w:ascii="Arial" w:hAnsi="Arial" w:cs="Arial"/>
              </w:rPr>
            </w:pPr>
          </w:p>
        </w:tc>
        <w:tc>
          <w:tcPr>
            <w:tcW w:w="2099" w:type="dxa"/>
            <w:noWrap/>
          </w:tcPr>
          <w:p w:rsidR="00F70EA8" w:rsidRPr="008E7086" w:rsidRDefault="00F70EA8" w:rsidP="007D7C40">
            <w:pPr>
              <w:jc w:val="right"/>
              <w:rPr>
                <w:rFonts w:ascii="Arial" w:hAnsi="Arial" w:cs="Arial"/>
              </w:rPr>
            </w:pPr>
          </w:p>
        </w:tc>
        <w:tc>
          <w:tcPr>
            <w:tcW w:w="246" w:type="dxa"/>
          </w:tcPr>
          <w:p w:rsidR="00F70EA8" w:rsidRPr="008E7086" w:rsidRDefault="00F70EA8" w:rsidP="007D7C40">
            <w:pPr>
              <w:jc w:val="right"/>
              <w:rPr>
                <w:rFonts w:ascii="Arial" w:hAnsi="Arial" w:cs="Arial"/>
              </w:rPr>
            </w:pPr>
          </w:p>
        </w:tc>
        <w:tc>
          <w:tcPr>
            <w:tcW w:w="2184" w:type="dxa"/>
            <w:noWrap/>
          </w:tcPr>
          <w:p w:rsidR="00F70EA8" w:rsidRPr="008E7086" w:rsidRDefault="00F70EA8" w:rsidP="007D7C40">
            <w:pPr>
              <w:jc w:val="right"/>
              <w:rPr>
                <w:rFonts w:ascii="Arial" w:hAnsi="Arial" w:cs="Arial"/>
              </w:rPr>
            </w:pPr>
          </w:p>
        </w:tc>
        <w:tc>
          <w:tcPr>
            <w:tcW w:w="270" w:type="dxa"/>
          </w:tcPr>
          <w:p w:rsidR="00F70EA8" w:rsidRPr="008E7086" w:rsidRDefault="00F70EA8" w:rsidP="007D7C40">
            <w:pPr>
              <w:jc w:val="right"/>
              <w:rPr>
                <w:rFonts w:ascii="Arial" w:hAnsi="Arial" w:cs="Arial"/>
              </w:rPr>
            </w:pPr>
          </w:p>
        </w:tc>
        <w:tc>
          <w:tcPr>
            <w:tcW w:w="1980" w:type="dxa"/>
            <w:noWrap/>
          </w:tcPr>
          <w:p w:rsidR="00F70EA8" w:rsidRPr="008E7086" w:rsidRDefault="00F70EA8" w:rsidP="007D7C40">
            <w:pPr>
              <w:jc w:val="right"/>
              <w:rPr>
                <w:rFonts w:ascii="Arial" w:hAnsi="Arial" w:cs="Arial"/>
              </w:rPr>
            </w:pPr>
          </w:p>
        </w:tc>
      </w:tr>
      <w:tr w:rsidR="00F70EA8" w:rsidRPr="008E7086" w:rsidTr="007D7C40">
        <w:trPr>
          <w:trHeight w:val="255"/>
        </w:trPr>
        <w:tc>
          <w:tcPr>
            <w:tcW w:w="2448" w:type="dxa"/>
            <w:noWrap/>
            <w:vAlign w:val="bottom"/>
          </w:tcPr>
          <w:p w:rsidR="00F70EA8" w:rsidRPr="008E7086" w:rsidRDefault="00F70EA8" w:rsidP="007D7C40">
            <w:pPr>
              <w:jc w:val="left"/>
              <w:rPr>
                <w:rFonts w:ascii="Arial" w:hAnsi="Arial" w:cs="Arial"/>
              </w:rPr>
            </w:pPr>
            <w:r w:rsidRPr="008E7086">
              <w:rPr>
                <w:rFonts w:ascii="Arial" w:hAnsi="Arial" w:cs="Arial"/>
              </w:rPr>
              <w:t>Medium Commercial</w:t>
            </w:r>
            <w:r>
              <w:rPr>
                <w:rFonts w:ascii="Arial" w:hAnsi="Arial" w:cs="Arial"/>
              </w:rPr>
              <w:t xml:space="preserve"> and Industrial</w:t>
            </w:r>
          </w:p>
        </w:tc>
        <w:tc>
          <w:tcPr>
            <w:tcW w:w="241" w:type="dxa"/>
          </w:tcPr>
          <w:p w:rsidR="00F70EA8" w:rsidRPr="008E7086" w:rsidRDefault="00F70EA8" w:rsidP="007D7C40">
            <w:pPr>
              <w:jc w:val="right"/>
              <w:rPr>
                <w:rFonts w:ascii="Arial" w:hAnsi="Arial" w:cs="Arial"/>
              </w:rPr>
            </w:pPr>
          </w:p>
        </w:tc>
        <w:tc>
          <w:tcPr>
            <w:tcW w:w="2099" w:type="dxa"/>
            <w:noWrap/>
            <w:vAlign w:val="bottom"/>
          </w:tcPr>
          <w:p w:rsidR="00F70EA8" w:rsidRPr="008E7086" w:rsidRDefault="00A641F2" w:rsidP="00A641F2">
            <w:pPr>
              <w:jc w:val="right"/>
              <w:rPr>
                <w:rFonts w:ascii="Arial" w:hAnsi="Arial" w:cs="Arial"/>
              </w:rPr>
            </w:pPr>
            <w:r>
              <w:rPr>
                <w:rFonts w:ascii="Arial" w:hAnsi="Arial" w:cs="Arial"/>
              </w:rPr>
              <w:t>61</w:t>
            </w:r>
            <w:r w:rsidR="00F70EA8" w:rsidRPr="008E7086">
              <w:rPr>
                <w:rFonts w:ascii="Arial" w:hAnsi="Arial" w:cs="Arial"/>
              </w:rPr>
              <w:t>,</w:t>
            </w:r>
            <w:r>
              <w:rPr>
                <w:rFonts w:ascii="Arial" w:hAnsi="Arial" w:cs="Arial"/>
              </w:rPr>
              <w:t>326</w:t>
            </w:r>
            <w:r w:rsidR="00F70EA8" w:rsidRPr="008E7086">
              <w:rPr>
                <w:rFonts w:ascii="Arial" w:hAnsi="Arial" w:cs="Arial"/>
              </w:rPr>
              <w:t>,</w:t>
            </w:r>
            <w:r>
              <w:rPr>
                <w:rFonts w:ascii="Arial" w:hAnsi="Arial" w:cs="Arial"/>
              </w:rPr>
              <w:t>135</w:t>
            </w:r>
          </w:p>
        </w:tc>
        <w:tc>
          <w:tcPr>
            <w:tcW w:w="246" w:type="dxa"/>
            <w:vAlign w:val="bottom"/>
          </w:tcPr>
          <w:p w:rsidR="00F70EA8" w:rsidRPr="008E7086" w:rsidRDefault="00F70EA8" w:rsidP="007D7C40">
            <w:pPr>
              <w:jc w:val="right"/>
              <w:rPr>
                <w:rFonts w:ascii="Arial" w:hAnsi="Arial" w:cs="Arial"/>
              </w:rPr>
            </w:pPr>
          </w:p>
        </w:tc>
        <w:tc>
          <w:tcPr>
            <w:tcW w:w="2184" w:type="dxa"/>
            <w:noWrap/>
            <w:vAlign w:val="bottom"/>
          </w:tcPr>
          <w:p w:rsidR="00F70EA8" w:rsidRPr="008E7086" w:rsidRDefault="00A641F2" w:rsidP="00A641F2">
            <w:pPr>
              <w:jc w:val="right"/>
              <w:rPr>
                <w:rFonts w:ascii="Arial" w:hAnsi="Arial" w:cs="Arial"/>
              </w:rPr>
            </w:pPr>
            <w:r>
              <w:rPr>
                <w:rFonts w:ascii="Arial" w:hAnsi="Arial" w:cs="Arial"/>
              </w:rPr>
              <w:t>58</w:t>
            </w:r>
            <w:r w:rsidR="00F70EA8" w:rsidRPr="008E7086">
              <w:rPr>
                <w:rFonts w:ascii="Arial" w:hAnsi="Arial" w:cs="Arial"/>
              </w:rPr>
              <w:t>,</w:t>
            </w:r>
            <w:r>
              <w:rPr>
                <w:rFonts w:ascii="Arial" w:hAnsi="Arial" w:cs="Arial"/>
              </w:rPr>
              <w:t>478</w:t>
            </w:r>
            <w:r w:rsidR="00F70EA8" w:rsidRPr="008E7086">
              <w:rPr>
                <w:rFonts w:ascii="Arial" w:hAnsi="Arial" w:cs="Arial"/>
              </w:rPr>
              <w:t>,</w:t>
            </w:r>
            <w:r>
              <w:rPr>
                <w:rFonts w:ascii="Arial" w:hAnsi="Arial" w:cs="Arial"/>
              </w:rPr>
              <w:t>689</w:t>
            </w:r>
          </w:p>
        </w:tc>
        <w:tc>
          <w:tcPr>
            <w:tcW w:w="270" w:type="dxa"/>
            <w:vAlign w:val="bottom"/>
          </w:tcPr>
          <w:p w:rsidR="00F70EA8" w:rsidRPr="008E7086" w:rsidRDefault="00F70EA8" w:rsidP="007D7C40">
            <w:pPr>
              <w:jc w:val="right"/>
              <w:rPr>
                <w:rFonts w:ascii="Arial" w:hAnsi="Arial" w:cs="Arial"/>
              </w:rPr>
            </w:pPr>
          </w:p>
        </w:tc>
        <w:tc>
          <w:tcPr>
            <w:tcW w:w="1980" w:type="dxa"/>
            <w:noWrap/>
            <w:vAlign w:val="bottom"/>
          </w:tcPr>
          <w:p w:rsidR="00F70EA8" w:rsidRPr="008E7086" w:rsidRDefault="00F70EA8" w:rsidP="00A641F2">
            <w:pPr>
              <w:jc w:val="right"/>
              <w:rPr>
                <w:rFonts w:ascii="Arial" w:hAnsi="Arial" w:cs="Arial"/>
              </w:rPr>
            </w:pPr>
            <w:r w:rsidRPr="008E7086">
              <w:rPr>
                <w:rFonts w:ascii="Arial" w:hAnsi="Arial" w:cs="Arial"/>
              </w:rPr>
              <w:t xml:space="preserve"> </w:t>
            </w:r>
            <w:r w:rsidR="00A641F2">
              <w:rPr>
                <w:rFonts w:ascii="Arial" w:hAnsi="Arial" w:cs="Arial"/>
              </w:rPr>
              <w:t>2</w:t>
            </w:r>
            <w:r w:rsidRPr="008E7086">
              <w:rPr>
                <w:rFonts w:ascii="Arial" w:hAnsi="Arial" w:cs="Arial"/>
              </w:rPr>
              <w:t>,</w:t>
            </w:r>
            <w:r w:rsidR="00A641F2">
              <w:rPr>
                <w:rFonts w:ascii="Arial" w:hAnsi="Arial" w:cs="Arial"/>
              </w:rPr>
              <w:t>847</w:t>
            </w:r>
            <w:r w:rsidRPr="008E7086">
              <w:rPr>
                <w:rFonts w:ascii="Arial" w:hAnsi="Arial" w:cs="Arial"/>
              </w:rPr>
              <w:t>,</w:t>
            </w:r>
            <w:r w:rsidR="00A641F2">
              <w:rPr>
                <w:rFonts w:ascii="Arial" w:hAnsi="Arial" w:cs="Arial"/>
              </w:rPr>
              <w:t>446</w:t>
            </w:r>
          </w:p>
        </w:tc>
      </w:tr>
      <w:tr w:rsidR="00F70EA8" w:rsidRPr="008E7086" w:rsidTr="007D7C40">
        <w:trPr>
          <w:trHeight w:val="255"/>
        </w:trPr>
        <w:tc>
          <w:tcPr>
            <w:tcW w:w="2448" w:type="dxa"/>
            <w:noWrap/>
            <w:vAlign w:val="bottom"/>
          </w:tcPr>
          <w:p w:rsidR="00F70EA8" w:rsidRPr="008E7086" w:rsidRDefault="00F70EA8" w:rsidP="007D7C40">
            <w:pPr>
              <w:jc w:val="left"/>
              <w:rPr>
                <w:rFonts w:ascii="Arial" w:hAnsi="Arial" w:cs="Arial"/>
              </w:rPr>
            </w:pPr>
          </w:p>
        </w:tc>
        <w:tc>
          <w:tcPr>
            <w:tcW w:w="241" w:type="dxa"/>
          </w:tcPr>
          <w:p w:rsidR="00F70EA8" w:rsidRPr="008E7086" w:rsidRDefault="00F70EA8" w:rsidP="007D7C40">
            <w:pPr>
              <w:jc w:val="right"/>
              <w:rPr>
                <w:rFonts w:ascii="Arial" w:hAnsi="Arial" w:cs="Arial"/>
              </w:rPr>
            </w:pPr>
          </w:p>
        </w:tc>
        <w:tc>
          <w:tcPr>
            <w:tcW w:w="2099" w:type="dxa"/>
            <w:noWrap/>
          </w:tcPr>
          <w:p w:rsidR="00F70EA8" w:rsidRPr="008E7086" w:rsidRDefault="00F70EA8" w:rsidP="007D7C40">
            <w:pPr>
              <w:jc w:val="right"/>
              <w:rPr>
                <w:rFonts w:ascii="Arial" w:hAnsi="Arial" w:cs="Arial"/>
              </w:rPr>
            </w:pPr>
          </w:p>
        </w:tc>
        <w:tc>
          <w:tcPr>
            <w:tcW w:w="246" w:type="dxa"/>
          </w:tcPr>
          <w:p w:rsidR="00F70EA8" w:rsidRPr="008E7086" w:rsidRDefault="00F70EA8" w:rsidP="007D7C40">
            <w:pPr>
              <w:jc w:val="right"/>
              <w:rPr>
                <w:rFonts w:ascii="Arial" w:hAnsi="Arial" w:cs="Arial"/>
              </w:rPr>
            </w:pPr>
          </w:p>
        </w:tc>
        <w:tc>
          <w:tcPr>
            <w:tcW w:w="2184" w:type="dxa"/>
            <w:noWrap/>
          </w:tcPr>
          <w:p w:rsidR="00F70EA8" w:rsidRPr="008E7086" w:rsidRDefault="00F70EA8" w:rsidP="007D7C40">
            <w:pPr>
              <w:jc w:val="right"/>
              <w:rPr>
                <w:rFonts w:ascii="Arial" w:hAnsi="Arial" w:cs="Arial"/>
              </w:rPr>
            </w:pPr>
          </w:p>
        </w:tc>
        <w:tc>
          <w:tcPr>
            <w:tcW w:w="270" w:type="dxa"/>
          </w:tcPr>
          <w:p w:rsidR="00F70EA8" w:rsidRPr="008E7086" w:rsidRDefault="00F70EA8" w:rsidP="007D7C40">
            <w:pPr>
              <w:jc w:val="right"/>
              <w:rPr>
                <w:rFonts w:ascii="Arial" w:hAnsi="Arial" w:cs="Arial"/>
              </w:rPr>
            </w:pPr>
          </w:p>
        </w:tc>
        <w:tc>
          <w:tcPr>
            <w:tcW w:w="1980" w:type="dxa"/>
            <w:noWrap/>
          </w:tcPr>
          <w:p w:rsidR="00F70EA8" w:rsidRPr="008E7086" w:rsidRDefault="00F70EA8" w:rsidP="007D7C40">
            <w:pPr>
              <w:jc w:val="right"/>
              <w:rPr>
                <w:rFonts w:ascii="Arial" w:hAnsi="Arial" w:cs="Arial"/>
              </w:rPr>
            </w:pPr>
          </w:p>
        </w:tc>
      </w:tr>
      <w:tr w:rsidR="00F70EA8" w:rsidRPr="008E7086" w:rsidTr="007D7C40">
        <w:trPr>
          <w:trHeight w:val="255"/>
        </w:trPr>
        <w:tc>
          <w:tcPr>
            <w:tcW w:w="2448" w:type="dxa"/>
            <w:noWrap/>
            <w:vAlign w:val="bottom"/>
          </w:tcPr>
          <w:p w:rsidR="00F70EA8" w:rsidRPr="008E7086" w:rsidRDefault="00F70EA8" w:rsidP="007D7C40">
            <w:pPr>
              <w:jc w:val="left"/>
              <w:rPr>
                <w:rFonts w:ascii="Arial" w:hAnsi="Arial" w:cs="Arial"/>
              </w:rPr>
            </w:pPr>
            <w:r w:rsidRPr="008E7086">
              <w:rPr>
                <w:rFonts w:ascii="Arial" w:hAnsi="Arial" w:cs="Arial"/>
              </w:rPr>
              <w:t>Large Commercial and Industrial</w:t>
            </w:r>
          </w:p>
        </w:tc>
        <w:tc>
          <w:tcPr>
            <w:tcW w:w="241" w:type="dxa"/>
          </w:tcPr>
          <w:p w:rsidR="00F70EA8" w:rsidRPr="008E7086" w:rsidRDefault="00F70EA8" w:rsidP="007D7C40">
            <w:pPr>
              <w:jc w:val="right"/>
              <w:rPr>
                <w:rFonts w:ascii="Arial" w:hAnsi="Arial" w:cs="Arial"/>
                <w:u w:val="single"/>
              </w:rPr>
            </w:pPr>
          </w:p>
        </w:tc>
        <w:tc>
          <w:tcPr>
            <w:tcW w:w="2099" w:type="dxa"/>
            <w:noWrap/>
            <w:vAlign w:val="bottom"/>
          </w:tcPr>
          <w:p w:rsidR="00F70EA8" w:rsidRPr="008E7086" w:rsidRDefault="00F70EA8" w:rsidP="00920B50">
            <w:pPr>
              <w:rPr>
                <w:rFonts w:ascii="Arial" w:hAnsi="Arial" w:cs="Arial"/>
                <w:u w:val="single"/>
              </w:rPr>
            </w:pPr>
            <w:r w:rsidRPr="00FC6500">
              <w:rPr>
                <w:rFonts w:ascii="Arial" w:hAnsi="Arial" w:cs="Arial"/>
              </w:rPr>
              <w:t xml:space="preserve">   </w:t>
            </w:r>
            <w:r>
              <w:rPr>
                <w:rFonts w:ascii="Arial" w:hAnsi="Arial" w:cs="Arial"/>
                <w:u w:val="single"/>
              </w:rPr>
              <w:t xml:space="preserve">       </w:t>
            </w:r>
            <w:r w:rsidR="00920B50">
              <w:rPr>
                <w:rFonts w:ascii="Arial" w:hAnsi="Arial" w:cs="Arial"/>
                <w:u w:val="single"/>
              </w:rPr>
              <w:t>2</w:t>
            </w:r>
            <w:r w:rsidRPr="008E7086">
              <w:rPr>
                <w:rFonts w:ascii="Arial" w:hAnsi="Arial" w:cs="Arial"/>
                <w:u w:val="single"/>
              </w:rPr>
              <w:t>7,</w:t>
            </w:r>
            <w:r w:rsidR="00920B50">
              <w:rPr>
                <w:rFonts w:ascii="Arial" w:hAnsi="Arial" w:cs="Arial"/>
                <w:u w:val="single"/>
              </w:rPr>
              <w:t>496</w:t>
            </w:r>
            <w:r w:rsidRPr="008E7086">
              <w:rPr>
                <w:rFonts w:ascii="Arial" w:hAnsi="Arial" w:cs="Arial"/>
                <w:u w:val="single"/>
              </w:rPr>
              <w:t>,</w:t>
            </w:r>
            <w:r w:rsidR="00920B50">
              <w:rPr>
                <w:rFonts w:ascii="Arial" w:hAnsi="Arial" w:cs="Arial"/>
                <w:u w:val="single"/>
              </w:rPr>
              <w:t>643</w:t>
            </w:r>
          </w:p>
        </w:tc>
        <w:tc>
          <w:tcPr>
            <w:tcW w:w="246" w:type="dxa"/>
          </w:tcPr>
          <w:p w:rsidR="00F70EA8" w:rsidRPr="00C029A5" w:rsidRDefault="00F70EA8" w:rsidP="007D7C40">
            <w:pPr>
              <w:rPr>
                <w:rFonts w:ascii="Arial" w:hAnsi="Arial" w:cs="Arial"/>
              </w:rPr>
            </w:pPr>
            <w:r>
              <w:rPr>
                <w:rFonts w:ascii="Arial" w:hAnsi="Arial" w:cs="Arial"/>
              </w:rPr>
              <w:t xml:space="preserve"> </w:t>
            </w:r>
          </w:p>
        </w:tc>
        <w:tc>
          <w:tcPr>
            <w:tcW w:w="2184" w:type="dxa"/>
            <w:noWrap/>
            <w:vAlign w:val="bottom"/>
          </w:tcPr>
          <w:p w:rsidR="00F70EA8" w:rsidRPr="00C029A5" w:rsidRDefault="00F70EA8" w:rsidP="00920B50">
            <w:pPr>
              <w:ind w:left="6"/>
              <w:rPr>
                <w:rFonts w:ascii="Arial" w:hAnsi="Arial" w:cs="Arial"/>
                <w:u w:val="single"/>
              </w:rPr>
            </w:pPr>
            <w:r w:rsidRPr="002922D7">
              <w:rPr>
                <w:rFonts w:ascii="Arial" w:hAnsi="Arial" w:cs="Arial"/>
              </w:rPr>
              <w:t xml:space="preserve">   </w:t>
            </w:r>
            <w:r w:rsidRPr="003F26F8">
              <w:rPr>
                <w:rFonts w:ascii="Arial" w:hAnsi="Arial" w:cs="Arial"/>
              </w:rPr>
              <w:t xml:space="preserve"> </w:t>
            </w:r>
            <w:r>
              <w:rPr>
                <w:rFonts w:ascii="Arial" w:hAnsi="Arial" w:cs="Arial"/>
                <w:u w:val="single"/>
              </w:rPr>
              <w:t xml:space="preserve">       </w:t>
            </w:r>
            <w:r w:rsidR="00920B50">
              <w:rPr>
                <w:rFonts w:ascii="Arial" w:hAnsi="Arial" w:cs="Arial"/>
                <w:u w:val="single"/>
              </w:rPr>
              <w:t>27</w:t>
            </w:r>
            <w:r w:rsidRPr="008E7086">
              <w:rPr>
                <w:rFonts w:ascii="Arial" w:hAnsi="Arial" w:cs="Arial"/>
                <w:u w:val="single"/>
              </w:rPr>
              <w:t>,</w:t>
            </w:r>
            <w:r w:rsidR="00920B50">
              <w:rPr>
                <w:rFonts w:ascii="Arial" w:hAnsi="Arial" w:cs="Arial"/>
                <w:u w:val="single"/>
              </w:rPr>
              <w:t>865</w:t>
            </w:r>
            <w:r w:rsidRPr="008E7086">
              <w:rPr>
                <w:rFonts w:ascii="Arial" w:hAnsi="Arial" w:cs="Arial"/>
                <w:u w:val="single"/>
              </w:rPr>
              <w:t>,</w:t>
            </w:r>
            <w:r w:rsidR="00920B50">
              <w:rPr>
                <w:rFonts w:ascii="Arial" w:hAnsi="Arial" w:cs="Arial"/>
                <w:u w:val="single"/>
              </w:rPr>
              <w:t>258</w:t>
            </w:r>
            <w:r w:rsidRPr="0012275F">
              <w:rPr>
                <w:rFonts w:ascii="Arial" w:hAnsi="Arial" w:cs="Arial"/>
              </w:rPr>
              <w:t xml:space="preserve">      </w:t>
            </w:r>
            <w:r w:rsidRPr="00C029A5">
              <w:rPr>
                <w:rFonts w:ascii="Arial" w:hAnsi="Arial" w:cs="Arial"/>
              </w:rPr>
              <w:t xml:space="preserve">                                                       </w:t>
            </w:r>
            <w:r>
              <w:rPr>
                <w:rFonts w:ascii="Arial" w:hAnsi="Arial" w:cs="Arial"/>
              </w:rPr>
              <w:t xml:space="preserve">                  </w:t>
            </w:r>
            <w:r>
              <w:rPr>
                <w:rFonts w:ascii="Arial" w:hAnsi="Arial" w:cs="Arial"/>
                <w:u w:val="single"/>
              </w:rPr>
              <w:t xml:space="preserve">    </w:t>
            </w:r>
          </w:p>
        </w:tc>
        <w:tc>
          <w:tcPr>
            <w:tcW w:w="270" w:type="dxa"/>
          </w:tcPr>
          <w:p w:rsidR="00F70EA8" w:rsidRPr="008E7086" w:rsidRDefault="00F70EA8" w:rsidP="007D7C40">
            <w:pPr>
              <w:jc w:val="right"/>
              <w:rPr>
                <w:rFonts w:ascii="Arial" w:hAnsi="Arial" w:cs="Arial"/>
                <w:u w:val="single"/>
              </w:rPr>
            </w:pPr>
          </w:p>
        </w:tc>
        <w:tc>
          <w:tcPr>
            <w:tcW w:w="1980" w:type="dxa"/>
            <w:noWrap/>
            <w:vAlign w:val="bottom"/>
          </w:tcPr>
          <w:p w:rsidR="00F70EA8" w:rsidRPr="008E7086" w:rsidRDefault="00F70EA8" w:rsidP="00920B50">
            <w:pPr>
              <w:rPr>
                <w:rFonts w:ascii="Arial" w:hAnsi="Arial" w:cs="Arial"/>
                <w:u w:val="single"/>
              </w:rPr>
            </w:pPr>
            <w:r w:rsidRPr="00FC6500">
              <w:rPr>
                <w:rFonts w:ascii="Arial" w:hAnsi="Arial" w:cs="Arial"/>
              </w:rPr>
              <w:t xml:space="preserve"> </w:t>
            </w:r>
            <w:r w:rsidRPr="00F42C91">
              <w:rPr>
                <w:rFonts w:ascii="Arial" w:hAnsi="Arial" w:cs="Arial"/>
                <w:u w:val="single"/>
              </w:rPr>
              <w:t xml:space="preserve"> </w:t>
            </w:r>
            <w:r>
              <w:rPr>
                <w:rFonts w:ascii="Arial" w:hAnsi="Arial" w:cs="Arial"/>
                <w:u w:val="single"/>
              </w:rPr>
              <w:t xml:space="preserve">   </w:t>
            </w:r>
            <w:r w:rsidR="00920B50">
              <w:rPr>
                <w:rFonts w:ascii="Arial" w:hAnsi="Arial" w:cs="Arial"/>
                <w:u w:val="single"/>
              </w:rPr>
              <w:t xml:space="preserve">  </w:t>
            </w:r>
            <w:r>
              <w:rPr>
                <w:rFonts w:ascii="Arial" w:hAnsi="Arial" w:cs="Arial"/>
                <w:u w:val="single"/>
              </w:rPr>
              <w:t xml:space="preserve"> </w:t>
            </w:r>
            <w:r w:rsidRPr="008E7086">
              <w:rPr>
                <w:rFonts w:ascii="Arial" w:hAnsi="Arial" w:cs="Arial"/>
                <w:u w:val="single"/>
              </w:rPr>
              <w:t>(</w:t>
            </w:r>
            <w:r w:rsidR="00920B50">
              <w:rPr>
                <w:rFonts w:ascii="Arial" w:hAnsi="Arial" w:cs="Arial"/>
                <w:u w:val="single"/>
              </w:rPr>
              <w:t>368</w:t>
            </w:r>
            <w:r w:rsidRPr="008E7086">
              <w:rPr>
                <w:rFonts w:ascii="Arial" w:hAnsi="Arial" w:cs="Arial"/>
                <w:u w:val="single"/>
              </w:rPr>
              <w:t>,</w:t>
            </w:r>
            <w:r w:rsidR="00920B50">
              <w:rPr>
                <w:rFonts w:ascii="Arial" w:hAnsi="Arial" w:cs="Arial"/>
                <w:u w:val="single"/>
              </w:rPr>
              <w:t>615</w:t>
            </w:r>
            <w:r w:rsidRPr="008E7086">
              <w:rPr>
                <w:rFonts w:ascii="Arial" w:hAnsi="Arial" w:cs="Arial"/>
                <w:u w:val="single"/>
              </w:rPr>
              <w:t>)</w:t>
            </w:r>
          </w:p>
        </w:tc>
      </w:tr>
      <w:tr w:rsidR="00F70EA8" w:rsidRPr="008E7086" w:rsidTr="007D7C40">
        <w:trPr>
          <w:trHeight w:val="255"/>
        </w:trPr>
        <w:tc>
          <w:tcPr>
            <w:tcW w:w="2448" w:type="dxa"/>
            <w:noWrap/>
            <w:vAlign w:val="bottom"/>
          </w:tcPr>
          <w:p w:rsidR="00F70EA8" w:rsidRPr="008E7086" w:rsidRDefault="00F70EA8" w:rsidP="007D7C40">
            <w:pPr>
              <w:jc w:val="left"/>
              <w:rPr>
                <w:rFonts w:ascii="Arial" w:hAnsi="Arial" w:cs="Arial"/>
              </w:rPr>
            </w:pPr>
          </w:p>
        </w:tc>
        <w:tc>
          <w:tcPr>
            <w:tcW w:w="241" w:type="dxa"/>
          </w:tcPr>
          <w:p w:rsidR="00F70EA8" w:rsidRPr="008E7086" w:rsidRDefault="00F70EA8" w:rsidP="007D7C40">
            <w:pPr>
              <w:jc w:val="right"/>
              <w:rPr>
                <w:rFonts w:ascii="Arial" w:hAnsi="Arial" w:cs="Arial"/>
              </w:rPr>
            </w:pPr>
          </w:p>
        </w:tc>
        <w:tc>
          <w:tcPr>
            <w:tcW w:w="2099" w:type="dxa"/>
            <w:noWrap/>
          </w:tcPr>
          <w:p w:rsidR="00F70EA8" w:rsidRPr="008E7086" w:rsidRDefault="00F70EA8" w:rsidP="007D7C40">
            <w:pPr>
              <w:jc w:val="right"/>
              <w:rPr>
                <w:rFonts w:ascii="Arial" w:hAnsi="Arial" w:cs="Arial"/>
              </w:rPr>
            </w:pPr>
          </w:p>
        </w:tc>
        <w:tc>
          <w:tcPr>
            <w:tcW w:w="246" w:type="dxa"/>
          </w:tcPr>
          <w:p w:rsidR="00F70EA8" w:rsidRPr="008E7086" w:rsidRDefault="00F70EA8" w:rsidP="007D7C40">
            <w:pPr>
              <w:jc w:val="right"/>
              <w:rPr>
                <w:rFonts w:ascii="Arial" w:hAnsi="Arial" w:cs="Arial"/>
              </w:rPr>
            </w:pPr>
          </w:p>
        </w:tc>
        <w:tc>
          <w:tcPr>
            <w:tcW w:w="2184" w:type="dxa"/>
            <w:noWrap/>
          </w:tcPr>
          <w:p w:rsidR="00F70EA8" w:rsidRPr="008E7086" w:rsidRDefault="00F70EA8" w:rsidP="007D7C40">
            <w:pPr>
              <w:jc w:val="right"/>
              <w:rPr>
                <w:rFonts w:ascii="Arial" w:hAnsi="Arial" w:cs="Arial"/>
              </w:rPr>
            </w:pPr>
          </w:p>
        </w:tc>
        <w:tc>
          <w:tcPr>
            <w:tcW w:w="270" w:type="dxa"/>
          </w:tcPr>
          <w:p w:rsidR="00F70EA8" w:rsidRPr="008E7086" w:rsidRDefault="00F70EA8" w:rsidP="007D7C40">
            <w:pPr>
              <w:jc w:val="right"/>
              <w:rPr>
                <w:rFonts w:ascii="Arial" w:hAnsi="Arial" w:cs="Arial"/>
              </w:rPr>
            </w:pPr>
          </w:p>
        </w:tc>
        <w:tc>
          <w:tcPr>
            <w:tcW w:w="1980" w:type="dxa"/>
            <w:noWrap/>
          </w:tcPr>
          <w:p w:rsidR="00F70EA8" w:rsidRPr="008E7086" w:rsidRDefault="00F70EA8" w:rsidP="007D7C40">
            <w:pPr>
              <w:jc w:val="right"/>
              <w:rPr>
                <w:rFonts w:ascii="Arial" w:hAnsi="Arial" w:cs="Arial"/>
              </w:rPr>
            </w:pPr>
          </w:p>
        </w:tc>
      </w:tr>
      <w:tr w:rsidR="00F70EA8" w:rsidRPr="008E7086" w:rsidTr="007D7C40">
        <w:trPr>
          <w:trHeight w:val="497"/>
        </w:trPr>
        <w:tc>
          <w:tcPr>
            <w:tcW w:w="2448" w:type="dxa"/>
            <w:noWrap/>
            <w:vAlign w:val="bottom"/>
          </w:tcPr>
          <w:p w:rsidR="00F70EA8" w:rsidRPr="008E7086" w:rsidRDefault="00293AA5" w:rsidP="007D7C40">
            <w:pPr>
              <w:jc w:val="left"/>
              <w:rPr>
                <w:rFonts w:ascii="Arial" w:hAnsi="Arial" w:cs="Arial"/>
              </w:rPr>
            </w:pPr>
            <w:r>
              <w:rPr>
                <w:rFonts w:ascii="Arial" w:hAnsi="Arial" w:cs="Arial"/>
              </w:rPr>
              <w:t xml:space="preserve">     </w:t>
            </w:r>
            <w:r w:rsidR="00F70EA8" w:rsidRPr="008E7086">
              <w:rPr>
                <w:rFonts w:ascii="Arial" w:hAnsi="Arial" w:cs="Arial"/>
              </w:rPr>
              <w:t>Total</w:t>
            </w:r>
            <w:r w:rsidR="00F70EA8">
              <w:rPr>
                <w:rFonts w:ascii="Arial" w:hAnsi="Arial" w:cs="Arial"/>
              </w:rPr>
              <w:t>s</w:t>
            </w:r>
          </w:p>
        </w:tc>
        <w:tc>
          <w:tcPr>
            <w:tcW w:w="241" w:type="dxa"/>
            <w:vAlign w:val="bottom"/>
          </w:tcPr>
          <w:p w:rsidR="00F70EA8" w:rsidRPr="008E7086" w:rsidRDefault="00F70EA8" w:rsidP="007D7C40">
            <w:pPr>
              <w:rPr>
                <w:rFonts w:ascii="Arial" w:hAnsi="Arial" w:cs="Arial"/>
                <w:u w:val="double"/>
              </w:rPr>
            </w:pPr>
          </w:p>
        </w:tc>
        <w:tc>
          <w:tcPr>
            <w:tcW w:w="2099" w:type="dxa"/>
            <w:noWrap/>
            <w:vAlign w:val="bottom"/>
          </w:tcPr>
          <w:p w:rsidR="00F70EA8" w:rsidRPr="008E7086" w:rsidRDefault="00F70EA8" w:rsidP="00F635A9">
            <w:pPr>
              <w:rPr>
                <w:rFonts w:ascii="Arial" w:hAnsi="Arial" w:cs="Arial"/>
                <w:u w:val="double"/>
              </w:rPr>
            </w:pPr>
            <w:r w:rsidRPr="004E0E15">
              <w:rPr>
                <w:rFonts w:ascii="Arial" w:hAnsi="Arial" w:cs="Arial"/>
              </w:rPr>
              <w:t xml:space="preserve">  </w:t>
            </w:r>
            <w:r w:rsidRPr="008E7086">
              <w:rPr>
                <w:rFonts w:ascii="Arial" w:hAnsi="Arial" w:cs="Arial"/>
                <w:u w:val="double"/>
              </w:rPr>
              <w:t>$</w:t>
            </w:r>
            <w:r>
              <w:rPr>
                <w:rFonts w:ascii="Arial" w:hAnsi="Arial" w:cs="Arial"/>
                <w:u w:val="double"/>
              </w:rPr>
              <w:t xml:space="preserve"> </w:t>
            </w:r>
            <w:r w:rsidR="00F635A9">
              <w:rPr>
                <w:rFonts w:ascii="Arial" w:hAnsi="Arial" w:cs="Arial"/>
                <w:u w:val="double"/>
              </w:rPr>
              <w:t xml:space="preserve">  991</w:t>
            </w:r>
            <w:r w:rsidRPr="008E7086">
              <w:rPr>
                <w:rFonts w:ascii="Arial" w:hAnsi="Arial" w:cs="Arial"/>
                <w:u w:val="double"/>
              </w:rPr>
              <w:t>,</w:t>
            </w:r>
            <w:r w:rsidR="00F635A9">
              <w:rPr>
                <w:rFonts w:ascii="Arial" w:hAnsi="Arial" w:cs="Arial"/>
                <w:u w:val="double"/>
              </w:rPr>
              <w:t>667</w:t>
            </w:r>
            <w:r w:rsidRPr="008E7086">
              <w:rPr>
                <w:rFonts w:ascii="Arial" w:hAnsi="Arial" w:cs="Arial"/>
                <w:u w:val="double"/>
              </w:rPr>
              <w:t>,</w:t>
            </w:r>
            <w:r w:rsidR="00F635A9">
              <w:rPr>
                <w:rFonts w:ascii="Arial" w:hAnsi="Arial" w:cs="Arial"/>
                <w:u w:val="double"/>
              </w:rPr>
              <w:t>825</w:t>
            </w:r>
          </w:p>
        </w:tc>
        <w:tc>
          <w:tcPr>
            <w:tcW w:w="246" w:type="dxa"/>
            <w:vAlign w:val="bottom"/>
          </w:tcPr>
          <w:p w:rsidR="00F70EA8" w:rsidRPr="008E7086" w:rsidRDefault="00F70EA8" w:rsidP="007D7C40">
            <w:pPr>
              <w:rPr>
                <w:rFonts w:ascii="Arial" w:hAnsi="Arial" w:cs="Arial"/>
                <w:u w:val="double"/>
              </w:rPr>
            </w:pPr>
          </w:p>
        </w:tc>
        <w:tc>
          <w:tcPr>
            <w:tcW w:w="2184" w:type="dxa"/>
            <w:noWrap/>
            <w:vAlign w:val="bottom"/>
          </w:tcPr>
          <w:p w:rsidR="00F70EA8" w:rsidRPr="008E7086" w:rsidRDefault="00F70EA8" w:rsidP="00F635A9">
            <w:pPr>
              <w:rPr>
                <w:rFonts w:ascii="Arial" w:hAnsi="Arial" w:cs="Arial"/>
                <w:u w:val="double"/>
              </w:rPr>
            </w:pPr>
            <w:r w:rsidRPr="004E0E15">
              <w:rPr>
                <w:rFonts w:ascii="Arial" w:hAnsi="Arial" w:cs="Arial"/>
              </w:rPr>
              <w:t xml:space="preserve">  </w:t>
            </w:r>
            <w:r w:rsidRPr="003F26F8">
              <w:rPr>
                <w:rFonts w:ascii="Arial" w:hAnsi="Arial" w:cs="Arial"/>
              </w:rPr>
              <w:t xml:space="preserve"> </w:t>
            </w:r>
            <w:r w:rsidRPr="008E7086">
              <w:rPr>
                <w:rFonts w:ascii="Arial" w:hAnsi="Arial" w:cs="Arial"/>
                <w:u w:val="double"/>
              </w:rPr>
              <w:t>$</w:t>
            </w:r>
            <w:r>
              <w:rPr>
                <w:rFonts w:ascii="Arial" w:hAnsi="Arial" w:cs="Arial"/>
                <w:u w:val="double"/>
              </w:rPr>
              <w:t xml:space="preserve"> </w:t>
            </w:r>
            <w:r w:rsidR="00F635A9">
              <w:rPr>
                <w:rFonts w:ascii="Arial" w:hAnsi="Arial" w:cs="Arial"/>
                <w:u w:val="double"/>
              </w:rPr>
              <w:t xml:space="preserve">  989</w:t>
            </w:r>
            <w:r w:rsidRPr="008E7086">
              <w:rPr>
                <w:rFonts w:ascii="Arial" w:hAnsi="Arial" w:cs="Arial"/>
                <w:u w:val="double"/>
              </w:rPr>
              <w:t>,</w:t>
            </w:r>
            <w:r w:rsidR="00F635A9">
              <w:rPr>
                <w:rFonts w:ascii="Arial" w:hAnsi="Arial" w:cs="Arial"/>
                <w:u w:val="double"/>
              </w:rPr>
              <w:t>447</w:t>
            </w:r>
            <w:r w:rsidRPr="008E7086">
              <w:rPr>
                <w:rFonts w:ascii="Arial" w:hAnsi="Arial" w:cs="Arial"/>
                <w:u w:val="double"/>
              </w:rPr>
              <w:t>,</w:t>
            </w:r>
            <w:r w:rsidR="00F635A9">
              <w:rPr>
                <w:rFonts w:ascii="Arial" w:hAnsi="Arial" w:cs="Arial"/>
                <w:u w:val="double"/>
              </w:rPr>
              <w:t>872</w:t>
            </w:r>
          </w:p>
        </w:tc>
        <w:tc>
          <w:tcPr>
            <w:tcW w:w="270" w:type="dxa"/>
            <w:vAlign w:val="bottom"/>
          </w:tcPr>
          <w:p w:rsidR="00F70EA8" w:rsidRPr="008E7086" w:rsidRDefault="00F70EA8" w:rsidP="007D7C40">
            <w:pPr>
              <w:rPr>
                <w:rFonts w:ascii="Arial" w:hAnsi="Arial" w:cs="Arial"/>
                <w:u w:val="double"/>
              </w:rPr>
            </w:pPr>
          </w:p>
        </w:tc>
        <w:tc>
          <w:tcPr>
            <w:tcW w:w="1980" w:type="dxa"/>
            <w:noWrap/>
            <w:vAlign w:val="bottom"/>
          </w:tcPr>
          <w:p w:rsidR="00F70EA8" w:rsidRPr="008E7086" w:rsidRDefault="00F70EA8" w:rsidP="00F635A9">
            <w:pPr>
              <w:rPr>
                <w:rFonts w:ascii="Arial" w:hAnsi="Arial" w:cs="Arial"/>
                <w:u w:val="double"/>
              </w:rPr>
            </w:pPr>
            <w:r w:rsidRPr="004E0E15">
              <w:rPr>
                <w:rFonts w:ascii="Arial" w:hAnsi="Arial" w:cs="Arial"/>
              </w:rPr>
              <w:t xml:space="preserve"> </w:t>
            </w:r>
            <w:r w:rsidRPr="008E7086">
              <w:rPr>
                <w:rFonts w:ascii="Arial" w:hAnsi="Arial" w:cs="Arial"/>
                <w:u w:val="double"/>
              </w:rPr>
              <w:t>$</w:t>
            </w:r>
            <w:r>
              <w:rPr>
                <w:rFonts w:ascii="Arial" w:hAnsi="Arial" w:cs="Arial"/>
                <w:u w:val="double"/>
              </w:rPr>
              <w:t xml:space="preserve">  </w:t>
            </w:r>
            <w:r w:rsidR="00F635A9">
              <w:rPr>
                <w:rFonts w:ascii="Arial" w:hAnsi="Arial" w:cs="Arial"/>
                <w:u w:val="double"/>
              </w:rPr>
              <w:t xml:space="preserve">  2</w:t>
            </w:r>
            <w:r w:rsidRPr="008E7086">
              <w:rPr>
                <w:rFonts w:ascii="Arial" w:hAnsi="Arial" w:cs="Arial"/>
                <w:u w:val="double"/>
              </w:rPr>
              <w:t>,</w:t>
            </w:r>
            <w:r w:rsidR="00F635A9">
              <w:rPr>
                <w:rFonts w:ascii="Arial" w:hAnsi="Arial" w:cs="Arial"/>
                <w:u w:val="double"/>
              </w:rPr>
              <w:t>219</w:t>
            </w:r>
            <w:r w:rsidRPr="008E7086">
              <w:rPr>
                <w:rFonts w:ascii="Arial" w:hAnsi="Arial" w:cs="Arial"/>
                <w:u w:val="double"/>
              </w:rPr>
              <w:t>,</w:t>
            </w:r>
            <w:r w:rsidR="00F635A9">
              <w:rPr>
                <w:rFonts w:ascii="Arial" w:hAnsi="Arial" w:cs="Arial"/>
                <w:u w:val="double"/>
              </w:rPr>
              <w:t>953</w:t>
            </w:r>
          </w:p>
        </w:tc>
      </w:tr>
    </w:tbl>
    <w:p w:rsidR="00F70EA8" w:rsidRPr="008E7086" w:rsidRDefault="00F70EA8" w:rsidP="00F70EA8">
      <w:pPr>
        <w:tabs>
          <w:tab w:val="center" w:pos="4680"/>
        </w:tabs>
        <w:suppressAutoHyphens/>
        <w:rPr>
          <w:rFonts w:ascii="Arial" w:hAnsi="Arial" w:cs="Arial"/>
          <w:szCs w:val="24"/>
        </w:rPr>
      </w:pPr>
    </w:p>
    <w:p w:rsidR="00F70EA8" w:rsidRPr="008E7086" w:rsidRDefault="00F70EA8" w:rsidP="00F70EA8">
      <w:pPr>
        <w:tabs>
          <w:tab w:val="center" w:pos="4680"/>
        </w:tabs>
        <w:suppressAutoHyphens/>
        <w:ind w:left="90" w:hanging="90"/>
        <w:rPr>
          <w:rFonts w:ascii="Arial" w:hAnsi="Arial" w:cs="Arial"/>
          <w:szCs w:val="24"/>
        </w:rPr>
      </w:pPr>
    </w:p>
    <w:p w:rsidR="00F70EA8" w:rsidRPr="008E7086" w:rsidRDefault="00F70EA8" w:rsidP="00F70EA8">
      <w:pPr>
        <w:tabs>
          <w:tab w:val="center" w:pos="4680"/>
        </w:tabs>
        <w:suppressAutoHyphens/>
        <w:ind w:left="90" w:hanging="90"/>
        <w:rPr>
          <w:rFonts w:ascii="Arial" w:hAnsi="Arial" w:cs="Arial"/>
          <w:szCs w:val="24"/>
        </w:rPr>
      </w:pPr>
    </w:p>
    <w:p w:rsidR="00F70EA8" w:rsidRDefault="00F70EA8" w:rsidP="00F70EA8">
      <w:pPr>
        <w:tabs>
          <w:tab w:val="left" w:pos="-1440"/>
          <w:tab w:val="left" w:pos="-720"/>
          <w:tab w:val="left" w:pos="0"/>
          <w:tab w:val="left" w:pos="5040"/>
          <w:tab w:val="left" w:pos="7056"/>
        </w:tabs>
        <w:suppressAutoHyphens/>
        <w:outlineLvl w:val="0"/>
        <w:rPr>
          <w:rFonts w:ascii="Arial" w:hAnsi="Arial" w:cs="Arial"/>
        </w:rPr>
      </w:pPr>
    </w:p>
    <w:p w:rsidR="00F70EA8" w:rsidRDefault="00F70EA8" w:rsidP="003F26F8">
      <w:pPr>
        <w:tabs>
          <w:tab w:val="center" w:pos="4680"/>
        </w:tabs>
        <w:suppressAutoHyphens/>
        <w:jc w:val="left"/>
        <w:rPr>
          <w:rFonts w:ascii="Arial" w:hAnsi="Arial" w:cs="Arial"/>
          <w:szCs w:val="24"/>
        </w:rPr>
      </w:pPr>
      <w:r w:rsidRPr="00936DE2">
        <w:rPr>
          <w:rFonts w:ascii="Arial" w:hAnsi="Arial" w:cs="Arial"/>
          <w:szCs w:val="24"/>
        </w:rPr>
        <w:t>*</w:t>
      </w:r>
      <w:r w:rsidR="003F26F8">
        <w:rPr>
          <w:rFonts w:ascii="Arial" w:hAnsi="Arial" w:cs="Arial"/>
          <w:szCs w:val="24"/>
        </w:rPr>
        <w:t xml:space="preserve"> - </w:t>
      </w:r>
      <w:r>
        <w:rPr>
          <w:rFonts w:ascii="Arial" w:hAnsi="Arial" w:cs="Arial"/>
          <w:szCs w:val="24"/>
        </w:rPr>
        <w:t>As reported to the Commission</w:t>
      </w:r>
      <w:r w:rsidRPr="00936DE2">
        <w:rPr>
          <w:rFonts w:ascii="Arial" w:hAnsi="Arial" w:cs="Arial"/>
          <w:szCs w:val="24"/>
        </w:rPr>
        <w:t xml:space="preserve"> at Docket No.</w:t>
      </w:r>
      <w:r>
        <w:rPr>
          <w:rFonts w:ascii="Arial" w:hAnsi="Arial" w:cs="Arial"/>
          <w:szCs w:val="24"/>
        </w:rPr>
        <w:t xml:space="preserve"> </w:t>
      </w:r>
      <w:r w:rsidRPr="00932F13">
        <w:rPr>
          <w:rFonts w:ascii="Arial" w:hAnsi="Arial" w:cs="Arial"/>
          <w:szCs w:val="24"/>
        </w:rPr>
        <w:t>M</w:t>
      </w:r>
      <w:r w:rsidRPr="00932F13">
        <w:rPr>
          <w:rFonts w:ascii="Arial" w:hAnsi="Arial" w:cs="Arial"/>
          <w:szCs w:val="24"/>
        </w:rPr>
        <w:noBreakHyphen/>
        <w:t>201</w:t>
      </w:r>
      <w:r w:rsidR="00F635A9" w:rsidRPr="00932F13">
        <w:rPr>
          <w:rFonts w:ascii="Arial" w:hAnsi="Arial" w:cs="Arial"/>
          <w:szCs w:val="24"/>
        </w:rPr>
        <w:t>3</w:t>
      </w:r>
      <w:r w:rsidRPr="00932F13">
        <w:rPr>
          <w:rFonts w:ascii="Arial" w:hAnsi="Arial" w:cs="Arial"/>
          <w:szCs w:val="24"/>
        </w:rPr>
        <w:noBreakHyphen/>
      </w:r>
      <w:r w:rsidR="00932F13">
        <w:rPr>
          <w:rFonts w:ascii="Arial" w:hAnsi="Arial" w:cs="Arial"/>
          <w:szCs w:val="24"/>
        </w:rPr>
        <w:t>2345827</w:t>
      </w:r>
      <w:r w:rsidR="00D1633B">
        <w:rPr>
          <w:rFonts w:ascii="Arial" w:hAnsi="Arial" w:cs="Arial"/>
          <w:szCs w:val="24"/>
        </w:rPr>
        <w:t>.</w:t>
      </w:r>
    </w:p>
    <w:p w:rsidR="00F70EA8" w:rsidRDefault="00F70EA8" w:rsidP="00F70EA8">
      <w:pPr>
        <w:tabs>
          <w:tab w:val="center" w:pos="4680"/>
        </w:tabs>
        <w:suppressAutoHyphens/>
        <w:ind w:left="90" w:hanging="90"/>
        <w:rPr>
          <w:rFonts w:ascii="Arial" w:hAnsi="Arial" w:cs="Arial"/>
          <w:szCs w:val="24"/>
        </w:rPr>
      </w:pPr>
    </w:p>
    <w:p w:rsidR="00F70EA8" w:rsidRPr="00BE0936" w:rsidRDefault="00F70EA8" w:rsidP="003F26F8">
      <w:pPr>
        <w:tabs>
          <w:tab w:val="center" w:pos="4680"/>
        </w:tabs>
        <w:suppressAutoHyphens/>
        <w:jc w:val="both"/>
        <w:rPr>
          <w:rFonts w:ascii="Arial" w:hAnsi="Arial" w:cs="Arial"/>
          <w:szCs w:val="24"/>
        </w:rPr>
      </w:pPr>
      <w:r w:rsidRPr="00BE0936">
        <w:rPr>
          <w:rFonts w:ascii="Arial" w:hAnsi="Arial" w:cs="Arial"/>
          <w:szCs w:val="24"/>
        </w:rPr>
        <w:t>Notes to the Fi</w:t>
      </w:r>
      <w:r>
        <w:rPr>
          <w:rFonts w:ascii="Arial" w:hAnsi="Arial" w:cs="Arial"/>
          <w:szCs w:val="24"/>
        </w:rPr>
        <w:t>nancial Statement</w:t>
      </w:r>
      <w:r w:rsidR="003F26F8">
        <w:rPr>
          <w:rFonts w:ascii="Arial" w:hAnsi="Arial" w:cs="Arial"/>
          <w:szCs w:val="24"/>
        </w:rPr>
        <w:t>s</w:t>
      </w:r>
      <w:r w:rsidRPr="00BE0936">
        <w:rPr>
          <w:rFonts w:ascii="Arial" w:hAnsi="Arial" w:cs="Arial"/>
          <w:szCs w:val="24"/>
        </w:rPr>
        <w:t xml:space="preserve"> are an integral part of this report.</w:t>
      </w:r>
    </w:p>
    <w:p w:rsidR="00F05A87" w:rsidRDefault="00F05A87">
      <w:pPr>
        <w:rPr>
          <w:rFonts w:ascii="Arial" w:hAnsi="Arial" w:cs="Arial"/>
          <w:b/>
          <w:sz w:val="26"/>
          <w:szCs w:val="26"/>
        </w:rPr>
      </w:pPr>
      <w:r>
        <w:rPr>
          <w:rFonts w:ascii="Arial" w:hAnsi="Arial" w:cs="Arial"/>
          <w:b/>
          <w:sz w:val="26"/>
          <w:szCs w:val="26"/>
        </w:rPr>
        <w:br w:type="page"/>
      </w:r>
    </w:p>
    <w:p w:rsidR="0031644D" w:rsidRPr="0077381F" w:rsidRDefault="00425941" w:rsidP="0077381F">
      <w:pPr>
        <w:rPr>
          <w:rFonts w:ascii="Arial" w:hAnsi="Arial" w:cs="Arial"/>
          <w:b/>
          <w:sz w:val="26"/>
          <w:szCs w:val="26"/>
        </w:rPr>
      </w:pPr>
      <w:r w:rsidRPr="0077381F">
        <w:rPr>
          <w:rFonts w:ascii="Arial" w:hAnsi="Arial" w:cs="Arial"/>
          <w:b/>
          <w:sz w:val="26"/>
          <w:szCs w:val="26"/>
        </w:rPr>
        <w:lastRenderedPageBreak/>
        <w:t>PECO ENERGY COMPANY</w:t>
      </w:r>
    </w:p>
    <w:p w:rsidR="0031644D" w:rsidRPr="0077381F" w:rsidRDefault="0031644D" w:rsidP="00905409">
      <w:pPr>
        <w:pStyle w:val="Heading1"/>
        <w:rPr>
          <w:rFonts w:ascii="Arial" w:hAnsi="Arial" w:cs="Arial"/>
          <w:sz w:val="26"/>
          <w:szCs w:val="26"/>
          <w:u w:val="none"/>
        </w:rPr>
      </w:pPr>
    </w:p>
    <w:p w:rsidR="005D711E" w:rsidRPr="000A2605" w:rsidRDefault="005D711E" w:rsidP="00905409">
      <w:pPr>
        <w:pStyle w:val="Heading1"/>
        <w:rPr>
          <w:rFonts w:ascii="Arial" w:hAnsi="Arial" w:cs="Arial"/>
          <w:sz w:val="26"/>
          <w:szCs w:val="26"/>
          <w:u w:val="none"/>
        </w:rPr>
      </w:pPr>
      <w:r w:rsidRPr="000A2605">
        <w:rPr>
          <w:rFonts w:ascii="Arial" w:hAnsi="Arial" w:cs="Arial"/>
          <w:sz w:val="26"/>
          <w:szCs w:val="26"/>
          <w:u w:val="none"/>
        </w:rPr>
        <w:t xml:space="preserve">Notes </w:t>
      </w:r>
      <w:r w:rsidR="000A2605">
        <w:rPr>
          <w:rFonts w:ascii="Arial" w:hAnsi="Arial" w:cs="Arial"/>
          <w:sz w:val="26"/>
          <w:szCs w:val="26"/>
          <w:u w:val="none"/>
        </w:rPr>
        <w:t>t</w:t>
      </w:r>
      <w:r w:rsidRPr="000A2605">
        <w:rPr>
          <w:rFonts w:ascii="Arial" w:hAnsi="Arial" w:cs="Arial"/>
          <w:sz w:val="26"/>
          <w:szCs w:val="26"/>
          <w:u w:val="none"/>
        </w:rPr>
        <w:t>o</w:t>
      </w:r>
      <w:r w:rsidR="00043C83" w:rsidRPr="000A2605">
        <w:rPr>
          <w:rFonts w:ascii="Arial" w:hAnsi="Arial" w:cs="Arial"/>
          <w:sz w:val="26"/>
          <w:szCs w:val="26"/>
          <w:u w:val="none"/>
        </w:rPr>
        <w:t xml:space="preserve"> </w:t>
      </w:r>
      <w:r w:rsidR="000A2605">
        <w:rPr>
          <w:rFonts w:ascii="Arial" w:hAnsi="Arial" w:cs="Arial"/>
          <w:sz w:val="26"/>
          <w:szCs w:val="26"/>
          <w:u w:val="none"/>
        </w:rPr>
        <w:t>t</w:t>
      </w:r>
      <w:r w:rsidR="00043C83" w:rsidRPr="000A2605">
        <w:rPr>
          <w:rFonts w:ascii="Arial" w:hAnsi="Arial" w:cs="Arial"/>
          <w:sz w:val="26"/>
          <w:szCs w:val="26"/>
          <w:u w:val="none"/>
        </w:rPr>
        <w:t>he Financial Statement</w:t>
      </w:r>
      <w:r w:rsidR="00F42C91">
        <w:rPr>
          <w:rFonts w:ascii="Arial" w:hAnsi="Arial" w:cs="Arial"/>
          <w:sz w:val="26"/>
          <w:szCs w:val="26"/>
          <w:u w:val="none"/>
        </w:rPr>
        <w:t>s</w:t>
      </w:r>
    </w:p>
    <w:p w:rsidR="003608F3" w:rsidRPr="008E7086" w:rsidRDefault="003608F3" w:rsidP="00905409">
      <w:pPr>
        <w:tabs>
          <w:tab w:val="center" w:pos="4680"/>
        </w:tabs>
        <w:suppressAutoHyphens/>
        <w:outlineLvl w:val="0"/>
        <w:rPr>
          <w:rFonts w:ascii="Arial" w:hAnsi="Arial" w:cs="Arial"/>
          <w:b/>
          <w:szCs w:val="24"/>
        </w:rPr>
      </w:pPr>
    </w:p>
    <w:p w:rsidR="00043C83" w:rsidRPr="00936DE2" w:rsidRDefault="00043C83" w:rsidP="00043C83">
      <w:pPr>
        <w:jc w:val="both"/>
        <w:rPr>
          <w:rFonts w:ascii="Arial" w:hAnsi="Arial" w:cs="Arial"/>
          <w:b/>
          <w:szCs w:val="24"/>
          <w:u w:val="single"/>
        </w:rPr>
      </w:pPr>
      <w:r>
        <w:rPr>
          <w:rFonts w:ascii="Arial" w:hAnsi="Arial" w:cs="Arial"/>
          <w:b/>
          <w:szCs w:val="24"/>
          <w:u w:val="single"/>
        </w:rPr>
        <w:t xml:space="preserve">1 </w:t>
      </w:r>
      <w:r w:rsidRPr="00936DE2">
        <w:rPr>
          <w:rFonts w:ascii="Arial" w:hAnsi="Arial" w:cs="Arial"/>
          <w:b/>
          <w:szCs w:val="24"/>
          <w:u w:val="single"/>
        </w:rPr>
        <w:t>–</w:t>
      </w:r>
      <w:r>
        <w:rPr>
          <w:rFonts w:ascii="Arial" w:hAnsi="Arial" w:cs="Arial"/>
          <w:b/>
          <w:szCs w:val="24"/>
          <w:u w:val="single"/>
        </w:rPr>
        <w:t xml:space="preserve"> Condensed Statement</w:t>
      </w:r>
      <w:r w:rsidR="00F42C91">
        <w:rPr>
          <w:rFonts w:ascii="Arial" w:hAnsi="Arial" w:cs="Arial"/>
          <w:b/>
          <w:szCs w:val="24"/>
          <w:u w:val="single"/>
        </w:rPr>
        <w:t>s</w:t>
      </w:r>
    </w:p>
    <w:p w:rsidR="002533F2" w:rsidRPr="00D96CEF" w:rsidRDefault="002533F2" w:rsidP="002533F2">
      <w:pPr>
        <w:pStyle w:val="EndnoteText"/>
        <w:tabs>
          <w:tab w:val="left" w:pos="9180"/>
        </w:tabs>
        <w:suppressAutoHyphens/>
        <w:ind w:left="360"/>
        <w:rPr>
          <w:rFonts w:ascii="Arial" w:hAnsi="Arial" w:cs="Arial"/>
          <w:b/>
          <w:sz w:val="22"/>
          <w:szCs w:val="22"/>
          <w:u w:val="single"/>
          <w:lang w:val="en-US" w:eastAsia="en-US"/>
        </w:rPr>
      </w:pPr>
    </w:p>
    <w:p w:rsidR="00043C83" w:rsidRPr="00025F35" w:rsidRDefault="00043C83" w:rsidP="002533F2">
      <w:pPr>
        <w:pStyle w:val="EndnoteText"/>
        <w:tabs>
          <w:tab w:val="left" w:pos="9180"/>
        </w:tabs>
        <w:suppressAutoHyphens/>
        <w:ind w:left="360"/>
        <w:jc w:val="left"/>
        <w:rPr>
          <w:rFonts w:ascii="Arial" w:hAnsi="Arial" w:cs="Arial"/>
          <w:szCs w:val="26"/>
          <w:lang w:val="en-US"/>
        </w:rPr>
      </w:pPr>
      <w:r>
        <w:rPr>
          <w:rFonts w:ascii="Arial" w:hAnsi="Arial" w:cs="Arial"/>
          <w:szCs w:val="24"/>
        </w:rPr>
        <w:t xml:space="preserve">The </w:t>
      </w:r>
      <w:r w:rsidRPr="00936DE2">
        <w:rPr>
          <w:rFonts w:ascii="Arial" w:hAnsi="Arial" w:cs="Arial"/>
          <w:szCs w:val="24"/>
        </w:rPr>
        <w:t>Statement</w:t>
      </w:r>
      <w:r w:rsidR="00662FB8">
        <w:rPr>
          <w:rFonts w:ascii="Arial" w:hAnsi="Arial" w:cs="Arial"/>
          <w:szCs w:val="24"/>
          <w:lang w:val="en-US"/>
        </w:rPr>
        <w:t>s</w:t>
      </w:r>
      <w:r w:rsidRPr="00936DE2">
        <w:rPr>
          <w:rFonts w:ascii="Arial" w:hAnsi="Arial" w:cs="Arial"/>
          <w:szCs w:val="24"/>
        </w:rPr>
        <w:t xml:space="preserve"> </w:t>
      </w:r>
      <w:r>
        <w:rPr>
          <w:rFonts w:ascii="Arial" w:hAnsi="Arial" w:cs="Arial"/>
          <w:szCs w:val="24"/>
        </w:rPr>
        <w:t>o</w:t>
      </w:r>
      <w:r w:rsidRPr="00936DE2">
        <w:rPr>
          <w:rFonts w:ascii="Arial" w:hAnsi="Arial" w:cs="Arial"/>
          <w:szCs w:val="24"/>
        </w:rPr>
        <w:t>f</w:t>
      </w:r>
      <w:r>
        <w:rPr>
          <w:rFonts w:ascii="Arial" w:hAnsi="Arial" w:cs="Arial"/>
          <w:szCs w:val="24"/>
        </w:rPr>
        <w:t xml:space="preserve"> </w:t>
      </w:r>
      <w:r>
        <w:rPr>
          <w:rFonts w:ascii="Arial" w:hAnsi="Arial" w:cs="Arial"/>
          <w:szCs w:val="24"/>
          <w:lang w:val="en-US"/>
        </w:rPr>
        <w:t xml:space="preserve">Generation Supply Adjustment </w:t>
      </w:r>
      <w:r>
        <w:rPr>
          <w:rFonts w:ascii="Arial" w:hAnsi="Arial" w:cs="Arial"/>
          <w:szCs w:val="24"/>
        </w:rPr>
        <w:t>(</w:t>
      </w:r>
      <w:r>
        <w:rPr>
          <w:rFonts w:ascii="Arial" w:hAnsi="Arial" w:cs="Arial"/>
          <w:szCs w:val="24"/>
          <w:lang w:val="en-US"/>
        </w:rPr>
        <w:t>GSA</w:t>
      </w:r>
      <w:r>
        <w:rPr>
          <w:rFonts w:ascii="Arial" w:hAnsi="Arial" w:cs="Arial"/>
          <w:szCs w:val="24"/>
        </w:rPr>
        <w:t xml:space="preserve">) </w:t>
      </w:r>
      <w:r w:rsidRPr="00936DE2">
        <w:rPr>
          <w:rFonts w:ascii="Arial" w:hAnsi="Arial" w:cs="Arial"/>
          <w:szCs w:val="24"/>
        </w:rPr>
        <w:t>Over/(Under) Collections</w:t>
      </w:r>
      <w:r w:rsidR="002533F2">
        <w:rPr>
          <w:rFonts w:ascii="Arial" w:hAnsi="Arial" w:cs="Arial"/>
          <w:szCs w:val="24"/>
          <w:lang w:val="en-US"/>
        </w:rPr>
        <w:t xml:space="preserve"> </w:t>
      </w:r>
      <w:r w:rsidRPr="007D5DFB">
        <w:rPr>
          <w:rFonts w:ascii="Arial" w:hAnsi="Arial" w:cs="Arial"/>
          <w:szCs w:val="26"/>
        </w:rPr>
        <w:t xml:space="preserve">presented </w:t>
      </w:r>
      <w:r>
        <w:rPr>
          <w:rFonts w:ascii="Arial" w:hAnsi="Arial" w:cs="Arial"/>
          <w:szCs w:val="26"/>
        </w:rPr>
        <w:t>in this</w:t>
      </w:r>
      <w:r w:rsidRPr="007D5DFB">
        <w:rPr>
          <w:rFonts w:ascii="Arial" w:hAnsi="Arial" w:cs="Arial"/>
          <w:szCs w:val="26"/>
        </w:rPr>
        <w:t xml:space="preserve"> report </w:t>
      </w:r>
      <w:r w:rsidR="00662FB8">
        <w:rPr>
          <w:rFonts w:ascii="Arial" w:hAnsi="Arial" w:cs="Arial"/>
          <w:szCs w:val="26"/>
          <w:lang w:val="en-US"/>
        </w:rPr>
        <w:t>are</w:t>
      </w:r>
      <w:r w:rsidRPr="007D5DFB">
        <w:rPr>
          <w:rFonts w:ascii="Arial" w:hAnsi="Arial" w:cs="Arial"/>
          <w:szCs w:val="26"/>
        </w:rPr>
        <w:t xml:space="preserve"> condensed from the officially filed statement</w:t>
      </w:r>
      <w:r w:rsidR="00662FB8">
        <w:rPr>
          <w:rFonts w:ascii="Arial" w:hAnsi="Arial" w:cs="Arial"/>
          <w:szCs w:val="26"/>
          <w:lang w:val="en-US"/>
        </w:rPr>
        <w:t>s</w:t>
      </w:r>
      <w:r w:rsidRPr="007D5DFB">
        <w:rPr>
          <w:rFonts w:ascii="Arial" w:hAnsi="Arial" w:cs="Arial"/>
          <w:szCs w:val="26"/>
        </w:rPr>
        <w:t xml:space="preserve">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6"/>
        </w:rPr>
        <w:t>PECO Energy Company</w:t>
      </w:r>
      <w:r>
        <w:rPr>
          <w:rFonts w:ascii="Arial" w:hAnsi="Arial" w:cs="Arial"/>
          <w:szCs w:val="24"/>
        </w:rPr>
        <w:t xml:space="preserve">’s (PECO or Company) </w:t>
      </w:r>
      <w:r w:rsidRPr="007D5DFB">
        <w:rPr>
          <w:rFonts w:ascii="Arial" w:hAnsi="Arial" w:cs="Arial"/>
          <w:szCs w:val="26"/>
        </w:rPr>
        <w:t xml:space="preserve">officially filed 1307(e) </w:t>
      </w:r>
      <w:r>
        <w:rPr>
          <w:rFonts w:ascii="Arial" w:hAnsi="Arial" w:cs="Arial"/>
          <w:szCs w:val="26"/>
        </w:rPr>
        <w:t>statement</w:t>
      </w:r>
      <w:r w:rsidR="00662FB8">
        <w:rPr>
          <w:rFonts w:ascii="Arial" w:hAnsi="Arial" w:cs="Arial"/>
          <w:szCs w:val="26"/>
          <w:lang w:val="en-US"/>
        </w:rPr>
        <w:t>s</w:t>
      </w:r>
      <w:r>
        <w:rPr>
          <w:rFonts w:ascii="Arial" w:hAnsi="Arial" w:cs="Arial"/>
          <w:szCs w:val="26"/>
        </w:rPr>
        <w:t xml:space="preserve"> </w:t>
      </w:r>
      <w:r w:rsidRPr="007D5DFB">
        <w:rPr>
          <w:rFonts w:ascii="Arial" w:hAnsi="Arial" w:cs="Arial"/>
          <w:szCs w:val="26"/>
        </w:rPr>
        <w:t xml:space="preserve">submitted to the </w:t>
      </w:r>
      <w:r w:rsidR="00025F35">
        <w:rPr>
          <w:rFonts w:ascii="Arial" w:hAnsi="Arial" w:cs="Arial"/>
          <w:szCs w:val="26"/>
          <w:lang w:val="en-US"/>
        </w:rPr>
        <w:t xml:space="preserve">Pennsylvania Public Utility </w:t>
      </w:r>
      <w:r w:rsidRPr="007D5DFB">
        <w:rPr>
          <w:rFonts w:ascii="Arial" w:hAnsi="Arial" w:cs="Arial"/>
          <w:szCs w:val="26"/>
        </w:rPr>
        <w:t xml:space="preserve">Commission </w:t>
      </w:r>
      <w:r w:rsidR="00025F35">
        <w:rPr>
          <w:rFonts w:ascii="Arial" w:hAnsi="Arial" w:cs="Arial"/>
          <w:szCs w:val="24"/>
        </w:rPr>
        <w:t xml:space="preserve">(PUC or Commission) in accordance with section 1307(e)(1) of the Public Utility Code on </w:t>
      </w:r>
      <w:r>
        <w:rPr>
          <w:rFonts w:ascii="Arial" w:hAnsi="Arial" w:cs="Arial"/>
          <w:szCs w:val="26"/>
          <w:lang w:val="en-US"/>
        </w:rPr>
        <w:t xml:space="preserve">January </w:t>
      </w:r>
      <w:r w:rsidR="00662FB8">
        <w:rPr>
          <w:rFonts w:ascii="Arial" w:hAnsi="Arial" w:cs="Arial"/>
          <w:szCs w:val="26"/>
          <w:lang w:val="en-US"/>
        </w:rPr>
        <w:t>29</w:t>
      </w:r>
      <w:r>
        <w:rPr>
          <w:rFonts w:ascii="Arial" w:hAnsi="Arial" w:cs="Arial"/>
          <w:szCs w:val="26"/>
        </w:rPr>
        <w:t>, 201</w:t>
      </w:r>
      <w:r w:rsidR="00025F35">
        <w:rPr>
          <w:rFonts w:ascii="Arial" w:hAnsi="Arial" w:cs="Arial"/>
          <w:szCs w:val="26"/>
          <w:lang w:val="en-US"/>
        </w:rPr>
        <w:t>5</w:t>
      </w:r>
      <w:r w:rsidR="00662FB8">
        <w:rPr>
          <w:rFonts w:ascii="Arial" w:hAnsi="Arial" w:cs="Arial"/>
          <w:szCs w:val="26"/>
          <w:lang w:val="en-US"/>
        </w:rPr>
        <w:t>, January 31, 201</w:t>
      </w:r>
      <w:r w:rsidR="00025F35">
        <w:rPr>
          <w:rFonts w:ascii="Arial" w:hAnsi="Arial" w:cs="Arial"/>
          <w:szCs w:val="26"/>
          <w:lang w:val="en-US"/>
        </w:rPr>
        <w:t>4</w:t>
      </w:r>
      <w:r w:rsidR="00662FB8">
        <w:rPr>
          <w:rFonts w:ascii="Arial" w:hAnsi="Arial" w:cs="Arial"/>
          <w:szCs w:val="26"/>
          <w:lang w:val="en-US"/>
        </w:rPr>
        <w:t>, and January 31, 201</w:t>
      </w:r>
      <w:r w:rsidR="00025F35">
        <w:rPr>
          <w:rFonts w:ascii="Arial" w:hAnsi="Arial" w:cs="Arial"/>
          <w:szCs w:val="26"/>
          <w:lang w:val="en-US"/>
        </w:rPr>
        <w:t>3</w:t>
      </w:r>
      <w:r>
        <w:rPr>
          <w:rFonts w:ascii="Arial" w:hAnsi="Arial" w:cs="Arial"/>
          <w:szCs w:val="26"/>
        </w:rPr>
        <w:t xml:space="preserve"> </w:t>
      </w:r>
      <w:r w:rsidRPr="007D5DFB">
        <w:rPr>
          <w:rFonts w:ascii="Arial" w:hAnsi="Arial" w:cs="Arial"/>
          <w:szCs w:val="26"/>
        </w:rPr>
        <w:t xml:space="preserve">and </w:t>
      </w:r>
      <w:r w:rsidR="00662FB8">
        <w:rPr>
          <w:rFonts w:ascii="Arial" w:hAnsi="Arial" w:cs="Arial"/>
          <w:szCs w:val="26"/>
          <w:lang w:val="en-US"/>
        </w:rPr>
        <w:t>are</w:t>
      </w:r>
      <w:r w:rsidRPr="007D5DFB">
        <w:rPr>
          <w:rFonts w:ascii="Arial" w:hAnsi="Arial" w:cs="Arial"/>
          <w:szCs w:val="26"/>
        </w:rPr>
        <w:t xml:space="preserve"> available at Docket No</w:t>
      </w:r>
      <w:r w:rsidR="00025F35">
        <w:rPr>
          <w:rFonts w:ascii="Arial" w:hAnsi="Arial" w:cs="Arial"/>
          <w:szCs w:val="26"/>
          <w:lang w:val="en-US"/>
        </w:rPr>
        <w:t>s</w:t>
      </w:r>
      <w:r w:rsidRPr="007D5DFB">
        <w:rPr>
          <w:rFonts w:ascii="Arial" w:hAnsi="Arial" w:cs="Arial"/>
          <w:szCs w:val="26"/>
        </w:rPr>
        <w:t xml:space="preserve">. </w:t>
      </w:r>
      <w:r w:rsidRPr="009016A0">
        <w:rPr>
          <w:rFonts w:ascii="Arial" w:hAnsi="Arial" w:cs="Arial"/>
          <w:szCs w:val="26"/>
        </w:rPr>
        <w:t>M</w:t>
      </w:r>
      <w:r w:rsidRPr="009016A0">
        <w:rPr>
          <w:rFonts w:ascii="Arial" w:hAnsi="Arial" w:cs="Arial"/>
          <w:szCs w:val="26"/>
        </w:rPr>
        <w:noBreakHyphen/>
        <w:t>201</w:t>
      </w:r>
      <w:r w:rsidR="00662FB8" w:rsidRPr="009016A0">
        <w:rPr>
          <w:rFonts w:ascii="Arial" w:hAnsi="Arial" w:cs="Arial"/>
          <w:szCs w:val="26"/>
          <w:lang w:val="en-US"/>
        </w:rPr>
        <w:t>5</w:t>
      </w:r>
      <w:r w:rsidRPr="009016A0">
        <w:rPr>
          <w:rFonts w:ascii="Arial" w:hAnsi="Arial" w:cs="Arial"/>
          <w:szCs w:val="26"/>
        </w:rPr>
        <w:t>-</w:t>
      </w:r>
      <w:r w:rsidR="009016A0" w:rsidRPr="009016A0">
        <w:rPr>
          <w:rFonts w:ascii="Arial" w:hAnsi="Arial" w:cs="Arial"/>
          <w:szCs w:val="26"/>
          <w:lang w:val="en-US"/>
        </w:rPr>
        <w:t>2464667</w:t>
      </w:r>
      <w:r w:rsidR="00662FB8">
        <w:rPr>
          <w:rFonts w:ascii="Arial" w:hAnsi="Arial" w:cs="Arial"/>
          <w:szCs w:val="26"/>
          <w:lang w:val="en-US"/>
        </w:rPr>
        <w:t xml:space="preserve">, </w:t>
      </w:r>
      <w:r w:rsidR="00662FB8" w:rsidRPr="009016A0">
        <w:rPr>
          <w:rFonts w:ascii="Arial" w:hAnsi="Arial" w:cs="Arial"/>
          <w:szCs w:val="26"/>
        </w:rPr>
        <w:t>M</w:t>
      </w:r>
      <w:r w:rsidR="00662FB8" w:rsidRPr="009016A0">
        <w:rPr>
          <w:rFonts w:ascii="Arial" w:hAnsi="Arial" w:cs="Arial"/>
          <w:szCs w:val="26"/>
        </w:rPr>
        <w:noBreakHyphen/>
        <w:t>201</w:t>
      </w:r>
      <w:r w:rsidR="00662FB8" w:rsidRPr="009016A0">
        <w:rPr>
          <w:rFonts w:ascii="Arial" w:hAnsi="Arial" w:cs="Arial"/>
          <w:szCs w:val="26"/>
          <w:lang w:val="en-US"/>
        </w:rPr>
        <w:t>4</w:t>
      </w:r>
      <w:r w:rsidR="00662FB8" w:rsidRPr="009016A0">
        <w:rPr>
          <w:rFonts w:ascii="Arial" w:hAnsi="Arial" w:cs="Arial"/>
          <w:szCs w:val="26"/>
        </w:rPr>
        <w:t>-</w:t>
      </w:r>
      <w:r w:rsidR="009016A0" w:rsidRPr="009016A0">
        <w:rPr>
          <w:rFonts w:ascii="Arial" w:hAnsi="Arial" w:cs="Arial"/>
          <w:szCs w:val="26"/>
          <w:lang w:val="en-US"/>
        </w:rPr>
        <w:t>2403464</w:t>
      </w:r>
      <w:r w:rsidR="00662FB8">
        <w:rPr>
          <w:rFonts w:ascii="Arial" w:hAnsi="Arial" w:cs="Arial"/>
          <w:szCs w:val="26"/>
          <w:lang w:val="en-US"/>
        </w:rPr>
        <w:t>,</w:t>
      </w:r>
      <w:r w:rsidR="00025F35">
        <w:rPr>
          <w:rFonts w:ascii="Arial" w:hAnsi="Arial" w:cs="Arial"/>
          <w:szCs w:val="26"/>
          <w:lang w:val="en-US"/>
        </w:rPr>
        <w:t xml:space="preserve"> </w:t>
      </w:r>
      <w:r w:rsidR="00662FB8">
        <w:rPr>
          <w:rFonts w:ascii="Arial" w:hAnsi="Arial" w:cs="Arial"/>
          <w:szCs w:val="26"/>
          <w:lang w:val="en-US"/>
        </w:rPr>
        <w:t>and</w:t>
      </w:r>
      <w:r w:rsidR="00662FB8" w:rsidRPr="00662FB8">
        <w:rPr>
          <w:rFonts w:ascii="Arial" w:hAnsi="Arial" w:cs="Arial"/>
          <w:szCs w:val="26"/>
        </w:rPr>
        <w:t xml:space="preserve"> </w:t>
      </w:r>
      <w:r w:rsidR="00662FB8" w:rsidRPr="00AC476A">
        <w:rPr>
          <w:rFonts w:ascii="Arial" w:hAnsi="Arial" w:cs="Arial"/>
          <w:szCs w:val="26"/>
        </w:rPr>
        <w:t xml:space="preserve"> M</w:t>
      </w:r>
      <w:r w:rsidR="00662FB8" w:rsidRPr="00AC476A">
        <w:rPr>
          <w:rFonts w:ascii="Arial" w:hAnsi="Arial" w:cs="Arial"/>
          <w:szCs w:val="26"/>
        </w:rPr>
        <w:noBreakHyphen/>
        <w:t>201</w:t>
      </w:r>
      <w:r w:rsidR="00662FB8" w:rsidRPr="00AC476A">
        <w:rPr>
          <w:rFonts w:ascii="Arial" w:hAnsi="Arial" w:cs="Arial"/>
          <w:szCs w:val="26"/>
          <w:lang w:val="en-US"/>
        </w:rPr>
        <w:t>3</w:t>
      </w:r>
      <w:r w:rsidR="00662FB8" w:rsidRPr="00AC476A">
        <w:rPr>
          <w:rFonts w:ascii="Arial" w:hAnsi="Arial" w:cs="Arial"/>
          <w:szCs w:val="26"/>
        </w:rPr>
        <w:t>-</w:t>
      </w:r>
      <w:r w:rsidR="00AC476A" w:rsidRPr="00AC476A">
        <w:rPr>
          <w:rFonts w:ascii="Arial" w:hAnsi="Arial" w:cs="Arial"/>
          <w:szCs w:val="26"/>
          <w:lang w:val="en-US"/>
        </w:rPr>
        <w:t>2345827</w:t>
      </w:r>
      <w:r w:rsidR="00662FB8">
        <w:rPr>
          <w:rFonts w:ascii="Arial" w:hAnsi="Arial" w:cs="Arial"/>
          <w:szCs w:val="26"/>
          <w:lang w:val="en-US"/>
        </w:rPr>
        <w:t xml:space="preserve">, </w:t>
      </w:r>
      <w:r w:rsidR="006E78D3">
        <w:rPr>
          <w:rFonts w:ascii="Arial" w:hAnsi="Arial" w:cs="Arial"/>
          <w:szCs w:val="24"/>
        </w:rPr>
        <w:t xml:space="preserve">respectively, </w:t>
      </w:r>
      <w:r w:rsidR="00A31725">
        <w:rPr>
          <w:rFonts w:ascii="Arial" w:hAnsi="Arial" w:cs="Arial"/>
          <w:szCs w:val="26"/>
          <w:lang w:val="en-US"/>
        </w:rPr>
        <w:t>at</w:t>
      </w:r>
      <w:r w:rsidRPr="007D5DFB">
        <w:rPr>
          <w:rFonts w:ascii="Arial" w:hAnsi="Arial" w:cs="Arial"/>
          <w:szCs w:val="26"/>
        </w:rPr>
        <w:t xml:space="preserve"> </w:t>
      </w:r>
      <w:hyperlink r:id="rId28" w:history="1">
        <w:r w:rsidR="00025F35" w:rsidRPr="005F0A18">
          <w:rPr>
            <w:rStyle w:val="Hyperlink"/>
            <w:rFonts w:ascii="Arial" w:hAnsi="Arial" w:cs="Arial"/>
            <w:szCs w:val="26"/>
          </w:rPr>
          <w:t>http://www.puc.pa.gov</w:t>
        </w:r>
      </w:hyperlink>
      <w:r w:rsidR="00025F35">
        <w:rPr>
          <w:rFonts w:ascii="Arial" w:hAnsi="Arial" w:cs="Arial"/>
          <w:szCs w:val="26"/>
          <w:lang w:val="en-US"/>
        </w:rPr>
        <w:t>.</w:t>
      </w:r>
    </w:p>
    <w:p w:rsidR="00043C83" w:rsidRPr="00D96CEF" w:rsidRDefault="00043C83" w:rsidP="00905409">
      <w:pPr>
        <w:tabs>
          <w:tab w:val="left" w:pos="360"/>
        </w:tabs>
        <w:jc w:val="both"/>
        <w:rPr>
          <w:rFonts w:ascii="Arial" w:hAnsi="Arial" w:cs="Arial"/>
          <w:b/>
          <w:sz w:val="22"/>
          <w:szCs w:val="22"/>
          <w:u w:val="single"/>
        </w:rPr>
      </w:pPr>
    </w:p>
    <w:p w:rsidR="00C82D14" w:rsidRPr="008E7086" w:rsidRDefault="00043C83" w:rsidP="00905409">
      <w:pPr>
        <w:tabs>
          <w:tab w:val="left" w:pos="360"/>
        </w:tabs>
        <w:jc w:val="both"/>
        <w:rPr>
          <w:rFonts w:ascii="Arial" w:hAnsi="Arial" w:cs="Arial"/>
          <w:b/>
          <w:szCs w:val="24"/>
          <w:u w:val="single"/>
        </w:rPr>
      </w:pPr>
      <w:r>
        <w:rPr>
          <w:rFonts w:ascii="Arial" w:hAnsi="Arial" w:cs="Arial"/>
          <w:b/>
          <w:szCs w:val="24"/>
          <w:u w:val="single"/>
        </w:rPr>
        <w:t>2</w:t>
      </w:r>
      <w:r w:rsidR="00853C22">
        <w:rPr>
          <w:rFonts w:ascii="Arial" w:hAnsi="Arial" w:cs="Arial"/>
          <w:b/>
          <w:szCs w:val="24"/>
          <w:u w:val="single"/>
        </w:rPr>
        <w:t xml:space="preserve"> </w:t>
      </w:r>
      <w:r w:rsidR="00853C22" w:rsidRPr="00936DE2">
        <w:rPr>
          <w:rFonts w:ascii="Arial" w:hAnsi="Arial" w:cs="Arial"/>
          <w:b/>
          <w:szCs w:val="24"/>
          <w:u w:val="single"/>
        </w:rPr>
        <w:t>–</w:t>
      </w:r>
      <w:r w:rsidR="00DC6FCC" w:rsidRPr="008E7086">
        <w:rPr>
          <w:rFonts w:ascii="Arial" w:hAnsi="Arial" w:cs="Arial"/>
          <w:b/>
          <w:szCs w:val="24"/>
          <w:u w:val="single"/>
        </w:rPr>
        <w:t xml:space="preserve"> GSA</w:t>
      </w:r>
      <w:r w:rsidR="0003068B" w:rsidRPr="008E7086">
        <w:rPr>
          <w:rFonts w:ascii="Arial" w:hAnsi="Arial" w:cs="Arial"/>
          <w:b/>
          <w:szCs w:val="24"/>
          <w:u w:val="single"/>
        </w:rPr>
        <w:t xml:space="preserve"> </w:t>
      </w:r>
      <w:r w:rsidR="00011810" w:rsidRPr="008E7086">
        <w:rPr>
          <w:rFonts w:ascii="Arial" w:hAnsi="Arial" w:cs="Arial"/>
          <w:b/>
          <w:szCs w:val="24"/>
          <w:u w:val="single"/>
        </w:rPr>
        <w:t xml:space="preserve">Revenues </w:t>
      </w:r>
    </w:p>
    <w:p w:rsidR="00F81181" w:rsidRPr="00D96CEF" w:rsidRDefault="00F81181" w:rsidP="00A1597B">
      <w:pPr>
        <w:ind w:left="450" w:firstLine="720"/>
        <w:rPr>
          <w:rFonts w:ascii="Arial" w:hAnsi="Arial" w:cs="Arial"/>
          <w:b/>
          <w:sz w:val="22"/>
          <w:szCs w:val="22"/>
          <w:u w:val="single"/>
        </w:rPr>
      </w:pPr>
    </w:p>
    <w:p w:rsidR="00F72903" w:rsidRDefault="002C6FB7" w:rsidP="00A52ADD">
      <w:pPr>
        <w:ind w:left="360"/>
        <w:jc w:val="left"/>
        <w:rPr>
          <w:rFonts w:ascii="Arial" w:hAnsi="Arial" w:cs="Arial"/>
          <w:szCs w:val="24"/>
        </w:rPr>
      </w:pPr>
      <w:r>
        <w:rPr>
          <w:rFonts w:ascii="Arial" w:hAnsi="Arial" w:cs="Arial"/>
        </w:rPr>
        <w:t>GSA</w:t>
      </w:r>
      <w:r w:rsidR="002326C1" w:rsidRPr="008E7086">
        <w:rPr>
          <w:rFonts w:ascii="Arial" w:hAnsi="Arial" w:cs="Arial"/>
        </w:rPr>
        <w:t xml:space="preserve"> </w:t>
      </w:r>
      <w:r w:rsidR="005E4A85" w:rsidRPr="008E7086">
        <w:rPr>
          <w:rFonts w:ascii="Arial" w:hAnsi="Arial" w:cs="Arial"/>
        </w:rPr>
        <w:t xml:space="preserve">Revenues </w:t>
      </w:r>
      <w:r w:rsidR="00633404" w:rsidRPr="00651B06">
        <w:rPr>
          <w:rFonts w:ascii="Arial" w:hAnsi="Arial" w:cs="Arial"/>
          <w:szCs w:val="26"/>
        </w:rPr>
        <w:t xml:space="preserve">are </w:t>
      </w:r>
      <w:r w:rsidR="00633404" w:rsidRPr="00245FAA">
        <w:rPr>
          <w:rFonts w:ascii="Arial" w:hAnsi="Arial" w:cs="Arial"/>
          <w:szCs w:val="24"/>
        </w:rPr>
        <w:t xml:space="preserve">derived </w:t>
      </w:r>
      <w:r w:rsidR="00633404">
        <w:rPr>
          <w:rFonts w:ascii="Arial" w:hAnsi="Arial" w:cs="Arial"/>
          <w:szCs w:val="24"/>
        </w:rPr>
        <w:t>by applying the applicable GSA rate, excluding the E</w:t>
      </w:r>
      <w:r w:rsidR="00633404">
        <w:rPr>
          <w:rFonts w:ascii="Arial" w:hAnsi="Arial" w:cs="Arial"/>
          <w:szCs w:val="24"/>
        </w:rPr>
        <w:noBreakHyphen/>
        <w:t xml:space="preserve">Factor, to each kilowatt-hour (kWh) </w:t>
      </w:r>
      <w:r w:rsidR="00505BD2">
        <w:rPr>
          <w:rFonts w:ascii="Arial" w:hAnsi="Arial" w:cs="Arial"/>
          <w:szCs w:val="24"/>
        </w:rPr>
        <w:t>of energy</w:t>
      </w:r>
      <w:r w:rsidR="00B43033">
        <w:rPr>
          <w:rFonts w:ascii="Arial" w:hAnsi="Arial" w:cs="Arial"/>
          <w:szCs w:val="24"/>
        </w:rPr>
        <w:t xml:space="preserve"> d</w:t>
      </w:r>
      <w:r w:rsidR="00505BD2" w:rsidRPr="00A507DA">
        <w:rPr>
          <w:rFonts w:ascii="Arial" w:hAnsi="Arial" w:cs="Arial"/>
          <w:szCs w:val="24"/>
        </w:rPr>
        <w:t xml:space="preserve">elivered to all </w:t>
      </w:r>
      <w:r w:rsidR="00A52ADD">
        <w:rPr>
          <w:rFonts w:ascii="Arial" w:hAnsi="Arial" w:cs="Arial"/>
          <w:szCs w:val="24"/>
        </w:rPr>
        <w:t>customers who receive default service from the Company.</w:t>
      </w:r>
    </w:p>
    <w:p w:rsidR="00A52ADD" w:rsidRPr="00D96CEF" w:rsidRDefault="00A52ADD" w:rsidP="00A52ADD">
      <w:pPr>
        <w:ind w:left="360"/>
        <w:jc w:val="left"/>
        <w:rPr>
          <w:rFonts w:ascii="Arial" w:hAnsi="Arial" w:cs="Arial"/>
          <w:sz w:val="22"/>
          <w:szCs w:val="22"/>
        </w:rPr>
      </w:pPr>
    </w:p>
    <w:p w:rsidR="00C82D14" w:rsidRPr="008E7086" w:rsidRDefault="00043C83" w:rsidP="00905409">
      <w:pPr>
        <w:tabs>
          <w:tab w:val="left" w:pos="360"/>
        </w:tabs>
        <w:jc w:val="both"/>
        <w:rPr>
          <w:rFonts w:ascii="Arial" w:hAnsi="Arial" w:cs="Arial"/>
          <w:b/>
          <w:szCs w:val="24"/>
          <w:u w:val="single"/>
        </w:rPr>
      </w:pPr>
      <w:r>
        <w:rPr>
          <w:rFonts w:ascii="Arial" w:hAnsi="Arial" w:cs="Arial"/>
          <w:b/>
          <w:szCs w:val="24"/>
          <w:u w:val="single"/>
        </w:rPr>
        <w:t>3</w:t>
      </w:r>
      <w:r w:rsidR="000014E9" w:rsidRPr="008E7086">
        <w:rPr>
          <w:rFonts w:ascii="Arial" w:hAnsi="Arial" w:cs="Arial"/>
          <w:b/>
          <w:szCs w:val="24"/>
          <w:u w:val="single"/>
        </w:rPr>
        <w:t xml:space="preserve"> –</w:t>
      </w:r>
      <w:r w:rsidR="00F72903" w:rsidRPr="008E7086">
        <w:rPr>
          <w:rFonts w:ascii="Arial" w:hAnsi="Arial" w:cs="Arial"/>
          <w:b/>
          <w:szCs w:val="24"/>
          <w:u w:val="single"/>
        </w:rPr>
        <w:t xml:space="preserve"> </w:t>
      </w:r>
      <w:r w:rsidR="00DC6FCC" w:rsidRPr="008E7086">
        <w:rPr>
          <w:rFonts w:ascii="Arial" w:hAnsi="Arial" w:cs="Arial"/>
          <w:b/>
          <w:szCs w:val="24"/>
          <w:u w:val="single"/>
        </w:rPr>
        <w:t>GSA</w:t>
      </w:r>
      <w:r w:rsidR="002326C1" w:rsidRPr="008E7086">
        <w:rPr>
          <w:rFonts w:ascii="Arial" w:hAnsi="Arial" w:cs="Arial"/>
          <w:b/>
          <w:szCs w:val="24"/>
          <w:u w:val="single"/>
        </w:rPr>
        <w:t xml:space="preserve"> </w:t>
      </w:r>
      <w:r w:rsidR="00F31EFF" w:rsidRPr="008E7086">
        <w:rPr>
          <w:rFonts w:ascii="Arial" w:hAnsi="Arial" w:cs="Arial"/>
          <w:b/>
          <w:szCs w:val="24"/>
          <w:u w:val="single"/>
        </w:rPr>
        <w:t>Costs</w:t>
      </w:r>
    </w:p>
    <w:p w:rsidR="00F81181" w:rsidRPr="00D96CEF" w:rsidRDefault="00F81181" w:rsidP="001E1879">
      <w:pPr>
        <w:pStyle w:val="EndnoteText"/>
        <w:tabs>
          <w:tab w:val="left" w:pos="475"/>
        </w:tabs>
        <w:suppressAutoHyphens/>
        <w:ind w:left="475"/>
        <w:rPr>
          <w:rFonts w:ascii="Arial" w:hAnsi="Arial" w:cs="Arial"/>
          <w:sz w:val="22"/>
          <w:szCs w:val="22"/>
          <w:lang w:val="en-US"/>
        </w:rPr>
      </w:pPr>
    </w:p>
    <w:p w:rsidR="007D7C40" w:rsidRDefault="00DC6FCC" w:rsidP="00FF3E60">
      <w:pPr>
        <w:pStyle w:val="EndnoteText"/>
        <w:tabs>
          <w:tab w:val="left" w:pos="360"/>
        </w:tabs>
        <w:suppressAutoHyphens/>
        <w:ind w:left="360"/>
        <w:jc w:val="left"/>
        <w:rPr>
          <w:rFonts w:ascii="Arial" w:hAnsi="Arial" w:cs="Arial"/>
          <w:szCs w:val="24"/>
          <w:lang w:val="en-US"/>
        </w:rPr>
      </w:pPr>
      <w:r w:rsidRPr="008E7086">
        <w:rPr>
          <w:rFonts w:ascii="Arial" w:hAnsi="Arial" w:cs="Arial"/>
          <w:szCs w:val="24"/>
          <w:lang w:val="en-US"/>
        </w:rPr>
        <w:t>GSA</w:t>
      </w:r>
      <w:r w:rsidR="00C6757C" w:rsidRPr="008E7086">
        <w:rPr>
          <w:rFonts w:ascii="Arial" w:hAnsi="Arial" w:cs="Arial"/>
          <w:szCs w:val="24"/>
          <w:lang w:val="en-US"/>
        </w:rPr>
        <w:t xml:space="preserve"> </w:t>
      </w:r>
      <w:r w:rsidR="00C731EE">
        <w:rPr>
          <w:rFonts w:ascii="Arial" w:hAnsi="Arial" w:cs="Arial"/>
          <w:szCs w:val="24"/>
          <w:lang w:val="en-US"/>
        </w:rPr>
        <w:t xml:space="preserve">Costs </w:t>
      </w:r>
      <w:r w:rsidR="007E2A66">
        <w:rPr>
          <w:rFonts w:ascii="Arial" w:hAnsi="Arial" w:cs="Arial"/>
          <w:szCs w:val="24"/>
          <w:lang w:val="en-US"/>
        </w:rPr>
        <w:t xml:space="preserve">for the Residential, Small Commercial and Industrial and Medium Commercial and Industrial rate classes </w:t>
      </w:r>
      <w:r w:rsidR="00A3516F">
        <w:rPr>
          <w:rFonts w:ascii="Arial" w:hAnsi="Arial" w:cs="Arial"/>
          <w:szCs w:val="24"/>
          <w:lang w:val="en-US"/>
        </w:rPr>
        <w:t>are</w:t>
      </w:r>
      <w:r w:rsidR="00F31EFF" w:rsidRPr="008E7086">
        <w:rPr>
          <w:rFonts w:ascii="Arial" w:hAnsi="Arial" w:cs="Arial"/>
          <w:szCs w:val="24"/>
          <w:lang w:val="en-US"/>
        </w:rPr>
        <w:t xml:space="preserve"> the </w:t>
      </w:r>
      <w:r w:rsidR="007E2A66">
        <w:rPr>
          <w:rFonts w:ascii="Arial" w:hAnsi="Arial" w:cs="Arial"/>
          <w:szCs w:val="24"/>
          <w:lang w:val="en-US"/>
        </w:rPr>
        <w:t>amounts paid to the full requirements suppliers providing the power</w:t>
      </w:r>
      <w:r w:rsidR="00F31EFF" w:rsidRPr="008E7086">
        <w:rPr>
          <w:rFonts w:ascii="Arial" w:hAnsi="Arial" w:cs="Arial"/>
          <w:szCs w:val="24"/>
          <w:lang w:val="en-US"/>
        </w:rPr>
        <w:t xml:space="preserve"> </w:t>
      </w:r>
      <w:r w:rsidR="007E2A66">
        <w:rPr>
          <w:rFonts w:ascii="Arial" w:hAnsi="Arial" w:cs="Arial"/>
          <w:szCs w:val="24"/>
          <w:lang w:val="en-US"/>
        </w:rPr>
        <w:t>for the quarter, the spot market purchases for the quarter, plus the cost of any other energy</w:t>
      </w:r>
      <w:r w:rsidR="00A31725">
        <w:rPr>
          <w:rFonts w:ascii="Arial" w:hAnsi="Arial" w:cs="Arial"/>
          <w:szCs w:val="24"/>
          <w:lang w:val="en-US"/>
        </w:rPr>
        <w:t xml:space="preserve"> acquired through short or long-</w:t>
      </w:r>
      <w:r w:rsidR="007E2A66">
        <w:rPr>
          <w:rFonts w:ascii="Arial" w:hAnsi="Arial" w:cs="Arial"/>
          <w:szCs w:val="24"/>
          <w:lang w:val="en-US"/>
        </w:rPr>
        <w:t xml:space="preserve">term contracts during the period.  </w:t>
      </w:r>
      <w:r w:rsidR="00B20D42">
        <w:rPr>
          <w:rFonts w:ascii="Arial" w:hAnsi="Arial" w:cs="Arial"/>
          <w:szCs w:val="24"/>
          <w:lang w:val="en-US"/>
        </w:rPr>
        <w:t xml:space="preserve">GSA </w:t>
      </w:r>
      <w:r w:rsidR="00AD3F6D">
        <w:rPr>
          <w:rFonts w:ascii="Arial" w:hAnsi="Arial" w:cs="Arial"/>
          <w:szCs w:val="24"/>
          <w:lang w:val="en-US"/>
        </w:rPr>
        <w:t>C</w:t>
      </w:r>
      <w:r w:rsidR="009A6589">
        <w:rPr>
          <w:rFonts w:ascii="Arial" w:hAnsi="Arial" w:cs="Arial"/>
          <w:szCs w:val="24"/>
          <w:lang w:val="en-US"/>
        </w:rPr>
        <w:t>osts include energy, capacity and</w:t>
      </w:r>
      <w:r w:rsidR="00B20D42">
        <w:rPr>
          <w:rFonts w:ascii="Arial" w:hAnsi="Arial" w:cs="Arial"/>
          <w:szCs w:val="24"/>
          <w:lang w:val="en-US"/>
        </w:rPr>
        <w:t xml:space="preserve"> ancillary services</w:t>
      </w:r>
      <w:r w:rsidR="006652F4">
        <w:rPr>
          <w:rFonts w:ascii="Arial" w:hAnsi="Arial" w:cs="Arial"/>
          <w:szCs w:val="24"/>
          <w:lang w:val="en-US"/>
        </w:rPr>
        <w:t xml:space="preserve">, </w:t>
      </w:r>
      <w:r w:rsidR="009A6589">
        <w:rPr>
          <w:rFonts w:ascii="Arial" w:hAnsi="Arial" w:cs="Arial"/>
          <w:szCs w:val="24"/>
          <w:lang w:val="en-US"/>
        </w:rPr>
        <w:t xml:space="preserve">distribution line losses, </w:t>
      </w:r>
      <w:r w:rsidR="007D7C40">
        <w:rPr>
          <w:rFonts w:ascii="Arial" w:hAnsi="Arial" w:cs="Arial"/>
          <w:szCs w:val="24"/>
          <w:lang w:val="en-US"/>
        </w:rPr>
        <w:t xml:space="preserve">cost of complying with the Alternative </w:t>
      </w:r>
      <w:r w:rsidR="006652F4">
        <w:rPr>
          <w:rFonts w:ascii="Arial" w:hAnsi="Arial" w:cs="Arial"/>
          <w:szCs w:val="24"/>
          <w:lang w:val="en-US"/>
        </w:rPr>
        <w:t>E</w:t>
      </w:r>
      <w:r w:rsidR="007D7C40">
        <w:rPr>
          <w:rFonts w:ascii="Arial" w:hAnsi="Arial" w:cs="Arial"/>
          <w:szCs w:val="24"/>
          <w:lang w:val="en-US"/>
        </w:rPr>
        <w:t xml:space="preserve">nergy </w:t>
      </w:r>
      <w:r w:rsidR="006652F4">
        <w:rPr>
          <w:rFonts w:ascii="Arial" w:hAnsi="Arial" w:cs="Arial"/>
          <w:szCs w:val="24"/>
          <w:lang w:val="en-US"/>
        </w:rPr>
        <w:t>P</w:t>
      </w:r>
      <w:r w:rsidR="007D7C40">
        <w:rPr>
          <w:rFonts w:ascii="Arial" w:hAnsi="Arial" w:cs="Arial"/>
          <w:szCs w:val="24"/>
          <w:lang w:val="en-US"/>
        </w:rPr>
        <w:t xml:space="preserve">ortfolio </w:t>
      </w:r>
      <w:r w:rsidR="006652F4">
        <w:rPr>
          <w:rFonts w:ascii="Arial" w:hAnsi="Arial" w:cs="Arial"/>
          <w:szCs w:val="24"/>
          <w:lang w:val="en-US"/>
        </w:rPr>
        <w:t>S</w:t>
      </w:r>
      <w:r w:rsidR="007D7C40">
        <w:rPr>
          <w:rFonts w:ascii="Arial" w:hAnsi="Arial" w:cs="Arial"/>
          <w:szCs w:val="24"/>
          <w:lang w:val="en-US"/>
        </w:rPr>
        <w:t>tandards Act (AEPS),</w:t>
      </w:r>
      <w:r w:rsidR="00B20D42">
        <w:rPr>
          <w:rFonts w:ascii="Arial" w:hAnsi="Arial" w:cs="Arial"/>
          <w:szCs w:val="24"/>
          <w:lang w:val="en-US"/>
        </w:rPr>
        <w:t xml:space="preserve"> and applicable administrative costs</w:t>
      </w:r>
      <w:r w:rsidR="007D7C40">
        <w:rPr>
          <w:rFonts w:ascii="Arial" w:hAnsi="Arial" w:cs="Arial"/>
          <w:szCs w:val="24"/>
          <w:lang w:val="en-US"/>
        </w:rPr>
        <w:t xml:space="preserve">.  </w:t>
      </w:r>
      <w:r w:rsidR="007E2A66">
        <w:rPr>
          <w:rFonts w:ascii="Arial" w:hAnsi="Arial" w:cs="Arial"/>
          <w:szCs w:val="24"/>
          <w:lang w:val="en-US"/>
        </w:rPr>
        <w:t xml:space="preserve">GSA </w:t>
      </w:r>
      <w:r w:rsidR="002B64D6">
        <w:rPr>
          <w:rFonts w:ascii="Arial" w:hAnsi="Arial" w:cs="Arial"/>
          <w:szCs w:val="24"/>
          <w:lang w:val="en-US"/>
        </w:rPr>
        <w:t>energy c</w:t>
      </w:r>
      <w:r w:rsidR="007E2A66">
        <w:rPr>
          <w:rFonts w:ascii="Arial" w:hAnsi="Arial" w:cs="Arial"/>
          <w:szCs w:val="24"/>
          <w:lang w:val="en-US"/>
        </w:rPr>
        <w:t>osts for the Large C</w:t>
      </w:r>
      <w:r w:rsidR="00B20D42">
        <w:rPr>
          <w:rFonts w:ascii="Arial" w:hAnsi="Arial" w:cs="Arial"/>
          <w:szCs w:val="24"/>
          <w:lang w:val="en-US"/>
        </w:rPr>
        <w:t>&amp;</w:t>
      </w:r>
      <w:r w:rsidR="007E2A66">
        <w:rPr>
          <w:rFonts w:ascii="Arial" w:hAnsi="Arial" w:cs="Arial"/>
          <w:szCs w:val="24"/>
          <w:lang w:val="en-US"/>
        </w:rPr>
        <w:t xml:space="preserve">I rate class are calculated by </w:t>
      </w:r>
      <w:r w:rsidR="008A77A2">
        <w:rPr>
          <w:rFonts w:ascii="Arial" w:hAnsi="Arial" w:cs="Arial"/>
          <w:szCs w:val="24"/>
          <w:lang w:val="en-US"/>
        </w:rPr>
        <w:t xml:space="preserve">multiplying </w:t>
      </w:r>
      <w:r w:rsidR="007E2A66">
        <w:rPr>
          <w:rFonts w:ascii="Arial" w:hAnsi="Arial" w:cs="Arial"/>
          <w:szCs w:val="24"/>
          <w:lang w:val="en-US"/>
        </w:rPr>
        <w:t xml:space="preserve">the </w:t>
      </w:r>
      <w:r w:rsidR="007E2A66">
        <w:rPr>
          <w:rFonts w:ascii="Arial" w:hAnsi="Arial" w:cs="Arial"/>
          <w:szCs w:val="24"/>
        </w:rPr>
        <w:t>PJM</w:t>
      </w:r>
      <w:r w:rsidR="007E2A66">
        <w:rPr>
          <w:rFonts w:ascii="Arial" w:hAnsi="Arial" w:cs="Arial"/>
          <w:szCs w:val="24"/>
          <w:lang w:val="en-US"/>
        </w:rPr>
        <w:t xml:space="preserve"> day ahead hourly price by the customers usage </w:t>
      </w:r>
      <w:r w:rsidR="008A77A2">
        <w:rPr>
          <w:rFonts w:ascii="Arial" w:hAnsi="Arial" w:cs="Arial"/>
          <w:szCs w:val="24"/>
          <w:lang w:val="en-US"/>
        </w:rPr>
        <w:t>in</w:t>
      </w:r>
      <w:r w:rsidR="007E2A66">
        <w:rPr>
          <w:rFonts w:ascii="Arial" w:hAnsi="Arial" w:cs="Arial"/>
          <w:szCs w:val="24"/>
          <w:lang w:val="en-US"/>
        </w:rPr>
        <w:t xml:space="preserve"> the hour summed up for all the hours in the month.</w:t>
      </w:r>
      <w:r w:rsidR="003B65DA">
        <w:rPr>
          <w:rFonts w:ascii="Arial" w:hAnsi="Arial" w:cs="Arial"/>
          <w:szCs w:val="24"/>
          <w:lang w:val="en-US"/>
        </w:rPr>
        <w:t xml:space="preserve">  </w:t>
      </w:r>
      <w:r w:rsidR="009A6589">
        <w:rPr>
          <w:rFonts w:ascii="Arial" w:hAnsi="Arial" w:cs="Arial"/>
          <w:szCs w:val="24"/>
          <w:lang w:val="en-US"/>
        </w:rPr>
        <w:t>Costs also included are c</w:t>
      </w:r>
      <w:r w:rsidR="0029399D">
        <w:rPr>
          <w:rFonts w:ascii="Arial" w:hAnsi="Arial" w:cs="Arial"/>
          <w:szCs w:val="24"/>
          <w:lang w:val="en-US"/>
        </w:rPr>
        <w:t>apacity charges, ancillary services costs</w:t>
      </w:r>
      <w:r w:rsidR="006652F4">
        <w:rPr>
          <w:rFonts w:ascii="Arial" w:hAnsi="Arial" w:cs="Arial"/>
          <w:szCs w:val="24"/>
          <w:lang w:val="en-US"/>
        </w:rPr>
        <w:t>, AEPS Compliance</w:t>
      </w:r>
      <w:r w:rsidR="009A6589">
        <w:rPr>
          <w:rFonts w:ascii="Arial" w:hAnsi="Arial" w:cs="Arial"/>
          <w:szCs w:val="24"/>
          <w:lang w:val="en-US"/>
        </w:rPr>
        <w:t>,</w:t>
      </w:r>
      <w:r w:rsidR="0029399D">
        <w:rPr>
          <w:rFonts w:ascii="Arial" w:hAnsi="Arial" w:cs="Arial"/>
          <w:szCs w:val="24"/>
          <w:lang w:val="en-US"/>
        </w:rPr>
        <w:t xml:space="preserve"> and applicable administrative costs</w:t>
      </w:r>
      <w:r w:rsidR="009A6589">
        <w:rPr>
          <w:rFonts w:ascii="Arial" w:hAnsi="Arial" w:cs="Arial"/>
          <w:szCs w:val="24"/>
          <w:lang w:val="en-US"/>
        </w:rPr>
        <w:t>.</w:t>
      </w:r>
      <w:r w:rsidR="006652F4">
        <w:rPr>
          <w:rFonts w:ascii="Arial" w:hAnsi="Arial" w:cs="Arial"/>
          <w:szCs w:val="24"/>
          <w:lang w:val="en-US"/>
        </w:rPr>
        <w:t xml:space="preserve"> </w:t>
      </w:r>
    </w:p>
    <w:p w:rsidR="003608F3" w:rsidRPr="00D96CEF" w:rsidRDefault="003608F3" w:rsidP="003608F3">
      <w:pPr>
        <w:tabs>
          <w:tab w:val="left" w:pos="360"/>
        </w:tabs>
        <w:jc w:val="both"/>
        <w:rPr>
          <w:rFonts w:ascii="Arial" w:hAnsi="Arial" w:cs="Arial"/>
          <w:b/>
          <w:sz w:val="22"/>
          <w:szCs w:val="22"/>
          <w:u w:val="single"/>
        </w:rPr>
      </w:pPr>
    </w:p>
    <w:p w:rsidR="003608F3" w:rsidRPr="008E7086" w:rsidRDefault="003608F3" w:rsidP="003608F3">
      <w:pPr>
        <w:tabs>
          <w:tab w:val="left" w:pos="360"/>
        </w:tabs>
        <w:jc w:val="both"/>
        <w:rPr>
          <w:rFonts w:ascii="Arial" w:hAnsi="Arial" w:cs="Arial"/>
          <w:b/>
          <w:szCs w:val="24"/>
          <w:u w:val="single"/>
        </w:rPr>
      </w:pPr>
      <w:r>
        <w:rPr>
          <w:rFonts w:ascii="Arial" w:hAnsi="Arial" w:cs="Arial"/>
          <w:b/>
          <w:szCs w:val="24"/>
          <w:u w:val="single"/>
        </w:rPr>
        <w:t>4</w:t>
      </w:r>
      <w:r w:rsidRPr="008E7086">
        <w:rPr>
          <w:rFonts w:ascii="Arial" w:hAnsi="Arial" w:cs="Arial"/>
          <w:b/>
          <w:szCs w:val="24"/>
          <w:u w:val="single"/>
        </w:rPr>
        <w:t xml:space="preserve"> – Over/(Under) Collections</w:t>
      </w:r>
    </w:p>
    <w:p w:rsidR="003608F3" w:rsidRPr="00D96CEF" w:rsidRDefault="003608F3" w:rsidP="003608F3">
      <w:pPr>
        <w:pStyle w:val="EndnoteText"/>
        <w:tabs>
          <w:tab w:val="left" w:pos="-1440"/>
          <w:tab w:val="left" w:pos="-720"/>
          <w:tab w:val="left" w:pos="450"/>
          <w:tab w:val="left" w:pos="720"/>
          <w:tab w:val="left" w:pos="990"/>
          <w:tab w:val="left" w:pos="1440"/>
        </w:tabs>
        <w:suppressAutoHyphens/>
        <w:ind w:left="1050"/>
        <w:jc w:val="left"/>
        <w:rPr>
          <w:rFonts w:ascii="Arial" w:hAnsi="Arial" w:cs="Arial"/>
          <w:sz w:val="22"/>
          <w:szCs w:val="22"/>
          <w:lang w:val="en-US"/>
        </w:rPr>
      </w:pPr>
    </w:p>
    <w:p w:rsidR="00D96CEF" w:rsidRDefault="003608F3" w:rsidP="00D96CEF">
      <w:pPr>
        <w:tabs>
          <w:tab w:val="left" w:pos="360"/>
        </w:tabs>
        <w:ind w:left="360"/>
        <w:jc w:val="left"/>
        <w:rPr>
          <w:rFonts w:ascii="Arial" w:hAnsi="Arial" w:cs="Arial"/>
          <w:szCs w:val="24"/>
        </w:rPr>
      </w:pPr>
      <w:r w:rsidRPr="00936DE2">
        <w:rPr>
          <w:rFonts w:ascii="Arial" w:hAnsi="Arial" w:cs="Arial"/>
          <w:szCs w:val="24"/>
        </w:rPr>
        <w:t xml:space="preserve">The Over/(Under) Collections </w:t>
      </w:r>
      <w:r>
        <w:rPr>
          <w:rFonts w:ascii="Arial" w:hAnsi="Arial" w:cs="Arial"/>
          <w:szCs w:val="24"/>
        </w:rPr>
        <w:t>are the</w:t>
      </w:r>
      <w:r w:rsidRPr="00936DE2">
        <w:rPr>
          <w:rFonts w:ascii="Arial" w:hAnsi="Arial" w:cs="Arial"/>
          <w:szCs w:val="24"/>
        </w:rPr>
        <w:t xml:space="preserve"> difference between the </w:t>
      </w:r>
      <w:r>
        <w:rPr>
          <w:rFonts w:ascii="Arial" w:hAnsi="Arial" w:cs="Arial"/>
          <w:szCs w:val="24"/>
        </w:rPr>
        <w:t xml:space="preserve">GSA </w:t>
      </w:r>
      <w:r w:rsidRPr="00936DE2">
        <w:rPr>
          <w:rFonts w:ascii="Arial" w:hAnsi="Arial" w:cs="Arial"/>
          <w:szCs w:val="24"/>
        </w:rPr>
        <w:t>Revenue</w:t>
      </w:r>
      <w:r>
        <w:rPr>
          <w:rFonts w:ascii="Arial" w:hAnsi="Arial" w:cs="Arial"/>
          <w:szCs w:val="24"/>
        </w:rPr>
        <w:t xml:space="preserve">s </w:t>
      </w:r>
      <w:r w:rsidRPr="00936DE2">
        <w:rPr>
          <w:rFonts w:ascii="Arial" w:hAnsi="Arial" w:cs="Arial"/>
          <w:szCs w:val="24"/>
        </w:rPr>
        <w:t xml:space="preserve">and the </w:t>
      </w:r>
      <w:r>
        <w:rPr>
          <w:rFonts w:ascii="Arial" w:hAnsi="Arial" w:cs="Arial"/>
          <w:szCs w:val="24"/>
        </w:rPr>
        <w:t>GSA Costs</w:t>
      </w:r>
      <w:r w:rsidRPr="00936DE2">
        <w:rPr>
          <w:rFonts w:ascii="Arial" w:hAnsi="Arial" w:cs="Arial"/>
          <w:szCs w:val="24"/>
        </w:rPr>
        <w:t xml:space="preserve">.  </w:t>
      </w:r>
      <w:r w:rsidR="00D96CEF">
        <w:rPr>
          <w:rFonts w:ascii="Arial" w:hAnsi="Arial" w:cs="Arial"/>
          <w:szCs w:val="24"/>
        </w:rPr>
        <w:t>The resulting amounts represent the portion of GSA Revenues refundable to or GSA Costs recoverable from customers through subsequent GSA filings.  Interest is applied to both over and under collections.  Differences arise for two primary reasons:</w:t>
      </w:r>
    </w:p>
    <w:p w:rsidR="00D96CEF" w:rsidRDefault="00D96CEF" w:rsidP="00D96CEF">
      <w:pPr>
        <w:tabs>
          <w:tab w:val="left" w:pos="360"/>
        </w:tabs>
        <w:ind w:left="360"/>
        <w:jc w:val="left"/>
        <w:rPr>
          <w:rFonts w:ascii="Arial" w:hAnsi="Arial" w:cs="Arial"/>
          <w:szCs w:val="24"/>
        </w:rPr>
      </w:pPr>
    </w:p>
    <w:p w:rsidR="00D96CEF" w:rsidRPr="00936DE2" w:rsidRDefault="00D96CEF" w:rsidP="00D96CEF">
      <w:pPr>
        <w:numPr>
          <w:ilvl w:val="0"/>
          <w:numId w:val="12"/>
        </w:numPr>
        <w:tabs>
          <w:tab w:val="left" w:pos="360"/>
        </w:tabs>
        <w:overflowPunct w:val="0"/>
        <w:autoSpaceDE w:val="0"/>
        <w:autoSpaceDN w:val="0"/>
        <w:adjustRightInd w:val="0"/>
        <w:jc w:val="left"/>
        <w:textAlignment w:val="baseline"/>
        <w:rPr>
          <w:rFonts w:ascii="Arial" w:hAnsi="Arial" w:cs="Arial"/>
          <w:szCs w:val="24"/>
        </w:rPr>
      </w:pPr>
      <w:r w:rsidRPr="00936DE2">
        <w:rPr>
          <w:rFonts w:ascii="Arial" w:hAnsi="Arial" w:cs="Arial"/>
          <w:szCs w:val="24"/>
        </w:rPr>
        <w:t>Variations between the actual month</w:t>
      </w:r>
      <w:r>
        <w:rPr>
          <w:rFonts w:ascii="Arial" w:hAnsi="Arial" w:cs="Arial"/>
          <w:szCs w:val="24"/>
        </w:rPr>
        <w:t>ly volumes</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estimates used to determine the GSA</w:t>
      </w:r>
      <w:r w:rsidRPr="00936DE2">
        <w:rPr>
          <w:rFonts w:ascii="Arial" w:hAnsi="Arial" w:cs="Arial"/>
          <w:szCs w:val="24"/>
        </w:rPr>
        <w:t xml:space="preserve"> rate</w:t>
      </w:r>
      <w:r>
        <w:rPr>
          <w:rFonts w:ascii="Arial" w:hAnsi="Arial" w:cs="Arial"/>
          <w:szCs w:val="24"/>
        </w:rPr>
        <w:t>s</w:t>
      </w:r>
      <w:r w:rsidRPr="00936DE2">
        <w:rPr>
          <w:rFonts w:ascii="Arial" w:hAnsi="Arial" w:cs="Arial"/>
          <w:szCs w:val="24"/>
        </w:rPr>
        <w:t>.</w:t>
      </w:r>
    </w:p>
    <w:p w:rsidR="00D96CEF" w:rsidRPr="00936DE2" w:rsidRDefault="00D96CEF" w:rsidP="00D96CEF">
      <w:pPr>
        <w:tabs>
          <w:tab w:val="left" w:pos="360"/>
        </w:tabs>
        <w:ind w:left="360"/>
        <w:jc w:val="left"/>
        <w:rPr>
          <w:rFonts w:ascii="Arial" w:hAnsi="Arial" w:cs="Arial"/>
          <w:szCs w:val="24"/>
        </w:rPr>
      </w:pPr>
    </w:p>
    <w:p w:rsidR="00D96CEF" w:rsidRDefault="00D96CEF" w:rsidP="00D96CEF">
      <w:pPr>
        <w:numPr>
          <w:ilvl w:val="0"/>
          <w:numId w:val="12"/>
        </w:numPr>
        <w:tabs>
          <w:tab w:val="left" w:pos="360"/>
        </w:tabs>
        <w:overflowPunct w:val="0"/>
        <w:autoSpaceDE w:val="0"/>
        <w:autoSpaceDN w:val="0"/>
        <w:adjustRightInd w:val="0"/>
        <w:jc w:val="left"/>
        <w:textAlignment w:val="baseline"/>
        <w:rPr>
          <w:rFonts w:ascii="Arial" w:hAnsi="Arial" w:cs="Arial"/>
          <w:szCs w:val="24"/>
        </w:rPr>
        <w:sectPr w:rsidR="00D96CEF" w:rsidSect="002A53CB">
          <w:headerReference w:type="even" r:id="rId29"/>
          <w:headerReference w:type="default" r:id="rId30"/>
          <w:footerReference w:type="default" r:id="rId31"/>
          <w:headerReference w:type="first" r:id="rId32"/>
          <w:endnotePr>
            <w:numFmt w:val="decimal"/>
          </w:endnotePr>
          <w:pgSz w:w="12240" w:h="15840" w:code="1"/>
          <w:pgMar w:top="1440" w:right="1440" w:bottom="1152" w:left="1440" w:header="720" w:footer="720" w:gutter="0"/>
          <w:pgNumType w:fmt="numberInDash" w:start="3"/>
          <w:cols w:space="720"/>
          <w:noEndnote/>
          <w:docGrid w:linePitch="326"/>
        </w:sectPr>
      </w:pPr>
      <w:r w:rsidRPr="00936DE2">
        <w:rPr>
          <w:rFonts w:ascii="Arial" w:hAnsi="Arial" w:cs="Arial"/>
          <w:szCs w:val="24"/>
        </w:rPr>
        <w:t xml:space="preserve">Variations between the actual </w:t>
      </w:r>
      <w:r>
        <w:rPr>
          <w:rFonts w:ascii="Arial" w:hAnsi="Arial" w:cs="Arial"/>
          <w:szCs w:val="24"/>
        </w:rPr>
        <w:t>GSA costs</w:t>
      </w:r>
      <w:r w:rsidRPr="00936DE2">
        <w:rPr>
          <w:rFonts w:ascii="Arial" w:hAnsi="Arial" w:cs="Arial"/>
          <w:szCs w:val="24"/>
        </w:rPr>
        <w:t xml:space="preserve"> </w:t>
      </w:r>
      <w:r>
        <w:rPr>
          <w:rFonts w:ascii="Arial" w:hAnsi="Arial" w:cs="Arial"/>
          <w:szCs w:val="24"/>
        </w:rPr>
        <w:t>a</w:t>
      </w:r>
      <w:r w:rsidRPr="00936DE2">
        <w:rPr>
          <w:rFonts w:ascii="Arial" w:hAnsi="Arial" w:cs="Arial"/>
          <w:szCs w:val="24"/>
        </w:rPr>
        <w:t xml:space="preserve">nd the </w:t>
      </w:r>
      <w:r>
        <w:rPr>
          <w:rFonts w:ascii="Arial" w:hAnsi="Arial" w:cs="Arial"/>
          <w:szCs w:val="24"/>
        </w:rPr>
        <w:t xml:space="preserve">estimated </w:t>
      </w:r>
      <w:r w:rsidRPr="00936DE2">
        <w:rPr>
          <w:rFonts w:ascii="Arial" w:hAnsi="Arial" w:cs="Arial"/>
          <w:szCs w:val="24"/>
        </w:rPr>
        <w:t>ex</w:t>
      </w:r>
      <w:r>
        <w:rPr>
          <w:rFonts w:ascii="Arial" w:hAnsi="Arial" w:cs="Arial"/>
          <w:szCs w:val="24"/>
        </w:rPr>
        <w:t>penses used to determine the GSA</w:t>
      </w:r>
      <w:r w:rsidRPr="00936DE2">
        <w:rPr>
          <w:rFonts w:ascii="Arial" w:hAnsi="Arial" w:cs="Arial"/>
          <w:szCs w:val="24"/>
        </w:rPr>
        <w:t xml:space="preserve"> rate</w:t>
      </w:r>
      <w:r>
        <w:rPr>
          <w:rFonts w:ascii="Arial" w:hAnsi="Arial" w:cs="Arial"/>
          <w:szCs w:val="24"/>
        </w:rPr>
        <w:t>s</w:t>
      </w:r>
      <w:r w:rsidRPr="00936DE2">
        <w:rPr>
          <w:rFonts w:ascii="Arial" w:hAnsi="Arial" w:cs="Arial"/>
          <w:szCs w:val="24"/>
        </w:rPr>
        <w:t xml:space="preserve">.  </w:t>
      </w:r>
    </w:p>
    <w:p w:rsidR="00D96CEF" w:rsidRDefault="00D96CEF" w:rsidP="00D96CEF">
      <w:pPr>
        <w:tabs>
          <w:tab w:val="left" w:pos="360"/>
        </w:tabs>
        <w:ind w:left="360"/>
        <w:jc w:val="left"/>
        <w:rPr>
          <w:rFonts w:ascii="Arial" w:hAnsi="Arial" w:cs="Arial"/>
          <w:szCs w:val="24"/>
        </w:rPr>
      </w:pPr>
    </w:p>
    <w:p w:rsidR="003608F3" w:rsidRDefault="003608F3" w:rsidP="00D96CEF">
      <w:pPr>
        <w:ind w:left="360"/>
        <w:jc w:val="left"/>
        <w:rPr>
          <w:rFonts w:ascii="Arial" w:hAnsi="Arial" w:cs="Arial"/>
        </w:rPr>
      </w:pPr>
    </w:p>
    <w:p w:rsidR="003608F3" w:rsidRDefault="003608F3" w:rsidP="003608F3">
      <w:pPr>
        <w:ind w:left="360"/>
        <w:jc w:val="left"/>
        <w:rPr>
          <w:rFonts w:ascii="Arial" w:hAnsi="Arial" w:cs="Arial"/>
        </w:rPr>
      </w:pPr>
    </w:p>
    <w:p w:rsidR="003608F3" w:rsidRDefault="003608F3" w:rsidP="003608F3">
      <w:pPr>
        <w:ind w:left="360"/>
        <w:jc w:val="left"/>
        <w:rPr>
          <w:rFonts w:ascii="Arial" w:hAnsi="Arial" w:cs="Arial"/>
        </w:rPr>
      </w:pPr>
    </w:p>
    <w:p w:rsidR="00D96CEF" w:rsidRDefault="00D96CEF" w:rsidP="003608F3">
      <w:pPr>
        <w:ind w:left="360"/>
        <w:jc w:val="left"/>
        <w:rPr>
          <w:rFonts w:ascii="Arial" w:hAnsi="Arial" w:cs="Arial"/>
        </w:rPr>
      </w:pPr>
    </w:p>
    <w:p w:rsidR="008E5C37" w:rsidRDefault="008E5C37" w:rsidP="008E5C37">
      <w:pPr>
        <w:pStyle w:val="ListParagraph"/>
        <w:rPr>
          <w:rFonts w:ascii="Arial" w:hAnsi="Arial" w:cs="Arial"/>
          <w:szCs w:val="24"/>
        </w:rPr>
      </w:pPr>
    </w:p>
    <w:p w:rsidR="00375D18" w:rsidRPr="008E7086" w:rsidRDefault="00375D18" w:rsidP="00D07FEC">
      <w:pPr>
        <w:pStyle w:val="EndnoteText"/>
        <w:tabs>
          <w:tab w:val="left" w:pos="-1440"/>
          <w:tab w:val="left" w:pos="-720"/>
          <w:tab w:val="left" w:pos="450"/>
          <w:tab w:val="left" w:pos="720"/>
          <w:tab w:val="left" w:pos="990"/>
          <w:tab w:val="left" w:pos="1440"/>
        </w:tabs>
        <w:suppressAutoHyphens/>
        <w:jc w:val="left"/>
        <w:rPr>
          <w:rFonts w:ascii="Arial" w:hAnsi="Arial" w:cs="Arial"/>
          <w:szCs w:val="24"/>
        </w:rPr>
      </w:pPr>
    </w:p>
    <w:p w:rsidR="00886692" w:rsidRPr="008E7086" w:rsidRDefault="00886692" w:rsidP="00905409">
      <w:pPr>
        <w:pStyle w:val="Heading4"/>
        <w:tabs>
          <w:tab w:val="clear" w:pos="4680"/>
        </w:tabs>
        <w:rPr>
          <w:rFonts w:ascii="Arial" w:hAnsi="Arial" w:cs="Arial"/>
          <w:b w:val="0"/>
          <w:szCs w:val="24"/>
        </w:rPr>
      </w:pPr>
    </w:p>
    <w:p w:rsidR="00886692" w:rsidRPr="008E7086" w:rsidRDefault="00886692" w:rsidP="00905409">
      <w:pPr>
        <w:pStyle w:val="Heading4"/>
        <w:tabs>
          <w:tab w:val="clear" w:pos="4680"/>
        </w:tabs>
        <w:rPr>
          <w:rFonts w:ascii="Arial" w:hAnsi="Arial" w:cs="Arial"/>
          <w:b w:val="0"/>
          <w:szCs w:val="24"/>
        </w:rPr>
      </w:pPr>
    </w:p>
    <w:p w:rsidR="00886692" w:rsidRPr="008E7086" w:rsidRDefault="00886692" w:rsidP="00905409">
      <w:pPr>
        <w:pStyle w:val="Heading4"/>
        <w:tabs>
          <w:tab w:val="clear" w:pos="4680"/>
        </w:tabs>
        <w:rPr>
          <w:rFonts w:ascii="Arial" w:hAnsi="Arial" w:cs="Arial"/>
          <w:b w:val="0"/>
          <w:szCs w:val="24"/>
        </w:rPr>
      </w:pPr>
    </w:p>
    <w:p w:rsidR="00886692" w:rsidRPr="008E7086" w:rsidRDefault="00886692" w:rsidP="00905409">
      <w:pPr>
        <w:pStyle w:val="Heading4"/>
        <w:tabs>
          <w:tab w:val="clear" w:pos="4680"/>
        </w:tabs>
        <w:rPr>
          <w:rFonts w:ascii="Arial" w:hAnsi="Arial" w:cs="Arial"/>
          <w:b w:val="0"/>
          <w:szCs w:val="24"/>
        </w:rPr>
      </w:pPr>
    </w:p>
    <w:p w:rsidR="00886692" w:rsidRPr="008E7086" w:rsidRDefault="00886692" w:rsidP="00905409">
      <w:pPr>
        <w:pStyle w:val="Heading4"/>
        <w:tabs>
          <w:tab w:val="clear" w:pos="4680"/>
        </w:tabs>
        <w:rPr>
          <w:rFonts w:ascii="Arial" w:hAnsi="Arial" w:cs="Arial"/>
          <w:b w:val="0"/>
          <w:szCs w:val="24"/>
        </w:rPr>
      </w:pPr>
    </w:p>
    <w:p w:rsidR="004A2035" w:rsidRDefault="004A2035" w:rsidP="00905409">
      <w:pPr>
        <w:pStyle w:val="Heading4"/>
        <w:tabs>
          <w:tab w:val="clear" w:pos="4680"/>
        </w:tabs>
        <w:rPr>
          <w:rFonts w:ascii="Arial" w:hAnsi="Arial" w:cs="Arial"/>
          <w:sz w:val="36"/>
          <w:szCs w:val="36"/>
          <w:u w:val="none"/>
        </w:rPr>
      </w:pPr>
    </w:p>
    <w:p w:rsidR="004A2035" w:rsidRDefault="004A2035" w:rsidP="00905409">
      <w:pPr>
        <w:pStyle w:val="Heading4"/>
        <w:tabs>
          <w:tab w:val="clear" w:pos="4680"/>
        </w:tabs>
        <w:rPr>
          <w:rFonts w:ascii="Arial" w:hAnsi="Arial" w:cs="Arial"/>
          <w:sz w:val="36"/>
          <w:szCs w:val="36"/>
          <w:u w:val="none"/>
        </w:rPr>
      </w:pPr>
    </w:p>
    <w:p w:rsidR="004A2035" w:rsidRDefault="004A2035" w:rsidP="00905409">
      <w:pPr>
        <w:pStyle w:val="Heading4"/>
        <w:tabs>
          <w:tab w:val="clear" w:pos="4680"/>
        </w:tabs>
        <w:rPr>
          <w:rFonts w:ascii="Arial" w:hAnsi="Arial" w:cs="Arial"/>
          <w:sz w:val="36"/>
          <w:szCs w:val="36"/>
          <w:u w:val="none"/>
        </w:rPr>
      </w:pPr>
    </w:p>
    <w:p w:rsidR="00886692" w:rsidRPr="008E7086" w:rsidRDefault="00886692" w:rsidP="00905409">
      <w:pPr>
        <w:pStyle w:val="Heading4"/>
        <w:tabs>
          <w:tab w:val="clear" w:pos="4680"/>
        </w:tabs>
        <w:rPr>
          <w:rFonts w:ascii="Arial" w:hAnsi="Arial" w:cs="Arial"/>
          <w:sz w:val="36"/>
          <w:szCs w:val="36"/>
          <w:u w:val="none"/>
        </w:rPr>
      </w:pPr>
      <w:r w:rsidRPr="008E7086">
        <w:rPr>
          <w:rFonts w:ascii="Arial" w:hAnsi="Arial" w:cs="Arial"/>
          <w:sz w:val="36"/>
          <w:szCs w:val="36"/>
          <w:u w:val="none"/>
        </w:rPr>
        <w:t>BACKGROUND</w:t>
      </w:r>
    </w:p>
    <w:p w:rsidR="00886692" w:rsidRPr="008E7086" w:rsidRDefault="00886692" w:rsidP="00905409">
      <w:pPr>
        <w:pStyle w:val="EndnoteText"/>
        <w:tabs>
          <w:tab w:val="left" w:pos="331"/>
          <w:tab w:val="left" w:pos="4680"/>
        </w:tabs>
        <w:suppressAutoHyphens/>
        <w:rPr>
          <w:rFonts w:ascii="Arial" w:hAnsi="Arial" w:cs="Arial"/>
          <w:b/>
          <w:szCs w:val="24"/>
          <w:u w:val="single"/>
        </w:rPr>
      </w:pPr>
    </w:p>
    <w:p w:rsidR="00886692" w:rsidRPr="008E7086" w:rsidRDefault="00886692" w:rsidP="00905409">
      <w:pPr>
        <w:pStyle w:val="EndnoteText"/>
        <w:tabs>
          <w:tab w:val="left" w:pos="331"/>
          <w:tab w:val="left" w:pos="4680"/>
        </w:tabs>
        <w:suppressAutoHyphens/>
        <w:rPr>
          <w:rFonts w:ascii="Arial" w:hAnsi="Arial" w:cs="Arial"/>
          <w:b/>
          <w:szCs w:val="24"/>
          <w:u w:val="single"/>
        </w:rPr>
      </w:pPr>
    </w:p>
    <w:p w:rsidR="00886692" w:rsidRPr="008E7086" w:rsidRDefault="00886692" w:rsidP="00905409">
      <w:pPr>
        <w:pStyle w:val="Heading4"/>
        <w:tabs>
          <w:tab w:val="clear" w:pos="4680"/>
        </w:tabs>
        <w:rPr>
          <w:rFonts w:ascii="Arial" w:hAnsi="Arial" w:cs="Arial"/>
          <w:sz w:val="36"/>
          <w:szCs w:val="36"/>
          <w:u w:val="none"/>
        </w:rPr>
      </w:pPr>
      <w:r w:rsidRPr="008E7086">
        <w:rPr>
          <w:rFonts w:ascii="Arial" w:hAnsi="Arial" w:cs="Arial"/>
          <w:sz w:val="36"/>
          <w:szCs w:val="36"/>
          <w:u w:val="none"/>
        </w:rPr>
        <w:t>AND</w:t>
      </w:r>
    </w:p>
    <w:p w:rsidR="00886692" w:rsidRPr="008E7086" w:rsidRDefault="00886692" w:rsidP="00905409">
      <w:pPr>
        <w:pStyle w:val="EndnoteText"/>
        <w:tabs>
          <w:tab w:val="left" w:pos="331"/>
          <w:tab w:val="left" w:pos="4680"/>
        </w:tabs>
        <w:suppressAutoHyphens/>
        <w:rPr>
          <w:rFonts w:ascii="Arial" w:hAnsi="Arial" w:cs="Arial"/>
          <w:b/>
          <w:szCs w:val="24"/>
          <w:u w:val="single"/>
        </w:rPr>
      </w:pPr>
    </w:p>
    <w:p w:rsidR="00886692" w:rsidRPr="008E7086" w:rsidRDefault="00886692" w:rsidP="00905409">
      <w:pPr>
        <w:pStyle w:val="EndnoteText"/>
        <w:tabs>
          <w:tab w:val="left" w:pos="331"/>
          <w:tab w:val="left" w:pos="4680"/>
        </w:tabs>
        <w:suppressAutoHyphens/>
        <w:rPr>
          <w:rFonts w:ascii="Arial" w:hAnsi="Arial" w:cs="Arial"/>
          <w:b/>
          <w:szCs w:val="24"/>
          <w:u w:val="single"/>
        </w:rPr>
      </w:pPr>
    </w:p>
    <w:p w:rsidR="00886692" w:rsidRPr="008E7086" w:rsidRDefault="00886692" w:rsidP="00905409">
      <w:pPr>
        <w:pStyle w:val="Heading4"/>
        <w:tabs>
          <w:tab w:val="clear" w:pos="4680"/>
        </w:tabs>
        <w:rPr>
          <w:rFonts w:ascii="Arial" w:hAnsi="Arial" w:cs="Arial"/>
          <w:sz w:val="36"/>
          <w:szCs w:val="36"/>
          <w:u w:val="none"/>
        </w:rPr>
      </w:pPr>
      <w:r w:rsidRPr="008E7086">
        <w:rPr>
          <w:rFonts w:ascii="Arial" w:hAnsi="Arial" w:cs="Arial"/>
          <w:sz w:val="36"/>
          <w:szCs w:val="36"/>
          <w:u w:val="none"/>
        </w:rPr>
        <w:t>OPERATIONAL REVIEW</w:t>
      </w:r>
    </w:p>
    <w:p w:rsidR="004F0882" w:rsidRPr="008E7086" w:rsidRDefault="004F0882" w:rsidP="00905409">
      <w:pPr>
        <w:pStyle w:val="EndnoteText"/>
        <w:tabs>
          <w:tab w:val="left" w:pos="331"/>
          <w:tab w:val="left" w:pos="4680"/>
        </w:tabs>
        <w:suppressAutoHyphens/>
        <w:rPr>
          <w:rFonts w:ascii="Arial" w:hAnsi="Arial" w:cs="Arial"/>
          <w:b/>
          <w:szCs w:val="24"/>
          <w:u w:val="single"/>
        </w:rPr>
      </w:pPr>
    </w:p>
    <w:p w:rsidR="007E4643" w:rsidRPr="008E7086" w:rsidRDefault="007E4643" w:rsidP="00905409">
      <w:pPr>
        <w:pStyle w:val="EndnoteText"/>
        <w:tabs>
          <w:tab w:val="left" w:pos="331"/>
          <w:tab w:val="left" w:pos="4680"/>
        </w:tabs>
        <w:suppressAutoHyphens/>
        <w:rPr>
          <w:rFonts w:ascii="Arial" w:hAnsi="Arial" w:cs="Arial"/>
          <w:b/>
          <w:szCs w:val="24"/>
          <w:u w:val="single"/>
        </w:rPr>
        <w:sectPr w:rsidR="007E4643" w:rsidRPr="008E7086" w:rsidSect="002A53CB">
          <w:headerReference w:type="even" r:id="rId33"/>
          <w:headerReference w:type="default" r:id="rId34"/>
          <w:footerReference w:type="default" r:id="rId35"/>
          <w:headerReference w:type="first" r:id="rId36"/>
          <w:endnotePr>
            <w:numFmt w:val="decimal"/>
          </w:endnotePr>
          <w:pgSz w:w="12240" w:h="15840" w:code="1"/>
          <w:pgMar w:top="1152" w:right="1440" w:bottom="1152" w:left="1440" w:header="0" w:footer="720" w:gutter="0"/>
          <w:pgNumType w:start="2"/>
          <w:cols w:space="720"/>
          <w:noEndnote/>
        </w:sectPr>
      </w:pPr>
    </w:p>
    <w:p w:rsidR="0074546C" w:rsidRPr="0077381F" w:rsidRDefault="00425941" w:rsidP="0074546C">
      <w:pPr>
        <w:pStyle w:val="EndnoteText"/>
        <w:tabs>
          <w:tab w:val="left" w:pos="331"/>
          <w:tab w:val="left" w:pos="4680"/>
        </w:tabs>
        <w:suppressAutoHyphens/>
        <w:rPr>
          <w:rFonts w:ascii="Arial" w:hAnsi="Arial" w:cs="Arial"/>
          <w:b/>
          <w:sz w:val="26"/>
          <w:szCs w:val="26"/>
        </w:rPr>
      </w:pPr>
      <w:r w:rsidRPr="0077381F">
        <w:rPr>
          <w:rFonts w:ascii="Arial" w:hAnsi="Arial" w:cs="Arial"/>
          <w:b/>
          <w:sz w:val="26"/>
          <w:szCs w:val="26"/>
        </w:rPr>
        <w:lastRenderedPageBreak/>
        <w:t>PECO ENERGY COMPANY</w:t>
      </w:r>
    </w:p>
    <w:p w:rsidR="0074546C" w:rsidRPr="0077381F" w:rsidRDefault="0074546C" w:rsidP="0074546C">
      <w:pPr>
        <w:tabs>
          <w:tab w:val="center" w:pos="4680"/>
          <w:tab w:val="left" w:pos="5040"/>
          <w:tab w:val="left" w:pos="5760"/>
          <w:tab w:val="left" w:pos="6480"/>
          <w:tab w:val="left" w:pos="7200"/>
          <w:tab w:val="left" w:pos="7920"/>
          <w:tab w:val="left" w:pos="8640"/>
          <w:tab w:val="left" w:pos="9360"/>
        </w:tabs>
        <w:outlineLvl w:val="0"/>
        <w:rPr>
          <w:rFonts w:ascii="Arial" w:hAnsi="Arial" w:cs="Arial"/>
          <w:b/>
          <w:sz w:val="26"/>
          <w:szCs w:val="26"/>
        </w:rPr>
      </w:pPr>
    </w:p>
    <w:p w:rsidR="0074546C" w:rsidRDefault="0074546C" w:rsidP="0074546C">
      <w:pPr>
        <w:tabs>
          <w:tab w:val="left" w:pos="-1440"/>
          <w:tab w:val="left" w:pos="-720"/>
        </w:tabs>
        <w:suppressAutoHyphens/>
        <w:rPr>
          <w:rFonts w:ascii="Arial" w:hAnsi="Arial" w:cs="Arial"/>
          <w:b/>
          <w:sz w:val="26"/>
          <w:szCs w:val="26"/>
        </w:rPr>
      </w:pPr>
      <w:r w:rsidRPr="004A2035">
        <w:rPr>
          <w:rFonts w:ascii="Arial" w:hAnsi="Arial" w:cs="Arial"/>
          <w:b/>
          <w:sz w:val="26"/>
          <w:szCs w:val="26"/>
        </w:rPr>
        <w:t>Background</w:t>
      </w:r>
    </w:p>
    <w:p w:rsidR="00D04ED2" w:rsidRDefault="00D04ED2" w:rsidP="0074546C">
      <w:pPr>
        <w:tabs>
          <w:tab w:val="left" w:pos="-1440"/>
          <w:tab w:val="left" w:pos="-720"/>
        </w:tabs>
        <w:suppressAutoHyphens/>
        <w:rPr>
          <w:rFonts w:ascii="Arial" w:hAnsi="Arial" w:cs="Arial"/>
          <w:b/>
          <w:sz w:val="26"/>
          <w:szCs w:val="26"/>
        </w:rPr>
      </w:pPr>
    </w:p>
    <w:p w:rsidR="00D04ED2" w:rsidRDefault="00D04ED2" w:rsidP="00D04ED2">
      <w:pPr>
        <w:pStyle w:val="NoSpacing"/>
        <w:ind w:firstLine="720"/>
        <w:rPr>
          <w:rFonts w:ascii="Arial" w:hAnsi="Arial" w:cs="Arial"/>
          <w:sz w:val="24"/>
          <w:szCs w:val="24"/>
        </w:rPr>
      </w:pPr>
      <w:r>
        <w:rPr>
          <w:rFonts w:ascii="Arial" w:hAnsi="Arial" w:cs="Arial"/>
          <w:sz w:val="24"/>
          <w:szCs w:val="24"/>
        </w:rPr>
        <w:t>This background section was developed substantially from unaudited data and documentation made available by PECO and is presented solely for informational purposes.</w:t>
      </w:r>
    </w:p>
    <w:p w:rsidR="00D04ED2" w:rsidRPr="004A2035" w:rsidRDefault="00D04ED2" w:rsidP="0074546C">
      <w:pPr>
        <w:tabs>
          <w:tab w:val="left" w:pos="-1440"/>
          <w:tab w:val="left" w:pos="-720"/>
        </w:tabs>
        <w:suppressAutoHyphens/>
        <w:rPr>
          <w:rFonts w:ascii="Arial" w:hAnsi="Arial" w:cs="Arial"/>
          <w:sz w:val="26"/>
          <w:szCs w:val="26"/>
        </w:rPr>
      </w:pPr>
    </w:p>
    <w:p w:rsidR="00180AED" w:rsidRPr="00180AED" w:rsidRDefault="001B3937" w:rsidP="00180AED">
      <w:pPr>
        <w:jc w:val="left"/>
        <w:rPr>
          <w:rFonts w:ascii="Arial" w:hAnsi="Arial" w:cs="Arial"/>
        </w:rPr>
      </w:pPr>
      <w:r>
        <w:rPr>
          <w:rFonts w:ascii="Arial" w:hAnsi="Arial" w:cs="Arial"/>
        </w:rPr>
        <w:tab/>
      </w:r>
      <w:r w:rsidRPr="00E712CA">
        <w:rPr>
          <w:rFonts w:ascii="Arial" w:hAnsi="Arial" w:cs="Arial"/>
        </w:rPr>
        <w:t>PECO is a company principally engaged in providing transmission and distribution of electric and natural gas services to retail customers in southeastern Pennsylvania. PECO’s operations as an electric distribution company and natural gas distribution company are subject to regulation by the Commission. PECO is a wholly owned subsidiary of Exelon Corporation headquartered in Chicago, Illinois.</w:t>
      </w:r>
      <w:r>
        <w:rPr>
          <w:rFonts w:ascii="Arial" w:hAnsi="Arial" w:cs="Arial"/>
        </w:rPr>
        <w:t xml:space="preserve"> </w:t>
      </w:r>
      <w:r w:rsidR="00180AED">
        <w:rPr>
          <w:rFonts w:ascii="Arial" w:hAnsi="Arial" w:cs="Arial"/>
        </w:rPr>
        <w:t>A</w:t>
      </w:r>
      <w:r w:rsidR="00180AED">
        <w:rPr>
          <w:rFonts w:ascii="Arial" w:hAnsi="Arial" w:cs="Arial"/>
          <w:color w:val="000000"/>
        </w:rPr>
        <w:t xml:space="preserve">ccording to PECO’s annual reports filed with the PUC, for the years </w:t>
      </w:r>
      <w:r w:rsidR="00AF222E">
        <w:rPr>
          <w:rFonts w:ascii="Arial" w:hAnsi="Arial" w:cs="Arial"/>
          <w:color w:val="000000"/>
        </w:rPr>
        <w:t xml:space="preserve">2014, </w:t>
      </w:r>
      <w:r w:rsidR="00180AED" w:rsidRPr="00C24D82">
        <w:rPr>
          <w:rFonts w:ascii="Arial" w:hAnsi="Arial" w:cs="Arial"/>
        </w:rPr>
        <w:t xml:space="preserve">2013, </w:t>
      </w:r>
      <w:r w:rsidR="00AF222E">
        <w:rPr>
          <w:rFonts w:ascii="Arial" w:hAnsi="Arial" w:cs="Arial"/>
        </w:rPr>
        <w:t xml:space="preserve">and </w:t>
      </w:r>
      <w:r w:rsidR="00180AED" w:rsidRPr="00C24D82">
        <w:rPr>
          <w:rFonts w:ascii="Arial" w:hAnsi="Arial" w:cs="Arial"/>
        </w:rPr>
        <w:t>2012, PECO’s total electric distribution revenues</w:t>
      </w:r>
      <w:r w:rsidR="00180AED">
        <w:rPr>
          <w:rFonts w:ascii="Arial" w:hAnsi="Arial" w:cs="Arial"/>
        </w:rPr>
        <w:t>,</w:t>
      </w:r>
      <w:r w:rsidR="00180AED" w:rsidRPr="00C24D82">
        <w:rPr>
          <w:rFonts w:ascii="Arial" w:hAnsi="Arial" w:cs="Arial"/>
        </w:rPr>
        <w:t xml:space="preserve"> </w:t>
      </w:r>
      <w:r w:rsidR="00180AED">
        <w:rPr>
          <w:rFonts w:ascii="Arial" w:hAnsi="Arial" w:cs="Arial"/>
        </w:rPr>
        <w:t xml:space="preserve">including default service sales, </w:t>
      </w:r>
      <w:r w:rsidR="00180AED" w:rsidRPr="00C24D82">
        <w:rPr>
          <w:rFonts w:ascii="Arial" w:hAnsi="Arial" w:cs="Arial"/>
        </w:rPr>
        <w:t>from customers were $</w:t>
      </w:r>
      <w:r w:rsidR="00A31725">
        <w:rPr>
          <w:rFonts w:ascii="Arial" w:hAnsi="Arial" w:cs="Arial"/>
        </w:rPr>
        <w:t>2,232,887,499; $2,288,160,253;</w:t>
      </w:r>
      <w:r w:rsidR="00AF222E">
        <w:rPr>
          <w:rFonts w:ascii="Arial" w:hAnsi="Arial" w:cs="Arial"/>
        </w:rPr>
        <w:t xml:space="preserve"> and $2,425,886,345, resp</w:t>
      </w:r>
      <w:r w:rsidR="00180AED">
        <w:rPr>
          <w:rFonts w:ascii="Arial" w:hAnsi="Arial" w:cs="Arial"/>
        </w:rPr>
        <w:t>ectively.</w:t>
      </w:r>
      <w:r w:rsidR="00180AED" w:rsidRPr="00C24D82">
        <w:rPr>
          <w:rFonts w:ascii="Times New Roman" w:hAnsi="Times New Roman"/>
          <w:sz w:val="15"/>
          <w:szCs w:val="15"/>
        </w:rPr>
        <w:t xml:space="preserve"> </w:t>
      </w:r>
    </w:p>
    <w:p w:rsidR="001B3937" w:rsidRDefault="001B3937" w:rsidP="001B3937">
      <w:pPr>
        <w:jc w:val="left"/>
        <w:rPr>
          <w:rFonts w:ascii="Arial" w:hAnsi="Arial" w:cs="Arial"/>
        </w:rPr>
      </w:pPr>
    </w:p>
    <w:p w:rsidR="00F754D9" w:rsidRDefault="001B3937" w:rsidP="00F02EA9">
      <w:pPr>
        <w:jc w:val="left"/>
        <w:rPr>
          <w:rFonts w:ascii="Arial" w:hAnsi="Arial" w:cs="Arial"/>
        </w:rPr>
      </w:pPr>
      <w:r>
        <w:rPr>
          <w:rFonts w:ascii="Arial" w:hAnsi="Arial" w:cs="Arial"/>
        </w:rPr>
        <w:tab/>
      </w:r>
      <w:r w:rsidRPr="00E113B3">
        <w:rPr>
          <w:rFonts w:ascii="Arial" w:hAnsi="Arial" w:cs="Arial"/>
        </w:rPr>
        <w:t>PECO provides electric distribution service in an area of approximately 1</w:t>
      </w:r>
      <w:r>
        <w:rPr>
          <w:rFonts w:ascii="Arial" w:hAnsi="Arial" w:cs="Arial"/>
        </w:rPr>
        <w:t>,</w:t>
      </w:r>
      <w:r w:rsidRPr="00E113B3">
        <w:rPr>
          <w:rFonts w:ascii="Arial" w:hAnsi="Arial" w:cs="Arial"/>
        </w:rPr>
        <w:t xml:space="preserve">900 square miles with a population </w:t>
      </w:r>
      <w:r w:rsidRPr="008766A8">
        <w:rPr>
          <w:rFonts w:ascii="Arial" w:hAnsi="Arial" w:cs="Arial"/>
        </w:rPr>
        <w:t>of approximately 3.9</w:t>
      </w:r>
      <w:r w:rsidRPr="00E113B3">
        <w:rPr>
          <w:rFonts w:ascii="Arial" w:hAnsi="Arial" w:cs="Arial"/>
        </w:rPr>
        <w:t xml:space="preserve"> million, </w:t>
      </w:r>
      <w:r w:rsidRPr="008766A8">
        <w:rPr>
          <w:rFonts w:ascii="Arial" w:hAnsi="Arial" w:cs="Arial"/>
        </w:rPr>
        <w:t>including 1.5</w:t>
      </w:r>
      <w:r w:rsidRPr="00E113B3">
        <w:rPr>
          <w:rFonts w:ascii="Arial" w:hAnsi="Arial" w:cs="Arial"/>
        </w:rPr>
        <w:t xml:space="preserve"> million in the city of Philadelphia.</w:t>
      </w:r>
      <w:r>
        <w:rPr>
          <w:rFonts w:ascii="Arial" w:hAnsi="Arial" w:cs="Arial"/>
        </w:rPr>
        <w:t xml:space="preserve"> </w:t>
      </w:r>
      <w:r w:rsidR="00F754D9">
        <w:rPr>
          <w:rFonts w:ascii="Arial" w:hAnsi="Arial" w:cs="Arial"/>
        </w:rPr>
        <w:t xml:space="preserve"> </w:t>
      </w:r>
      <w:r w:rsidR="00F754D9" w:rsidRPr="000E03E3">
        <w:rPr>
          <w:rFonts w:ascii="Arial" w:hAnsi="Arial" w:cs="Arial"/>
        </w:rPr>
        <w:t xml:space="preserve">During </w:t>
      </w:r>
      <w:r w:rsidR="00F754D9" w:rsidRPr="000740FE">
        <w:rPr>
          <w:rFonts w:ascii="Arial" w:hAnsi="Arial" w:cs="Arial"/>
        </w:rPr>
        <w:t>201</w:t>
      </w:r>
      <w:r w:rsidR="00F754D9">
        <w:rPr>
          <w:rFonts w:ascii="Arial" w:hAnsi="Arial" w:cs="Arial"/>
        </w:rPr>
        <w:t>4</w:t>
      </w:r>
      <w:r w:rsidR="00F754D9" w:rsidRPr="000E03E3">
        <w:rPr>
          <w:rFonts w:ascii="Arial" w:hAnsi="Arial" w:cs="Arial"/>
        </w:rPr>
        <w:t>, PECO delivered electricity to approximately 1,600,000 residential, commercial</w:t>
      </w:r>
      <w:r w:rsidR="00F6274A">
        <w:rPr>
          <w:rFonts w:ascii="Arial" w:hAnsi="Arial" w:cs="Arial"/>
        </w:rPr>
        <w:t>,</w:t>
      </w:r>
      <w:r w:rsidR="00F754D9" w:rsidRPr="000E03E3">
        <w:rPr>
          <w:rFonts w:ascii="Arial" w:hAnsi="Arial" w:cs="Arial"/>
        </w:rPr>
        <w:t xml:space="preserve"> and industrial customers</w:t>
      </w:r>
      <w:r w:rsidR="00F02EA9">
        <w:rPr>
          <w:rFonts w:ascii="Arial" w:hAnsi="Arial" w:cs="Arial"/>
        </w:rPr>
        <w:t>.</w:t>
      </w:r>
    </w:p>
    <w:p w:rsidR="001B3937" w:rsidRPr="00E113B3" w:rsidRDefault="001B3937" w:rsidP="001B3937">
      <w:pPr>
        <w:jc w:val="left"/>
        <w:rPr>
          <w:rFonts w:ascii="Arial" w:hAnsi="Arial" w:cs="Arial"/>
        </w:rPr>
      </w:pPr>
    </w:p>
    <w:p w:rsidR="00F554E3" w:rsidRDefault="001B3937" w:rsidP="00FE48BF">
      <w:pPr>
        <w:jc w:val="left"/>
        <w:rPr>
          <w:rFonts w:ascii="Arial" w:hAnsi="Arial" w:cs="Arial"/>
        </w:rPr>
      </w:pPr>
      <w:r>
        <w:rPr>
          <w:rFonts w:ascii="Arial" w:hAnsi="Arial" w:cs="Arial"/>
        </w:rPr>
        <w:tab/>
      </w:r>
      <w:r w:rsidR="00FE48BF" w:rsidRPr="00A33BA4">
        <w:rPr>
          <w:rFonts w:ascii="Arial" w:hAnsi="Arial" w:cs="Arial"/>
        </w:rPr>
        <w:t>By Order entered</w:t>
      </w:r>
      <w:r w:rsidR="00F554E3" w:rsidRPr="00A33BA4">
        <w:rPr>
          <w:rFonts w:ascii="Arial" w:hAnsi="Arial" w:cs="Arial"/>
        </w:rPr>
        <w:t xml:space="preserve"> June 2, 2009, the Commission </w:t>
      </w:r>
      <w:r w:rsidR="002F3410" w:rsidRPr="00A33BA4">
        <w:rPr>
          <w:rFonts w:ascii="Arial" w:hAnsi="Arial" w:cs="Arial"/>
        </w:rPr>
        <w:t xml:space="preserve">approved </w:t>
      </w:r>
      <w:r w:rsidR="00F554E3" w:rsidRPr="00A33BA4">
        <w:rPr>
          <w:rFonts w:ascii="Arial" w:hAnsi="Arial" w:cs="Arial"/>
        </w:rPr>
        <w:t xml:space="preserve">a Settlement Agreement (Agreement) </w:t>
      </w:r>
      <w:r w:rsidR="002F3410" w:rsidRPr="00A33BA4">
        <w:rPr>
          <w:rFonts w:ascii="Arial" w:hAnsi="Arial" w:cs="Arial"/>
        </w:rPr>
        <w:t>at Docket No. P</w:t>
      </w:r>
      <w:r w:rsidR="002F3410" w:rsidRPr="00A33BA4">
        <w:rPr>
          <w:rFonts w:ascii="Arial" w:hAnsi="Arial" w:cs="Arial"/>
        </w:rPr>
        <w:noBreakHyphen/>
        <w:t>2008</w:t>
      </w:r>
      <w:r w:rsidR="002F3410" w:rsidRPr="00A33BA4">
        <w:rPr>
          <w:rFonts w:ascii="Arial" w:hAnsi="Arial" w:cs="Arial"/>
        </w:rPr>
        <w:noBreakHyphen/>
        <w:t xml:space="preserve">2062739.  </w:t>
      </w:r>
      <w:r w:rsidR="00F554E3" w:rsidRPr="00A33BA4">
        <w:rPr>
          <w:rFonts w:ascii="Arial" w:hAnsi="Arial" w:cs="Arial"/>
        </w:rPr>
        <w:t xml:space="preserve">The Agreement included a default service procurement plan with a term of </w:t>
      </w:r>
      <w:r w:rsidR="00572C4C" w:rsidRPr="00A33BA4">
        <w:rPr>
          <w:rFonts w:ascii="Arial" w:hAnsi="Arial" w:cs="Arial"/>
        </w:rPr>
        <w:t>29</w:t>
      </w:r>
      <w:r w:rsidR="00F554E3" w:rsidRPr="00A33BA4">
        <w:rPr>
          <w:rFonts w:ascii="Arial" w:hAnsi="Arial" w:cs="Arial"/>
        </w:rPr>
        <w:t xml:space="preserve"> months, beginning January 1, 2011 and ending May 31, 2013.  </w:t>
      </w:r>
      <w:r w:rsidR="002F3410" w:rsidRPr="00A33BA4">
        <w:rPr>
          <w:rFonts w:ascii="Arial" w:hAnsi="Arial" w:cs="Arial"/>
        </w:rPr>
        <w:t xml:space="preserve">Among other matters, the Agreement allowed </w:t>
      </w:r>
      <w:r w:rsidR="00F554E3" w:rsidRPr="00A33BA4">
        <w:rPr>
          <w:rFonts w:ascii="Arial" w:hAnsi="Arial" w:cs="Arial"/>
        </w:rPr>
        <w:t>PECO to establish a Generation Supply Adjustment (GSA) Rider</w:t>
      </w:r>
      <w:r w:rsidR="002F3410" w:rsidRPr="00A33BA4">
        <w:rPr>
          <w:rFonts w:ascii="Arial" w:hAnsi="Arial" w:cs="Arial"/>
        </w:rPr>
        <w:t>.  The GSA Rider permits PECO</w:t>
      </w:r>
      <w:r w:rsidR="00F554E3" w:rsidRPr="00A33BA4">
        <w:rPr>
          <w:rFonts w:ascii="Arial" w:hAnsi="Arial" w:cs="Arial"/>
        </w:rPr>
        <w:t xml:space="preserve"> to recover</w:t>
      </w:r>
      <w:r w:rsidR="002F3410" w:rsidRPr="00A33BA4">
        <w:rPr>
          <w:rFonts w:ascii="Arial" w:hAnsi="Arial" w:cs="Arial"/>
        </w:rPr>
        <w:t>, from its</w:t>
      </w:r>
      <w:r w:rsidR="00F554E3" w:rsidRPr="00A33BA4">
        <w:rPr>
          <w:rFonts w:ascii="Arial" w:hAnsi="Arial" w:cs="Arial"/>
        </w:rPr>
        <w:t xml:space="preserve"> </w:t>
      </w:r>
      <w:r w:rsidR="002F3410" w:rsidRPr="00A33BA4">
        <w:rPr>
          <w:rFonts w:ascii="Arial" w:hAnsi="Arial" w:cs="Arial"/>
        </w:rPr>
        <w:t xml:space="preserve">default service customers, </w:t>
      </w:r>
      <w:r w:rsidR="00F554E3" w:rsidRPr="00A33BA4">
        <w:rPr>
          <w:rFonts w:ascii="Arial" w:hAnsi="Arial" w:cs="Arial"/>
        </w:rPr>
        <w:t>the cost of procuring power plus associated administrative expenses incurred in acquiring power and attaining regulatory approval of any procurement strategy and plan.</w:t>
      </w:r>
      <w:r w:rsidR="00F554E3" w:rsidRPr="008E7086">
        <w:rPr>
          <w:rFonts w:ascii="Arial" w:hAnsi="Arial" w:cs="Arial"/>
        </w:rPr>
        <w:t xml:space="preserve">  </w:t>
      </w:r>
    </w:p>
    <w:p w:rsidR="002F3410" w:rsidRDefault="002F3410" w:rsidP="00FE48BF">
      <w:pPr>
        <w:jc w:val="left"/>
        <w:rPr>
          <w:rFonts w:ascii="Arial" w:hAnsi="Arial" w:cs="Arial"/>
        </w:rPr>
      </w:pPr>
    </w:p>
    <w:p w:rsidR="00780931" w:rsidRDefault="002F3410" w:rsidP="00F05A87">
      <w:pPr>
        <w:jc w:val="left"/>
        <w:rPr>
          <w:rFonts w:ascii="Arial" w:hAnsi="Arial" w:cs="Arial"/>
        </w:rPr>
      </w:pPr>
      <w:r>
        <w:rPr>
          <w:rFonts w:ascii="Arial" w:hAnsi="Arial" w:cs="Arial"/>
        </w:rPr>
        <w:tab/>
      </w:r>
      <w:r w:rsidR="00F554E3" w:rsidRPr="008E7086">
        <w:rPr>
          <w:rFonts w:ascii="Arial" w:hAnsi="Arial" w:cs="Arial"/>
        </w:rPr>
        <w:t>The GSA Rider allows PECO to recover the costs associated with:  the amounts paid to the full requirements suppliers providing the power, the spot market purchases, and the cost of any other energy</w:t>
      </w:r>
      <w:r w:rsidR="00A31725">
        <w:rPr>
          <w:rFonts w:ascii="Arial" w:hAnsi="Arial" w:cs="Arial"/>
        </w:rPr>
        <w:t xml:space="preserve"> acquired through short or long-</w:t>
      </w:r>
      <w:r w:rsidR="00F554E3" w:rsidRPr="008E7086">
        <w:rPr>
          <w:rFonts w:ascii="Arial" w:hAnsi="Arial" w:cs="Arial"/>
        </w:rPr>
        <w:t>term contracts during the period for each procurement class.  In addition to energy costs, recoverable costs include:  capacity and ancillary services, distribution line losses, cost of complying with the AEPS</w:t>
      </w:r>
      <w:r w:rsidR="00072FFB">
        <w:rPr>
          <w:rFonts w:ascii="Arial" w:hAnsi="Arial" w:cs="Arial"/>
        </w:rPr>
        <w:t xml:space="preserve"> Act</w:t>
      </w:r>
      <w:r w:rsidR="00F554E3" w:rsidRPr="008E7086">
        <w:rPr>
          <w:rFonts w:ascii="Arial" w:hAnsi="Arial" w:cs="Arial"/>
        </w:rPr>
        <w:t xml:space="preserve">, and any other </w:t>
      </w:r>
      <w:r w:rsidRPr="008E7086">
        <w:rPr>
          <w:rFonts w:ascii="Arial" w:hAnsi="Arial" w:cs="Arial"/>
        </w:rPr>
        <w:t>load servicing entity charges</w:t>
      </w:r>
      <w:r>
        <w:rPr>
          <w:rFonts w:ascii="Arial" w:hAnsi="Arial" w:cs="Arial"/>
        </w:rPr>
        <w:t xml:space="preserve"> </w:t>
      </w:r>
      <w:r w:rsidRPr="008E7086">
        <w:rPr>
          <w:rFonts w:ascii="Arial" w:hAnsi="Arial" w:cs="Arial"/>
        </w:rPr>
        <w:t>other than network transmission service</w:t>
      </w:r>
      <w:r>
        <w:rPr>
          <w:rFonts w:ascii="Arial" w:hAnsi="Arial" w:cs="Arial"/>
        </w:rPr>
        <w:t xml:space="preserve"> </w:t>
      </w:r>
      <w:r w:rsidRPr="008E7086">
        <w:rPr>
          <w:rFonts w:ascii="Arial" w:hAnsi="Arial" w:cs="Arial"/>
        </w:rPr>
        <w:t>and costs assigned under the</w:t>
      </w:r>
      <w:r w:rsidR="001C2CCA">
        <w:rPr>
          <w:rFonts w:ascii="Arial" w:hAnsi="Arial" w:cs="Arial"/>
        </w:rPr>
        <w:t xml:space="preserve"> </w:t>
      </w:r>
      <w:r w:rsidR="001C2CCA" w:rsidRPr="008E7086">
        <w:rPr>
          <w:rFonts w:ascii="Arial" w:hAnsi="Arial" w:cs="Arial"/>
        </w:rPr>
        <w:t>Regional Transmission Expansion Plan</w:t>
      </w:r>
      <w:r w:rsidR="00F41DB5">
        <w:rPr>
          <w:rFonts w:ascii="Arial" w:hAnsi="Arial" w:cs="Arial"/>
        </w:rPr>
        <w:t>, and</w:t>
      </w:r>
      <w:r w:rsidR="001C2CCA" w:rsidRPr="008E7086">
        <w:rPr>
          <w:rFonts w:ascii="Arial" w:hAnsi="Arial" w:cs="Arial"/>
        </w:rPr>
        <w:t xml:space="preserve"> administrative costs</w:t>
      </w:r>
      <w:r w:rsidR="00574232" w:rsidRPr="008E7086">
        <w:rPr>
          <w:rFonts w:ascii="Arial" w:hAnsi="Arial" w:cs="Arial"/>
        </w:rPr>
        <w:t>.</w:t>
      </w:r>
      <w:r w:rsidR="00780931">
        <w:rPr>
          <w:rFonts w:ascii="Arial" w:hAnsi="Arial" w:cs="Arial"/>
        </w:rPr>
        <w:br w:type="page"/>
      </w:r>
    </w:p>
    <w:p w:rsidR="00C57848" w:rsidRDefault="00C57848" w:rsidP="00C57848">
      <w:pPr>
        <w:rPr>
          <w:rFonts w:ascii="Arial" w:hAnsi="Arial" w:cs="Arial"/>
          <w:b/>
          <w:sz w:val="26"/>
          <w:szCs w:val="26"/>
        </w:rPr>
      </w:pPr>
      <w:r>
        <w:rPr>
          <w:rFonts w:ascii="Arial" w:hAnsi="Arial" w:cs="Arial"/>
          <w:b/>
          <w:sz w:val="26"/>
          <w:szCs w:val="26"/>
        </w:rPr>
        <w:lastRenderedPageBreak/>
        <w:t>PECO ENERGY COMPANY</w:t>
      </w:r>
    </w:p>
    <w:p w:rsidR="00C57848" w:rsidRDefault="00C57848" w:rsidP="00C57848">
      <w:pPr>
        <w:pStyle w:val="Heading1"/>
        <w:rPr>
          <w:rFonts w:ascii="Arial" w:hAnsi="Arial" w:cs="Arial"/>
          <w:sz w:val="26"/>
          <w:szCs w:val="26"/>
          <w:u w:val="none"/>
        </w:rPr>
      </w:pPr>
    </w:p>
    <w:p w:rsidR="00C57848" w:rsidRDefault="001C5C16" w:rsidP="00C57848">
      <w:pPr>
        <w:pStyle w:val="Heading1"/>
        <w:rPr>
          <w:rFonts w:ascii="Arial" w:hAnsi="Arial" w:cs="Arial"/>
          <w:sz w:val="26"/>
          <w:szCs w:val="26"/>
          <w:u w:val="none"/>
        </w:rPr>
      </w:pPr>
      <w:r>
        <w:rPr>
          <w:rFonts w:ascii="Arial" w:hAnsi="Arial" w:cs="Arial"/>
          <w:sz w:val="26"/>
          <w:szCs w:val="26"/>
          <w:u w:val="none"/>
        </w:rPr>
        <w:t>Current Period</w:t>
      </w:r>
      <w:r w:rsidR="00C57848">
        <w:rPr>
          <w:rFonts w:ascii="Arial" w:hAnsi="Arial" w:cs="Arial"/>
          <w:sz w:val="26"/>
          <w:szCs w:val="26"/>
          <w:u w:val="none"/>
        </w:rPr>
        <w:t>’s Audit Findings</w:t>
      </w:r>
    </w:p>
    <w:p w:rsidR="00C57848" w:rsidRDefault="00C57848" w:rsidP="00C57848">
      <w:pPr>
        <w:pStyle w:val="EndnoteText"/>
        <w:tabs>
          <w:tab w:val="left" w:pos="475"/>
        </w:tabs>
        <w:suppressAutoHyphens/>
        <w:jc w:val="left"/>
        <w:rPr>
          <w:rFonts w:ascii="Arial" w:hAnsi="Arial" w:cs="Arial"/>
          <w:szCs w:val="24"/>
          <w:lang w:val="en-US"/>
        </w:rPr>
      </w:pPr>
    </w:p>
    <w:p w:rsidR="00DA2F01" w:rsidRDefault="00DA2F01" w:rsidP="00C57848">
      <w:pPr>
        <w:pStyle w:val="EndnoteText"/>
        <w:tabs>
          <w:tab w:val="left" w:pos="475"/>
        </w:tabs>
        <w:suppressAutoHyphens/>
        <w:jc w:val="left"/>
        <w:rPr>
          <w:rFonts w:ascii="Arial" w:hAnsi="Arial" w:cs="Arial"/>
          <w:szCs w:val="24"/>
          <w:lang w:val="en-US"/>
        </w:rPr>
      </w:pPr>
    </w:p>
    <w:p w:rsidR="00C57848" w:rsidRPr="00C57848" w:rsidRDefault="009A749C" w:rsidP="009A749C">
      <w:pPr>
        <w:tabs>
          <w:tab w:val="left" w:pos="360"/>
        </w:tabs>
        <w:ind w:left="1260" w:hanging="1260"/>
        <w:jc w:val="both"/>
        <w:rPr>
          <w:rFonts w:ascii="Arial" w:hAnsi="Arial" w:cs="Arial"/>
          <w:b/>
          <w:szCs w:val="24"/>
        </w:rPr>
      </w:pPr>
      <w:r w:rsidRPr="0097236F">
        <w:rPr>
          <w:rFonts w:ascii="Arial" w:hAnsi="Arial" w:cs="Arial"/>
          <w:b/>
          <w:szCs w:val="24"/>
        </w:rPr>
        <w:t>Finding –</w:t>
      </w:r>
      <w:r>
        <w:rPr>
          <w:rFonts w:ascii="Arial" w:hAnsi="Arial" w:cs="Arial"/>
          <w:b/>
          <w:szCs w:val="24"/>
        </w:rPr>
        <w:t xml:space="preserve"> </w:t>
      </w:r>
      <w:r w:rsidR="00C57848" w:rsidRPr="00C57848">
        <w:rPr>
          <w:rFonts w:ascii="Arial" w:hAnsi="Arial" w:cs="Arial"/>
          <w:b/>
          <w:szCs w:val="24"/>
        </w:rPr>
        <w:t xml:space="preserve">The Company </w:t>
      </w:r>
      <w:r w:rsidR="00C57848">
        <w:rPr>
          <w:rFonts w:ascii="Arial" w:hAnsi="Arial" w:cs="Arial"/>
          <w:b/>
          <w:szCs w:val="24"/>
        </w:rPr>
        <w:t>o</w:t>
      </w:r>
      <w:r w:rsidR="00C57848" w:rsidRPr="00C57848">
        <w:rPr>
          <w:rFonts w:ascii="Arial" w:hAnsi="Arial" w:cs="Arial"/>
          <w:b/>
          <w:szCs w:val="24"/>
        </w:rPr>
        <w:t xml:space="preserve">verstated </w:t>
      </w:r>
      <w:r w:rsidR="00C57848">
        <w:rPr>
          <w:rFonts w:ascii="Arial" w:hAnsi="Arial" w:cs="Arial"/>
          <w:b/>
          <w:szCs w:val="24"/>
        </w:rPr>
        <w:t xml:space="preserve">its </w:t>
      </w:r>
      <w:r w:rsidR="00C57848" w:rsidRPr="00C57848">
        <w:rPr>
          <w:rFonts w:ascii="Arial" w:hAnsi="Arial" w:cs="Arial"/>
          <w:b/>
          <w:szCs w:val="24"/>
        </w:rPr>
        <w:t>GSA Costs By $12,</w:t>
      </w:r>
      <w:r w:rsidR="005E3C8F">
        <w:rPr>
          <w:rFonts w:ascii="Arial" w:hAnsi="Arial" w:cs="Arial"/>
          <w:b/>
          <w:szCs w:val="24"/>
        </w:rPr>
        <w:t>5</w:t>
      </w:r>
      <w:r w:rsidR="00C57848" w:rsidRPr="00C57848">
        <w:rPr>
          <w:rFonts w:ascii="Arial" w:hAnsi="Arial" w:cs="Arial"/>
          <w:b/>
          <w:szCs w:val="24"/>
        </w:rPr>
        <w:t xml:space="preserve">33 for the Twelve </w:t>
      </w:r>
      <w:r>
        <w:rPr>
          <w:rFonts w:ascii="Arial" w:hAnsi="Arial" w:cs="Arial"/>
          <w:b/>
          <w:szCs w:val="24"/>
        </w:rPr>
        <w:t xml:space="preserve">    </w:t>
      </w:r>
      <w:r w:rsidR="00C57848" w:rsidRPr="00C57848">
        <w:rPr>
          <w:rFonts w:ascii="Arial" w:hAnsi="Arial" w:cs="Arial"/>
          <w:b/>
          <w:szCs w:val="24"/>
        </w:rPr>
        <w:t>Months Ended December 31, 2013.</w:t>
      </w:r>
    </w:p>
    <w:p w:rsidR="00C57848" w:rsidRDefault="00C57848" w:rsidP="00C57848">
      <w:pPr>
        <w:pStyle w:val="EndnoteText"/>
        <w:tabs>
          <w:tab w:val="left" w:pos="-1440"/>
          <w:tab w:val="left" w:pos="-720"/>
          <w:tab w:val="left" w:pos="450"/>
          <w:tab w:val="left" w:pos="720"/>
          <w:tab w:val="left" w:pos="990"/>
          <w:tab w:val="left" w:pos="1440"/>
        </w:tabs>
        <w:suppressAutoHyphens/>
        <w:ind w:left="1050"/>
        <w:jc w:val="left"/>
        <w:rPr>
          <w:rFonts w:ascii="Arial" w:hAnsi="Arial" w:cs="Arial"/>
          <w:szCs w:val="24"/>
          <w:lang w:val="en-US"/>
        </w:rPr>
      </w:pPr>
    </w:p>
    <w:p w:rsidR="005E3C8F" w:rsidRDefault="005E3C8F" w:rsidP="00C57848">
      <w:pPr>
        <w:ind w:firstLine="720"/>
        <w:jc w:val="left"/>
        <w:rPr>
          <w:rFonts w:ascii="Arial" w:hAnsi="Arial" w:cs="Arial"/>
          <w:szCs w:val="24"/>
        </w:rPr>
      </w:pPr>
      <w:r>
        <w:rPr>
          <w:rFonts w:ascii="Arial" w:hAnsi="Arial" w:cs="Arial"/>
          <w:szCs w:val="24"/>
        </w:rPr>
        <w:t xml:space="preserve">A 2010 prior period adjustment of $12,533 was manually charged on a prorated basis to all </w:t>
      </w:r>
      <w:r w:rsidR="007842E5">
        <w:rPr>
          <w:rFonts w:ascii="Arial" w:hAnsi="Arial" w:cs="Arial"/>
          <w:szCs w:val="24"/>
        </w:rPr>
        <w:t>the GSA customer</w:t>
      </w:r>
      <w:r>
        <w:rPr>
          <w:rFonts w:ascii="Arial" w:hAnsi="Arial" w:cs="Arial"/>
          <w:szCs w:val="24"/>
        </w:rPr>
        <w:t xml:space="preserve"> classes in September 2013.  However, any costs from 2010 and prior are PECO’s responsibility and should not </w:t>
      </w:r>
      <w:r w:rsidR="00755CE3">
        <w:rPr>
          <w:rFonts w:ascii="Arial" w:hAnsi="Arial" w:cs="Arial"/>
          <w:szCs w:val="24"/>
        </w:rPr>
        <w:t xml:space="preserve">have </w:t>
      </w:r>
      <w:r>
        <w:rPr>
          <w:rFonts w:ascii="Arial" w:hAnsi="Arial" w:cs="Arial"/>
          <w:szCs w:val="24"/>
        </w:rPr>
        <w:t>flow</w:t>
      </w:r>
      <w:r w:rsidR="00755CE3">
        <w:rPr>
          <w:rFonts w:ascii="Arial" w:hAnsi="Arial" w:cs="Arial"/>
          <w:szCs w:val="24"/>
        </w:rPr>
        <w:t>ed</w:t>
      </w:r>
      <w:r>
        <w:rPr>
          <w:rFonts w:ascii="Arial" w:hAnsi="Arial" w:cs="Arial"/>
          <w:szCs w:val="24"/>
        </w:rPr>
        <w:t xml:space="preserve"> through the GSA.</w:t>
      </w:r>
    </w:p>
    <w:p w:rsidR="005E3C8F" w:rsidRDefault="005E3C8F" w:rsidP="00C57848">
      <w:pPr>
        <w:ind w:firstLine="720"/>
        <w:jc w:val="left"/>
        <w:rPr>
          <w:rFonts w:ascii="Arial" w:hAnsi="Arial" w:cs="Arial"/>
          <w:szCs w:val="24"/>
        </w:rPr>
      </w:pPr>
    </w:p>
    <w:p w:rsidR="00C57848" w:rsidRPr="003B6278" w:rsidRDefault="00C57848" w:rsidP="00C57848">
      <w:pPr>
        <w:tabs>
          <w:tab w:val="left" w:pos="360"/>
        </w:tabs>
        <w:jc w:val="both"/>
        <w:rPr>
          <w:rFonts w:ascii="Arial" w:hAnsi="Arial" w:cs="Arial"/>
          <w:b/>
          <w:szCs w:val="24"/>
        </w:rPr>
      </w:pPr>
      <w:r w:rsidRPr="003B6278">
        <w:rPr>
          <w:rFonts w:ascii="Arial" w:hAnsi="Arial" w:cs="Arial"/>
          <w:b/>
          <w:szCs w:val="24"/>
        </w:rPr>
        <w:t>Recommendation:</w:t>
      </w:r>
    </w:p>
    <w:p w:rsidR="00C57848" w:rsidRDefault="00C57848" w:rsidP="00611743">
      <w:pPr>
        <w:tabs>
          <w:tab w:val="left" w:pos="360"/>
        </w:tabs>
        <w:jc w:val="left"/>
        <w:rPr>
          <w:rFonts w:ascii="Arial" w:hAnsi="Arial" w:cs="Arial"/>
          <w:b/>
          <w:szCs w:val="24"/>
          <w:u w:val="single"/>
        </w:rPr>
      </w:pPr>
    </w:p>
    <w:p w:rsidR="00C57848" w:rsidRDefault="00611743" w:rsidP="00611743">
      <w:pPr>
        <w:tabs>
          <w:tab w:val="center" w:pos="4680"/>
        </w:tabs>
        <w:suppressAutoHyphens/>
        <w:ind w:firstLine="720"/>
        <w:jc w:val="left"/>
        <w:rPr>
          <w:rFonts w:ascii="Arial" w:hAnsi="Arial" w:cs="Arial"/>
          <w:b/>
          <w:szCs w:val="24"/>
          <w:u w:val="single"/>
        </w:rPr>
      </w:pPr>
      <w:r>
        <w:rPr>
          <w:rFonts w:ascii="Arial" w:hAnsi="Arial" w:cs="Arial"/>
          <w:szCs w:val="24"/>
        </w:rPr>
        <w:t>The Audit Staff</w:t>
      </w:r>
      <w:r w:rsidR="00C57848">
        <w:rPr>
          <w:rFonts w:ascii="Arial" w:hAnsi="Arial" w:cs="Arial"/>
          <w:szCs w:val="24"/>
        </w:rPr>
        <w:t xml:space="preserve"> recommend</w:t>
      </w:r>
      <w:r>
        <w:rPr>
          <w:rFonts w:ascii="Arial" w:hAnsi="Arial" w:cs="Arial"/>
          <w:szCs w:val="24"/>
        </w:rPr>
        <w:t>s</w:t>
      </w:r>
      <w:r w:rsidR="00C57848">
        <w:rPr>
          <w:rFonts w:ascii="Arial" w:hAnsi="Arial" w:cs="Arial"/>
          <w:szCs w:val="24"/>
        </w:rPr>
        <w:t xml:space="preserve"> that PECO </w:t>
      </w:r>
      <w:r>
        <w:rPr>
          <w:rFonts w:ascii="Arial" w:hAnsi="Arial" w:cs="Arial"/>
          <w:szCs w:val="24"/>
        </w:rPr>
        <w:t>r</w:t>
      </w:r>
      <w:r w:rsidRPr="00611743">
        <w:rPr>
          <w:rFonts w:ascii="Arial" w:hAnsi="Arial" w:cs="Arial"/>
          <w:szCs w:val="24"/>
        </w:rPr>
        <w:t xml:space="preserve">efund $12,533 to its customers by making an adjustment to the E-Factor </w:t>
      </w:r>
      <w:r>
        <w:rPr>
          <w:rFonts w:ascii="Arial" w:hAnsi="Arial" w:cs="Arial"/>
          <w:szCs w:val="24"/>
        </w:rPr>
        <w:t>component</w:t>
      </w:r>
      <w:r w:rsidRPr="00611743">
        <w:rPr>
          <w:rFonts w:ascii="Arial" w:hAnsi="Arial" w:cs="Arial"/>
          <w:szCs w:val="24"/>
        </w:rPr>
        <w:t xml:space="preserve"> in its next GSA filing.</w:t>
      </w:r>
      <w:r>
        <w:rPr>
          <w:rFonts w:ascii="Arial" w:hAnsi="Arial" w:cs="Arial"/>
          <w:szCs w:val="24"/>
        </w:rPr>
        <w:t xml:space="preserve">  In addition,</w:t>
      </w:r>
      <w:r w:rsidR="00C57848">
        <w:rPr>
          <w:rFonts w:ascii="Arial" w:hAnsi="Arial" w:cs="Arial"/>
          <w:szCs w:val="24"/>
        </w:rPr>
        <w:t xml:space="preserve"> the Company should review </w:t>
      </w:r>
      <w:r>
        <w:rPr>
          <w:rFonts w:ascii="Arial" w:hAnsi="Arial" w:cs="Arial"/>
          <w:szCs w:val="24"/>
        </w:rPr>
        <w:t>or</w:t>
      </w:r>
      <w:r w:rsidR="00C57848">
        <w:rPr>
          <w:rFonts w:ascii="Arial" w:hAnsi="Arial" w:cs="Arial"/>
          <w:szCs w:val="24"/>
        </w:rPr>
        <w:t xml:space="preserve"> implement procedures for </w:t>
      </w:r>
      <w:r w:rsidR="00AD4289">
        <w:rPr>
          <w:rFonts w:ascii="Arial" w:hAnsi="Arial" w:cs="Arial"/>
          <w:szCs w:val="24"/>
        </w:rPr>
        <w:t xml:space="preserve">determining the </w:t>
      </w:r>
      <w:r w:rsidR="00C57848">
        <w:rPr>
          <w:rFonts w:ascii="Arial" w:hAnsi="Arial" w:cs="Arial"/>
          <w:szCs w:val="24"/>
        </w:rPr>
        <w:t>applicab</w:t>
      </w:r>
      <w:r w:rsidR="00AD4289">
        <w:rPr>
          <w:rFonts w:ascii="Arial" w:hAnsi="Arial" w:cs="Arial"/>
          <w:szCs w:val="24"/>
        </w:rPr>
        <w:t>le costs</w:t>
      </w:r>
      <w:r w:rsidR="00C57848">
        <w:rPr>
          <w:rFonts w:ascii="Arial" w:hAnsi="Arial" w:cs="Arial"/>
          <w:szCs w:val="24"/>
        </w:rPr>
        <w:t xml:space="preserve"> for inclusion in </w:t>
      </w:r>
      <w:r w:rsidR="00AD4289">
        <w:rPr>
          <w:rFonts w:ascii="Arial" w:hAnsi="Arial" w:cs="Arial"/>
          <w:szCs w:val="24"/>
        </w:rPr>
        <w:t>the GSA</w:t>
      </w:r>
      <w:r w:rsidR="00C57848">
        <w:rPr>
          <w:rFonts w:ascii="Arial" w:hAnsi="Arial" w:cs="Arial"/>
          <w:szCs w:val="24"/>
        </w:rPr>
        <w:t>.</w:t>
      </w:r>
    </w:p>
    <w:p w:rsidR="00C57848" w:rsidRDefault="00C57848" w:rsidP="00C57848">
      <w:pPr>
        <w:tabs>
          <w:tab w:val="left" w:pos="360"/>
        </w:tabs>
        <w:jc w:val="both"/>
        <w:rPr>
          <w:rFonts w:ascii="Arial" w:hAnsi="Arial" w:cs="Arial"/>
          <w:b/>
          <w:szCs w:val="24"/>
          <w:u w:val="single"/>
        </w:rPr>
      </w:pPr>
    </w:p>
    <w:p w:rsidR="00C57848" w:rsidRPr="003B6278" w:rsidRDefault="00C57848" w:rsidP="00C57848">
      <w:pPr>
        <w:tabs>
          <w:tab w:val="left" w:pos="360"/>
        </w:tabs>
        <w:jc w:val="both"/>
        <w:rPr>
          <w:rFonts w:ascii="Arial" w:hAnsi="Arial" w:cs="Arial"/>
          <w:b/>
          <w:szCs w:val="24"/>
        </w:rPr>
      </w:pPr>
      <w:r w:rsidRPr="003B6278">
        <w:rPr>
          <w:rFonts w:ascii="Arial" w:hAnsi="Arial" w:cs="Arial"/>
          <w:b/>
          <w:szCs w:val="24"/>
        </w:rPr>
        <w:t>Auditor’s Note:</w:t>
      </w:r>
    </w:p>
    <w:p w:rsidR="00C57848" w:rsidRDefault="00C57848" w:rsidP="00C57848">
      <w:pPr>
        <w:tabs>
          <w:tab w:val="left" w:pos="360"/>
        </w:tabs>
        <w:jc w:val="both"/>
        <w:rPr>
          <w:rFonts w:ascii="Arial" w:hAnsi="Arial" w:cs="Arial"/>
          <w:b/>
          <w:szCs w:val="24"/>
          <w:u w:val="single"/>
        </w:rPr>
      </w:pPr>
    </w:p>
    <w:p w:rsidR="00C57848" w:rsidRDefault="00FB06D1" w:rsidP="00C57848">
      <w:pPr>
        <w:ind w:firstLine="720"/>
        <w:jc w:val="left"/>
        <w:rPr>
          <w:rFonts w:ascii="Arial" w:hAnsi="Arial" w:cs="Arial"/>
          <w:szCs w:val="24"/>
        </w:rPr>
      </w:pPr>
      <w:r>
        <w:rPr>
          <w:rFonts w:ascii="Arial" w:hAnsi="Arial" w:cs="Arial"/>
          <w:szCs w:val="24"/>
        </w:rPr>
        <w:t xml:space="preserve">The Company </w:t>
      </w:r>
      <w:r w:rsidR="00C57848">
        <w:rPr>
          <w:rFonts w:ascii="Arial" w:hAnsi="Arial" w:cs="Arial"/>
          <w:szCs w:val="24"/>
        </w:rPr>
        <w:t>agrees with the recommendation and indicated</w:t>
      </w:r>
      <w:r w:rsidR="00DF4B6F">
        <w:rPr>
          <w:rFonts w:ascii="Arial" w:hAnsi="Arial" w:cs="Arial"/>
          <w:szCs w:val="24"/>
        </w:rPr>
        <w:t xml:space="preserve"> that an adjustment of </w:t>
      </w:r>
      <w:r w:rsidR="00DF4B1A">
        <w:rPr>
          <w:rFonts w:ascii="Arial" w:hAnsi="Arial" w:cs="Arial"/>
          <w:szCs w:val="24"/>
        </w:rPr>
        <w:t>$</w:t>
      </w:r>
      <w:r w:rsidR="00DF4B6F">
        <w:rPr>
          <w:rFonts w:ascii="Arial" w:hAnsi="Arial" w:cs="Arial"/>
          <w:szCs w:val="24"/>
        </w:rPr>
        <w:t>12,5</w:t>
      </w:r>
      <w:r w:rsidR="003B6278">
        <w:rPr>
          <w:rFonts w:ascii="Arial" w:hAnsi="Arial" w:cs="Arial"/>
          <w:szCs w:val="24"/>
        </w:rPr>
        <w:t>33</w:t>
      </w:r>
      <w:r w:rsidR="00C57848">
        <w:rPr>
          <w:rFonts w:ascii="Arial" w:hAnsi="Arial" w:cs="Arial"/>
          <w:szCs w:val="24"/>
        </w:rPr>
        <w:t xml:space="preserve"> will be made to the E-Factor </w:t>
      </w:r>
      <w:r w:rsidR="00DF4B6F">
        <w:rPr>
          <w:rFonts w:ascii="Arial" w:hAnsi="Arial" w:cs="Arial"/>
          <w:szCs w:val="24"/>
        </w:rPr>
        <w:t>component</w:t>
      </w:r>
      <w:r w:rsidR="00C57848">
        <w:rPr>
          <w:rFonts w:ascii="Arial" w:hAnsi="Arial" w:cs="Arial"/>
          <w:szCs w:val="24"/>
        </w:rPr>
        <w:t xml:space="preserve"> in its GSA </w:t>
      </w:r>
      <w:r w:rsidR="006462CC">
        <w:rPr>
          <w:rFonts w:ascii="Arial" w:hAnsi="Arial" w:cs="Arial"/>
          <w:szCs w:val="24"/>
        </w:rPr>
        <w:t>f</w:t>
      </w:r>
      <w:r w:rsidR="00C57848">
        <w:rPr>
          <w:rFonts w:ascii="Arial" w:hAnsi="Arial" w:cs="Arial"/>
          <w:szCs w:val="24"/>
        </w:rPr>
        <w:t>iling</w:t>
      </w:r>
      <w:r w:rsidR="006462CC">
        <w:rPr>
          <w:rFonts w:ascii="Arial" w:hAnsi="Arial" w:cs="Arial"/>
          <w:szCs w:val="24"/>
        </w:rPr>
        <w:t xml:space="preserve"> for the rates effective September 1, 2017.</w:t>
      </w:r>
      <w:bookmarkStart w:id="0" w:name="_GoBack"/>
      <w:bookmarkEnd w:id="0"/>
    </w:p>
    <w:p w:rsidR="00780931" w:rsidRDefault="00780931">
      <w:pPr>
        <w:rPr>
          <w:rFonts w:ascii="Arial" w:hAnsi="Arial" w:cs="Arial"/>
        </w:rPr>
      </w:pPr>
      <w:r>
        <w:rPr>
          <w:rFonts w:ascii="Arial" w:hAnsi="Arial" w:cs="Arial"/>
        </w:rPr>
        <w:br w:type="page"/>
      </w:r>
    </w:p>
    <w:p w:rsidR="009B1E56" w:rsidRDefault="009B1E56" w:rsidP="009B1E56">
      <w:pPr>
        <w:rPr>
          <w:rFonts w:ascii="Arial" w:hAnsi="Arial" w:cs="Arial"/>
          <w:b/>
          <w:sz w:val="26"/>
          <w:szCs w:val="26"/>
        </w:rPr>
      </w:pPr>
      <w:r>
        <w:rPr>
          <w:rFonts w:ascii="Arial" w:hAnsi="Arial" w:cs="Arial"/>
          <w:b/>
          <w:sz w:val="26"/>
          <w:szCs w:val="26"/>
        </w:rPr>
        <w:lastRenderedPageBreak/>
        <w:t>PECO ENERGY COMPANY</w:t>
      </w:r>
    </w:p>
    <w:p w:rsidR="009B1E56" w:rsidRDefault="009B1E56" w:rsidP="00804B60">
      <w:pPr>
        <w:pStyle w:val="Heading1"/>
        <w:tabs>
          <w:tab w:val="clear" w:pos="4680"/>
          <w:tab w:val="left" w:pos="360"/>
        </w:tabs>
        <w:rPr>
          <w:rFonts w:ascii="Arial" w:hAnsi="Arial" w:cs="Arial"/>
          <w:sz w:val="26"/>
          <w:szCs w:val="26"/>
          <w:u w:val="none"/>
        </w:rPr>
      </w:pPr>
    </w:p>
    <w:p w:rsidR="005D711E" w:rsidRPr="0077381F" w:rsidRDefault="007603E9" w:rsidP="00804B60">
      <w:pPr>
        <w:pStyle w:val="Heading1"/>
        <w:tabs>
          <w:tab w:val="clear" w:pos="4680"/>
          <w:tab w:val="left" w:pos="360"/>
        </w:tabs>
        <w:rPr>
          <w:rFonts w:ascii="Arial" w:hAnsi="Arial" w:cs="Arial"/>
          <w:b w:val="0"/>
          <w:sz w:val="26"/>
          <w:szCs w:val="26"/>
          <w:u w:val="none"/>
        </w:rPr>
      </w:pPr>
      <w:r w:rsidRPr="0077381F">
        <w:rPr>
          <w:rFonts w:ascii="Arial" w:hAnsi="Arial" w:cs="Arial"/>
          <w:sz w:val="26"/>
          <w:szCs w:val="26"/>
          <w:u w:val="none"/>
        </w:rPr>
        <w:t>A</w:t>
      </w:r>
      <w:r w:rsidR="009B1E56" w:rsidRPr="0077381F">
        <w:rPr>
          <w:rFonts w:ascii="Arial" w:hAnsi="Arial" w:cs="Arial"/>
          <w:sz w:val="26"/>
          <w:szCs w:val="26"/>
          <w:u w:val="none"/>
        </w:rPr>
        <w:t>cknowledgements</w:t>
      </w:r>
    </w:p>
    <w:p w:rsidR="007603E9" w:rsidRPr="008E7086" w:rsidRDefault="007603E9" w:rsidP="00905409">
      <w:pPr>
        <w:rPr>
          <w:rFonts w:ascii="Arial" w:hAnsi="Arial" w:cs="Arial"/>
          <w:b/>
          <w:szCs w:val="24"/>
          <w:u w:val="single"/>
        </w:rPr>
      </w:pPr>
    </w:p>
    <w:p w:rsidR="003612E7" w:rsidRPr="008E7086" w:rsidRDefault="003612E7" w:rsidP="00905409">
      <w:pPr>
        <w:rPr>
          <w:rFonts w:ascii="Arial" w:hAnsi="Arial" w:cs="Arial"/>
          <w:b/>
          <w:szCs w:val="24"/>
          <w:u w:val="single"/>
        </w:rPr>
      </w:pPr>
    </w:p>
    <w:p w:rsidR="007603E9" w:rsidRPr="007A206B" w:rsidRDefault="007603E9" w:rsidP="00877798">
      <w:pPr>
        <w:jc w:val="left"/>
        <w:rPr>
          <w:rFonts w:ascii="Arial" w:hAnsi="Arial" w:cs="Arial"/>
          <w:szCs w:val="24"/>
        </w:rPr>
      </w:pPr>
      <w:r w:rsidRPr="008E7086">
        <w:rPr>
          <w:rFonts w:ascii="Arial" w:hAnsi="Arial" w:cs="Arial"/>
          <w:szCs w:val="24"/>
        </w:rPr>
        <w:tab/>
        <w:t xml:space="preserve">We wish to express our appreciation to the officers and staff of </w:t>
      </w:r>
      <w:r w:rsidR="00425941" w:rsidRPr="008E7086">
        <w:rPr>
          <w:rFonts w:ascii="Arial" w:hAnsi="Arial" w:cs="Arial"/>
          <w:szCs w:val="24"/>
        </w:rPr>
        <w:t>PECO E</w:t>
      </w:r>
      <w:r w:rsidR="00F554E3" w:rsidRPr="008E7086">
        <w:rPr>
          <w:rFonts w:ascii="Arial" w:hAnsi="Arial" w:cs="Arial"/>
          <w:szCs w:val="24"/>
        </w:rPr>
        <w:t>nergy</w:t>
      </w:r>
      <w:r w:rsidR="00425941" w:rsidRPr="008E7086">
        <w:rPr>
          <w:rFonts w:ascii="Arial" w:hAnsi="Arial" w:cs="Arial"/>
          <w:szCs w:val="24"/>
        </w:rPr>
        <w:t xml:space="preserve"> C</w:t>
      </w:r>
      <w:r w:rsidR="00F554E3" w:rsidRPr="008E7086">
        <w:rPr>
          <w:rFonts w:ascii="Arial" w:hAnsi="Arial" w:cs="Arial"/>
          <w:szCs w:val="24"/>
        </w:rPr>
        <w:t>ompany</w:t>
      </w:r>
      <w:r w:rsidRPr="008E7086">
        <w:rPr>
          <w:rFonts w:ascii="Arial" w:hAnsi="Arial" w:cs="Arial"/>
          <w:szCs w:val="24"/>
        </w:rPr>
        <w:t xml:space="preserve"> for the cooperation and assistance given</w:t>
      </w:r>
      <w:r w:rsidR="00CF7432" w:rsidRPr="008E7086">
        <w:rPr>
          <w:rFonts w:ascii="Arial" w:hAnsi="Arial" w:cs="Arial"/>
          <w:szCs w:val="24"/>
        </w:rPr>
        <w:t xml:space="preserve"> to </w:t>
      </w:r>
      <w:r w:rsidRPr="008E7086">
        <w:rPr>
          <w:rFonts w:ascii="Arial" w:hAnsi="Arial" w:cs="Arial"/>
          <w:szCs w:val="24"/>
        </w:rPr>
        <w:t xml:space="preserve">us during the course of our examination. </w:t>
      </w:r>
      <w:r w:rsidR="00C33C4F">
        <w:rPr>
          <w:rFonts w:ascii="Arial" w:hAnsi="Arial" w:cs="Arial"/>
          <w:szCs w:val="24"/>
        </w:rPr>
        <w:t xml:space="preserve"> </w:t>
      </w:r>
      <w:r w:rsidR="00C208DE" w:rsidRPr="008E7086">
        <w:rPr>
          <w:rFonts w:ascii="Arial" w:hAnsi="Arial" w:cs="Arial"/>
          <w:szCs w:val="24"/>
        </w:rPr>
        <w:t xml:space="preserve">The audit was conducted by </w:t>
      </w:r>
      <w:r w:rsidR="009944D3">
        <w:rPr>
          <w:rFonts w:ascii="Arial" w:hAnsi="Arial" w:cs="Arial"/>
          <w:szCs w:val="24"/>
        </w:rPr>
        <w:t>Gerville J</w:t>
      </w:r>
      <w:r w:rsidR="00F554E3" w:rsidRPr="008E7086">
        <w:rPr>
          <w:rFonts w:ascii="Arial" w:hAnsi="Arial" w:cs="Arial"/>
          <w:szCs w:val="24"/>
        </w:rPr>
        <w:t>.</w:t>
      </w:r>
      <w:r w:rsidR="009944D3">
        <w:rPr>
          <w:rFonts w:ascii="Arial" w:hAnsi="Arial" w:cs="Arial"/>
          <w:szCs w:val="24"/>
        </w:rPr>
        <w:t xml:space="preserve"> Brown</w:t>
      </w:r>
      <w:r w:rsidR="003B7861" w:rsidRPr="008E7086">
        <w:rPr>
          <w:rFonts w:ascii="Arial" w:hAnsi="Arial" w:cs="Arial"/>
          <w:szCs w:val="24"/>
        </w:rPr>
        <w:t>, assisted</w:t>
      </w:r>
      <w:r w:rsidR="00C208DE" w:rsidRPr="008E7086">
        <w:rPr>
          <w:rFonts w:ascii="Arial" w:hAnsi="Arial" w:cs="Arial"/>
          <w:szCs w:val="24"/>
        </w:rPr>
        <w:t xml:space="preserve"> by</w:t>
      </w:r>
      <w:r w:rsidR="003E644B" w:rsidRPr="008E7086">
        <w:rPr>
          <w:rFonts w:ascii="Arial" w:hAnsi="Arial" w:cs="Arial"/>
          <w:szCs w:val="24"/>
        </w:rPr>
        <w:t xml:space="preserve"> </w:t>
      </w:r>
      <w:r w:rsidR="00F554E3" w:rsidRPr="008E7086">
        <w:rPr>
          <w:rFonts w:ascii="Arial" w:hAnsi="Arial" w:cs="Arial"/>
          <w:szCs w:val="24"/>
        </w:rPr>
        <w:t xml:space="preserve">Katrina </w:t>
      </w:r>
      <w:r w:rsidR="00C33C4F">
        <w:rPr>
          <w:rFonts w:ascii="Arial" w:hAnsi="Arial" w:cs="Arial"/>
          <w:szCs w:val="24"/>
        </w:rPr>
        <w:t xml:space="preserve">S. </w:t>
      </w:r>
      <w:r w:rsidR="00F554E3" w:rsidRPr="008E7086">
        <w:rPr>
          <w:rFonts w:ascii="Arial" w:hAnsi="Arial" w:cs="Arial"/>
          <w:szCs w:val="24"/>
        </w:rPr>
        <w:t>Johnson</w:t>
      </w:r>
      <w:r w:rsidR="009944D3">
        <w:rPr>
          <w:rFonts w:ascii="Arial" w:hAnsi="Arial" w:cs="Arial"/>
          <w:szCs w:val="24"/>
        </w:rPr>
        <w:t xml:space="preserve"> and Darrell</w:t>
      </w:r>
      <w:r w:rsidR="00EC0E42">
        <w:rPr>
          <w:rFonts w:ascii="Arial" w:hAnsi="Arial" w:cs="Arial"/>
          <w:szCs w:val="24"/>
        </w:rPr>
        <w:t xml:space="preserve"> C.</w:t>
      </w:r>
      <w:r w:rsidR="009944D3">
        <w:rPr>
          <w:rFonts w:ascii="Arial" w:hAnsi="Arial" w:cs="Arial"/>
          <w:szCs w:val="24"/>
        </w:rPr>
        <w:t xml:space="preserve"> Baxter</w:t>
      </w:r>
      <w:r w:rsidR="00F554E3" w:rsidRPr="008E7086">
        <w:rPr>
          <w:rFonts w:ascii="Arial" w:hAnsi="Arial" w:cs="Arial"/>
          <w:szCs w:val="24"/>
        </w:rPr>
        <w:t>.</w:t>
      </w:r>
      <w:r w:rsidRPr="007A206B">
        <w:rPr>
          <w:rFonts w:ascii="Arial" w:hAnsi="Arial" w:cs="Arial"/>
          <w:szCs w:val="24"/>
        </w:rPr>
        <w:t xml:space="preserve">  </w:t>
      </w:r>
    </w:p>
    <w:p w:rsidR="00D21BB1" w:rsidRPr="007A206B" w:rsidRDefault="00D21BB1" w:rsidP="00905409">
      <w:pPr>
        <w:rPr>
          <w:rFonts w:ascii="Arial" w:hAnsi="Arial" w:cs="Arial"/>
          <w:szCs w:val="24"/>
        </w:rPr>
      </w:pPr>
    </w:p>
    <w:sectPr w:rsidR="00D21BB1" w:rsidRPr="007A206B" w:rsidSect="002A53CB">
      <w:headerReference w:type="even" r:id="rId37"/>
      <w:headerReference w:type="default" r:id="rId38"/>
      <w:footerReference w:type="default" r:id="rId39"/>
      <w:headerReference w:type="first" r:id="rId40"/>
      <w:endnotePr>
        <w:numFmt w:val="decimal"/>
      </w:endnotePr>
      <w:pgSz w:w="12240" w:h="15840" w:code="1"/>
      <w:pgMar w:top="1440" w:right="1440" w:bottom="1152" w:left="1440" w:header="0" w:footer="720" w:gutter="0"/>
      <w:pgNumType w:fmt="numberInDash" w:start="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07C" w:rsidRDefault="005F707C">
      <w:r>
        <w:separator/>
      </w:r>
    </w:p>
  </w:endnote>
  <w:endnote w:type="continuationSeparator" w:id="0">
    <w:p w:rsidR="005F707C" w:rsidRDefault="005F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7C40" w:rsidRDefault="007D7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AC" w:rsidRDefault="00F570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Footer"/>
      <w:tabs>
        <w:tab w:val="clear" w:pos="4320"/>
        <w:tab w:val="clear" w:pos="864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980203"/>
      <w:docPartObj>
        <w:docPartGallery w:val="Page Numbers (Bottom of Page)"/>
        <w:docPartUnique/>
      </w:docPartObj>
    </w:sdtPr>
    <w:sdtEndPr>
      <w:rPr>
        <w:rFonts w:ascii="Arial" w:hAnsi="Arial" w:cs="Arial"/>
        <w:noProof/>
      </w:rPr>
    </w:sdtEndPr>
    <w:sdtContent>
      <w:p w:rsidR="007D7C40" w:rsidRPr="00E46475" w:rsidRDefault="007D7C40" w:rsidP="007D7C40">
        <w:pPr>
          <w:pStyle w:val="Footer"/>
          <w:rPr>
            <w:rFonts w:ascii="Arial" w:hAnsi="Arial" w:cs="Arial"/>
          </w:rPr>
        </w:pPr>
        <w:r w:rsidRPr="00DF71F5">
          <w:rPr>
            <w:rFonts w:ascii="Arial" w:hAnsi="Arial" w:cs="Arial"/>
          </w:rPr>
          <w:fldChar w:fldCharType="begin"/>
        </w:r>
        <w:r w:rsidRPr="00DF71F5">
          <w:rPr>
            <w:rFonts w:ascii="Arial" w:hAnsi="Arial" w:cs="Arial"/>
          </w:rPr>
          <w:instrText xml:space="preserve"> PAGE   \* MERGEFORMAT </w:instrText>
        </w:r>
        <w:r w:rsidRPr="00DF71F5">
          <w:rPr>
            <w:rFonts w:ascii="Arial" w:hAnsi="Arial" w:cs="Arial"/>
          </w:rPr>
          <w:fldChar w:fldCharType="separate"/>
        </w:r>
        <w:r w:rsidR="006462CC">
          <w:rPr>
            <w:rFonts w:ascii="Arial" w:hAnsi="Arial" w:cs="Arial"/>
            <w:noProof/>
          </w:rPr>
          <w:t>- 1 -</w:t>
        </w:r>
        <w:r w:rsidRPr="00DF71F5">
          <w:rPr>
            <w:rFonts w:ascii="Arial" w:hAnsi="Arial"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584531"/>
      <w:docPartObj>
        <w:docPartGallery w:val="Page Numbers (Bottom of Page)"/>
        <w:docPartUnique/>
      </w:docPartObj>
    </w:sdtPr>
    <w:sdtEndPr>
      <w:rPr>
        <w:rFonts w:ascii="Arial" w:hAnsi="Arial" w:cs="Arial"/>
        <w:noProof/>
      </w:rPr>
    </w:sdtEndPr>
    <w:sdtContent>
      <w:p w:rsidR="007D7C40" w:rsidRPr="00A4705A" w:rsidRDefault="007D7C40" w:rsidP="00A4705A">
        <w:pPr>
          <w:pStyle w:val="Footer"/>
          <w:rPr>
            <w:rFonts w:ascii="Arial" w:hAnsi="Arial" w:cs="Arial"/>
          </w:rPr>
        </w:pPr>
        <w:r w:rsidRPr="00A4705A">
          <w:rPr>
            <w:rFonts w:ascii="Arial" w:hAnsi="Arial" w:cs="Arial"/>
          </w:rPr>
          <w:fldChar w:fldCharType="begin"/>
        </w:r>
        <w:r w:rsidRPr="00A4705A">
          <w:rPr>
            <w:rFonts w:ascii="Arial" w:hAnsi="Arial" w:cs="Arial"/>
          </w:rPr>
          <w:instrText xml:space="preserve"> PAGE   \* MERGEFORMAT </w:instrText>
        </w:r>
        <w:r w:rsidRPr="00A4705A">
          <w:rPr>
            <w:rFonts w:ascii="Arial" w:hAnsi="Arial" w:cs="Arial"/>
          </w:rPr>
          <w:fldChar w:fldCharType="separate"/>
        </w:r>
        <w:r w:rsidR="006462CC">
          <w:rPr>
            <w:rFonts w:ascii="Arial" w:hAnsi="Arial" w:cs="Arial"/>
            <w:noProof/>
          </w:rPr>
          <w:t>- 2 -</w:t>
        </w:r>
        <w:r w:rsidRPr="00A4705A">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EF" w:rsidRPr="00086802" w:rsidRDefault="00D96CEF" w:rsidP="007D7C40">
    <w:pPr>
      <w:pStyle w:val="Footer"/>
      <w:rPr>
        <w:rFonts w:ascii="Arial" w:hAnsi="Arial" w:cs="Arial"/>
      </w:rPr>
    </w:pPr>
    <w:r w:rsidRPr="00086802">
      <w:rPr>
        <w:rFonts w:ascii="Arial" w:hAnsi="Arial" w:cs="Arial"/>
      </w:rPr>
      <w:fldChar w:fldCharType="begin"/>
    </w:r>
    <w:r w:rsidRPr="00086802">
      <w:rPr>
        <w:rFonts w:ascii="Arial" w:hAnsi="Arial" w:cs="Arial"/>
      </w:rPr>
      <w:instrText xml:space="preserve"> PAGE   \* MERGEFORMAT </w:instrText>
    </w:r>
    <w:r w:rsidRPr="00086802">
      <w:rPr>
        <w:rFonts w:ascii="Arial" w:hAnsi="Arial" w:cs="Arial"/>
      </w:rPr>
      <w:fldChar w:fldCharType="separate"/>
    </w:r>
    <w:r w:rsidR="006462CC">
      <w:rPr>
        <w:rFonts w:ascii="Arial" w:hAnsi="Arial" w:cs="Arial"/>
        <w:noProof/>
      </w:rPr>
      <w:t>- 6 -</w:t>
    </w:r>
    <w:r w:rsidRPr="00086802">
      <w:rPr>
        <w:rFonts w:ascii="Arial" w:hAnsi="Arial" w:cs="Arial"/>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rsidP="007C7EC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45040"/>
      <w:docPartObj>
        <w:docPartGallery w:val="Page Numbers (Bottom of Page)"/>
        <w:docPartUnique/>
      </w:docPartObj>
    </w:sdtPr>
    <w:sdtEndPr>
      <w:rPr>
        <w:rFonts w:ascii="Arial" w:hAnsi="Arial" w:cs="Arial"/>
        <w:noProof/>
      </w:rPr>
    </w:sdtEndPr>
    <w:sdtContent>
      <w:p w:rsidR="007D7C40" w:rsidRPr="00D846A6" w:rsidRDefault="007D7C40" w:rsidP="00D846A6">
        <w:pPr>
          <w:pStyle w:val="Footer"/>
          <w:rPr>
            <w:rFonts w:ascii="Arial" w:hAnsi="Arial" w:cs="Arial"/>
          </w:rPr>
        </w:pPr>
        <w:r w:rsidRPr="00572C4C">
          <w:rPr>
            <w:rFonts w:ascii="Arial" w:hAnsi="Arial" w:cs="Arial"/>
          </w:rPr>
          <w:fldChar w:fldCharType="begin"/>
        </w:r>
        <w:r w:rsidRPr="00572C4C">
          <w:rPr>
            <w:rFonts w:ascii="Arial" w:hAnsi="Arial" w:cs="Arial"/>
          </w:rPr>
          <w:instrText xml:space="preserve"> PAGE   \* MERGEFORMAT </w:instrText>
        </w:r>
        <w:r w:rsidRPr="00572C4C">
          <w:rPr>
            <w:rFonts w:ascii="Arial" w:hAnsi="Arial" w:cs="Arial"/>
          </w:rPr>
          <w:fldChar w:fldCharType="separate"/>
        </w:r>
        <w:r w:rsidR="006462CC">
          <w:rPr>
            <w:rFonts w:ascii="Arial" w:hAnsi="Arial" w:cs="Arial"/>
            <w:noProof/>
          </w:rPr>
          <w:t>- 8 -</w:t>
        </w:r>
        <w:r w:rsidRPr="00572C4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07C" w:rsidRDefault="005F707C">
      <w:r>
        <w:separator/>
      </w:r>
    </w:p>
  </w:footnote>
  <w:footnote w:type="continuationSeparator" w:id="0">
    <w:p w:rsidR="005F707C" w:rsidRDefault="005F7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AC" w:rsidRDefault="00F570A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EF" w:rsidRDefault="00D96CE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EF" w:rsidRDefault="00D96CE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EF" w:rsidRDefault="00D96CE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AC" w:rsidRDefault="00F570AC">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AC" w:rsidRDefault="00F570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40" w:rsidRDefault="007D7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13C82"/>
    <w:multiLevelType w:val="hybridMultilevel"/>
    <w:tmpl w:val="DB56208C"/>
    <w:lvl w:ilvl="0" w:tplc="C92E73D2">
      <w:numFmt w:val="bullet"/>
      <w:lvlText w:val="•"/>
      <w:lvlJc w:val="left"/>
      <w:pPr>
        <w:ind w:left="720" w:hanging="390"/>
      </w:pPr>
      <w:rPr>
        <w:rFonts w:ascii="Arial" w:eastAsia="Times New Roman"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08636445"/>
    <w:multiLevelType w:val="hybridMultilevel"/>
    <w:tmpl w:val="4C560E7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nsid w:val="12FC74CF"/>
    <w:multiLevelType w:val="hybridMultilevel"/>
    <w:tmpl w:val="E5EC32CA"/>
    <w:lvl w:ilvl="0" w:tplc="26C0E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6">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7">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58092178"/>
    <w:multiLevelType w:val="hybridMultilevel"/>
    <w:tmpl w:val="4EC6518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nsid w:val="5A6238D9"/>
    <w:multiLevelType w:val="hybridMultilevel"/>
    <w:tmpl w:val="AC189328"/>
    <w:lvl w:ilvl="0" w:tplc="AFE67E38">
      <w:start w:val="3"/>
      <w:numFmt w:val="bullet"/>
      <w:lvlText w:val="•"/>
      <w:lvlJc w:val="left"/>
      <w:pPr>
        <w:ind w:left="690" w:hanging="360"/>
      </w:pPr>
      <w:rPr>
        <w:rFonts w:ascii="Times New Roman" w:eastAsia="Times New Roman" w:hAnsi="Times New Roman" w:cs="Times New Roman" w:hint="default"/>
        <w:sz w:val="26"/>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0">
    <w:nsid w:val="63DA6CED"/>
    <w:multiLevelType w:val="hybridMultilevel"/>
    <w:tmpl w:val="6BE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5"/>
  </w:num>
  <w:num w:numId="6">
    <w:abstractNumId w:val="4"/>
  </w:num>
  <w:num w:numId="7">
    <w:abstractNumId w:val="10"/>
  </w:num>
  <w:num w:numId="8">
    <w:abstractNumId w:val="9"/>
  </w:num>
  <w:num w:numId="9">
    <w:abstractNumId w:val="8"/>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13FF"/>
    <w:rsid w:val="000014E9"/>
    <w:rsid w:val="00002E7F"/>
    <w:rsid w:val="000058DD"/>
    <w:rsid w:val="0000657F"/>
    <w:rsid w:val="000065D6"/>
    <w:rsid w:val="000068CE"/>
    <w:rsid w:val="000069D5"/>
    <w:rsid w:val="00006F7C"/>
    <w:rsid w:val="00011623"/>
    <w:rsid w:val="00011810"/>
    <w:rsid w:val="00013201"/>
    <w:rsid w:val="00015CB1"/>
    <w:rsid w:val="000162AB"/>
    <w:rsid w:val="000166C7"/>
    <w:rsid w:val="000170BD"/>
    <w:rsid w:val="00020E5C"/>
    <w:rsid w:val="00021880"/>
    <w:rsid w:val="00021C53"/>
    <w:rsid w:val="00023F02"/>
    <w:rsid w:val="000244C4"/>
    <w:rsid w:val="00025F35"/>
    <w:rsid w:val="0002626A"/>
    <w:rsid w:val="00027AC3"/>
    <w:rsid w:val="00030423"/>
    <w:rsid w:val="0003068B"/>
    <w:rsid w:val="00031BD5"/>
    <w:rsid w:val="00031D01"/>
    <w:rsid w:val="0003354D"/>
    <w:rsid w:val="00033937"/>
    <w:rsid w:val="00033ECB"/>
    <w:rsid w:val="00036C2A"/>
    <w:rsid w:val="00036D9D"/>
    <w:rsid w:val="00037B1E"/>
    <w:rsid w:val="00037B79"/>
    <w:rsid w:val="000419CC"/>
    <w:rsid w:val="00043C83"/>
    <w:rsid w:val="000442F2"/>
    <w:rsid w:val="00044F2B"/>
    <w:rsid w:val="000453E2"/>
    <w:rsid w:val="0004663E"/>
    <w:rsid w:val="00046640"/>
    <w:rsid w:val="00047EF9"/>
    <w:rsid w:val="000502A5"/>
    <w:rsid w:val="000505BE"/>
    <w:rsid w:val="00050708"/>
    <w:rsid w:val="00052156"/>
    <w:rsid w:val="00052968"/>
    <w:rsid w:val="00053070"/>
    <w:rsid w:val="00054EF6"/>
    <w:rsid w:val="000577C0"/>
    <w:rsid w:val="00060885"/>
    <w:rsid w:val="00061843"/>
    <w:rsid w:val="00064A95"/>
    <w:rsid w:val="00066F74"/>
    <w:rsid w:val="00070064"/>
    <w:rsid w:val="00072FFB"/>
    <w:rsid w:val="00080C53"/>
    <w:rsid w:val="00080FED"/>
    <w:rsid w:val="000827D8"/>
    <w:rsid w:val="00082BDC"/>
    <w:rsid w:val="000830F4"/>
    <w:rsid w:val="000843E7"/>
    <w:rsid w:val="000862EE"/>
    <w:rsid w:val="00086D47"/>
    <w:rsid w:val="000925FB"/>
    <w:rsid w:val="000935FF"/>
    <w:rsid w:val="00095A87"/>
    <w:rsid w:val="00097B77"/>
    <w:rsid w:val="000A09E9"/>
    <w:rsid w:val="000A2605"/>
    <w:rsid w:val="000A289F"/>
    <w:rsid w:val="000A3382"/>
    <w:rsid w:val="000A47F7"/>
    <w:rsid w:val="000A6103"/>
    <w:rsid w:val="000A6BFD"/>
    <w:rsid w:val="000B0498"/>
    <w:rsid w:val="000B4DEB"/>
    <w:rsid w:val="000B5397"/>
    <w:rsid w:val="000B76B7"/>
    <w:rsid w:val="000B7AA4"/>
    <w:rsid w:val="000C0673"/>
    <w:rsid w:val="000C1019"/>
    <w:rsid w:val="000C7C23"/>
    <w:rsid w:val="000D3162"/>
    <w:rsid w:val="000D36EC"/>
    <w:rsid w:val="000D389D"/>
    <w:rsid w:val="000D4E11"/>
    <w:rsid w:val="000D7ED0"/>
    <w:rsid w:val="000E1CF4"/>
    <w:rsid w:val="000E3141"/>
    <w:rsid w:val="000E3E48"/>
    <w:rsid w:val="000E4B0D"/>
    <w:rsid w:val="000E6571"/>
    <w:rsid w:val="000E7FF1"/>
    <w:rsid w:val="000F0D7B"/>
    <w:rsid w:val="000F11FD"/>
    <w:rsid w:val="000F237D"/>
    <w:rsid w:val="000F2F3B"/>
    <w:rsid w:val="000F3014"/>
    <w:rsid w:val="000F3DB6"/>
    <w:rsid w:val="000F6CC8"/>
    <w:rsid w:val="00101D15"/>
    <w:rsid w:val="001032C8"/>
    <w:rsid w:val="00103CB4"/>
    <w:rsid w:val="0010499E"/>
    <w:rsid w:val="001066B1"/>
    <w:rsid w:val="001067A5"/>
    <w:rsid w:val="00106ADD"/>
    <w:rsid w:val="00107CAA"/>
    <w:rsid w:val="0011118C"/>
    <w:rsid w:val="00111C94"/>
    <w:rsid w:val="00114448"/>
    <w:rsid w:val="00116AA0"/>
    <w:rsid w:val="001175DC"/>
    <w:rsid w:val="0012026E"/>
    <w:rsid w:val="0012275F"/>
    <w:rsid w:val="00123DA5"/>
    <w:rsid w:val="00124112"/>
    <w:rsid w:val="00127364"/>
    <w:rsid w:val="0012782C"/>
    <w:rsid w:val="0013081F"/>
    <w:rsid w:val="00131E66"/>
    <w:rsid w:val="00132861"/>
    <w:rsid w:val="00133126"/>
    <w:rsid w:val="00133E19"/>
    <w:rsid w:val="00135C0E"/>
    <w:rsid w:val="00135EC4"/>
    <w:rsid w:val="00137C3B"/>
    <w:rsid w:val="00137DB9"/>
    <w:rsid w:val="001416EC"/>
    <w:rsid w:val="001428D7"/>
    <w:rsid w:val="00143115"/>
    <w:rsid w:val="0014334C"/>
    <w:rsid w:val="0014482D"/>
    <w:rsid w:val="00144BDA"/>
    <w:rsid w:val="0014537E"/>
    <w:rsid w:val="00150332"/>
    <w:rsid w:val="00150CFD"/>
    <w:rsid w:val="001528D4"/>
    <w:rsid w:val="001533E0"/>
    <w:rsid w:val="00154DD2"/>
    <w:rsid w:val="00156913"/>
    <w:rsid w:val="001572A6"/>
    <w:rsid w:val="00157380"/>
    <w:rsid w:val="00157397"/>
    <w:rsid w:val="00157BF1"/>
    <w:rsid w:val="0016094B"/>
    <w:rsid w:val="00160FFA"/>
    <w:rsid w:val="00161B74"/>
    <w:rsid w:val="001635FF"/>
    <w:rsid w:val="0016361B"/>
    <w:rsid w:val="00164754"/>
    <w:rsid w:val="001657F8"/>
    <w:rsid w:val="0016639F"/>
    <w:rsid w:val="0016787E"/>
    <w:rsid w:val="00170113"/>
    <w:rsid w:val="001704DD"/>
    <w:rsid w:val="0017305E"/>
    <w:rsid w:val="00173A1E"/>
    <w:rsid w:val="00173D64"/>
    <w:rsid w:val="00173F1D"/>
    <w:rsid w:val="0017608D"/>
    <w:rsid w:val="00177533"/>
    <w:rsid w:val="00180395"/>
    <w:rsid w:val="00180AED"/>
    <w:rsid w:val="0018149E"/>
    <w:rsid w:val="001814C1"/>
    <w:rsid w:val="0018224C"/>
    <w:rsid w:val="001822BA"/>
    <w:rsid w:val="001824F3"/>
    <w:rsid w:val="00186FF1"/>
    <w:rsid w:val="0018725D"/>
    <w:rsid w:val="001877B4"/>
    <w:rsid w:val="0019031C"/>
    <w:rsid w:val="0019208C"/>
    <w:rsid w:val="00192144"/>
    <w:rsid w:val="00193D8E"/>
    <w:rsid w:val="001951DF"/>
    <w:rsid w:val="001A032C"/>
    <w:rsid w:val="001A1B0A"/>
    <w:rsid w:val="001A2AE7"/>
    <w:rsid w:val="001A3EEE"/>
    <w:rsid w:val="001B0888"/>
    <w:rsid w:val="001B3937"/>
    <w:rsid w:val="001B42BE"/>
    <w:rsid w:val="001B5DD4"/>
    <w:rsid w:val="001B78F9"/>
    <w:rsid w:val="001B7B5B"/>
    <w:rsid w:val="001C1B3F"/>
    <w:rsid w:val="001C26EA"/>
    <w:rsid w:val="001C2CCA"/>
    <w:rsid w:val="001C347D"/>
    <w:rsid w:val="001C37D9"/>
    <w:rsid w:val="001C3AF7"/>
    <w:rsid w:val="001C5737"/>
    <w:rsid w:val="001C5C16"/>
    <w:rsid w:val="001C70EA"/>
    <w:rsid w:val="001C7D51"/>
    <w:rsid w:val="001D1537"/>
    <w:rsid w:val="001D24EC"/>
    <w:rsid w:val="001D309F"/>
    <w:rsid w:val="001D3A2A"/>
    <w:rsid w:val="001D52A4"/>
    <w:rsid w:val="001D60BF"/>
    <w:rsid w:val="001D6360"/>
    <w:rsid w:val="001D6F30"/>
    <w:rsid w:val="001D7FF5"/>
    <w:rsid w:val="001E0223"/>
    <w:rsid w:val="001E14C1"/>
    <w:rsid w:val="001E1879"/>
    <w:rsid w:val="001E3A8D"/>
    <w:rsid w:val="001F176D"/>
    <w:rsid w:val="001F1FC1"/>
    <w:rsid w:val="001F28EA"/>
    <w:rsid w:val="001F3F08"/>
    <w:rsid w:val="001F5E83"/>
    <w:rsid w:val="001F623B"/>
    <w:rsid w:val="001F781E"/>
    <w:rsid w:val="0020056D"/>
    <w:rsid w:val="002065CF"/>
    <w:rsid w:val="00212D01"/>
    <w:rsid w:val="00213F93"/>
    <w:rsid w:val="002162F1"/>
    <w:rsid w:val="00216F99"/>
    <w:rsid w:val="002203F7"/>
    <w:rsid w:val="00220474"/>
    <w:rsid w:val="0022155A"/>
    <w:rsid w:val="0022768A"/>
    <w:rsid w:val="00230BB1"/>
    <w:rsid w:val="002326C1"/>
    <w:rsid w:val="00233161"/>
    <w:rsid w:val="0023522A"/>
    <w:rsid w:val="00235BB8"/>
    <w:rsid w:val="002377F4"/>
    <w:rsid w:val="00240719"/>
    <w:rsid w:val="002429F0"/>
    <w:rsid w:val="00244CCF"/>
    <w:rsid w:val="0024555E"/>
    <w:rsid w:val="00245AE1"/>
    <w:rsid w:val="00246B54"/>
    <w:rsid w:val="00250177"/>
    <w:rsid w:val="002506E9"/>
    <w:rsid w:val="0025251F"/>
    <w:rsid w:val="0025257D"/>
    <w:rsid w:val="00252B00"/>
    <w:rsid w:val="00252B74"/>
    <w:rsid w:val="002533F2"/>
    <w:rsid w:val="00253B13"/>
    <w:rsid w:val="0025512F"/>
    <w:rsid w:val="0025778E"/>
    <w:rsid w:val="00257C99"/>
    <w:rsid w:val="00260F97"/>
    <w:rsid w:val="00261451"/>
    <w:rsid w:val="002638CA"/>
    <w:rsid w:val="002675D2"/>
    <w:rsid w:val="002720E7"/>
    <w:rsid w:val="00273213"/>
    <w:rsid w:val="00273FE8"/>
    <w:rsid w:val="00275DC6"/>
    <w:rsid w:val="002762B5"/>
    <w:rsid w:val="002763DC"/>
    <w:rsid w:val="002802CB"/>
    <w:rsid w:val="002831D2"/>
    <w:rsid w:val="00285B4A"/>
    <w:rsid w:val="00290A1D"/>
    <w:rsid w:val="002910CA"/>
    <w:rsid w:val="00291895"/>
    <w:rsid w:val="00291BD5"/>
    <w:rsid w:val="002922D7"/>
    <w:rsid w:val="00292717"/>
    <w:rsid w:val="0029399D"/>
    <w:rsid w:val="00293AA5"/>
    <w:rsid w:val="0029497C"/>
    <w:rsid w:val="00294A48"/>
    <w:rsid w:val="00295927"/>
    <w:rsid w:val="00297D96"/>
    <w:rsid w:val="002A0000"/>
    <w:rsid w:val="002A3082"/>
    <w:rsid w:val="002A31D3"/>
    <w:rsid w:val="002A3361"/>
    <w:rsid w:val="002A34FC"/>
    <w:rsid w:val="002A38F4"/>
    <w:rsid w:val="002A476C"/>
    <w:rsid w:val="002A53CB"/>
    <w:rsid w:val="002B2DD6"/>
    <w:rsid w:val="002B3D52"/>
    <w:rsid w:val="002B5E39"/>
    <w:rsid w:val="002B64D6"/>
    <w:rsid w:val="002B6A49"/>
    <w:rsid w:val="002B751E"/>
    <w:rsid w:val="002C0E16"/>
    <w:rsid w:val="002C0E2D"/>
    <w:rsid w:val="002C17DE"/>
    <w:rsid w:val="002C1FC4"/>
    <w:rsid w:val="002C554A"/>
    <w:rsid w:val="002C6C45"/>
    <w:rsid w:val="002C6FB7"/>
    <w:rsid w:val="002D08B0"/>
    <w:rsid w:val="002D0900"/>
    <w:rsid w:val="002D15BF"/>
    <w:rsid w:val="002D2118"/>
    <w:rsid w:val="002D27C7"/>
    <w:rsid w:val="002D3DD6"/>
    <w:rsid w:val="002D42ED"/>
    <w:rsid w:val="002D7CEA"/>
    <w:rsid w:val="002E0448"/>
    <w:rsid w:val="002E0F06"/>
    <w:rsid w:val="002E2D50"/>
    <w:rsid w:val="002E32E8"/>
    <w:rsid w:val="002E3C0F"/>
    <w:rsid w:val="002E4072"/>
    <w:rsid w:val="002E4AFD"/>
    <w:rsid w:val="002E55D4"/>
    <w:rsid w:val="002E594C"/>
    <w:rsid w:val="002E6D73"/>
    <w:rsid w:val="002F3410"/>
    <w:rsid w:val="002F3A6C"/>
    <w:rsid w:val="002F4079"/>
    <w:rsid w:val="002F42DE"/>
    <w:rsid w:val="002F5D20"/>
    <w:rsid w:val="002F5E97"/>
    <w:rsid w:val="002F639C"/>
    <w:rsid w:val="002F7968"/>
    <w:rsid w:val="002F7AC1"/>
    <w:rsid w:val="0030137D"/>
    <w:rsid w:val="003016FA"/>
    <w:rsid w:val="00301D0E"/>
    <w:rsid w:val="003024B9"/>
    <w:rsid w:val="00304C93"/>
    <w:rsid w:val="00307929"/>
    <w:rsid w:val="0031279F"/>
    <w:rsid w:val="0031351C"/>
    <w:rsid w:val="0031644D"/>
    <w:rsid w:val="003167FA"/>
    <w:rsid w:val="00316BC6"/>
    <w:rsid w:val="00316D8B"/>
    <w:rsid w:val="0032010E"/>
    <w:rsid w:val="003203FA"/>
    <w:rsid w:val="0032147C"/>
    <w:rsid w:val="00324335"/>
    <w:rsid w:val="00324407"/>
    <w:rsid w:val="00325922"/>
    <w:rsid w:val="003262ED"/>
    <w:rsid w:val="003276AC"/>
    <w:rsid w:val="003324CF"/>
    <w:rsid w:val="003344D7"/>
    <w:rsid w:val="00342746"/>
    <w:rsid w:val="003428DC"/>
    <w:rsid w:val="003430EA"/>
    <w:rsid w:val="0034358F"/>
    <w:rsid w:val="00343A1D"/>
    <w:rsid w:val="00344493"/>
    <w:rsid w:val="00344C6D"/>
    <w:rsid w:val="00345D80"/>
    <w:rsid w:val="0035017F"/>
    <w:rsid w:val="003505DA"/>
    <w:rsid w:val="00350731"/>
    <w:rsid w:val="0035218A"/>
    <w:rsid w:val="003552E3"/>
    <w:rsid w:val="00355B6F"/>
    <w:rsid w:val="00356922"/>
    <w:rsid w:val="00356D1C"/>
    <w:rsid w:val="00357222"/>
    <w:rsid w:val="003608F3"/>
    <w:rsid w:val="003612E7"/>
    <w:rsid w:val="00361CAF"/>
    <w:rsid w:val="00361DBA"/>
    <w:rsid w:val="00362F3F"/>
    <w:rsid w:val="00363254"/>
    <w:rsid w:val="00363B86"/>
    <w:rsid w:val="00363CAE"/>
    <w:rsid w:val="00365A2D"/>
    <w:rsid w:val="00365D36"/>
    <w:rsid w:val="00366497"/>
    <w:rsid w:val="00367C8F"/>
    <w:rsid w:val="003731A5"/>
    <w:rsid w:val="00374716"/>
    <w:rsid w:val="00375D18"/>
    <w:rsid w:val="003802FE"/>
    <w:rsid w:val="003807D6"/>
    <w:rsid w:val="00383E58"/>
    <w:rsid w:val="0038505A"/>
    <w:rsid w:val="00386B86"/>
    <w:rsid w:val="00387064"/>
    <w:rsid w:val="0039358B"/>
    <w:rsid w:val="00393F19"/>
    <w:rsid w:val="003A3E06"/>
    <w:rsid w:val="003A4AC6"/>
    <w:rsid w:val="003A4AFE"/>
    <w:rsid w:val="003A576B"/>
    <w:rsid w:val="003A683C"/>
    <w:rsid w:val="003A6BC0"/>
    <w:rsid w:val="003A6C20"/>
    <w:rsid w:val="003B0FA3"/>
    <w:rsid w:val="003B303A"/>
    <w:rsid w:val="003B3611"/>
    <w:rsid w:val="003B4193"/>
    <w:rsid w:val="003B443E"/>
    <w:rsid w:val="003B6278"/>
    <w:rsid w:val="003B65DA"/>
    <w:rsid w:val="003B7861"/>
    <w:rsid w:val="003C3017"/>
    <w:rsid w:val="003C3DC4"/>
    <w:rsid w:val="003C52E3"/>
    <w:rsid w:val="003D2564"/>
    <w:rsid w:val="003D6279"/>
    <w:rsid w:val="003D633B"/>
    <w:rsid w:val="003D6418"/>
    <w:rsid w:val="003D6478"/>
    <w:rsid w:val="003D667A"/>
    <w:rsid w:val="003D6F58"/>
    <w:rsid w:val="003D7154"/>
    <w:rsid w:val="003E0515"/>
    <w:rsid w:val="003E2493"/>
    <w:rsid w:val="003E2E29"/>
    <w:rsid w:val="003E33E2"/>
    <w:rsid w:val="003E391F"/>
    <w:rsid w:val="003E5960"/>
    <w:rsid w:val="003E644B"/>
    <w:rsid w:val="003F26F8"/>
    <w:rsid w:val="003F35E2"/>
    <w:rsid w:val="003F35F8"/>
    <w:rsid w:val="003F533B"/>
    <w:rsid w:val="003F5D4D"/>
    <w:rsid w:val="003F669D"/>
    <w:rsid w:val="003F6795"/>
    <w:rsid w:val="003F746B"/>
    <w:rsid w:val="0040154A"/>
    <w:rsid w:val="00406758"/>
    <w:rsid w:val="00406C32"/>
    <w:rsid w:val="00410396"/>
    <w:rsid w:val="00410BE2"/>
    <w:rsid w:val="00411C7F"/>
    <w:rsid w:val="00414C3A"/>
    <w:rsid w:val="004166DD"/>
    <w:rsid w:val="00417533"/>
    <w:rsid w:val="00420F93"/>
    <w:rsid w:val="0042256B"/>
    <w:rsid w:val="00423EEA"/>
    <w:rsid w:val="004245EE"/>
    <w:rsid w:val="004250E6"/>
    <w:rsid w:val="0042526A"/>
    <w:rsid w:val="00425941"/>
    <w:rsid w:val="004318ED"/>
    <w:rsid w:val="00432453"/>
    <w:rsid w:val="00432B2F"/>
    <w:rsid w:val="00436C21"/>
    <w:rsid w:val="004377B1"/>
    <w:rsid w:val="00437890"/>
    <w:rsid w:val="00440563"/>
    <w:rsid w:val="00441128"/>
    <w:rsid w:val="00442806"/>
    <w:rsid w:val="00442ED0"/>
    <w:rsid w:val="00445300"/>
    <w:rsid w:val="00445F81"/>
    <w:rsid w:val="004470AA"/>
    <w:rsid w:val="00450495"/>
    <w:rsid w:val="00450B25"/>
    <w:rsid w:val="00450E99"/>
    <w:rsid w:val="00455785"/>
    <w:rsid w:val="00460158"/>
    <w:rsid w:val="004602B7"/>
    <w:rsid w:val="0046263E"/>
    <w:rsid w:val="00466447"/>
    <w:rsid w:val="00470D7A"/>
    <w:rsid w:val="00471799"/>
    <w:rsid w:val="00472039"/>
    <w:rsid w:val="00472C70"/>
    <w:rsid w:val="0047509D"/>
    <w:rsid w:val="004755F0"/>
    <w:rsid w:val="00480FF5"/>
    <w:rsid w:val="0048119C"/>
    <w:rsid w:val="00484357"/>
    <w:rsid w:val="00484654"/>
    <w:rsid w:val="0048492A"/>
    <w:rsid w:val="004857D7"/>
    <w:rsid w:val="004858E3"/>
    <w:rsid w:val="0048643E"/>
    <w:rsid w:val="00486C56"/>
    <w:rsid w:val="00487733"/>
    <w:rsid w:val="00490825"/>
    <w:rsid w:val="004927B0"/>
    <w:rsid w:val="00492AC9"/>
    <w:rsid w:val="00492B32"/>
    <w:rsid w:val="00495071"/>
    <w:rsid w:val="004A0144"/>
    <w:rsid w:val="004A0472"/>
    <w:rsid w:val="004A139F"/>
    <w:rsid w:val="004A2035"/>
    <w:rsid w:val="004A3A3E"/>
    <w:rsid w:val="004A4D15"/>
    <w:rsid w:val="004B0140"/>
    <w:rsid w:val="004B1163"/>
    <w:rsid w:val="004B1A15"/>
    <w:rsid w:val="004B3085"/>
    <w:rsid w:val="004B31BE"/>
    <w:rsid w:val="004B3F28"/>
    <w:rsid w:val="004B4861"/>
    <w:rsid w:val="004C17E2"/>
    <w:rsid w:val="004C20C2"/>
    <w:rsid w:val="004C298F"/>
    <w:rsid w:val="004C386C"/>
    <w:rsid w:val="004C4015"/>
    <w:rsid w:val="004C4B10"/>
    <w:rsid w:val="004C7E03"/>
    <w:rsid w:val="004D1051"/>
    <w:rsid w:val="004D1784"/>
    <w:rsid w:val="004D239C"/>
    <w:rsid w:val="004D266B"/>
    <w:rsid w:val="004D2740"/>
    <w:rsid w:val="004D28EA"/>
    <w:rsid w:val="004E07DC"/>
    <w:rsid w:val="004E0E15"/>
    <w:rsid w:val="004E2BC7"/>
    <w:rsid w:val="004E6B95"/>
    <w:rsid w:val="004F0882"/>
    <w:rsid w:val="004F0B95"/>
    <w:rsid w:val="004F19EC"/>
    <w:rsid w:val="004F263B"/>
    <w:rsid w:val="004F79E7"/>
    <w:rsid w:val="00500349"/>
    <w:rsid w:val="005005F5"/>
    <w:rsid w:val="00500E36"/>
    <w:rsid w:val="00501A6C"/>
    <w:rsid w:val="00501E12"/>
    <w:rsid w:val="00502FE2"/>
    <w:rsid w:val="005039E5"/>
    <w:rsid w:val="00504988"/>
    <w:rsid w:val="00505BD2"/>
    <w:rsid w:val="00513D2B"/>
    <w:rsid w:val="005146DA"/>
    <w:rsid w:val="00515CD6"/>
    <w:rsid w:val="005173A0"/>
    <w:rsid w:val="005207FB"/>
    <w:rsid w:val="00520E00"/>
    <w:rsid w:val="005225DA"/>
    <w:rsid w:val="005234BE"/>
    <w:rsid w:val="005258AF"/>
    <w:rsid w:val="00525BF4"/>
    <w:rsid w:val="00530748"/>
    <w:rsid w:val="00531203"/>
    <w:rsid w:val="00531263"/>
    <w:rsid w:val="00532849"/>
    <w:rsid w:val="00534870"/>
    <w:rsid w:val="00535AD0"/>
    <w:rsid w:val="00535ADD"/>
    <w:rsid w:val="00536279"/>
    <w:rsid w:val="005374DD"/>
    <w:rsid w:val="00537A1F"/>
    <w:rsid w:val="00537F15"/>
    <w:rsid w:val="005407AE"/>
    <w:rsid w:val="00540EA9"/>
    <w:rsid w:val="00542143"/>
    <w:rsid w:val="005421EE"/>
    <w:rsid w:val="005447BA"/>
    <w:rsid w:val="00544883"/>
    <w:rsid w:val="0054539C"/>
    <w:rsid w:val="00545F3E"/>
    <w:rsid w:val="00546A14"/>
    <w:rsid w:val="00552A73"/>
    <w:rsid w:val="00552C84"/>
    <w:rsid w:val="00554B9B"/>
    <w:rsid w:val="00555001"/>
    <w:rsid w:val="00555F8F"/>
    <w:rsid w:val="005578AA"/>
    <w:rsid w:val="00561001"/>
    <w:rsid w:val="005614D4"/>
    <w:rsid w:val="00564043"/>
    <w:rsid w:val="00565032"/>
    <w:rsid w:val="00566C8A"/>
    <w:rsid w:val="0056727E"/>
    <w:rsid w:val="00567A39"/>
    <w:rsid w:val="00570381"/>
    <w:rsid w:val="00572C4C"/>
    <w:rsid w:val="00574232"/>
    <w:rsid w:val="00574F4B"/>
    <w:rsid w:val="00576E48"/>
    <w:rsid w:val="0057703F"/>
    <w:rsid w:val="00580574"/>
    <w:rsid w:val="00580B56"/>
    <w:rsid w:val="005818DF"/>
    <w:rsid w:val="0058323E"/>
    <w:rsid w:val="00583FDA"/>
    <w:rsid w:val="00585989"/>
    <w:rsid w:val="005871D3"/>
    <w:rsid w:val="0058722F"/>
    <w:rsid w:val="00590BA2"/>
    <w:rsid w:val="00590DC8"/>
    <w:rsid w:val="00591EE9"/>
    <w:rsid w:val="0059214F"/>
    <w:rsid w:val="00592663"/>
    <w:rsid w:val="00592F8D"/>
    <w:rsid w:val="00596D2E"/>
    <w:rsid w:val="00597B73"/>
    <w:rsid w:val="005A1156"/>
    <w:rsid w:val="005A15AA"/>
    <w:rsid w:val="005A1809"/>
    <w:rsid w:val="005A1973"/>
    <w:rsid w:val="005A3481"/>
    <w:rsid w:val="005A6827"/>
    <w:rsid w:val="005B113F"/>
    <w:rsid w:val="005B158C"/>
    <w:rsid w:val="005B195E"/>
    <w:rsid w:val="005B2B8B"/>
    <w:rsid w:val="005B3483"/>
    <w:rsid w:val="005B35E4"/>
    <w:rsid w:val="005B43E1"/>
    <w:rsid w:val="005B54A8"/>
    <w:rsid w:val="005B64A1"/>
    <w:rsid w:val="005C0C8F"/>
    <w:rsid w:val="005C0FBD"/>
    <w:rsid w:val="005C1AEC"/>
    <w:rsid w:val="005C2521"/>
    <w:rsid w:val="005C33C4"/>
    <w:rsid w:val="005C34C8"/>
    <w:rsid w:val="005C3A56"/>
    <w:rsid w:val="005C5480"/>
    <w:rsid w:val="005C5771"/>
    <w:rsid w:val="005C6620"/>
    <w:rsid w:val="005C66F7"/>
    <w:rsid w:val="005C6AF7"/>
    <w:rsid w:val="005C748D"/>
    <w:rsid w:val="005D01B9"/>
    <w:rsid w:val="005D03F3"/>
    <w:rsid w:val="005D0648"/>
    <w:rsid w:val="005D1CDD"/>
    <w:rsid w:val="005D3AB8"/>
    <w:rsid w:val="005D52DB"/>
    <w:rsid w:val="005D6ADA"/>
    <w:rsid w:val="005D711E"/>
    <w:rsid w:val="005E0BC1"/>
    <w:rsid w:val="005E1292"/>
    <w:rsid w:val="005E3C8F"/>
    <w:rsid w:val="005E4A85"/>
    <w:rsid w:val="005E5817"/>
    <w:rsid w:val="005E5F65"/>
    <w:rsid w:val="005E7842"/>
    <w:rsid w:val="005F11BA"/>
    <w:rsid w:val="005F18B4"/>
    <w:rsid w:val="005F3595"/>
    <w:rsid w:val="005F5037"/>
    <w:rsid w:val="005F707C"/>
    <w:rsid w:val="005F74F1"/>
    <w:rsid w:val="00600004"/>
    <w:rsid w:val="0060335E"/>
    <w:rsid w:val="00603C35"/>
    <w:rsid w:val="00605269"/>
    <w:rsid w:val="00605511"/>
    <w:rsid w:val="0061051B"/>
    <w:rsid w:val="00611743"/>
    <w:rsid w:val="0061371D"/>
    <w:rsid w:val="00614C95"/>
    <w:rsid w:val="00615083"/>
    <w:rsid w:val="006176F2"/>
    <w:rsid w:val="00621118"/>
    <w:rsid w:val="00621867"/>
    <w:rsid w:val="00623D78"/>
    <w:rsid w:val="00625F07"/>
    <w:rsid w:val="00630251"/>
    <w:rsid w:val="00633063"/>
    <w:rsid w:val="00633404"/>
    <w:rsid w:val="0063521D"/>
    <w:rsid w:val="006355A7"/>
    <w:rsid w:val="006357A8"/>
    <w:rsid w:val="00635D06"/>
    <w:rsid w:val="00640450"/>
    <w:rsid w:val="00643356"/>
    <w:rsid w:val="00644E59"/>
    <w:rsid w:val="00645654"/>
    <w:rsid w:val="006462CC"/>
    <w:rsid w:val="0065070F"/>
    <w:rsid w:val="00654596"/>
    <w:rsid w:val="006545F0"/>
    <w:rsid w:val="00654F7C"/>
    <w:rsid w:val="00655DB5"/>
    <w:rsid w:val="00662297"/>
    <w:rsid w:val="00662A08"/>
    <w:rsid w:val="00662FB8"/>
    <w:rsid w:val="00664314"/>
    <w:rsid w:val="006652F4"/>
    <w:rsid w:val="0066596A"/>
    <w:rsid w:val="00665AF5"/>
    <w:rsid w:val="0066693F"/>
    <w:rsid w:val="00667A9A"/>
    <w:rsid w:val="00672A0F"/>
    <w:rsid w:val="00672AE0"/>
    <w:rsid w:val="0067371F"/>
    <w:rsid w:val="00673E54"/>
    <w:rsid w:val="0067451B"/>
    <w:rsid w:val="006753BD"/>
    <w:rsid w:val="006813F0"/>
    <w:rsid w:val="00682435"/>
    <w:rsid w:val="006831C8"/>
    <w:rsid w:val="00684737"/>
    <w:rsid w:val="006854D1"/>
    <w:rsid w:val="006867DB"/>
    <w:rsid w:val="00686D06"/>
    <w:rsid w:val="00691323"/>
    <w:rsid w:val="00691DAF"/>
    <w:rsid w:val="006A0815"/>
    <w:rsid w:val="006A11B8"/>
    <w:rsid w:val="006A2462"/>
    <w:rsid w:val="006A2F2D"/>
    <w:rsid w:val="006A32F2"/>
    <w:rsid w:val="006A41BF"/>
    <w:rsid w:val="006A7D65"/>
    <w:rsid w:val="006B0A81"/>
    <w:rsid w:val="006B1465"/>
    <w:rsid w:val="006B2E63"/>
    <w:rsid w:val="006B3E0C"/>
    <w:rsid w:val="006C01CA"/>
    <w:rsid w:val="006C0231"/>
    <w:rsid w:val="006C166D"/>
    <w:rsid w:val="006C2439"/>
    <w:rsid w:val="006C2E78"/>
    <w:rsid w:val="006C3490"/>
    <w:rsid w:val="006C420E"/>
    <w:rsid w:val="006C5E25"/>
    <w:rsid w:val="006C7ADE"/>
    <w:rsid w:val="006D05E0"/>
    <w:rsid w:val="006D0AB8"/>
    <w:rsid w:val="006D16EE"/>
    <w:rsid w:val="006D1F5A"/>
    <w:rsid w:val="006D2A3F"/>
    <w:rsid w:val="006D2D2F"/>
    <w:rsid w:val="006D33DB"/>
    <w:rsid w:val="006D3F92"/>
    <w:rsid w:val="006D4292"/>
    <w:rsid w:val="006E01E4"/>
    <w:rsid w:val="006E1E8D"/>
    <w:rsid w:val="006E2CE6"/>
    <w:rsid w:val="006E2EF4"/>
    <w:rsid w:val="006E4A8B"/>
    <w:rsid w:val="006E62CD"/>
    <w:rsid w:val="006E6439"/>
    <w:rsid w:val="006E78D3"/>
    <w:rsid w:val="006F3515"/>
    <w:rsid w:val="006F4759"/>
    <w:rsid w:val="006F4C5F"/>
    <w:rsid w:val="006F5A5E"/>
    <w:rsid w:val="006F61BC"/>
    <w:rsid w:val="007001C9"/>
    <w:rsid w:val="00700693"/>
    <w:rsid w:val="0070132F"/>
    <w:rsid w:val="007015D2"/>
    <w:rsid w:val="007025CC"/>
    <w:rsid w:val="00710D4F"/>
    <w:rsid w:val="0071251C"/>
    <w:rsid w:val="00712A0F"/>
    <w:rsid w:val="00714177"/>
    <w:rsid w:val="007163DB"/>
    <w:rsid w:val="00716960"/>
    <w:rsid w:val="00721408"/>
    <w:rsid w:val="00722322"/>
    <w:rsid w:val="00723477"/>
    <w:rsid w:val="007238A4"/>
    <w:rsid w:val="0072553E"/>
    <w:rsid w:val="00727532"/>
    <w:rsid w:val="007309D7"/>
    <w:rsid w:val="007309DC"/>
    <w:rsid w:val="00730A92"/>
    <w:rsid w:val="0073359D"/>
    <w:rsid w:val="007340F5"/>
    <w:rsid w:val="007350A5"/>
    <w:rsid w:val="00735C95"/>
    <w:rsid w:val="00740C7A"/>
    <w:rsid w:val="0074208D"/>
    <w:rsid w:val="00742A08"/>
    <w:rsid w:val="00743CD2"/>
    <w:rsid w:val="00744823"/>
    <w:rsid w:val="0074546C"/>
    <w:rsid w:val="00745C71"/>
    <w:rsid w:val="00750DBA"/>
    <w:rsid w:val="00753A79"/>
    <w:rsid w:val="007541A8"/>
    <w:rsid w:val="0075566B"/>
    <w:rsid w:val="00755793"/>
    <w:rsid w:val="00755CE3"/>
    <w:rsid w:val="00755EEB"/>
    <w:rsid w:val="0075647E"/>
    <w:rsid w:val="007573DC"/>
    <w:rsid w:val="007603E9"/>
    <w:rsid w:val="00760568"/>
    <w:rsid w:val="00760ECD"/>
    <w:rsid w:val="007621CE"/>
    <w:rsid w:val="00765AFD"/>
    <w:rsid w:val="00767729"/>
    <w:rsid w:val="007715E0"/>
    <w:rsid w:val="00771692"/>
    <w:rsid w:val="0077185A"/>
    <w:rsid w:val="0077381F"/>
    <w:rsid w:val="00775F5F"/>
    <w:rsid w:val="0077606C"/>
    <w:rsid w:val="007763C0"/>
    <w:rsid w:val="007771DF"/>
    <w:rsid w:val="007806A6"/>
    <w:rsid w:val="00780931"/>
    <w:rsid w:val="007834DA"/>
    <w:rsid w:val="00783BBE"/>
    <w:rsid w:val="007842E5"/>
    <w:rsid w:val="007848C4"/>
    <w:rsid w:val="007853E5"/>
    <w:rsid w:val="00785BF2"/>
    <w:rsid w:val="007879DD"/>
    <w:rsid w:val="00792451"/>
    <w:rsid w:val="007924CA"/>
    <w:rsid w:val="007931ED"/>
    <w:rsid w:val="007944A4"/>
    <w:rsid w:val="00794D80"/>
    <w:rsid w:val="00795B38"/>
    <w:rsid w:val="007973A3"/>
    <w:rsid w:val="007A06B9"/>
    <w:rsid w:val="007A160D"/>
    <w:rsid w:val="007A206B"/>
    <w:rsid w:val="007A21F0"/>
    <w:rsid w:val="007A50AF"/>
    <w:rsid w:val="007A5A37"/>
    <w:rsid w:val="007B2F04"/>
    <w:rsid w:val="007B3F93"/>
    <w:rsid w:val="007B6A6F"/>
    <w:rsid w:val="007B77B9"/>
    <w:rsid w:val="007C5192"/>
    <w:rsid w:val="007C59F8"/>
    <w:rsid w:val="007C5AAE"/>
    <w:rsid w:val="007C7EC0"/>
    <w:rsid w:val="007D10AA"/>
    <w:rsid w:val="007D123A"/>
    <w:rsid w:val="007D1B26"/>
    <w:rsid w:val="007D31BC"/>
    <w:rsid w:val="007D3802"/>
    <w:rsid w:val="007D4D59"/>
    <w:rsid w:val="007D7C40"/>
    <w:rsid w:val="007D7CA5"/>
    <w:rsid w:val="007E00E3"/>
    <w:rsid w:val="007E2A66"/>
    <w:rsid w:val="007E4643"/>
    <w:rsid w:val="007E4BF9"/>
    <w:rsid w:val="007E5333"/>
    <w:rsid w:val="007E5D70"/>
    <w:rsid w:val="007E6D3E"/>
    <w:rsid w:val="007F28D8"/>
    <w:rsid w:val="007F50E7"/>
    <w:rsid w:val="007F5D10"/>
    <w:rsid w:val="007F65D9"/>
    <w:rsid w:val="007F73D3"/>
    <w:rsid w:val="007F7EFC"/>
    <w:rsid w:val="00801743"/>
    <w:rsid w:val="00803654"/>
    <w:rsid w:val="00804367"/>
    <w:rsid w:val="00804B60"/>
    <w:rsid w:val="00805024"/>
    <w:rsid w:val="00806715"/>
    <w:rsid w:val="0080708D"/>
    <w:rsid w:val="008074D5"/>
    <w:rsid w:val="00811797"/>
    <w:rsid w:val="00811B9B"/>
    <w:rsid w:val="0081284B"/>
    <w:rsid w:val="00813F37"/>
    <w:rsid w:val="00816EBC"/>
    <w:rsid w:val="00816F02"/>
    <w:rsid w:val="0081700E"/>
    <w:rsid w:val="00821BDE"/>
    <w:rsid w:val="00822ADF"/>
    <w:rsid w:val="00826570"/>
    <w:rsid w:val="00827D4B"/>
    <w:rsid w:val="00831498"/>
    <w:rsid w:val="008339FC"/>
    <w:rsid w:val="00834796"/>
    <w:rsid w:val="00835C89"/>
    <w:rsid w:val="008402FB"/>
    <w:rsid w:val="00844E78"/>
    <w:rsid w:val="008461BF"/>
    <w:rsid w:val="0084700B"/>
    <w:rsid w:val="008508E4"/>
    <w:rsid w:val="008531DF"/>
    <w:rsid w:val="00853BB8"/>
    <w:rsid w:val="00853C22"/>
    <w:rsid w:val="00854102"/>
    <w:rsid w:val="00854316"/>
    <w:rsid w:val="00855B52"/>
    <w:rsid w:val="00855CF7"/>
    <w:rsid w:val="00863840"/>
    <w:rsid w:val="00872000"/>
    <w:rsid w:val="00872343"/>
    <w:rsid w:val="008735C8"/>
    <w:rsid w:val="00874DA9"/>
    <w:rsid w:val="00875C91"/>
    <w:rsid w:val="00876609"/>
    <w:rsid w:val="008766A8"/>
    <w:rsid w:val="00876BA5"/>
    <w:rsid w:val="00877798"/>
    <w:rsid w:val="008818F3"/>
    <w:rsid w:val="00882AB8"/>
    <w:rsid w:val="00886692"/>
    <w:rsid w:val="008866BE"/>
    <w:rsid w:val="00887D4B"/>
    <w:rsid w:val="00887FFB"/>
    <w:rsid w:val="00890E99"/>
    <w:rsid w:val="00891368"/>
    <w:rsid w:val="008913DB"/>
    <w:rsid w:val="00892639"/>
    <w:rsid w:val="0089271B"/>
    <w:rsid w:val="008928EE"/>
    <w:rsid w:val="008939C1"/>
    <w:rsid w:val="00897B2E"/>
    <w:rsid w:val="008A00F3"/>
    <w:rsid w:val="008A14FF"/>
    <w:rsid w:val="008A2423"/>
    <w:rsid w:val="008A327E"/>
    <w:rsid w:val="008A409C"/>
    <w:rsid w:val="008A48B8"/>
    <w:rsid w:val="008A4D86"/>
    <w:rsid w:val="008A77A2"/>
    <w:rsid w:val="008A7B02"/>
    <w:rsid w:val="008B2A09"/>
    <w:rsid w:val="008B36EA"/>
    <w:rsid w:val="008B48D8"/>
    <w:rsid w:val="008B72FD"/>
    <w:rsid w:val="008B7FFA"/>
    <w:rsid w:val="008C0642"/>
    <w:rsid w:val="008C0DBE"/>
    <w:rsid w:val="008C1241"/>
    <w:rsid w:val="008C25A7"/>
    <w:rsid w:val="008C3229"/>
    <w:rsid w:val="008C4396"/>
    <w:rsid w:val="008C4F75"/>
    <w:rsid w:val="008C5757"/>
    <w:rsid w:val="008C71B4"/>
    <w:rsid w:val="008D078A"/>
    <w:rsid w:val="008D14D4"/>
    <w:rsid w:val="008D1FB8"/>
    <w:rsid w:val="008D47F8"/>
    <w:rsid w:val="008D6987"/>
    <w:rsid w:val="008D6BA7"/>
    <w:rsid w:val="008D7534"/>
    <w:rsid w:val="008D7927"/>
    <w:rsid w:val="008E00F3"/>
    <w:rsid w:val="008E15F8"/>
    <w:rsid w:val="008E2C9F"/>
    <w:rsid w:val="008E2E2A"/>
    <w:rsid w:val="008E449A"/>
    <w:rsid w:val="008E5C37"/>
    <w:rsid w:val="008E6056"/>
    <w:rsid w:val="008E662D"/>
    <w:rsid w:val="008E692F"/>
    <w:rsid w:val="008E7086"/>
    <w:rsid w:val="008E7345"/>
    <w:rsid w:val="008E7347"/>
    <w:rsid w:val="008F0B3F"/>
    <w:rsid w:val="008F666E"/>
    <w:rsid w:val="008F66C5"/>
    <w:rsid w:val="009016A0"/>
    <w:rsid w:val="00901A3F"/>
    <w:rsid w:val="00902770"/>
    <w:rsid w:val="00903B35"/>
    <w:rsid w:val="00904907"/>
    <w:rsid w:val="00905409"/>
    <w:rsid w:val="009075E7"/>
    <w:rsid w:val="00907A66"/>
    <w:rsid w:val="0091007F"/>
    <w:rsid w:val="009112B6"/>
    <w:rsid w:val="009114C4"/>
    <w:rsid w:val="00915055"/>
    <w:rsid w:val="0091529D"/>
    <w:rsid w:val="0091649F"/>
    <w:rsid w:val="0091691E"/>
    <w:rsid w:val="009207A4"/>
    <w:rsid w:val="00920899"/>
    <w:rsid w:val="00920B50"/>
    <w:rsid w:val="00921B8B"/>
    <w:rsid w:val="00921F7D"/>
    <w:rsid w:val="00923635"/>
    <w:rsid w:val="0092487F"/>
    <w:rsid w:val="00926565"/>
    <w:rsid w:val="00926789"/>
    <w:rsid w:val="00926C42"/>
    <w:rsid w:val="0092798C"/>
    <w:rsid w:val="00927B82"/>
    <w:rsid w:val="00932ECB"/>
    <w:rsid w:val="00932F13"/>
    <w:rsid w:val="00933E1A"/>
    <w:rsid w:val="00935D40"/>
    <w:rsid w:val="00936392"/>
    <w:rsid w:val="00937F1C"/>
    <w:rsid w:val="00940D91"/>
    <w:rsid w:val="00941EBC"/>
    <w:rsid w:val="00947F96"/>
    <w:rsid w:val="0095013E"/>
    <w:rsid w:val="009502AF"/>
    <w:rsid w:val="00950B59"/>
    <w:rsid w:val="0095153A"/>
    <w:rsid w:val="00953A95"/>
    <w:rsid w:val="0095585F"/>
    <w:rsid w:val="0095798D"/>
    <w:rsid w:val="00965C18"/>
    <w:rsid w:val="0096613C"/>
    <w:rsid w:val="00966F11"/>
    <w:rsid w:val="0096766A"/>
    <w:rsid w:val="00967E77"/>
    <w:rsid w:val="00970F02"/>
    <w:rsid w:val="00970FEF"/>
    <w:rsid w:val="00971FF2"/>
    <w:rsid w:val="00973B32"/>
    <w:rsid w:val="00973D31"/>
    <w:rsid w:val="00973ECE"/>
    <w:rsid w:val="0097505A"/>
    <w:rsid w:val="0097630B"/>
    <w:rsid w:val="00982534"/>
    <w:rsid w:val="00982B42"/>
    <w:rsid w:val="00982B76"/>
    <w:rsid w:val="00984CD8"/>
    <w:rsid w:val="0098587E"/>
    <w:rsid w:val="009911C8"/>
    <w:rsid w:val="00991813"/>
    <w:rsid w:val="00991BAA"/>
    <w:rsid w:val="009928F4"/>
    <w:rsid w:val="00993154"/>
    <w:rsid w:val="00993360"/>
    <w:rsid w:val="009933AE"/>
    <w:rsid w:val="00993A1D"/>
    <w:rsid w:val="009944D3"/>
    <w:rsid w:val="00995400"/>
    <w:rsid w:val="0099551F"/>
    <w:rsid w:val="00997736"/>
    <w:rsid w:val="009A01A3"/>
    <w:rsid w:val="009A09E2"/>
    <w:rsid w:val="009A2FA8"/>
    <w:rsid w:val="009A49A0"/>
    <w:rsid w:val="009A4C22"/>
    <w:rsid w:val="009A6589"/>
    <w:rsid w:val="009A6AFD"/>
    <w:rsid w:val="009A7234"/>
    <w:rsid w:val="009A749C"/>
    <w:rsid w:val="009B0770"/>
    <w:rsid w:val="009B0F62"/>
    <w:rsid w:val="009B13A6"/>
    <w:rsid w:val="009B1E56"/>
    <w:rsid w:val="009B36AC"/>
    <w:rsid w:val="009B5259"/>
    <w:rsid w:val="009B530B"/>
    <w:rsid w:val="009B5558"/>
    <w:rsid w:val="009B5AD2"/>
    <w:rsid w:val="009B5DF2"/>
    <w:rsid w:val="009B6835"/>
    <w:rsid w:val="009B6A80"/>
    <w:rsid w:val="009B6E0D"/>
    <w:rsid w:val="009B7A49"/>
    <w:rsid w:val="009C05E4"/>
    <w:rsid w:val="009C0A77"/>
    <w:rsid w:val="009C34FB"/>
    <w:rsid w:val="009C3F4B"/>
    <w:rsid w:val="009C4BC7"/>
    <w:rsid w:val="009D01A0"/>
    <w:rsid w:val="009D1319"/>
    <w:rsid w:val="009D2912"/>
    <w:rsid w:val="009D2E47"/>
    <w:rsid w:val="009D5AB4"/>
    <w:rsid w:val="009D7C78"/>
    <w:rsid w:val="009E1499"/>
    <w:rsid w:val="009E3032"/>
    <w:rsid w:val="009E3073"/>
    <w:rsid w:val="009E32C6"/>
    <w:rsid w:val="009E4A85"/>
    <w:rsid w:val="009E5A7A"/>
    <w:rsid w:val="009E7B26"/>
    <w:rsid w:val="009E7FA6"/>
    <w:rsid w:val="009F1B83"/>
    <w:rsid w:val="009F253A"/>
    <w:rsid w:val="009F4795"/>
    <w:rsid w:val="009F536A"/>
    <w:rsid w:val="009F6631"/>
    <w:rsid w:val="009F6861"/>
    <w:rsid w:val="009F6BA4"/>
    <w:rsid w:val="009F7ADE"/>
    <w:rsid w:val="00A00D16"/>
    <w:rsid w:val="00A052A6"/>
    <w:rsid w:val="00A054E2"/>
    <w:rsid w:val="00A05907"/>
    <w:rsid w:val="00A05BF1"/>
    <w:rsid w:val="00A07BB2"/>
    <w:rsid w:val="00A11253"/>
    <w:rsid w:val="00A11529"/>
    <w:rsid w:val="00A127FC"/>
    <w:rsid w:val="00A143F7"/>
    <w:rsid w:val="00A1597B"/>
    <w:rsid w:val="00A178D9"/>
    <w:rsid w:val="00A21075"/>
    <w:rsid w:val="00A21809"/>
    <w:rsid w:val="00A260E6"/>
    <w:rsid w:val="00A27F48"/>
    <w:rsid w:val="00A30008"/>
    <w:rsid w:val="00A31725"/>
    <w:rsid w:val="00A339F3"/>
    <w:rsid w:val="00A33BA4"/>
    <w:rsid w:val="00A3516F"/>
    <w:rsid w:val="00A357AE"/>
    <w:rsid w:val="00A36A73"/>
    <w:rsid w:val="00A402F0"/>
    <w:rsid w:val="00A409D0"/>
    <w:rsid w:val="00A433B9"/>
    <w:rsid w:val="00A4521F"/>
    <w:rsid w:val="00A4609C"/>
    <w:rsid w:val="00A462F1"/>
    <w:rsid w:val="00A4705A"/>
    <w:rsid w:val="00A47EAF"/>
    <w:rsid w:val="00A50962"/>
    <w:rsid w:val="00A52ADD"/>
    <w:rsid w:val="00A54E38"/>
    <w:rsid w:val="00A564C8"/>
    <w:rsid w:val="00A5723D"/>
    <w:rsid w:val="00A57E39"/>
    <w:rsid w:val="00A60756"/>
    <w:rsid w:val="00A61F16"/>
    <w:rsid w:val="00A62BBB"/>
    <w:rsid w:val="00A641F2"/>
    <w:rsid w:val="00A64342"/>
    <w:rsid w:val="00A64846"/>
    <w:rsid w:val="00A66005"/>
    <w:rsid w:val="00A67E13"/>
    <w:rsid w:val="00A704B0"/>
    <w:rsid w:val="00A71A0F"/>
    <w:rsid w:val="00A74669"/>
    <w:rsid w:val="00A75438"/>
    <w:rsid w:val="00A755A3"/>
    <w:rsid w:val="00A755B0"/>
    <w:rsid w:val="00A77E23"/>
    <w:rsid w:val="00A8167E"/>
    <w:rsid w:val="00A8202D"/>
    <w:rsid w:val="00A86D8B"/>
    <w:rsid w:val="00A878D5"/>
    <w:rsid w:val="00A87FC2"/>
    <w:rsid w:val="00A909BC"/>
    <w:rsid w:val="00A91FC5"/>
    <w:rsid w:val="00A93E54"/>
    <w:rsid w:val="00A9474F"/>
    <w:rsid w:val="00A96B4E"/>
    <w:rsid w:val="00AA0949"/>
    <w:rsid w:val="00AA3D52"/>
    <w:rsid w:val="00AB1283"/>
    <w:rsid w:val="00AB1FC0"/>
    <w:rsid w:val="00AB3B4D"/>
    <w:rsid w:val="00AB3DBC"/>
    <w:rsid w:val="00AB3E64"/>
    <w:rsid w:val="00AC0C14"/>
    <w:rsid w:val="00AC1E23"/>
    <w:rsid w:val="00AC2CF8"/>
    <w:rsid w:val="00AC3AE9"/>
    <w:rsid w:val="00AC476A"/>
    <w:rsid w:val="00AC7708"/>
    <w:rsid w:val="00AC7F46"/>
    <w:rsid w:val="00AD0A95"/>
    <w:rsid w:val="00AD0EFD"/>
    <w:rsid w:val="00AD1CC6"/>
    <w:rsid w:val="00AD28DC"/>
    <w:rsid w:val="00AD3F6D"/>
    <w:rsid w:val="00AD4289"/>
    <w:rsid w:val="00AD6046"/>
    <w:rsid w:val="00AD70D0"/>
    <w:rsid w:val="00AD789F"/>
    <w:rsid w:val="00AD7C85"/>
    <w:rsid w:val="00AE0C38"/>
    <w:rsid w:val="00AE0F4C"/>
    <w:rsid w:val="00AE1829"/>
    <w:rsid w:val="00AE2395"/>
    <w:rsid w:val="00AE4091"/>
    <w:rsid w:val="00AE54C4"/>
    <w:rsid w:val="00AE59B4"/>
    <w:rsid w:val="00AE5C4B"/>
    <w:rsid w:val="00AF0CD9"/>
    <w:rsid w:val="00AF222E"/>
    <w:rsid w:val="00AF2A71"/>
    <w:rsid w:val="00AF5405"/>
    <w:rsid w:val="00B029A5"/>
    <w:rsid w:val="00B02F75"/>
    <w:rsid w:val="00B04CD4"/>
    <w:rsid w:val="00B06446"/>
    <w:rsid w:val="00B1042D"/>
    <w:rsid w:val="00B136E2"/>
    <w:rsid w:val="00B16550"/>
    <w:rsid w:val="00B176AF"/>
    <w:rsid w:val="00B17A40"/>
    <w:rsid w:val="00B202B2"/>
    <w:rsid w:val="00B2033F"/>
    <w:rsid w:val="00B20D42"/>
    <w:rsid w:val="00B21E1C"/>
    <w:rsid w:val="00B2231D"/>
    <w:rsid w:val="00B231D9"/>
    <w:rsid w:val="00B25D07"/>
    <w:rsid w:val="00B279C1"/>
    <w:rsid w:val="00B30887"/>
    <w:rsid w:val="00B33C1E"/>
    <w:rsid w:val="00B351B5"/>
    <w:rsid w:val="00B36665"/>
    <w:rsid w:val="00B367EE"/>
    <w:rsid w:val="00B36E14"/>
    <w:rsid w:val="00B40A2B"/>
    <w:rsid w:val="00B40DE3"/>
    <w:rsid w:val="00B40F27"/>
    <w:rsid w:val="00B42D1F"/>
    <w:rsid w:val="00B43023"/>
    <w:rsid w:val="00B43033"/>
    <w:rsid w:val="00B44121"/>
    <w:rsid w:val="00B44E02"/>
    <w:rsid w:val="00B46D06"/>
    <w:rsid w:val="00B50BA6"/>
    <w:rsid w:val="00B544AF"/>
    <w:rsid w:val="00B547C1"/>
    <w:rsid w:val="00B56DC9"/>
    <w:rsid w:val="00B5747F"/>
    <w:rsid w:val="00B57893"/>
    <w:rsid w:val="00B60992"/>
    <w:rsid w:val="00B613F2"/>
    <w:rsid w:val="00B62271"/>
    <w:rsid w:val="00B62FEE"/>
    <w:rsid w:val="00B632A0"/>
    <w:rsid w:val="00B656E3"/>
    <w:rsid w:val="00B66F39"/>
    <w:rsid w:val="00B6715F"/>
    <w:rsid w:val="00B676E0"/>
    <w:rsid w:val="00B67B15"/>
    <w:rsid w:val="00B70CD5"/>
    <w:rsid w:val="00B72491"/>
    <w:rsid w:val="00B749E1"/>
    <w:rsid w:val="00B753D1"/>
    <w:rsid w:val="00B75F17"/>
    <w:rsid w:val="00B7669E"/>
    <w:rsid w:val="00B779B0"/>
    <w:rsid w:val="00B82ABD"/>
    <w:rsid w:val="00B83265"/>
    <w:rsid w:val="00B835EC"/>
    <w:rsid w:val="00B8416D"/>
    <w:rsid w:val="00B852ED"/>
    <w:rsid w:val="00B8535D"/>
    <w:rsid w:val="00B87B2F"/>
    <w:rsid w:val="00B92825"/>
    <w:rsid w:val="00B9352E"/>
    <w:rsid w:val="00B94F97"/>
    <w:rsid w:val="00B958D6"/>
    <w:rsid w:val="00B95F3D"/>
    <w:rsid w:val="00BA064A"/>
    <w:rsid w:val="00BA0B6E"/>
    <w:rsid w:val="00BA0E6D"/>
    <w:rsid w:val="00BA2497"/>
    <w:rsid w:val="00BA27E2"/>
    <w:rsid w:val="00BA6446"/>
    <w:rsid w:val="00BA6FD9"/>
    <w:rsid w:val="00BB0025"/>
    <w:rsid w:val="00BB133D"/>
    <w:rsid w:val="00BB1555"/>
    <w:rsid w:val="00BB2BCC"/>
    <w:rsid w:val="00BB3351"/>
    <w:rsid w:val="00BB40EF"/>
    <w:rsid w:val="00BB54FE"/>
    <w:rsid w:val="00BC2B50"/>
    <w:rsid w:val="00BC304C"/>
    <w:rsid w:val="00BC3611"/>
    <w:rsid w:val="00BC4B9B"/>
    <w:rsid w:val="00BC5B35"/>
    <w:rsid w:val="00BC7C6B"/>
    <w:rsid w:val="00BD0DC7"/>
    <w:rsid w:val="00BD16D2"/>
    <w:rsid w:val="00BD2BB0"/>
    <w:rsid w:val="00BD3158"/>
    <w:rsid w:val="00BD69A8"/>
    <w:rsid w:val="00BD72EB"/>
    <w:rsid w:val="00BE0337"/>
    <w:rsid w:val="00BE3E1B"/>
    <w:rsid w:val="00BE651C"/>
    <w:rsid w:val="00BE65CC"/>
    <w:rsid w:val="00BE74C6"/>
    <w:rsid w:val="00BF3573"/>
    <w:rsid w:val="00BF3BC1"/>
    <w:rsid w:val="00BF3FC7"/>
    <w:rsid w:val="00BF49EB"/>
    <w:rsid w:val="00BF77DA"/>
    <w:rsid w:val="00BF7CE0"/>
    <w:rsid w:val="00C013D3"/>
    <w:rsid w:val="00C01BC1"/>
    <w:rsid w:val="00C02622"/>
    <w:rsid w:val="00C029A5"/>
    <w:rsid w:val="00C030F7"/>
    <w:rsid w:val="00C03FA8"/>
    <w:rsid w:val="00C06521"/>
    <w:rsid w:val="00C0762F"/>
    <w:rsid w:val="00C07D99"/>
    <w:rsid w:val="00C1192D"/>
    <w:rsid w:val="00C12F90"/>
    <w:rsid w:val="00C135E2"/>
    <w:rsid w:val="00C1734A"/>
    <w:rsid w:val="00C176F5"/>
    <w:rsid w:val="00C17F49"/>
    <w:rsid w:val="00C208DE"/>
    <w:rsid w:val="00C21E07"/>
    <w:rsid w:val="00C22AD0"/>
    <w:rsid w:val="00C26D6D"/>
    <w:rsid w:val="00C31399"/>
    <w:rsid w:val="00C339DF"/>
    <w:rsid w:val="00C33C4F"/>
    <w:rsid w:val="00C34D20"/>
    <w:rsid w:val="00C3535A"/>
    <w:rsid w:val="00C354B5"/>
    <w:rsid w:val="00C3560D"/>
    <w:rsid w:val="00C37D4B"/>
    <w:rsid w:val="00C415BB"/>
    <w:rsid w:val="00C429BC"/>
    <w:rsid w:val="00C466C6"/>
    <w:rsid w:val="00C46B81"/>
    <w:rsid w:val="00C4708F"/>
    <w:rsid w:val="00C50F32"/>
    <w:rsid w:val="00C5159E"/>
    <w:rsid w:val="00C539F2"/>
    <w:rsid w:val="00C54125"/>
    <w:rsid w:val="00C54FEC"/>
    <w:rsid w:val="00C57848"/>
    <w:rsid w:val="00C60192"/>
    <w:rsid w:val="00C6244A"/>
    <w:rsid w:val="00C62486"/>
    <w:rsid w:val="00C63626"/>
    <w:rsid w:val="00C64838"/>
    <w:rsid w:val="00C64898"/>
    <w:rsid w:val="00C6757C"/>
    <w:rsid w:val="00C67FAA"/>
    <w:rsid w:val="00C71115"/>
    <w:rsid w:val="00C71657"/>
    <w:rsid w:val="00C731EE"/>
    <w:rsid w:val="00C7358E"/>
    <w:rsid w:val="00C747A6"/>
    <w:rsid w:val="00C76BA2"/>
    <w:rsid w:val="00C77242"/>
    <w:rsid w:val="00C77CE1"/>
    <w:rsid w:val="00C82D14"/>
    <w:rsid w:val="00C87DDC"/>
    <w:rsid w:val="00C90CAA"/>
    <w:rsid w:val="00C91090"/>
    <w:rsid w:val="00C9523D"/>
    <w:rsid w:val="00C967E2"/>
    <w:rsid w:val="00C96D37"/>
    <w:rsid w:val="00CA086C"/>
    <w:rsid w:val="00CA291D"/>
    <w:rsid w:val="00CA398C"/>
    <w:rsid w:val="00CA4FBC"/>
    <w:rsid w:val="00CB1158"/>
    <w:rsid w:val="00CB1A75"/>
    <w:rsid w:val="00CB3751"/>
    <w:rsid w:val="00CB389D"/>
    <w:rsid w:val="00CB396C"/>
    <w:rsid w:val="00CB4F2E"/>
    <w:rsid w:val="00CB6ED5"/>
    <w:rsid w:val="00CC0219"/>
    <w:rsid w:val="00CC1261"/>
    <w:rsid w:val="00CC1D99"/>
    <w:rsid w:val="00CC265A"/>
    <w:rsid w:val="00CC2EEF"/>
    <w:rsid w:val="00CC472A"/>
    <w:rsid w:val="00CC49A0"/>
    <w:rsid w:val="00CC58BC"/>
    <w:rsid w:val="00CC5CB9"/>
    <w:rsid w:val="00CC603E"/>
    <w:rsid w:val="00CC67ED"/>
    <w:rsid w:val="00CC702A"/>
    <w:rsid w:val="00CC70B3"/>
    <w:rsid w:val="00CD0C7B"/>
    <w:rsid w:val="00CD23B3"/>
    <w:rsid w:val="00CD3B02"/>
    <w:rsid w:val="00CD4959"/>
    <w:rsid w:val="00CD4AB6"/>
    <w:rsid w:val="00CD78D0"/>
    <w:rsid w:val="00CE0F32"/>
    <w:rsid w:val="00CE36AF"/>
    <w:rsid w:val="00CE3997"/>
    <w:rsid w:val="00CE6637"/>
    <w:rsid w:val="00CF2AC5"/>
    <w:rsid w:val="00CF2F5B"/>
    <w:rsid w:val="00CF40A5"/>
    <w:rsid w:val="00CF7432"/>
    <w:rsid w:val="00D0110A"/>
    <w:rsid w:val="00D04ED2"/>
    <w:rsid w:val="00D0787B"/>
    <w:rsid w:val="00D07FEC"/>
    <w:rsid w:val="00D107D0"/>
    <w:rsid w:val="00D112A6"/>
    <w:rsid w:val="00D134DB"/>
    <w:rsid w:val="00D14717"/>
    <w:rsid w:val="00D15A91"/>
    <w:rsid w:val="00D1633B"/>
    <w:rsid w:val="00D21BB1"/>
    <w:rsid w:val="00D21E7D"/>
    <w:rsid w:val="00D22128"/>
    <w:rsid w:val="00D226A6"/>
    <w:rsid w:val="00D261F6"/>
    <w:rsid w:val="00D26F1B"/>
    <w:rsid w:val="00D27E49"/>
    <w:rsid w:val="00D308D9"/>
    <w:rsid w:val="00D32985"/>
    <w:rsid w:val="00D33E95"/>
    <w:rsid w:val="00D34249"/>
    <w:rsid w:val="00D359DA"/>
    <w:rsid w:val="00D4224D"/>
    <w:rsid w:val="00D434E9"/>
    <w:rsid w:val="00D45E0E"/>
    <w:rsid w:val="00D46B08"/>
    <w:rsid w:val="00D46B8E"/>
    <w:rsid w:val="00D4707F"/>
    <w:rsid w:val="00D53F6B"/>
    <w:rsid w:val="00D55489"/>
    <w:rsid w:val="00D55593"/>
    <w:rsid w:val="00D605BF"/>
    <w:rsid w:val="00D6163A"/>
    <w:rsid w:val="00D6216F"/>
    <w:rsid w:val="00D62A5C"/>
    <w:rsid w:val="00D63AF9"/>
    <w:rsid w:val="00D63C79"/>
    <w:rsid w:val="00D6412C"/>
    <w:rsid w:val="00D64475"/>
    <w:rsid w:val="00D658FB"/>
    <w:rsid w:val="00D666B1"/>
    <w:rsid w:val="00D727AE"/>
    <w:rsid w:val="00D728B8"/>
    <w:rsid w:val="00D75032"/>
    <w:rsid w:val="00D80B41"/>
    <w:rsid w:val="00D81C55"/>
    <w:rsid w:val="00D81FB2"/>
    <w:rsid w:val="00D826E4"/>
    <w:rsid w:val="00D83FC0"/>
    <w:rsid w:val="00D84158"/>
    <w:rsid w:val="00D846A6"/>
    <w:rsid w:val="00D84896"/>
    <w:rsid w:val="00D84CF7"/>
    <w:rsid w:val="00D85805"/>
    <w:rsid w:val="00D85C9F"/>
    <w:rsid w:val="00D8719C"/>
    <w:rsid w:val="00D87274"/>
    <w:rsid w:val="00D8771B"/>
    <w:rsid w:val="00D91761"/>
    <w:rsid w:val="00D9324E"/>
    <w:rsid w:val="00D96CEF"/>
    <w:rsid w:val="00DA2F01"/>
    <w:rsid w:val="00DA32C0"/>
    <w:rsid w:val="00DA3DD0"/>
    <w:rsid w:val="00DA4B8F"/>
    <w:rsid w:val="00DA5A00"/>
    <w:rsid w:val="00DA5A6B"/>
    <w:rsid w:val="00DA65B5"/>
    <w:rsid w:val="00DA6976"/>
    <w:rsid w:val="00DA72D2"/>
    <w:rsid w:val="00DA770C"/>
    <w:rsid w:val="00DB17A2"/>
    <w:rsid w:val="00DB309B"/>
    <w:rsid w:val="00DB33B5"/>
    <w:rsid w:val="00DB4CEB"/>
    <w:rsid w:val="00DB5E50"/>
    <w:rsid w:val="00DB5F21"/>
    <w:rsid w:val="00DB756A"/>
    <w:rsid w:val="00DC411C"/>
    <w:rsid w:val="00DC4DD6"/>
    <w:rsid w:val="00DC511E"/>
    <w:rsid w:val="00DC676F"/>
    <w:rsid w:val="00DC6FCC"/>
    <w:rsid w:val="00DD16B4"/>
    <w:rsid w:val="00DD1E89"/>
    <w:rsid w:val="00DD4E67"/>
    <w:rsid w:val="00DD5181"/>
    <w:rsid w:val="00DD5191"/>
    <w:rsid w:val="00DD5D89"/>
    <w:rsid w:val="00DD69F0"/>
    <w:rsid w:val="00DE1059"/>
    <w:rsid w:val="00DE1178"/>
    <w:rsid w:val="00DE14E0"/>
    <w:rsid w:val="00DE1518"/>
    <w:rsid w:val="00DE1674"/>
    <w:rsid w:val="00DE47DA"/>
    <w:rsid w:val="00DE588A"/>
    <w:rsid w:val="00DE6B96"/>
    <w:rsid w:val="00DE72B5"/>
    <w:rsid w:val="00DE7983"/>
    <w:rsid w:val="00DE7C2E"/>
    <w:rsid w:val="00DF071D"/>
    <w:rsid w:val="00DF24D3"/>
    <w:rsid w:val="00DF4B1A"/>
    <w:rsid w:val="00DF4B6F"/>
    <w:rsid w:val="00DF4D27"/>
    <w:rsid w:val="00DF7DC3"/>
    <w:rsid w:val="00E011E8"/>
    <w:rsid w:val="00E02087"/>
    <w:rsid w:val="00E022D2"/>
    <w:rsid w:val="00E03782"/>
    <w:rsid w:val="00E045AA"/>
    <w:rsid w:val="00E0488C"/>
    <w:rsid w:val="00E068E5"/>
    <w:rsid w:val="00E06C23"/>
    <w:rsid w:val="00E07837"/>
    <w:rsid w:val="00E07F14"/>
    <w:rsid w:val="00E1389A"/>
    <w:rsid w:val="00E139AD"/>
    <w:rsid w:val="00E14185"/>
    <w:rsid w:val="00E14255"/>
    <w:rsid w:val="00E1598C"/>
    <w:rsid w:val="00E161D7"/>
    <w:rsid w:val="00E16FCB"/>
    <w:rsid w:val="00E21FC2"/>
    <w:rsid w:val="00E22AB0"/>
    <w:rsid w:val="00E22EC4"/>
    <w:rsid w:val="00E24C01"/>
    <w:rsid w:val="00E27A52"/>
    <w:rsid w:val="00E304F3"/>
    <w:rsid w:val="00E30608"/>
    <w:rsid w:val="00E31EF4"/>
    <w:rsid w:val="00E31F11"/>
    <w:rsid w:val="00E321EA"/>
    <w:rsid w:val="00E3642B"/>
    <w:rsid w:val="00E4071F"/>
    <w:rsid w:val="00E41DDB"/>
    <w:rsid w:val="00E42FEF"/>
    <w:rsid w:val="00E43E99"/>
    <w:rsid w:val="00E50BDE"/>
    <w:rsid w:val="00E51462"/>
    <w:rsid w:val="00E520D6"/>
    <w:rsid w:val="00E5265E"/>
    <w:rsid w:val="00E543AA"/>
    <w:rsid w:val="00E55749"/>
    <w:rsid w:val="00E55DE0"/>
    <w:rsid w:val="00E56A7B"/>
    <w:rsid w:val="00E605DA"/>
    <w:rsid w:val="00E61B35"/>
    <w:rsid w:val="00E63165"/>
    <w:rsid w:val="00E63726"/>
    <w:rsid w:val="00E73105"/>
    <w:rsid w:val="00E7451E"/>
    <w:rsid w:val="00E7504F"/>
    <w:rsid w:val="00E80EEE"/>
    <w:rsid w:val="00E83460"/>
    <w:rsid w:val="00E84381"/>
    <w:rsid w:val="00E84D16"/>
    <w:rsid w:val="00E85C00"/>
    <w:rsid w:val="00E8689E"/>
    <w:rsid w:val="00E86BF0"/>
    <w:rsid w:val="00E86E29"/>
    <w:rsid w:val="00E94B67"/>
    <w:rsid w:val="00E9695D"/>
    <w:rsid w:val="00EA0CD1"/>
    <w:rsid w:val="00EA19B2"/>
    <w:rsid w:val="00EA268F"/>
    <w:rsid w:val="00EA26D1"/>
    <w:rsid w:val="00EA291D"/>
    <w:rsid w:val="00EA49E5"/>
    <w:rsid w:val="00EA5109"/>
    <w:rsid w:val="00EA5551"/>
    <w:rsid w:val="00EA5883"/>
    <w:rsid w:val="00EB1297"/>
    <w:rsid w:val="00EB4347"/>
    <w:rsid w:val="00EB44AF"/>
    <w:rsid w:val="00EB6ECE"/>
    <w:rsid w:val="00EB7AEA"/>
    <w:rsid w:val="00EB7B39"/>
    <w:rsid w:val="00EC0E42"/>
    <w:rsid w:val="00EC268F"/>
    <w:rsid w:val="00EC49EC"/>
    <w:rsid w:val="00EC6E80"/>
    <w:rsid w:val="00EC6FE7"/>
    <w:rsid w:val="00ED0DE1"/>
    <w:rsid w:val="00ED45C1"/>
    <w:rsid w:val="00ED741E"/>
    <w:rsid w:val="00EE3C51"/>
    <w:rsid w:val="00EE6437"/>
    <w:rsid w:val="00EF0761"/>
    <w:rsid w:val="00EF1A16"/>
    <w:rsid w:val="00EF3E2A"/>
    <w:rsid w:val="00EF4396"/>
    <w:rsid w:val="00EF4E6D"/>
    <w:rsid w:val="00EF5187"/>
    <w:rsid w:val="00F00BDA"/>
    <w:rsid w:val="00F01268"/>
    <w:rsid w:val="00F024E1"/>
    <w:rsid w:val="00F02EA9"/>
    <w:rsid w:val="00F049EA"/>
    <w:rsid w:val="00F05A87"/>
    <w:rsid w:val="00F1187A"/>
    <w:rsid w:val="00F1411B"/>
    <w:rsid w:val="00F141D9"/>
    <w:rsid w:val="00F211A1"/>
    <w:rsid w:val="00F21C72"/>
    <w:rsid w:val="00F27DDA"/>
    <w:rsid w:val="00F308CB"/>
    <w:rsid w:val="00F30BAB"/>
    <w:rsid w:val="00F31C69"/>
    <w:rsid w:val="00F31EFF"/>
    <w:rsid w:val="00F35179"/>
    <w:rsid w:val="00F35C96"/>
    <w:rsid w:val="00F35F69"/>
    <w:rsid w:val="00F3650D"/>
    <w:rsid w:val="00F366EB"/>
    <w:rsid w:val="00F40DC0"/>
    <w:rsid w:val="00F4120B"/>
    <w:rsid w:val="00F41993"/>
    <w:rsid w:val="00F41DB5"/>
    <w:rsid w:val="00F42C91"/>
    <w:rsid w:val="00F42CA5"/>
    <w:rsid w:val="00F45C54"/>
    <w:rsid w:val="00F45DAA"/>
    <w:rsid w:val="00F4717D"/>
    <w:rsid w:val="00F47DED"/>
    <w:rsid w:val="00F51D4B"/>
    <w:rsid w:val="00F542D7"/>
    <w:rsid w:val="00F554E3"/>
    <w:rsid w:val="00F55F7E"/>
    <w:rsid w:val="00F564F2"/>
    <w:rsid w:val="00F570AC"/>
    <w:rsid w:val="00F5721A"/>
    <w:rsid w:val="00F61145"/>
    <w:rsid w:val="00F61C4D"/>
    <w:rsid w:val="00F6274A"/>
    <w:rsid w:val="00F635A9"/>
    <w:rsid w:val="00F70523"/>
    <w:rsid w:val="00F707AC"/>
    <w:rsid w:val="00F70EA8"/>
    <w:rsid w:val="00F720B6"/>
    <w:rsid w:val="00F72903"/>
    <w:rsid w:val="00F74DE0"/>
    <w:rsid w:val="00F754D9"/>
    <w:rsid w:val="00F757EB"/>
    <w:rsid w:val="00F765DD"/>
    <w:rsid w:val="00F76F81"/>
    <w:rsid w:val="00F801C7"/>
    <w:rsid w:val="00F81181"/>
    <w:rsid w:val="00F852AE"/>
    <w:rsid w:val="00F85DCD"/>
    <w:rsid w:val="00F879B3"/>
    <w:rsid w:val="00F90803"/>
    <w:rsid w:val="00F926B8"/>
    <w:rsid w:val="00F941D0"/>
    <w:rsid w:val="00F95475"/>
    <w:rsid w:val="00F954BD"/>
    <w:rsid w:val="00F97B0F"/>
    <w:rsid w:val="00FA05DA"/>
    <w:rsid w:val="00FA0B76"/>
    <w:rsid w:val="00FA1E47"/>
    <w:rsid w:val="00FA3AA3"/>
    <w:rsid w:val="00FA4C51"/>
    <w:rsid w:val="00FB06D1"/>
    <w:rsid w:val="00FB11E2"/>
    <w:rsid w:val="00FB1D8B"/>
    <w:rsid w:val="00FB34C0"/>
    <w:rsid w:val="00FB4A27"/>
    <w:rsid w:val="00FB585C"/>
    <w:rsid w:val="00FB645D"/>
    <w:rsid w:val="00FB71A3"/>
    <w:rsid w:val="00FB78B0"/>
    <w:rsid w:val="00FB79F7"/>
    <w:rsid w:val="00FB7AC0"/>
    <w:rsid w:val="00FC08D6"/>
    <w:rsid w:val="00FC2082"/>
    <w:rsid w:val="00FC380A"/>
    <w:rsid w:val="00FC3DE8"/>
    <w:rsid w:val="00FC43C8"/>
    <w:rsid w:val="00FC5333"/>
    <w:rsid w:val="00FC6500"/>
    <w:rsid w:val="00FC6E36"/>
    <w:rsid w:val="00FC7657"/>
    <w:rsid w:val="00FC78F0"/>
    <w:rsid w:val="00FC7F94"/>
    <w:rsid w:val="00FD04D1"/>
    <w:rsid w:val="00FD3DED"/>
    <w:rsid w:val="00FD5080"/>
    <w:rsid w:val="00FD53E0"/>
    <w:rsid w:val="00FD6001"/>
    <w:rsid w:val="00FD75D9"/>
    <w:rsid w:val="00FE1737"/>
    <w:rsid w:val="00FE3DCA"/>
    <w:rsid w:val="00FE473A"/>
    <w:rsid w:val="00FE48BF"/>
    <w:rsid w:val="00FE4A4F"/>
    <w:rsid w:val="00FE6DA1"/>
    <w:rsid w:val="00FE7054"/>
    <w:rsid w:val="00FE7D3B"/>
    <w:rsid w:val="00FF236D"/>
    <w:rsid w:val="00FF3E60"/>
    <w:rsid w:val="00FF4FD6"/>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link w:val="Heading1Char"/>
    <w:qFormat/>
    <w:pPr>
      <w:keepNext/>
      <w:tabs>
        <w:tab w:val="center" w:pos="4680"/>
      </w:tabs>
      <w:suppressAutoHyphens/>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pPr>
    <w:rPr>
      <w:b/>
      <w:sz w:val="36"/>
    </w:rPr>
  </w:style>
  <w:style w:type="paragraph" w:styleId="EndnoteText">
    <w:name w:val="endnote text"/>
    <w:basedOn w:val="Normal"/>
    <w:link w:val="EndnoteTextChar"/>
    <w:semiHidden/>
    <w:rPr>
      <w:lang w:val="x-none" w:eastAsia="x-none"/>
    </w:rPr>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rPr>
      <w:rFonts w:ascii="Times New Roman" w:hAnsi="Times New Roman"/>
      <w:b/>
      <w:sz w:val="32"/>
      <w:u w:val="single"/>
    </w:rPr>
  </w:style>
  <w:style w:type="table" w:styleId="TableGrid">
    <w:name w:val="Table Grid"/>
    <w:basedOn w:val="TableNormal"/>
    <w:rsid w:val="00CB11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9F479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lang w:val="x-none" w:eastAsia="x-none"/>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 w:type="character" w:customStyle="1" w:styleId="Heading1Char">
    <w:name w:val="Heading 1 Char"/>
    <w:basedOn w:val="DefaultParagraphFont"/>
    <w:link w:val="Heading1"/>
    <w:rsid w:val="00C57848"/>
    <w:rPr>
      <w:rFonts w:ascii="Book Antiqua" w:hAnsi="Book Antiqua"/>
      <w:b/>
      <w:sz w:val="24"/>
      <w:u w:val="single"/>
    </w:rPr>
  </w:style>
  <w:style w:type="character" w:customStyle="1" w:styleId="HeaderChar">
    <w:name w:val="Header Char"/>
    <w:basedOn w:val="DefaultParagraphFont"/>
    <w:link w:val="Header"/>
    <w:rsid w:val="00C96D37"/>
    <w:rPr>
      <w:rFonts w:ascii="Book Antiqua" w:hAnsi="Book Antiqua"/>
      <w:sz w:val="24"/>
    </w:rPr>
  </w:style>
  <w:style w:type="character" w:styleId="Hyperlink">
    <w:name w:val="Hyperlink"/>
    <w:basedOn w:val="DefaultParagraphFont"/>
    <w:rsid w:val="00025F35"/>
    <w:rPr>
      <w:color w:val="0000FF" w:themeColor="hyperlink"/>
      <w:u w:val="single"/>
    </w:rPr>
  </w:style>
  <w:style w:type="paragraph" w:styleId="NoSpacing">
    <w:name w:val="No Spacing"/>
    <w:uiPriority w:val="1"/>
    <w:qFormat/>
    <w:rsid w:val="00D04ED2"/>
    <w:pPr>
      <w:jc w:val="left"/>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link w:val="Heading1Char"/>
    <w:qFormat/>
    <w:pPr>
      <w:keepNext/>
      <w:tabs>
        <w:tab w:val="center" w:pos="4680"/>
      </w:tabs>
      <w:suppressAutoHyphens/>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pPr>
    <w:rPr>
      <w:b/>
      <w:sz w:val="36"/>
    </w:rPr>
  </w:style>
  <w:style w:type="paragraph" w:styleId="EndnoteText">
    <w:name w:val="endnote text"/>
    <w:basedOn w:val="Normal"/>
    <w:link w:val="EndnoteTextChar"/>
    <w:semiHidden/>
    <w:rPr>
      <w:lang w:val="x-none" w:eastAsia="x-none"/>
    </w:rPr>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rPr>
      <w:rFonts w:ascii="Times New Roman" w:hAnsi="Times New Roman"/>
      <w:b/>
      <w:sz w:val="32"/>
      <w:u w:val="single"/>
    </w:rPr>
  </w:style>
  <w:style w:type="table" w:styleId="TableGrid">
    <w:name w:val="Table Grid"/>
    <w:basedOn w:val="TableNormal"/>
    <w:rsid w:val="00CB11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9F479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lang w:val="x-none" w:eastAsia="x-none"/>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 w:type="character" w:customStyle="1" w:styleId="Heading1Char">
    <w:name w:val="Heading 1 Char"/>
    <w:basedOn w:val="DefaultParagraphFont"/>
    <w:link w:val="Heading1"/>
    <w:rsid w:val="00C57848"/>
    <w:rPr>
      <w:rFonts w:ascii="Book Antiqua" w:hAnsi="Book Antiqua"/>
      <w:b/>
      <w:sz w:val="24"/>
      <w:u w:val="single"/>
    </w:rPr>
  </w:style>
  <w:style w:type="character" w:customStyle="1" w:styleId="HeaderChar">
    <w:name w:val="Header Char"/>
    <w:basedOn w:val="DefaultParagraphFont"/>
    <w:link w:val="Header"/>
    <w:rsid w:val="00C96D37"/>
    <w:rPr>
      <w:rFonts w:ascii="Book Antiqua" w:hAnsi="Book Antiqua"/>
      <w:sz w:val="24"/>
    </w:rPr>
  </w:style>
  <w:style w:type="character" w:styleId="Hyperlink">
    <w:name w:val="Hyperlink"/>
    <w:basedOn w:val="DefaultParagraphFont"/>
    <w:rsid w:val="00025F35"/>
    <w:rPr>
      <w:color w:val="0000FF" w:themeColor="hyperlink"/>
      <w:u w:val="single"/>
    </w:rPr>
  </w:style>
  <w:style w:type="paragraph" w:styleId="NoSpacing">
    <w:name w:val="No Spacing"/>
    <w:uiPriority w:val="1"/>
    <w:qFormat/>
    <w:rsid w:val="00D04ED2"/>
    <w:pPr>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14140786">
      <w:bodyDiv w:val="1"/>
      <w:marLeft w:val="0"/>
      <w:marRight w:val="0"/>
      <w:marTop w:val="0"/>
      <w:marBottom w:val="0"/>
      <w:divBdr>
        <w:top w:val="none" w:sz="0" w:space="0" w:color="auto"/>
        <w:left w:val="none" w:sz="0" w:space="0" w:color="auto"/>
        <w:bottom w:val="none" w:sz="0" w:space="0" w:color="auto"/>
        <w:right w:val="none" w:sz="0" w:space="0" w:color="auto"/>
      </w:divBdr>
    </w:div>
    <w:div w:id="350882580">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www.puc.pa.gov" TargetMode="Externa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473B3-6D3F-4C20-806B-5CC5416F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13</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Administrator</cp:lastModifiedBy>
  <cp:revision>76</cp:revision>
  <cp:lastPrinted>2017-03-02T19:48:00Z</cp:lastPrinted>
  <dcterms:created xsi:type="dcterms:W3CDTF">2017-02-08T16:46:00Z</dcterms:created>
  <dcterms:modified xsi:type="dcterms:W3CDTF">2017-03-06T12:46:00Z</dcterms:modified>
</cp:coreProperties>
</file>