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EA" w:rsidRPr="0034784E" w:rsidRDefault="00EC58EA">
      <w:pPr>
        <w:jc w:val="both"/>
        <w:rPr>
          <w:rFonts w:ascii="Arial" w:hAnsi="Arial" w:cs="Arial"/>
          <w:sz w:val="28"/>
        </w:rPr>
      </w:pPr>
    </w:p>
    <w:p w:rsidR="005A1010" w:rsidRPr="0034784E" w:rsidRDefault="005A1010">
      <w:pPr>
        <w:jc w:val="both"/>
        <w:rPr>
          <w:rFonts w:ascii="Arial" w:hAnsi="Arial" w:cs="Arial"/>
          <w:sz w:val="28"/>
        </w:rPr>
      </w:pPr>
    </w:p>
    <w:p w:rsidR="005A1010" w:rsidRPr="0034784E" w:rsidRDefault="005A1010">
      <w:pPr>
        <w:jc w:val="both"/>
        <w:rPr>
          <w:rFonts w:ascii="Arial" w:hAnsi="Arial" w:cs="Arial"/>
          <w:sz w:val="28"/>
        </w:rPr>
      </w:pPr>
    </w:p>
    <w:p w:rsidR="005A1010" w:rsidRPr="0034784E" w:rsidRDefault="005A1010">
      <w:pPr>
        <w:jc w:val="both"/>
        <w:rPr>
          <w:rFonts w:ascii="Arial" w:hAnsi="Arial" w:cs="Arial"/>
          <w:sz w:val="28"/>
        </w:rPr>
      </w:pPr>
    </w:p>
    <w:p w:rsidR="005A1010" w:rsidRPr="0034784E" w:rsidRDefault="005A1010">
      <w:pPr>
        <w:jc w:val="both"/>
        <w:rPr>
          <w:rFonts w:ascii="Arial" w:hAnsi="Arial" w:cs="Arial"/>
          <w:sz w:val="28"/>
        </w:rPr>
      </w:pPr>
    </w:p>
    <w:p w:rsidR="008016CC" w:rsidRPr="0034784E" w:rsidRDefault="008016CC">
      <w:pPr>
        <w:jc w:val="both"/>
        <w:rPr>
          <w:rFonts w:ascii="Arial" w:hAnsi="Arial" w:cs="Arial"/>
          <w:sz w:val="28"/>
        </w:rPr>
      </w:pPr>
    </w:p>
    <w:p w:rsidR="008016CC" w:rsidRPr="0034784E" w:rsidRDefault="008016CC">
      <w:pPr>
        <w:jc w:val="both"/>
        <w:rPr>
          <w:rFonts w:ascii="Arial" w:hAnsi="Arial" w:cs="Arial"/>
          <w:sz w:val="28"/>
        </w:rPr>
      </w:pPr>
    </w:p>
    <w:p w:rsidR="00EC58EA" w:rsidRPr="00C20F64" w:rsidRDefault="00EC58EA">
      <w:pPr>
        <w:tabs>
          <w:tab w:val="center" w:pos="4680"/>
        </w:tabs>
        <w:jc w:val="center"/>
        <w:outlineLvl w:val="0"/>
        <w:rPr>
          <w:rFonts w:ascii="Arial" w:hAnsi="Arial" w:cs="Arial"/>
          <w:b/>
          <w:sz w:val="36"/>
          <w:szCs w:val="36"/>
        </w:rPr>
      </w:pPr>
      <w:r w:rsidRPr="00C20F64">
        <w:rPr>
          <w:rFonts w:ascii="Arial" w:hAnsi="Arial" w:cs="Arial"/>
          <w:b/>
          <w:sz w:val="36"/>
          <w:szCs w:val="36"/>
        </w:rPr>
        <w:t>PHILADELPHIA GAS WORKS</w:t>
      </w:r>
    </w:p>
    <w:p w:rsidR="00EC58EA" w:rsidRPr="002774E4" w:rsidRDefault="00EC58EA">
      <w:pPr>
        <w:tabs>
          <w:tab w:val="left" w:pos="-720"/>
        </w:tabs>
        <w:jc w:val="both"/>
        <w:rPr>
          <w:rFonts w:ascii="Arial" w:hAnsi="Arial" w:cs="Arial"/>
          <w:b/>
          <w:sz w:val="28"/>
          <w:szCs w:val="28"/>
        </w:rPr>
      </w:pPr>
    </w:p>
    <w:p w:rsidR="00EC58EA" w:rsidRPr="00E365CC" w:rsidRDefault="00EC58EA">
      <w:pPr>
        <w:tabs>
          <w:tab w:val="left" w:pos="-720"/>
        </w:tabs>
        <w:jc w:val="both"/>
        <w:rPr>
          <w:rFonts w:ascii="Arial" w:hAnsi="Arial" w:cs="Arial"/>
          <w:b/>
          <w:sz w:val="28"/>
          <w:szCs w:val="28"/>
          <w:highlight w:val="lightGray"/>
        </w:rPr>
      </w:pPr>
    </w:p>
    <w:p w:rsidR="00EC58EA" w:rsidRPr="00E365CC" w:rsidRDefault="00EC58EA">
      <w:pPr>
        <w:tabs>
          <w:tab w:val="left" w:pos="-720"/>
        </w:tabs>
        <w:jc w:val="both"/>
        <w:rPr>
          <w:rFonts w:ascii="Arial" w:hAnsi="Arial" w:cs="Arial"/>
          <w:b/>
          <w:sz w:val="28"/>
          <w:szCs w:val="28"/>
          <w:highlight w:val="lightGray"/>
        </w:rPr>
      </w:pPr>
    </w:p>
    <w:p w:rsidR="00EC58EA" w:rsidRDefault="00EC58EA">
      <w:pPr>
        <w:tabs>
          <w:tab w:val="left" w:pos="-720"/>
        </w:tabs>
        <w:jc w:val="both"/>
        <w:rPr>
          <w:rFonts w:ascii="Arial" w:hAnsi="Arial" w:cs="Arial"/>
          <w:b/>
          <w:sz w:val="28"/>
          <w:szCs w:val="28"/>
          <w:highlight w:val="lightGray"/>
        </w:rPr>
      </w:pPr>
    </w:p>
    <w:p w:rsidR="00C20F64" w:rsidRDefault="00C20F64">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A86FDF" w:rsidRDefault="00A86FDF" w:rsidP="00795B0B">
      <w:pPr>
        <w:tabs>
          <w:tab w:val="center" w:pos="4680"/>
        </w:tabs>
        <w:spacing w:line="188" w:lineRule="atLeast"/>
        <w:jc w:val="center"/>
        <w:outlineLvl w:val="0"/>
        <w:rPr>
          <w:rFonts w:ascii="Arial" w:hAnsi="Arial" w:cs="Arial"/>
          <w:b/>
          <w:sz w:val="28"/>
          <w:szCs w:val="28"/>
        </w:rPr>
      </w:pPr>
    </w:p>
    <w:p w:rsidR="00795B0B" w:rsidRPr="00976A67" w:rsidRDefault="00EC58EA" w:rsidP="00795B0B">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A REPORT ON </w:t>
      </w:r>
      <w:r w:rsidR="00976A67" w:rsidRPr="00976A67">
        <w:rPr>
          <w:rFonts w:ascii="Arial" w:hAnsi="Arial" w:cs="Arial"/>
          <w:b/>
          <w:sz w:val="28"/>
          <w:szCs w:val="28"/>
        </w:rPr>
        <w:t>THE</w:t>
      </w:r>
      <w:r w:rsidR="005A1010">
        <w:rPr>
          <w:rFonts w:ascii="Arial" w:hAnsi="Arial" w:cs="Arial"/>
          <w:b/>
          <w:sz w:val="28"/>
          <w:szCs w:val="28"/>
        </w:rPr>
        <w:t xml:space="preserve"> STATEMENTS OF </w:t>
      </w:r>
    </w:p>
    <w:p w:rsidR="00976A67" w:rsidRPr="007E3C85" w:rsidRDefault="00976A67" w:rsidP="00795B0B">
      <w:pPr>
        <w:tabs>
          <w:tab w:val="center" w:pos="4680"/>
        </w:tabs>
        <w:spacing w:line="188" w:lineRule="atLeast"/>
        <w:jc w:val="center"/>
        <w:outlineLvl w:val="0"/>
        <w:rPr>
          <w:rFonts w:ascii="Arial" w:hAnsi="Arial" w:cs="Arial"/>
          <w:b/>
          <w:szCs w:val="28"/>
        </w:rPr>
      </w:pPr>
    </w:p>
    <w:p w:rsidR="00A86FDF" w:rsidRDefault="00A86FDF" w:rsidP="00A86FDF">
      <w:pPr>
        <w:tabs>
          <w:tab w:val="center" w:pos="4680"/>
        </w:tabs>
        <w:spacing w:line="188" w:lineRule="atLeast"/>
        <w:jc w:val="center"/>
        <w:outlineLvl w:val="0"/>
        <w:rPr>
          <w:rFonts w:ascii="Arial" w:hAnsi="Arial" w:cs="Arial"/>
          <w:b/>
          <w:sz w:val="28"/>
          <w:szCs w:val="28"/>
        </w:rPr>
      </w:pPr>
      <w:r>
        <w:rPr>
          <w:rFonts w:ascii="Arial" w:hAnsi="Arial" w:cs="Arial"/>
          <w:b/>
          <w:sz w:val="28"/>
          <w:szCs w:val="28"/>
        </w:rPr>
        <w:t>OTHER POST EMPLOYMENT BENEFIT SURCHARGE</w:t>
      </w:r>
    </w:p>
    <w:p w:rsidR="005764F7" w:rsidRDefault="005764F7" w:rsidP="005764F7">
      <w:pPr>
        <w:tabs>
          <w:tab w:val="center" w:pos="4680"/>
        </w:tabs>
        <w:spacing w:line="188" w:lineRule="atLeast"/>
        <w:jc w:val="center"/>
        <w:outlineLvl w:val="0"/>
        <w:rPr>
          <w:rFonts w:ascii="Arial" w:hAnsi="Arial" w:cs="Arial"/>
          <w:b/>
          <w:sz w:val="28"/>
          <w:szCs w:val="28"/>
        </w:rPr>
      </w:pPr>
    </w:p>
    <w:p w:rsidR="005764F7" w:rsidRDefault="005764F7" w:rsidP="005764F7">
      <w:pPr>
        <w:tabs>
          <w:tab w:val="center" w:pos="4680"/>
        </w:tabs>
        <w:spacing w:line="188" w:lineRule="atLeast"/>
        <w:jc w:val="center"/>
        <w:outlineLvl w:val="0"/>
        <w:rPr>
          <w:rFonts w:ascii="Arial" w:hAnsi="Arial" w:cs="Arial"/>
          <w:b/>
          <w:sz w:val="28"/>
          <w:szCs w:val="28"/>
        </w:rPr>
      </w:pPr>
      <w:r>
        <w:rPr>
          <w:rFonts w:ascii="Arial" w:hAnsi="Arial" w:cs="Arial"/>
          <w:b/>
          <w:sz w:val="28"/>
          <w:szCs w:val="28"/>
        </w:rPr>
        <w:t>OVER</w:t>
      </w:r>
      <w:proofErr w:type="gramStart"/>
      <w:r>
        <w:rPr>
          <w:rFonts w:ascii="Arial" w:hAnsi="Arial" w:cs="Arial"/>
          <w:b/>
          <w:sz w:val="28"/>
          <w:szCs w:val="28"/>
        </w:rPr>
        <w:t>/(</w:t>
      </w:r>
      <w:proofErr w:type="gramEnd"/>
      <w:r>
        <w:rPr>
          <w:rFonts w:ascii="Arial" w:hAnsi="Arial" w:cs="Arial"/>
          <w:b/>
          <w:sz w:val="28"/>
          <w:szCs w:val="28"/>
        </w:rPr>
        <w:t>UNDER) COLLECTIONS</w:t>
      </w:r>
      <w:r w:rsidRPr="000712BC">
        <w:rPr>
          <w:rFonts w:ascii="Arial" w:hAnsi="Arial" w:cs="Arial"/>
          <w:b/>
          <w:sz w:val="28"/>
          <w:szCs w:val="28"/>
        </w:rPr>
        <w:t xml:space="preserve"> </w:t>
      </w:r>
    </w:p>
    <w:p w:rsidR="00A86FDF" w:rsidRPr="005764F7" w:rsidRDefault="00A86FDF" w:rsidP="00A86FDF">
      <w:pPr>
        <w:tabs>
          <w:tab w:val="center" w:pos="4680"/>
        </w:tabs>
        <w:spacing w:line="188" w:lineRule="atLeast"/>
        <w:jc w:val="center"/>
        <w:outlineLvl w:val="0"/>
        <w:rPr>
          <w:rFonts w:ascii="Arial" w:hAnsi="Arial" w:cs="Arial"/>
          <w:b/>
          <w:sz w:val="28"/>
          <w:szCs w:val="28"/>
        </w:rPr>
      </w:pPr>
    </w:p>
    <w:p w:rsidR="00A30CD0" w:rsidRPr="000712BC"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FOR THE TWE</w:t>
      </w:r>
      <w:r w:rsidR="00A30CD0" w:rsidRPr="000712BC">
        <w:rPr>
          <w:rFonts w:ascii="Arial" w:hAnsi="Arial" w:cs="Arial"/>
          <w:b/>
          <w:sz w:val="28"/>
          <w:szCs w:val="28"/>
        </w:rPr>
        <w:t>LVE</w:t>
      </w:r>
      <w:r w:rsidRPr="000712BC">
        <w:rPr>
          <w:rFonts w:ascii="Arial" w:hAnsi="Arial" w:cs="Arial"/>
          <w:b/>
          <w:sz w:val="28"/>
          <w:szCs w:val="28"/>
        </w:rPr>
        <w:t xml:space="preserve"> MONTH</w:t>
      </w:r>
      <w:r w:rsidR="00274650">
        <w:rPr>
          <w:rFonts w:ascii="Arial" w:hAnsi="Arial" w:cs="Arial"/>
          <w:b/>
          <w:sz w:val="28"/>
          <w:szCs w:val="28"/>
        </w:rPr>
        <w:t xml:space="preserve"> PERIOD</w:t>
      </w:r>
      <w:r w:rsidR="0033185A">
        <w:rPr>
          <w:rFonts w:ascii="Arial" w:hAnsi="Arial" w:cs="Arial"/>
          <w:b/>
          <w:sz w:val="28"/>
          <w:szCs w:val="28"/>
        </w:rPr>
        <w:t>S</w:t>
      </w:r>
      <w:r w:rsidRPr="000712BC">
        <w:rPr>
          <w:rFonts w:ascii="Arial" w:hAnsi="Arial" w:cs="Arial"/>
          <w:b/>
          <w:sz w:val="28"/>
          <w:szCs w:val="28"/>
        </w:rPr>
        <w:t xml:space="preserve"> ENDED</w:t>
      </w:r>
    </w:p>
    <w:p w:rsidR="00A30CD0" w:rsidRPr="005764F7" w:rsidRDefault="00A30CD0">
      <w:pPr>
        <w:tabs>
          <w:tab w:val="center" w:pos="4680"/>
        </w:tabs>
        <w:spacing w:line="188" w:lineRule="atLeast"/>
        <w:jc w:val="center"/>
        <w:outlineLvl w:val="0"/>
        <w:rPr>
          <w:rFonts w:ascii="Arial" w:hAnsi="Arial" w:cs="Arial"/>
          <w:b/>
          <w:sz w:val="28"/>
          <w:szCs w:val="28"/>
        </w:rPr>
      </w:pPr>
    </w:p>
    <w:p w:rsidR="00EC58EA" w:rsidRDefault="00413406">
      <w:pPr>
        <w:tabs>
          <w:tab w:val="center" w:pos="4680"/>
        </w:tabs>
        <w:spacing w:line="188" w:lineRule="atLeast"/>
        <w:jc w:val="center"/>
        <w:outlineLvl w:val="0"/>
        <w:rPr>
          <w:rFonts w:ascii="Arial" w:hAnsi="Arial" w:cs="Arial"/>
          <w:b/>
          <w:sz w:val="28"/>
          <w:szCs w:val="28"/>
        </w:rPr>
      </w:pPr>
      <w:r>
        <w:rPr>
          <w:rFonts w:ascii="Arial" w:hAnsi="Arial" w:cs="Arial"/>
          <w:b/>
          <w:sz w:val="28"/>
          <w:szCs w:val="28"/>
        </w:rPr>
        <w:t>AUGUST 31, 201</w:t>
      </w:r>
      <w:r w:rsidR="004C38AB">
        <w:rPr>
          <w:rFonts w:ascii="Arial" w:hAnsi="Arial" w:cs="Arial"/>
          <w:b/>
          <w:sz w:val="28"/>
          <w:szCs w:val="28"/>
        </w:rPr>
        <w:t>4 AND AUGUST 31, 2013</w:t>
      </w:r>
      <w:r w:rsidR="00A846B4" w:rsidRPr="000712BC">
        <w:rPr>
          <w:rFonts w:ascii="Arial" w:hAnsi="Arial" w:cs="Arial"/>
          <w:b/>
          <w:sz w:val="28"/>
          <w:szCs w:val="28"/>
        </w:rPr>
        <w:t xml:space="preserve"> </w:t>
      </w:r>
    </w:p>
    <w:p w:rsidR="00EC58EA" w:rsidRPr="0034784E" w:rsidRDefault="00EC58EA">
      <w:pPr>
        <w:tabs>
          <w:tab w:val="center" w:pos="4680"/>
        </w:tabs>
        <w:spacing w:line="188" w:lineRule="atLeast"/>
        <w:jc w:val="both"/>
        <w:rPr>
          <w:rFonts w:ascii="Arial" w:hAnsi="Arial" w:cs="Arial"/>
          <w:b/>
          <w:sz w:val="28"/>
          <w:szCs w:val="24"/>
        </w:rPr>
      </w:pPr>
    </w:p>
    <w:p w:rsidR="00EC58EA" w:rsidRPr="0034784E" w:rsidRDefault="00EC58EA">
      <w:pPr>
        <w:tabs>
          <w:tab w:val="left" w:pos="-720"/>
        </w:tabs>
        <w:spacing w:line="188" w:lineRule="atLeast"/>
        <w:jc w:val="both"/>
        <w:rPr>
          <w:rFonts w:ascii="Arial" w:hAnsi="Arial" w:cs="Arial"/>
          <w:b/>
          <w:sz w:val="28"/>
          <w:highlight w:val="lightGray"/>
          <w:u w:val="single"/>
        </w:rPr>
      </w:pPr>
    </w:p>
    <w:p w:rsidR="00EC58EA" w:rsidRPr="0034784E" w:rsidRDefault="00EC58EA">
      <w:pPr>
        <w:tabs>
          <w:tab w:val="left" w:pos="-720"/>
        </w:tabs>
        <w:spacing w:line="188" w:lineRule="atLeast"/>
        <w:jc w:val="both"/>
        <w:rPr>
          <w:rFonts w:ascii="Arial" w:hAnsi="Arial" w:cs="Arial"/>
          <w:b/>
          <w:sz w:val="28"/>
          <w:highlight w:val="lightGray"/>
          <w:u w:val="single"/>
        </w:rPr>
      </w:pPr>
    </w:p>
    <w:p w:rsidR="00EC58EA" w:rsidRPr="0034784E" w:rsidRDefault="00EC58EA">
      <w:pPr>
        <w:tabs>
          <w:tab w:val="left" w:pos="-720"/>
        </w:tabs>
        <w:spacing w:line="188" w:lineRule="atLeast"/>
        <w:jc w:val="both"/>
        <w:rPr>
          <w:rFonts w:ascii="Arial" w:hAnsi="Arial" w:cs="Arial"/>
          <w:b/>
          <w:sz w:val="28"/>
          <w:highlight w:val="lightGray"/>
          <w:u w:val="single"/>
        </w:rPr>
      </w:pPr>
    </w:p>
    <w:p w:rsidR="00F73D95" w:rsidRPr="0034784E" w:rsidRDefault="00F73D95">
      <w:pPr>
        <w:tabs>
          <w:tab w:val="left" w:pos="-720"/>
        </w:tabs>
        <w:spacing w:line="188" w:lineRule="atLeast"/>
        <w:jc w:val="both"/>
        <w:rPr>
          <w:rFonts w:ascii="Arial" w:hAnsi="Arial" w:cs="Arial"/>
          <w:b/>
          <w:sz w:val="28"/>
          <w:highlight w:val="lightGray"/>
          <w:u w:val="single"/>
        </w:rPr>
      </w:pPr>
    </w:p>
    <w:p w:rsidR="007E3C85" w:rsidRPr="0034784E" w:rsidRDefault="007E3C85">
      <w:pPr>
        <w:tabs>
          <w:tab w:val="left" w:pos="-720"/>
        </w:tabs>
        <w:spacing w:line="188" w:lineRule="atLeast"/>
        <w:jc w:val="both"/>
        <w:rPr>
          <w:rFonts w:ascii="Arial" w:hAnsi="Arial" w:cs="Arial"/>
          <w:b/>
          <w:sz w:val="28"/>
          <w:highlight w:val="lightGray"/>
          <w:u w:val="single"/>
        </w:rPr>
      </w:pPr>
    </w:p>
    <w:p w:rsidR="002C5E34" w:rsidRPr="0034784E" w:rsidRDefault="002C5E34">
      <w:pPr>
        <w:tabs>
          <w:tab w:val="left" w:pos="-720"/>
        </w:tabs>
        <w:spacing w:line="188" w:lineRule="atLeast"/>
        <w:jc w:val="both"/>
        <w:rPr>
          <w:rFonts w:ascii="Arial" w:hAnsi="Arial" w:cs="Arial"/>
          <w:b/>
          <w:sz w:val="28"/>
          <w:highlight w:val="lightGray"/>
          <w:u w:val="single"/>
        </w:rPr>
      </w:pPr>
    </w:p>
    <w:p w:rsidR="00380DEF" w:rsidRDefault="00380DEF" w:rsidP="00380DEF">
      <w:pPr>
        <w:tabs>
          <w:tab w:val="center" w:pos="4680"/>
        </w:tabs>
        <w:spacing w:line="188" w:lineRule="atLeast"/>
        <w:outlineLvl w:val="0"/>
        <w:rPr>
          <w:rFonts w:ascii="Arial" w:hAnsi="Arial" w:cs="Arial"/>
          <w:b/>
          <w:sz w:val="28"/>
        </w:rPr>
      </w:pPr>
      <w:r>
        <w:rPr>
          <w:rFonts w:ascii="Arial" w:hAnsi="Arial" w:cs="Arial"/>
          <w:b/>
          <w:sz w:val="28"/>
        </w:rPr>
        <w:tab/>
      </w:r>
    </w:p>
    <w:p w:rsidR="00A86FDF" w:rsidRDefault="00A86FDF" w:rsidP="00380DEF">
      <w:pPr>
        <w:tabs>
          <w:tab w:val="center" w:pos="4680"/>
        </w:tabs>
        <w:spacing w:line="188" w:lineRule="atLeast"/>
        <w:outlineLvl w:val="0"/>
        <w:rPr>
          <w:rFonts w:ascii="Arial" w:hAnsi="Arial" w:cs="Arial"/>
          <w:b/>
          <w:sz w:val="28"/>
        </w:rPr>
      </w:pPr>
    </w:p>
    <w:p w:rsidR="00380DEF" w:rsidRDefault="00380DEF" w:rsidP="00380DEF">
      <w:pPr>
        <w:tabs>
          <w:tab w:val="center" w:pos="4680"/>
        </w:tabs>
        <w:spacing w:line="188" w:lineRule="atLeast"/>
        <w:outlineLvl w:val="0"/>
        <w:rPr>
          <w:rFonts w:ascii="Arial" w:hAnsi="Arial" w:cs="Arial"/>
          <w:b/>
          <w:sz w:val="28"/>
        </w:rPr>
      </w:pPr>
    </w:p>
    <w:p w:rsidR="00EC58EA" w:rsidRPr="00E365CC" w:rsidRDefault="00380DEF" w:rsidP="00380DEF">
      <w:pPr>
        <w:tabs>
          <w:tab w:val="center" w:pos="4680"/>
        </w:tabs>
        <w:spacing w:line="188" w:lineRule="atLeast"/>
        <w:outlineLvl w:val="0"/>
        <w:rPr>
          <w:rFonts w:ascii="Arial" w:hAnsi="Arial" w:cs="Arial"/>
          <w:b/>
          <w:sz w:val="28"/>
        </w:rPr>
      </w:pPr>
      <w:r>
        <w:rPr>
          <w:rFonts w:ascii="Arial" w:hAnsi="Arial" w:cs="Arial"/>
          <w:b/>
          <w:sz w:val="28"/>
        </w:rPr>
        <w:tab/>
      </w:r>
      <w:r w:rsidR="00EC58EA"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smartTag w:uri="urn:schemas-microsoft-com:office:smarttags" w:element="State">
        <w:smartTag w:uri="urn:schemas-microsoft-com:office:smarttags" w:element="place">
          <w:r w:rsidRPr="00E365CC">
            <w:rPr>
              <w:rFonts w:ascii="Arial" w:hAnsi="Arial" w:cs="Arial"/>
              <w:b/>
              <w:sz w:val="28"/>
            </w:rPr>
            <w:t>Pennsylvania</w:t>
          </w:r>
        </w:smartTag>
      </w:smartTag>
      <w:r w:rsidRPr="00E365CC">
        <w:rPr>
          <w:rFonts w:ascii="Arial" w:hAnsi="Arial" w:cs="Arial"/>
          <w:b/>
          <w:sz w:val="28"/>
        </w:rPr>
        <w:t xml:space="preserve">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EC58EA" w:rsidRPr="00E365CC" w:rsidRDefault="00BE6D81">
      <w:pPr>
        <w:tabs>
          <w:tab w:val="center" w:pos="4680"/>
        </w:tabs>
        <w:spacing w:line="188" w:lineRule="atLeast"/>
        <w:jc w:val="center"/>
        <w:rPr>
          <w:rFonts w:ascii="Arial" w:hAnsi="Arial" w:cs="Arial"/>
          <w:b/>
          <w:sz w:val="28"/>
        </w:rPr>
      </w:pPr>
      <w:r>
        <w:rPr>
          <w:rFonts w:ascii="Arial" w:hAnsi="Arial" w:cs="Arial"/>
          <w:b/>
          <w:sz w:val="28"/>
        </w:rPr>
        <w:t>Report Date:</w:t>
      </w:r>
      <w:r w:rsidR="009877A5">
        <w:rPr>
          <w:rFonts w:ascii="Arial" w:hAnsi="Arial" w:cs="Arial"/>
          <w:b/>
          <w:sz w:val="28"/>
        </w:rPr>
        <w:t xml:space="preserve">  </w:t>
      </w:r>
      <w:r w:rsidR="00FA38E8">
        <w:rPr>
          <w:rFonts w:ascii="Arial" w:hAnsi="Arial" w:cs="Arial"/>
          <w:b/>
          <w:sz w:val="28"/>
        </w:rPr>
        <w:t>February</w:t>
      </w:r>
      <w:r w:rsidR="009877A5">
        <w:rPr>
          <w:rFonts w:ascii="Arial" w:hAnsi="Arial" w:cs="Arial"/>
          <w:b/>
          <w:sz w:val="28"/>
        </w:rPr>
        <w:t xml:space="preserve"> </w:t>
      </w:r>
      <w:r w:rsidR="00E04EE0">
        <w:rPr>
          <w:rFonts w:ascii="Arial" w:hAnsi="Arial" w:cs="Arial"/>
          <w:b/>
          <w:sz w:val="28"/>
        </w:rPr>
        <w:t>27</w:t>
      </w:r>
      <w:r w:rsidR="009877A5">
        <w:rPr>
          <w:rFonts w:ascii="Arial" w:hAnsi="Arial" w:cs="Arial"/>
          <w:b/>
          <w:sz w:val="28"/>
        </w:rPr>
        <w:t>, 201</w:t>
      </w:r>
      <w:r w:rsidR="00AE4886">
        <w:rPr>
          <w:rFonts w:ascii="Arial" w:hAnsi="Arial" w:cs="Arial"/>
          <w:b/>
          <w:sz w:val="28"/>
        </w:rPr>
        <w:t>7</w:t>
      </w:r>
      <w:r w:rsidR="001A5617">
        <w:rPr>
          <w:rFonts w:ascii="Arial" w:hAnsi="Arial" w:cs="Arial"/>
          <w:b/>
          <w:sz w:val="28"/>
        </w:rPr>
        <w:t xml:space="preserve"> </w:t>
      </w:r>
    </w:p>
    <w:p w:rsidR="00EC58EA" w:rsidRPr="00E365CC" w:rsidRDefault="00EC58EA">
      <w:pPr>
        <w:tabs>
          <w:tab w:val="center" w:pos="4680"/>
        </w:tabs>
        <w:spacing w:line="188" w:lineRule="atLeast"/>
        <w:jc w:val="center"/>
        <w:rPr>
          <w:rFonts w:ascii="Arial" w:hAnsi="Arial" w:cs="Arial"/>
          <w:b/>
          <w:sz w:val="28"/>
          <w:highlight w:val="lightGray"/>
        </w:rPr>
      </w:pPr>
    </w:p>
    <w:p w:rsidR="002627D0" w:rsidRPr="00554E01" w:rsidRDefault="00EC58EA" w:rsidP="00554E01">
      <w:pPr>
        <w:tabs>
          <w:tab w:val="center" w:pos="4680"/>
        </w:tabs>
        <w:spacing w:line="188" w:lineRule="atLeast"/>
        <w:jc w:val="center"/>
        <w:rPr>
          <w:rFonts w:ascii="Arial" w:hAnsi="Arial" w:cs="Arial"/>
          <w:b/>
          <w:sz w:val="28"/>
        </w:rPr>
        <w:sectPr w:rsidR="002627D0" w:rsidRPr="00554E01" w:rsidSect="009B54DF">
          <w:headerReference w:type="even" r:id="rId9"/>
          <w:headerReference w:type="default" r:id="rId10"/>
          <w:footerReference w:type="default" r:id="rId11"/>
          <w:headerReference w:type="first" r:id="rId12"/>
          <w:footerReference w:type="first" r:id="rId13"/>
          <w:type w:val="oddPage"/>
          <w:pgSz w:w="12240" w:h="15840" w:code="1"/>
          <w:pgMar w:top="1440" w:right="1440" w:bottom="1152" w:left="1440" w:header="0" w:footer="720" w:gutter="0"/>
          <w:pgNumType w:start="1"/>
          <w:cols w:space="720"/>
          <w:noEndnote/>
          <w:titlePg/>
          <w:docGrid w:linePitch="272"/>
        </w:sectPr>
      </w:pPr>
      <w:r w:rsidRPr="00051545">
        <w:rPr>
          <w:rFonts w:ascii="Arial" w:hAnsi="Arial" w:cs="Arial"/>
          <w:b/>
          <w:sz w:val="28"/>
        </w:rPr>
        <w:t>Docket No. D-</w:t>
      </w:r>
      <w:r w:rsidR="00051545" w:rsidRPr="00051545">
        <w:rPr>
          <w:rFonts w:ascii="Arial" w:hAnsi="Arial" w:cs="Arial"/>
          <w:b/>
          <w:sz w:val="28"/>
        </w:rPr>
        <w:t>20</w:t>
      </w:r>
      <w:r w:rsidR="00436990">
        <w:rPr>
          <w:rFonts w:ascii="Arial" w:hAnsi="Arial" w:cs="Arial"/>
          <w:b/>
          <w:sz w:val="28"/>
        </w:rPr>
        <w:t>1</w:t>
      </w:r>
      <w:r w:rsidR="00DF04F7">
        <w:rPr>
          <w:rFonts w:ascii="Arial" w:hAnsi="Arial" w:cs="Arial"/>
          <w:b/>
          <w:sz w:val="28"/>
        </w:rPr>
        <w:t>5</w:t>
      </w:r>
      <w:r w:rsidR="00554E01">
        <w:rPr>
          <w:rFonts w:ascii="Arial" w:hAnsi="Arial" w:cs="Arial"/>
          <w:b/>
          <w:sz w:val="28"/>
        </w:rPr>
        <w:t>-2</w:t>
      </w:r>
      <w:r w:rsidR="00DF04F7">
        <w:rPr>
          <w:rFonts w:ascii="Arial" w:hAnsi="Arial" w:cs="Arial"/>
          <w:b/>
          <w:sz w:val="28"/>
        </w:rPr>
        <w:t>49486</w:t>
      </w:r>
      <w:r w:rsidR="00A86FDF">
        <w:rPr>
          <w:rFonts w:ascii="Arial" w:hAnsi="Arial" w:cs="Arial"/>
          <w:b/>
          <w:sz w:val="28"/>
        </w:rPr>
        <w:t>4</w:t>
      </w:r>
    </w:p>
    <w:p w:rsidR="00107286" w:rsidRPr="007C5FC1" w:rsidRDefault="00107286" w:rsidP="00107286">
      <w:pPr>
        <w:jc w:val="center"/>
        <w:outlineLvl w:val="0"/>
        <w:rPr>
          <w:rFonts w:ascii="Arial" w:hAnsi="Arial" w:cs="Arial"/>
          <w:b/>
          <w:sz w:val="28"/>
          <w:szCs w:val="28"/>
        </w:rPr>
      </w:pPr>
      <w:r w:rsidRPr="007C5FC1">
        <w:rPr>
          <w:rFonts w:ascii="Arial" w:hAnsi="Arial" w:cs="Arial"/>
          <w:b/>
          <w:sz w:val="28"/>
          <w:szCs w:val="28"/>
        </w:rPr>
        <w:lastRenderedPageBreak/>
        <w:t>PHILADELPHIA GAS WORKS</w:t>
      </w:r>
    </w:p>
    <w:p w:rsidR="00107286" w:rsidRPr="00051545" w:rsidRDefault="00107286" w:rsidP="00107286">
      <w:pPr>
        <w:jc w:val="center"/>
        <w:rPr>
          <w:rFonts w:ascii="Arial" w:hAnsi="Arial" w:cs="Arial"/>
          <w:b/>
          <w:sz w:val="24"/>
          <w:u w:val="single"/>
        </w:rPr>
      </w:pPr>
    </w:p>
    <w:p w:rsidR="00107286" w:rsidRPr="00B12E37" w:rsidRDefault="00107286" w:rsidP="00107286">
      <w:pPr>
        <w:jc w:val="center"/>
        <w:outlineLvl w:val="0"/>
        <w:rPr>
          <w:rFonts w:ascii="Arial" w:hAnsi="Arial" w:cs="Arial"/>
          <w:b/>
          <w:sz w:val="26"/>
          <w:szCs w:val="26"/>
        </w:rPr>
      </w:pPr>
      <w:r w:rsidRPr="005A6517">
        <w:rPr>
          <w:rFonts w:ascii="Arial" w:hAnsi="Arial" w:cs="Arial"/>
          <w:b/>
          <w:sz w:val="26"/>
          <w:szCs w:val="26"/>
        </w:rPr>
        <w:t>Table of Contents</w:t>
      </w:r>
    </w:p>
    <w:tbl>
      <w:tblPr>
        <w:tblW w:w="10075" w:type="dxa"/>
        <w:jc w:val="center"/>
        <w:tblLayout w:type="fixed"/>
        <w:tblLook w:val="01E0" w:firstRow="1" w:lastRow="1" w:firstColumn="1" w:lastColumn="1" w:noHBand="0" w:noVBand="0"/>
      </w:tblPr>
      <w:tblGrid>
        <w:gridCol w:w="718"/>
        <w:gridCol w:w="8190"/>
        <w:gridCol w:w="270"/>
        <w:gridCol w:w="897"/>
      </w:tblGrid>
      <w:tr w:rsidR="00107286" w:rsidRPr="00051545" w:rsidTr="00116687">
        <w:trPr>
          <w:jc w:val="center"/>
        </w:trPr>
        <w:tc>
          <w:tcPr>
            <w:tcW w:w="8908" w:type="dxa"/>
            <w:gridSpan w:val="2"/>
          </w:tcPr>
          <w:p w:rsidR="00107286" w:rsidRPr="00051545" w:rsidRDefault="00107286" w:rsidP="00116687">
            <w:pPr>
              <w:tabs>
                <w:tab w:val="left" w:pos="-720"/>
                <w:tab w:val="left" w:pos="8640"/>
              </w:tabs>
              <w:jc w:val="both"/>
              <w:outlineLvl w:val="0"/>
              <w:rPr>
                <w:rFonts w:ascii="Arial" w:hAnsi="Arial" w:cs="Arial"/>
                <w:b/>
                <w:sz w:val="26"/>
                <w:szCs w:val="26"/>
                <w:u w:val="single"/>
              </w:rPr>
            </w:pPr>
          </w:p>
        </w:tc>
        <w:tc>
          <w:tcPr>
            <w:tcW w:w="270" w:type="dxa"/>
          </w:tcPr>
          <w:p w:rsidR="00107286" w:rsidRPr="00051545" w:rsidRDefault="00107286" w:rsidP="00116687">
            <w:pPr>
              <w:tabs>
                <w:tab w:val="left" w:pos="-720"/>
                <w:tab w:val="left" w:pos="8640"/>
              </w:tabs>
              <w:jc w:val="both"/>
              <w:outlineLvl w:val="0"/>
              <w:rPr>
                <w:rFonts w:ascii="Arial" w:hAnsi="Arial" w:cs="Arial"/>
                <w:sz w:val="26"/>
                <w:szCs w:val="26"/>
              </w:rPr>
            </w:pPr>
          </w:p>
        </w:tc>
        <w:tc>
          <w:tcPr>
            <w:tcW w:w="897" w:type="dxa"/>
          </w:tcPr>
          <w:p w:rsidR="00107286" w:rsidRPr="00265970" w:rsidRDefault="00107286" w:rsidP="00116687">
            <w:pPr>
              <w:tabs>
                <w:tab w:val="left" w:pos="-720"/>
                <w:tab w:val="left" w:pos="8640"/>
              </w:tabs>
              <w:jc w:val="both"/>
              <w:outlineLvl w:val="0"/>
              <w:rPr>
                <w:rFonts w:ascii="Arial" w:hAnsi="Arial" w:cs="Arial"/>
                <w:b/>
                <w:sz w:val="24"/>
                <w:szCs w:val="24"/>
                <w:u w:val="single"/>
              </w:rPr>
            </w:pPr>
            <w:r w:rsidRPr="00265970">
              <w:rPr>
                <w:rFonts w:ascii="Arial" w:hAnsi="Arial" w:cs="Arial"/>
                <w:b/>
                <w:sz w:val="24"/>
                <w:szCs w:val="24"/>
                <w:u w:val="single"/>
              </w:rPr>
              <w:t>Page</w:t>
            </w:r>
          </w:p>
        </w:tc>
      </w:tr>
      <w:tr w:rsidR="00107286" w:rsidRPr="00B12E37" w:rsidTr="00116687">
        <w:trPr>
          <w:jc w:val="center"/>
        </w:trPr>
        <w:tc>
          <w:tcPr>
            <w:tcW w:w="8908" w:type="dxa"/>
            <w:gridSpan w:val="2"/>
          </w:tcPr>
          <w:p w:rsidR="00107286" w:rsidRPr="007C5FC1" w:rsidRDefault="00107286" w:rsidP="00116687">
            <w:pPr>
              <w:tabs>
                <w:tab w:val="left" w:pos="-720"/>
                <w:tab w:val="left" w:pos="8640"/>
              </w:tabs>
              <w:jc w:val="both"/>
              <w:outlineLvl w:val="0"/>
              <w:rPr>
                <w:rFonts w:ascii="Arial" w:hAnsi="Arial" w:cs="Arial"/>
                <w:sz w:val="24"/>
                <w:szCs w:val="24"/>
              </w:rPr>
            </w:pPr>
            <w:r w:rsidRPr="007C5FC1">
              <w:rPr>
                <w:rFonts w:ascii="Arial" w:hAnsi="Arial" w:cs="Arial"/>
                <w:b/>
                <w:sz w:val="24"/>
                <w:szCs w:val="24"/>
              </w:rPr>
              <w:t>FINANCIAL REVIEW</w:t>
            </w:r>
          </w:p>
        </w:tc>
        <w:tc>
          <w:tcPr>
            <w:tcW w:w="270" w:type="dxa"/>
          </w:tcPr>
          <w:p w:rsidR="00107286" w:rsidRPr="00B12E37" w:rsidRDefault="00107286" w:rsidP="00116687">
            <w:pPr>
              <w:tabs>
                <w:tab w:val="left" w:pos="-720"/>
                <w:tab w:val="left" w:pos="8640"/>
              </w:tabs>
              <w:jc w:val="both"/>
              <w:outlineLvl w:val="0"/>
              <w:rPr>
                <w:rFonts w:ascii="Arial" w:hAnsi="Arial" w:cs="Arial"/>
                <w:sz w:val="26"/>
                <w:szCs w:val="26"/>
              </w:rPr>
            </w:pPr>
          </w:p>
        </w:tc>
        <w:tc>
          <w:tcPr>
            <w:tcW w:w="897" w:type="dxa"/>
          </w:tcPr>
          <w:p w:rsidR="00107286" w:rsidRPr="00B12E37" w:rsidRDefault="00107286" w:rsidP="00116687">
            <w:pPr>
              <w:tabs>
                <w:tab w:val="left" w:pos="-720"/>
                <w:tab w:val="left" w:pos="8640"/>
              </w:tabs>
              <w:jc w:val="both"/>
              <w:outlineLvl w:val="0"/>
              <w:rPr>
                <w:rFonts w:ascii="Arial" w:hAnsi="Arial" w:cs="Arial"/>
                <w:sz w:val="26"/>
                <w:szCs w:val="26"/>
              </w:rPr>
            </w:pPr>
          </w:p>
        </w:tc>
      </w:tr>
      <w:tr w:rsidR="00107286" w:rsidRPr="00D532E7" w:rsidTr="00116687">
        <w:trPr>
          <w:cantSplit/>
          <w:trHeight w:hRule="exact" w:val="297"/>
          <w:jc w:val="center"/>
        </w:trPr>
        <w:tc>
          <w:tcPr>
            <w:tcW w:w="718" w:type="dxa"/>
          </w:tcPr>
          <w:p w:rsidR="00107286" w:rsidRPr="00D532E7" w:rsidRDefault="00107286" w:rsidP="00116687">
            <w:pPr>
              <w:tabs>
                <w:tab w:val="left" w:pos="-720"/>
                <w:tab w:val="left" w:pos="8640"/>
              </w:tabs>
              <w:jc w:val="both"/>
              <w:outlineLvl w:val="0"/>
              <w:rPr>
                <w:rFonts w:ascii="Arial" w:hAnsi="Arial" w:cs="Arial"/>
                <w:sz w:val="24"/>
                <w:szCs w:val="26"/>
              </w:rPr>
            </w:pPr>
          </w:p>
        </w:tc>
        <w:tc>
          <w:tcPr>
            <w:tcW w:w="8190" w:type="dxa"/>
          </w:tcPr>
          <w:p w:rsidR="00107286" w:rsidRPr="00D532E7" w:rsidRDefault="00107286" w:rsidP="00116687">
            <w:pPr>
              <w:tabs>
                <w:tab w:val="left" w:pos="-720"/>
                <w:tab w:val="left" w:pos="8640"/>
              </w:tabs>
              <w:jc w:val="both"/>
              <w:outlineLvl w:val="0"/>
              <w:rPr>
                <w:rFonts w:ascii="Arial" w:hAnsi="Arial" w:cs="Arial"/>
                <w:sz w:val="24"/>
                <w:szCs w:val="26"/>
              </w:rPr>
            </w:pPr>
          </w:p>
        </w:tc>
        <w:tc>
          <w:tcPr>
            <w:tcW w:w="270" w:type="dxa"/>
          </w:tcPr>
          <w:p w:rsidR="00107286" w:rsidRPr="00D532E7" w:rsidRDefault="00107286" w:rsidP="00116687">
            <w:pPr>
              <w:tabs>
                <w:tab w:val="left" w:pos="-720"/>
                <w:tab w:val="left" w:pos="8640"/>
              </w:tabs>
              <w:jc w:val="both"/>
              <w:outlineLvl w:val="0"/>
              <w:rPr>
                <w:rFonts w:ascii="Arial" w:hAnsi="Arial" w:cs="Arial"/>
                <w:sz w:val="24"/>
                <w:szCs w:val="26"/>
              </w:rPr>
            </w:pPr>
          </w:p>
        </w:tc>
        <w:tc>
          <w:tcPr>
            <w:tcW w:w="897" w:type="dxa"/>
          </w:tcPr>
          <w:p w:rsidR="00107286" w:rsidRPr="00D532E7" w:rsidRDefault="00107286" w:rsidP="00116687">
            <w:pPr>
              <w:tabs>
                <w:tab w:val="left" w:pos="-720"/>
                <w:tab w:val="left" w:pos="8640"/>
              </w:tabs>
              <w:jc w:val="both"/>
              <w:outlineLvl w:val="0"/>
              <w:rPr>
                <w:rFonts w:ascii="Arial" w:hAnsi="Arial" w:cs="Arial"/>
                <w:sz w:val="24"/>
                <w:szCs w:val="26"/>
              </w:rPr>
            </w:pPr>
          </w:p>
        </w:tc>
      </w:tr>
      <w:tr w:rsidR="00107286" w:rsidRPr="00051545" w:rsidTr="00116687">
        <w:trPr>
          <w:jc w:val="center"/>
        </w:trPr>
        <w:tc>
          <w:tcPr>
            <w:tcW w:w="718" w:type="dxa"/>
          </w:tcPr>
          <w:p w:rsidR="00107286" w:rsidRPr="00051545" w:rsidRDefault="00107286" w:rsidP="00116687">
            <w:pPr>
              <w:tabs>
                <w:tab w:val="left" w:pos="-720"/>
                <w:tab w:val="left" w:pos="8640"/>
              </w:tabs>
              <w:jc w:val="both"/>
              <w:outlineLvl w:val="0"/>
              <w:rPr>
                <w:rFonts w:ascii="Arial" w:hAnsi="Arial" w:cs="Arial"/>
                <w:sz w:val="26"/>
                <w:szCs w:val="26"/>
              </w:rPr>
            </w:pPr>
          </w:p>
        </w:tc>
        <w:tc>
          <w:tcPr>
            <w:tcW w:w="8190" w:type="dxa"/>
          </w:tcPr>
          <w:p w:rsidR="00107286" w:rsidRPr="00071ED0" w:rsidRDefault="00107286" w:rsidP="00116687">
            <w:pPr>
              <w:tabs>
                <w:tab w:val="left" w:pos="-720"/>
                <w:tab w:val="left" w:pos="8640"/>
              </w:tabs>
              <w:outlineLvl w:val="0"/>
              <w:rPr>
                <w:rFonts w:ascii="Arial" w:hAnsi="Arial" w:cs="Arial"/>
                <w:sz w:val="24"/>
                <w:szCs w:val="24"/>
              </w:rPr>
            </w:pPr>
            <w:r w:rsidRPr="00071ED0">
              <w:rPr>
                <w:rFonts w:ascii="Arial" w:hAnsi="Arial" w:cs="Arial"/>
                <w:sz w:val="24"/>
                <w:szCs w:val="24"/>
              </w:rPr>
              <w:t>Independent Auditor's Report</w:t>
            </w:r>
          </w:p>
        </w:tc>
        <w:tc>
          <w:tcPr>
            <w:tcW w:w="270" w:type="dxa"/>
          </w:tcPr>
          <w:p w:rsidR="00107286" w:rsidRPr="00071ED0" w:rsidRDefault="00107286" w:rsidP="00116687">
            <w:pPr>
              <w:tabs>
                <w:tab w:val="left" w:pos="-720"/>
                <w:tab w:val="left" w:pos="8640"/>
              </w:tabs>
              <w:jc w:val="both"/>
              <w:outlineLvl w:val="0"/>
              <w:rPr>
                <w:rFonts w:ascii="Arial" w:hAnsi="Arial" w:cs="Arial"/>
                <w:sz w:val="24"/>
                <w:szCs w:val="24"/>
              </w:rPr>
            </w:pPr>
          </w:p>
        </w:tc>
        <w:tc>
          <w:tcPr>
            <w:tcW w:w="897" w:type="dxa"/>
          </w:tcPr>
          <w:p w:rsidR="00107286" w:rsidRPr="00071ED0" w:rsidRDefault="00107286" w:rsidP="00116687">
            <w:pPr>
              <w:tabs>
                <w:tab w:val="left" w:pos="-720"/>
                <w:tab w:val="left" w:pos="8640"/>
              </w:tabs>
              <w:jc w:val="center"/>
              <w:outlineLvl w:val="0"/>
              <w:rPr>
                <w:rFonts w:ascii="Arial" w:hAnsi="Arial" w:cs="Arial"/>
                <w:sz w:val="24"/>
                <w:szCs w:val="24"/>
              </w:rPr>
            </w:pPr>
            <w:r>
              <w:rPr>
                <w:rFonts w:ascii="Arial" w:hAnsi="Arial" w:cs="Arial"/>
                <w:sz w:val="24"/>
                <w:szCs w:val="24"/>
              </w:rPr>
              <w:t>1</w:t>
            </w:r>
          </w:p>
        </w:tc>
      </w:tr>
      <w:tr w:rsidR="00107286" w:rsidRPr="00D532E7" w:rsidTr="00116687">
        <w:trPr>
          <w:cantSplit/>
          <w:trHeight w:hRule="exact" w:val="252"/>
          <w:jc w:val="center"/>
        </w:trPr>
        <w:tc>
          <w:tcPr>
            <w:tcW w:w="718" w:type="dxa"/>
          </w:tcPr>
          <w:p w:rsidR="00107286" w:rsidRPr="00D532E7" w:rsidRDefault="00107286" w:rsidP="00116687">
            <w:pPr>
              <w:tabs>
                <w:tab w:val="left" w:pos="-720"/>
                <w:tab w:val="left" w:pos="8640"/>
              </w:tabs>
              <w:jc w:val="both"/>
              <w:outlineLvl w:val="0"/>
              <w:rPr>
                <w:rFonts w:ascii="Arial" w:hAnsi="Arial" w:cs="Arial"/>
                <w:sz w:val="24"/>
                <w:szCs w:val="18"/>
              </w:rPr>
            </w:pPr>
          </w:p>
        </w:tc>
        <w:tc>
          <w:tcPr>
            <w:tcW w:w="8190" w:type="dxa"/>
          </w:tcPr>
          <w:p w:rsidR="00107286" w:rsidRPr="00D532E7" w:rsidRDefault="00107286" w:rsidP="00116687">
            <w:pPr>
              <w:tabs>
                <w:tab w:val="left" w:pos="-720"/>
                <w:tab w:val="left" w:pos="8640"/>
              </w:tabs>
              <w:jc w:val="both"/>
              <w:outlineLvl w:val="0"/>
              <w:rPr>
                <w:rFonts w:ascii="Arial" w:hAnsi="Arial" w:cs="Arial"/>
                <w:sz w:val="24"/>
                <w:szCs w:val="24"/>
              </w:rPr>
            </w:pPr>
          </w:p>
        </w:tc>
        <w:tc>
          <w:tcPr>
            <w:tcW w:w="270" w:type="dxa"/>
          </w:tcPr>
          <w:p w:rsidR="00107286" w:rsidRPr="00D532E7" w:rsidRDefault="00107286" w:rsidP="00116687">
            <w:pPr>
              <w:tabs>
                <w:tab w:val="left" w:pos="-720"/>
                <w:tab w:val="left" w:pos="8640"/>
              </w:tabs>
              <w:jc w:val="both"/>
              <w:outlineLvl w:val="0"/>
              <w:rPr>
                <w:rFonts w:ascii="Arial" w:hAnsi="Arial" w:cs="Arial"/>
                <w:sz w:val="24"/>
                <w:szCs w:val="24"/>
              </w:rPr>
            </w:pPr>
          </w:p>
        </w:tc>
        <w:tc>
          <w:tcPr>
            <w:tcW w:w="897" w:type="dxa"/>
          </w:tcPr>
          <w:p w:rsidR="00107286" w:rsidRPr="00D532E7" w:rsidRDefault="00107286" w:rsidP="00116687">
            <w:pPr>
              <w:tabs>
                <w:tab w:val="left" w:pos="-720"/>
                <w:tab w:val="left" w:pos="8640"/>
              </w:tabs>
              <w:jc w:val="both"/>
              <w:outlineLvl w:val="0"/>
              <w:rPr>
                <w:rFonts w:ascii="Arial" w:hAnsi="Arial" w:cs="Arial"/>
                <w:sz w:val="24"/>
                <w:szCs w:val="24"/>
              </w:rPr>
            </w:pPr>
          </w:p>
        </w:tc>
      </w:tr>
      <w:tr w:rsidR="00107286" w:rsidRPr="00051545" w:rsidTr="00116687">
        <w:trPr>
          <w:jc w:val="center"/>
        </w:trPr>
        <w:tc>
          <w:tcPr>
            <w:tcW w:w="718" w:type="dxa"/>
          </w:tcPr>
          <w:p w:rsidR="00107286" w:rsidRPr="00051545" w:rsidRDefault="00107286" w:rsidP="00116687">
            <w:pPr>
              <w:tabs>
                <w:tab w:val="left" w:pos="-720"/>
                <w:tab w:val="left" w:pos="8640"/>
              </w:tabs>
              <w:jc w:val="both"/>
              <w:outlineLvl w:val="0"/>
              <w:rPr>
                <w:rFonts w:ascii="Arial" w:hAnsi="Arial" w:cs="Arial"/>
                <w:sz w:val="26"/>
                <w:szCs w:val="26"/>
              </w:rPr>
            </w:pPr>
          </w:p>
        </w:tc>
        <w:tc>
          <w:tcPr>
            <w:tcW w:w="8190" w:type="dxa"/>
          </w:tcPr>
          <w:p w:rsidR="00107286" w:rsidRDefault="00107286" w:rsidP="00116687">
            <w:pPr>
              <w:tabs>
                <w:tab w:val="left" w:pos="-720"/>
                <w:tab w:val="left" w:pos="8640"/>
              </w:tabs>
              <w:outlineLvl w:val="0"/>
              <w:rPr>
                <w:rFonts w:ascii="Arial" w:hAnsi="Arial" w:cs="Arial"/>
                <w:sz w:val="24"/>
                <w:szCs w:val="24"/>
              </w:rPr>
            </w:pPr>
            <w:r>
              <w:rPr>
                <w:rFonts w:ascii="Arial" w:hAnsi="Arial" w:cs="Arial"/>
                <w:sz w:val="24"/>
                <w:szCs w:val="24"/>
              </w:rPr>
              <w:t xml:space="preserve">Statement Of Other Post Employment Benefit (OPEB) Surcharge </w:t>
            </w:r>
          </w:p>
          <w:p w:rsidR="00107286" w:rsidRPr="00071ED0" w:rsidRDefault="00107286" w:rsidP="00116687">
            <w:pPr>
              <w:tabs>
                <w:tab w:val="left" w:pos="-720"/>
                <w:tab w:val="left" w:pos="8640"/>
              </w:tabs>
              <w:outlineLvl w:val="0"/>
              <w:rPr>
                <w:rFonts w:ascii="Arial" w:hAnsi="Arial" w:cs="Arial"/>
                <w:sz w:val="24"/>
                <w:szCs w:val="24"/>
              </w:rPr>
            </w:pPr>
            <w:r>
              <w:rPr>
                <w:rFonts w:ascii="Arial" w:hAnsi="Arial" w:cs="Arial"/>
                <w:sz w:val="24"/>
                <w:szCs w:val="24"/>
              </w:rPr>
              <w:t>Over/(Under) Collections</w:t>
            </w:r>
            <w:r w:rsidRPr="00C26B95">
              <w:rPr>
                <w:rFonts w:ascii="Arial" w:hAnsi="Arial" w:cs="Arial"/>
                <w:sz w:val="24"/>
                <w:szCs w:val="24"/>
              </w:rPr>
              <w:t xml:space="preserve"> </w:t>
            </w:r>
            <w:r w:rsidRPr="00AA0CFA">
              <w:rPr>
                <w:rFonts w:ascii="Arial" w:hAnsi="Arial" w:cs="Arial"/>
                <w:sz w:val="24"/>
                <w:szCs w:val="24"/>
              </w:rPr>
              <w:t>(Section 1307(</w:t>
            </w:r>
            <w:r>
              <w:rPr>
                <w:rFonts w:ascii="Arial" w:hAnsi="Arial" w:cs="Arial"/>
                <w:sz w:val="24"/>
                <w:szCs w:val="24"/>
              </w:rPr>
              <w:t>f</w:t>
            </w:r>
            <w:r w:rsidRPr="00AA0CFA">
              <w:rPr>
                <w:rFonts w:ascii="Arial" w:hAnsi="Arial" w:cs="Arial"/>
                <w:sz w:val="24"/>
                <w:szCs w:val="24"/>
              </w:rPr>
              <w:t xml:space="preserve">)) </w:t>
            </w:r>
            <w:r>
              <w:rPr>
                <w:rFonts w:ascii="Arial" w:hAnsi="Arial" w:cs="Arial"/>
                <w:sz w:val="24"/>
                <w:szCs w:val="24"/>
              </w:rPr>
              <w:t xml:space="preserve">For The Twelve Months </w:t>
            </w:r>
            <w:r w:rsidRPr="00071ED0">
              <w:rPr>
                <w:rFonts w:ascii="Arial" w:hAnsi="Arial" w:cs="Arial"/>
                <w:sz w:val="24"/>
                <w:szCs w:val="24"/>
              </w:rPr>
              <w:t>Ended August 31, 20</w:t>
            </w:r>
            <w:r>
              <w:rPr>
                <w:rFonts w:ascii="Arial" w:hAnsi="Arial" w:cs="Arial"/>
                <w:sz w:val="24"/>
                <w:szCs w:val="24"/>
              </w:rPr>
              <w:t xml:space="preserve">14 </w:t>
            </w:r>
          </w:p>
        </w:tc>
        <w:tc>
          <w:tcPr>
            <w:tcW w:w="270" w:type="dxa"/>
          </w:tcPr>
          <w:p w:rsidR="00107286" w:rsidRPr="00071ED0" w:rsidRDefault="00107286" w:rsidP="00116687">
            <w:pPr>
              <w:tabs>
                <w:tab w:val="left" w:pos="-720"/>
                <w:tab w:val="left" w:pos="8640"/>
              </w:tabs>
              <w:jc w:val="both"/>
              <w:outlineLvl w:val="0"/>
              <w:rPr>
                <w:rFonts w:ascii="Arial" w:hAnsi="Arial" w:cs="Arial"/>
                <w:sz w:val="24"/>
                <w:szCs w:val="24"/>
              </w:rPr>
            </w:pPr>
          </w:p>
        </w:tc>
        <w:tc>
          <w:tcPr>
            <w:tcW w:w="897" w:type="dxa"/>
          </w:tcPr>
          <w:p w:rsidR="00107286" w:rsidRPr="00071ED0" w:rsidRDefault="00107286" w:rsidP="00116687">
            <w:pPr>
              <w:tabs>
                <w:tab w:val="left" w:pos="-720"/>
                <w:tab w:val="left" w:pos="8640"/>
              </w:tabs>
              <w:jc w:val="both"/>
              <w:outlineLvl w:val="0"/>
              <w:rPr>
                <w:rFonts w:ascii="Arial" w:hAnsi="Arial" w:cs="Arial"/>
                <w:sz w:val="24"/>
                <w:szCs w:val="24"/>
              </w:rPr>
            </w:pPr>
          </w:p>
          <w:p w:rsidR="00107286" w:rsidRDefault="00107286" w:rsidP="00116687">
            <w:pPr>
              <w:tabs>
                <w:tab w:val="left" w:pos="-720"/>
                <w:tab w:val="left" w:pos="8640"/>
              </w:tabs>
              <w:jc w:val="center"/>
              <w:outlineLvl w:val="0"/>
              <w:rPr>
                <w:rFonts w:ascii="Arial" w:hAnsi="Arial" w:cs="Arial"/>
                <w:sz w:val="24"/>
                <w:szCs w:val="24"/>
              </w:rPr>
            </w:pPr>
          </w:p>
          <w:p w:rsidR="00107286" w:rsidRPr="00071ED0" w:rsidRDefault="002742AE" w:rsidP="00116687">
            <w:pPr>
              <w:tabs>
                <w:tab w:val="left" w:pos="-720"/>
                <w:tab w:val="left" w:pos="8640"/>
              </w:tabs>
              <w:jc w:val="center"/>
              <w:outlineLvl w:val="0"/>
              <w:rPr>
                <w:rFonts w:ascii="Arial" w:hAnsi="Arial" w:cs="Arial"/>
                <w:sz w:val="24"/>
                <w:szCs w:val="24"/>
              </w:rPr>
            </w:pPr>
            <w:r>
              <w:rPr>
                <w:rFonts w:ascii="Arial" w:hAnsi="Arial" w:cs="Arial"/>
                <w:sz w:val="24"/>
                <w:szCs w:val="24"/>
              </w:rPr>
              <w:t>3</w:t>
            </w:r>
          </w:p>
        </w:tc>
      </w:tr>
      <w:tr w:rsidR="00107286" w:rsidRPr="00D532E7" w:rsidTr="00116687">
        <w:trPr>
          <w:jc w:val="center"/>
        </w:trPr>
        <w:tc>
          <w:tcPr>
            <w:tcW w:w="718" w:type="dxa"/>
          </w:tcPr>
          <w:p w:rsidR="00107286" w:rsidRPr="00D532E7" w:rsidRDefault="00107286" w:rsidP="00116687">
            <w:pPr>
              <w:tabs>
                <w:tab w:val="left" w:pos="-720"/>
                <w:tab w:val="left" w:pos="8640"/>
              </w:tabs>
              <w:jc w:val="both"/>
              <w:outlineLvl w:val="0"/>
              <w:rPr>
                <w:rFonts w:ascii="Arial" w:hAnsi="Arial" w:cs="Arial"/>
                <w:sz w:val="24"/>
                <w:szCs w:val="26"/>
              </w:rPr>
            </w:pPr>
          </w:p>
        </w:tc>
        <w:tc>
          <w:tcPr>
            <w:tcW w:w="8190" w:type="dxa"/>
          </w:tcPr>
          <w:p w:rsidR="00107286" w:rsidRPr="00D532E7" w:rsidRDefault="00107286" w:rsidP="00116687">
            <w:pPr>
              <w:tabs>
                <w:tab w:val="left" w:pos="-720"/>
                <w:tab w:val="left" w:pos="8640"/>
              </w:tabs>
              <w:outlineLvl w:val="0"/>
              <w:rPr>
                <w:rFonts w:ascii="Arial" w:hAnsi="Arial" w:cs="Arial"/>
                <w:sz w:val="24"/>
                <w:szCs w:val="24"/>
              </w:rPr>
            </w:pPr>
          </w:p>
        </w:tc>
        <w:tc>
          <w:tcPr>
            <w:tcW w:w="270" w:type="dxa"/>
          </w:tcPr>
          <w:p w:rsidR="00107286" w:rsidRPr="00D532E7" w:rsidRDefault="00107286" w:rsidP="00116687">
            <w:pPr>
              <w:tabs>
                <w:tab w:val="left" w:pos="-720"/>
                <w:tab w:val="left" w:pos="8640"/>
              </w:tabs>
              <w:jc w:val="both"/>
              <w:outlineLvl w:val="0"/>
              <w:rPr>
                <w:rFonts w:ascii="Arial" w:hAnsi="Arial" w:cs="Arial"/>
                <w:sz w:val="24"/>
                <w:szCs w:val="24"/>
              </w:rPr>
            </w:pPr>
          </w:p>
        </w:tc>
        <w:tc>
          <w:tcPr>
            <w:tcW w:w="897" w:type="dxa"/>
          </w:tcPr>
          <w:p w:rsidR="00107286" w:rsidRPr="00D532E7" w:rsidRDefault="00107286" w:rsidP="00116687">
            <w:pPr>
              <w:tabs>
                <w:tab w:val="left" w:pos="-720"/>
                <w:tab w:val="left" w:pos="8640"/>
              </w:tabs>
              <w:jc w:val="both"/>
              <w:outlineLvl w:val="0"/>
              <w:rPr>
                <w:rFonts w:ascii="Arial" w:hAnsi="Arial" w:cs="Arial"/>
                <w:sz w:val="24"/>
                <w:szCs w:val="24"/>
              </w:rPr>
            </w:pPr>
          </w:p>
        </w:tc>
      </w:tr>
      <w:tr w:rsidR="00107286" w:rsidRPr="00D532E7" w:rsidTr="00116687">
        <w:trPr>
          <w:jc w:val="center"/>
        </w:trPr>
        <w:tc>
          <w:tcPr>
            <w:tcW w:w="718" w:type="dxa"/>
          </w:tcPr>
          <w:p w:rsidR="00107286" w:rsidRPr="00D532E7" w:rsidRDefault="00107286" w:rsidP="00116687">
            <w:pPr>
              <w:tabs>
                <w:tab w:val="left" w:pos="-720"/>
                <w:tab w:val="left" w:pos="8640"/>
              </w:tabs>
              <w:jc w:val="both"/>
              <w:outlineLvl w:val="0"/>
              <w:rPr>
                <w:rFonts w:ascii="Arial" w:hAnsi="Arial" w:cs="Arial"/>
                <w:sz w:val="24"/>
                <w:szCs w:val="26"/>
              </w:rPr>
            </w:pPr>
          </w:p>
        </w:tc>
        <w:tc>
          <w:tcPr>
            <w:tcW w:w="8190" w:type="dxa"/>
          </w:tcPr>
          <w:p w:rsidR="00107286" w:rsidRDefault="00107286" w:rsidP="00116687">
            <w:pPr>
              <w:tabs>
                <w:tab w:val="left" w:pos="-720"/>
                <w:tab w:val="left" w:pos="8640"/>
              </w:tabs>
              <w:outlineLvl w:val="0"/>
              <w:rPr>
                <w:rFonts w:ascii="Arial" w:hAnsi="Arial" w:cs="Arial"/>
                <w:sz w:val="24"/>
                <w:szCs w:val="24"/>
              </w:rPr>
            </w:pPr>
            <w:r>
              <w:rPr>
                <w:rFonts w:ascii="Arial" w:hAnsi="Arial" w:cs="Arial"/>
                <w:sz w:val="24"/>
                <w:szCs w:val="24"/>
              </w:rPr>
              <w:t xml:space="preserve">Statement Of </w:t>
            </w:r>
            <w:r w:rsidR="00055CCA">
              <w:rPr>
                <w:rFonts w:ascii="Arial" w:hAnsi="Arial" w:cs="Arial"/>
                <w:sz w:val="24"/>
                <w:szCs w:val="24"/>
              </w:rPr>
              <w:t xml:space="preserve">Other Post Employment Benefit (OPEB) </w:t>
            </w:r>
            <w:r>
              <w:rPr>
                <w:rFonts w:ascii="Arial" w:hAnsi="Arial" w:cs="Arial"/>
                <w:sz w:val="24"/>
                <w:szCs w:val="24"/>
              </w:rPr>
              <w:t xml:space="preserve"> Surcharge </w:t>
            </w:r>
          </w:p>
          <w:p w:rsidR="00107286" w:rsidRPr="00D532E7" w:rsidRDefault="00107286" w:rsidP="00116687">
            <w:pPr>
              <w:tabs>
                <w:tab w:val="left" w:pos="-720"/>
                <w:tab w:val="left" w:pos="8640"/>
              </w:tabs>
              <w:outlineLvl w:val="0"/>
              <w:rPr>
                <w:rFonts w:ascii="Arial" w:hAnsi="Arial" w:cs="Arial"/>
                <w:sz w:val="24"/>
                <w:szCs w:val="24"/>
              </w:rPr>
            </w:pPr>
            <w:r>
              <w:rPr>
                <w:rFonts w:ascii="Arial" w:hAnsi="Arial" w:cs="Arial"/>
                <w:sz w:val="24"/>
                <w:szCs w:val="24"/>
              </w:rPr>
              <w:t>Over/(Under) Collections</w:t>
            </w:r>
            <w:r w:rsidRPr="00C26B95">
              <w:rPr>
                <w:rFonts w:ascii="Arial" w:hAnsi="Arial" w:cs="Arial"/>
                <w:sz w:val="24"/>
                <w:szCs w:val="24"/>
              </w:rPr>
              <w:t xml:space="preserve"> </w:t>
            </w:r>
            <w:r w:rsidRPr="00AA0CFA">
              <w:rPr>
                <w:rFonts w:ascii="Arial" w:hAnsi="Arial" w:cs="Arial"/>
                <w:sz w:val="24"/>
                <w:szCs w:val="24"/>
              </w:rPr>
              <w:t>(Section 1307(</w:t>
            </w:r>
            <w:r>
              <w:rPr>
                <w:rFonts w:ascii="Arial" w:hAnsi="Arial" w:cs="Arial"/>
                <w:sz w:val="24"/>
                <w:szCs w:val="24"/>
              </w:rPr>
              <w:t>f</w:t>
            </w:r>
            <w:r w:rsidRPr="00AA0CFA">
              <w:rPr>
                <w:rFonts w:ascii="Arial" w:hAnsi="Arial" w:cs="Arial"/>
                <w:sz w:val="24"/>
                <w:szCs w:val="24"/>
              </w:rPr>
              <w:t xml:space="preserve">)) </w:t>
            </w:r>
            <w:r>
              <w:rPr>
                <w:rFonts w:ascii="Arial" w:hAnsi="Arial" w:cs="Arial"/>
                <w:sz w:val="24"/>
                <w:szCs w:val="24"/>
              </w:rPr>
              <w:t xml:space="preserve">For The Twelve Months </w:t>
            </w:r>
            <w:r w:rsidRPr="00071ED0">
              <w:rPr>
                <w:rFonts w:ascii="Arial" w:hAnsi="Arial" w:cs="Arial"/>
                <w:sz w:val="24"/>
                <w:szCs w:val="24"/>
              </w:rPr>
              <w:t>Ended August 31, 20</w:t>
            </w:r>
            <w:r>
              <w:rPr>
                <w:rFonts w:ascii="Arial" w:hAnsi="Arial" w:cs="Arial"/>
                <w:sz w:val="24"/>
                <w:szCs w:val="24"/>
              </w:rPr>
              <w:t>13</w:t>
            </w:r>
          </w:p>
        </w:tc>
        <w:tc>
          <w:tcPr>
            <w:tcW w:w="270" w:type="dxa"/>
          </w:tcPr>
          <w:p w:rsidR="00107286" w:rsidRPr="00D532E7" w:rsidRDefault="00107286" w:rsidP="00116687">
            <w:pPr>
              <w:tabs>
                <w:tab w:val="left" w:pos="-720"/>
                <w:tab w:val="left" w:pos="8640"/>
              </w:tabs>
              <w:jc w:val="both"/>
              <w:outlineLvl w:val="0"/>
              <w:rPr>
                <w:rFonts w:ascii="Arial" w:hAnsi="Arial" w:cs="Arial"/>
                <w:sz w:val="24"/>
                <w:szCs w:val="24"/>
              </w:rPr>
            </w:pPr>
          </w:p>
        </w:tc>
        <w:tc>
          <w:tcPr>
            <w:tcW w:w="897" w:type="dxa"/>
          </w:tcPr>
          <w:p w:rsidR="00107286" w:rsidRDefault="00107286" w:rsidP="00116687">
            <w:pPr>
              <w:tabs>
                <w:tab w:val="left" w:pos="-720"/>
                <w:tab w:val="left" w:pos="8640"/>
              </w:tabs>
              <w:jc w:val="both"/>
              <w:outlineLvl w:val="0"/>
              <w:rPr>
                <w:rFonts w:ascii="Arial" w:hAnsi="Arial" w:cs="Arial"/>
                <w:sz w:val="24"/>
                <w:szCs w:val="24"/>
              </w:rPr>
            </w:pPr>
            <w:r>
              <w:rPr>
                <w:rFonts w:ascii="Arial" w:hAnsi="Arial" w:cs="Arial"/>
                <w:sz w:val="24"/>
                <w:szCs w:val="24"/>
              </w:rPr>
              <w:t xml:space="preserve">    </w:t>
            </w:r>
          </w:p>
          <w:p w:rsidR="00107286" w:rsidRDefault="00107286" w:rsidP="00116687">
            <w:pPr>
              <w:tabs>
                <w:tab w:val="left" w:pos="-720"/>
                <w:tab w:val="left" w:pos="8640"/>
              </w:tabs>
              <w:jc w:val="both"/>
              <w:outlineLvl w:val="0"/>
              <w:rPr>
                <w:rFonts w:ascii="Arial" w:hAnsi="Arial" w:cs="Arial"/>
                <w:sz w:val="24"/>
                <w:szCs w:val="24"/>
              </w:rPr>
            </w:pPr>
            <w:r>
              <w:rPr>
                <w:rFonts w:ascii="Arial" w:hAnsi="Arial" w:cs="Arial"/>
                <w:sz w:val="24"/>
                <w:szCs w:val="24"/>
              </w:rPr>
              <w:t xml:space="preserve">   </w:t>
            </w:r>
          </w:p>
          <w:p w:rsidR="00107286" w:rsidRPr="00D532E7" w:rsidRDefault="002742AE" w:rsidP="00116687">
            <w:pPr>
              <w:tabs>
                <w:tab w:val="left" w:pos="-720"/>
                <w:tab w:val="left" w:pos="8640"/>
              </w:tabs>
              <w:jc w:val="center"/>
              <w:outlineLvl w:val="0"/>
              <w:rPr>
                <w:rFonts w:ascii="Arial" w:hAnsi="Arial" w:cs="Arial"/>
                <w:sz w:val="24"/>
                <w:szCs w:val="24"/>
              </w:rPr>
            </w:pPr>
            <w:r>
              <w:rPr>
                <w:rFonts w:ascii="Arial" w:hAnsi="Arial" w:cs="Arial"/>
                <w:sz w:val="24"/>
                <w:szCs w:val="24"/>
              </w:rPr>
              <w:t>4</w:t>
            </w:r>
          </w:p>
        </w:tc>
      </w:tr>
      <w:tr w:rsidR="00107286" w:rsidRPr="00D532E7" w:rsidTr="00116687">
        <w:trPr>
          <w:jc w:val="center"/>
        </w:trPr>
        <w:tc>
          <w:tcPr>
            <w:tcW w:w="718" w:type="dxa"/>
          </w:tcPr>
          <w:p w:rsidR="00107286" w:rsidRPr="00D532E7" w:rsidRDefault="00107286" w:rsidP="00116687">
            <w:pPr>
              <w:tabs>
                <w:tab w:val="left" w:pos="-720"/>
                <w:tab w:val="left" w:pos="8640"/>
              </w:tabs>
              <w:jc w:val="both"/>
              <w:outlineLvl w:val="0"/>
              <w:rPr>
                <w:rFonts w:ascii="Arial" w:hAnsi="Arial" w:cs="Arial"/>
                <w:sz w:val="24"/>
                <w:szCs w:val="26"/>
              </w:rPr>
            </w:pPr>
          </w:p>
        </w:tc>
        <w:tc>
          <w:tcPr>
            <w:tcW w:w="8190" w:type="dxa"/>
          </w:tcPr>
          <w:p w:rsidR="00107286" w:rsidRPr="00D532E7" w:rsidRDefault="00107286" w:rsidP="00116687">
            <w:pPr>
              <w:tabs>
                <w:tab w:val="left" w:pos="-720"/>
                <w:tab w:val="left" w:pos="8640"/>
              </w:tabs>
              <w:outlineLvl w:val="0"/>
              <w:rPr>
                <w:rFonts w:ascii="Arial" w:hAnsi="Arial" w:cs="Arial"/>
                <w:sz w:val="24"/>
                <w:szCs w:val="24"/>
              </w:rPr>
            </w:pPr>
          </w:p>
        </w:tc>
        <w:tc>
          <w:tcPr>
            <w:tcW w:w="270" w:type="dxa"/>
          </w:tcPr>
          <w:p w:rsidR="00107286" w:rsidRPr="00D532E7" w:rsidRDefault="00107286" w:rsidP="00116687">
            <w:pPr>
              <w:tabs>
                <w:tab w:val="left" w:pos="-720"/>
                <w:tab w:val="left" w:pos="8640"/>
              </w:tabs>
              <w:jc w:val="both"/>
              <w:outlineLvl w:val="0"/>
              <w:rPr>
                <w:rFonts w:ascii="Arial" w:hAnsi="Arial" w:cs="Arial"/>
                <w:sz w:val="24"/>
                <w:szCs w:val="24"/>
              </w:rPr>
            </w:pPr>
          </w:p>
        </w:tc>
        <w:tc>
          <w:tcPr>
            <w:tcW w:w="897" w:type="dxa"/>
          </w:tcPr>
          <w:p w:rsidR="00107286" w:rsidRPr="00D532E7" w:rsidRDefault="00107286" w:rsidP="00116687">
            <w:pPr>
              <w:tabs>
                <w:tab w:val="left" w:pos="-720"/>
                <w:tab w:val="left" w:pos="8640"/>
              </w:tabs>
              <w:jc w:val="both"/>
              <w:outlineLvl w:val="0"/>
              <w:rPr>
                <w:rFonts w:ascii="Arial" w:hAnsi="Arial" w:cs="Arial"/>
                <w:sz w:val="24"/>
                <w:szCs w:val="24"/>
              </w:rPr>
            </w:pPr>
          </w:p>
        </w:tc>
      </w:tr>
      <w:tr w:rsidR="00107286" w:rsidRPr="00051545" w:rsidTr="00116687">
        <w:trPr>
          <w:cantSplit/>
          <w:trHeight w:hRule="exact" w:val="270"/>
          <w:jc w:val="center"/>
        </w:trPr>
        <w:tc>
          <w:tcPr>
            <w:tcW w:w="718" w:type="dxa"/>
          </w:tcPr>
          <w:p w:rsidR="00107286" w:rsidRPr="00D532E7" w:rsidRDefault="00107286" w:rsidP="00116687">
            <w:pPr>
              <w:tabs>
                <w:tab w:val="left" w:pos="-720"/>
                <w:tab w:val="left" w:pos="8640"/>
              </w:tabs>
              <w:jc w:val="both"/>
              <w:outlineLvl w:val="0"/>
              <w:rPr>
                <w:rFonts w:ascii="Arial" w:hAnsi="Arial" w:cs="Arial"/>
                <w:sz w:val="24"/>
                <w:szCs w:val="18"/>
              </w:rPr>
            </w:pPr>
          </w:p>
        </w:tc>
        <w:tc>
          <w:tcPr>
            <w:tcW w:w="8190" w:type="dxa"/>
          </w:tcPr>
          <w:p w:rsidR="00107286" w:rsidRPr="00071ED0" w:rsidRDefault="00107286" w:rsidP="00116687">
            <w:pPr>
              <w:tabs>
                <w:tab w:val="left" w:pos="-720"/>
                <w:tab w:val="left" w:pos="8640"/>
              </w:tabs>
              <w:outlineLvl w:val="0"/>
              <w:rPr>
                <w:rFonts w:ascii="Arial" w:hAnsi="Arial" w:cs="Arial"/>
                <w:sz w:val="24"/>
                <w:szCs w:val="24"/>
              </w:rPr>
            </w:pPr>
            <w:r w:rsidRPr="00071ED0">
              <w:rPr>
                <w:rFonts w:ascii="Arial" w:hAnsi="Arial" w:cs="Arial"/>
                <w:sz w:val="24"/>
                <w:szCs w:val="24"/>
              </w:rPr>
              <w:t>Notes To The Financial Statements</w:t>
            </w:r>
          </w:p>
        </w:tc>
        <w:tc>
          <w:tcPr>
            <w:tcW w:w="270" w:type="dxa"/>
          </w:tcPr>
          <w:p w:rsidR="00107286" w:rsidRPr="00071ED0" w:rsidRDefault="00107286" w:rsidP="00116687">
            <w:pPr>
              <w:tabs>
                <w:tab w:val="left" w:pos="-720"/>
                <w:tab w:val="left" w:pos="8640"/>
              </w:tabs>
              <w:jc w:val="both"/>
              <w:outlineLvl w:val="0"/>
              <w:rPr>
                <w:rFonts w:ascii="Arial" w:hAnsi="Arial" w:cs="Arial"/>
                <w:sz w:val="24"/>
                <w:szCs w:val="24"/>
              </w:rPr>
            </w:pPr>
          </w:p>
        </w:tc>
        <w:tc>
          <w:tcPr>
            <w:tcW w:w="897" w:type="dxa"/>
          </w:tcPr>
          <w:p w:rsidR="00107286" w:rsidRPr="00071ED0" w:rsidRDefault="002742AE" w:rsidP="00116687">
            <w:pPr>
              <w:tabs>
                <w:tab w:val="left" w:pos="-720"/>
                <w:tab w:val="left" w:pos="8640"/>
              </w:tabs>
              <w:jc w:val="center"/>
              <w:outlineLvl w:val="0"/>
              <w:rPr>
                <w:rFonts w:ascii="Arial" w:hAnsi="Arial" w:cs="Arial"/>
                <w:sz w:val="24"/>
                <w:szCs w:val="24"/>
              </w:rPr>
            </w:pPr>
            <w:r>
              <w:rPr>
                <w:rFonts w:ascii="Arial" w:hAnsi="Arial" w:cs="Arial"/>
                <w:sz w:val="24"/>
                <w:szCs w:val="24"/>
              </w:rPr>
              <w:t>5</w:t>
            </w:r>
          </w:p>
        </w:tc>
      </w:tr>
      <w:tr w:rsidR="00107286" w:rsidRPr="00733821" w:rsidTr="00116687">
        <w:trPr>
          <w:jc w:val="center"/>
        </w:trPr>
        <w:tc>
          <w:tcPr>
            <w:tcW w:w="718" w:type="dxa"/>
          </w:tcPr>
          <w:p w:rsidR="00107286" w:rsidRPr="00733821" w:rsidRDefault="00107286" w:rsidP="00116687">
            <w:pPr>
              <w:tabs>
                <w:tab w:val="left" w:pos="-720"/>
                <w:tab w:val="left" w:pos="8640"/>
              </w:tabs>
              <w:jc w:val="both"/>
              <w:outlineLvl w:val="0"/>
              <w:rPr>
                <w:rFonts w:ascii="Arial" w:hAnsi="Arial" w:cs="Arial"/>
                <w:sz w:val="24"/>
                <w:szCs w:val="26"/>
              </w:rPr>
            </w:pPr>
          </w:p>
        </w:tc>
        <w:tc>
          <w:tcPr>
            <w:tcW w:w="8190" w:type="dxa"/>
          </w:tcPr>
          <w:p w:rsidR="00107286" w:rsidRPr="00733821" w:rsidRDefault="00107286" w:rsidP="00116687">
            <w:pPr>
              <w:tabs>
                <w:tab w:val="left" w:pos="-720"/>
                <w:tab w:val="left" w:pos="8640"/>
              </w:tabs>
              <w:outlineLvl w:val="0"/>
              <w:rPr>
                <w:rFonts w:ascii="Arial" w:hAnsi="Arial" w:cs="Arial"/>
                <w:sz w:val="24"/>
                <w:szCs w:val="24"/>
              </w:rPr>
            </w:pPr>
          </w:p>
        </w:tc>
        <w:tc>
          <w:tcPr>
            <w:tcW w:w="270" w:type="dxa"/>
          </w:tcPr>
          <w:p w:rsidR="00107286" w:rsidRPr="00733821" w:rsidRDefault="00107286" w:rsidP="00116687">
            <w:pPr>
              <w:tabs>
                <w:tab w:val="left" w:pos="-720"/>
                <w:tab w:val="left" w:pos="8640"/>
              </w:tabs>
              <w:jc w:val="both"/>
              <w:outlineLvl w:val="0"/>
              <w:rPr>
                <w:rFonts w:ascii="Arial" w:hAnsi="Arial" w:cs="Arial"/>
                <w:sz w:val="24"/>
                <w:szCs w:val="24"/>
              </w:rPr>
            </w:pPr>
          </w:p>
        </w:tc>
        <w:tc>
          <w:tcPr>
            <w:tcW w:w="897" w:type="dxa"/>
          </w:tcPr>
          <w:p w:rsidR="00107286" w:rsidRPr="00733821" w:rsidRDefault="00107286" w:rsidP="00116687">
            <w:pPr>
              <w:tabs>
                <w:tab w:val="left" w:pos="-720"/>
                <w:tab w:val="left" w:pos="8640"/>
              </w:tabs>
              <w:jc w:val="both"/>
              <w:outlineLvl w:val="0"/>
              <w:rPr>
                <w:rFonts w:ascii="Arial" w:hAnsi="Arial" w:cs="Arial"/>
                <w:sz w:val="24"/>
                <w:szCs w:val="24"/>
              </w:rPr>
            </w:pPr>
          </w:p>
        </w:tc>
      </w:tr>
      <w:tr w:rsidR="00107286" w:rsidRPr="00B12E37" w:rsidTr="00116687">
        <w:trPr>
          <w:jc w:val="center"/>
        </w:trPr>
        <w:tc>
          <w:tcPr>
            <w:tcW w:w="8908" w:type="dxa"/>
            <w:gridSpan w:val="2"/>
          </w:tcPr>
          <w:p w:rsidR="00107286" w:rsidRPr="007C5FC1" w:rsidRDefault="00107286" w:rsidP="00116687">
            <w:pPr>
              <w:tabs>
                <w:tab w:val="left" w:pos="-720"/>
                <w:tab w:val="left" w:pos="8640"/>
              </w:tabs>
              <w:jc w:val="both"/>
              <w:outlineLvl w:val="0"/>
              <w:rPr>
                <w:rFonts w:ascii="Arial" w:hAnsi="Arial" w:cs="Arial"/>
                <w:sz w:val="24"/>
                <w:szCs w:val="24"/>
              </w:rPr>
            </w:pPr>
            <w:r w:rsidRPr="004D73A4">
              <w:rPr>
                <w:rFonts w:ascii="Arial" w:hAnsi="Arial" w:cs="Arial"/>
                <w:b/>
                <w:sz w:val="24"/>
                <w:szCs w:val="24"/>
              </w:rPr>
              <w:t>BACKGROUND AND OPERATIONAL REVIEW</w:t>
            </w:r>
          </w:p>
        </w:tc>
        <w:tc>
          <w:tcPr>
            <w:tcW w:w="270" w:type="dxa"/>
          </w:tcPr>
          <w:p w:rsidR="00107286" w:rsidRPr="00B12E37" w:rsidRDefault="00107286" w:rsidP="00116687">
            <w:pPr>
              <w:tabs>
                <w:tab w:val="left" w:pos="-720"/>
                <w:tab w:val="left" w:pos="8640"/>
              </w:tabs>
              <w:jc w:val="both"/>
              <w:outlineLvl w:val="0"/>
              <w:rPr>
                <w:rFonts w:ascii="Arial" w:hAnsi="Arial" w:cs="Arial"/>
                <w:sz w:val="26"/>
                <w:szCs w:val="26"/>
              </w:rPr>
            </w:pPr>
          </w:p>
        </w:tc>
        <w:tc>
          <w:tcPr>
            <w:tcW w:w="897" w:type="dxa"/>
          </w:tcPr>
          <w:p w:rsidR="00107286" w:rsidRPr="00057300" w:rsidRDefault="00107286" w:rsidP="00116687">
            <w:pPr>
              <w:tabs>
                <w:tab w:val="left" w:pos="-720"/>
                <w:tab w:val="left" w:pos="8640"/>
              </w:tabs>
              <w:jc w:val="center"/>
              <w:outlineLvl w:val="0"/>
              <w:rPr>
                <w:rFonts w:ascii="Arial" w:hAnsi="Arial" w:cs="Arial"/>
                <w:sz w:val="24"/>
                <w:szCs w:val="24"/>
              </w:rPr>
            </w:pPr>
          </w:p>
        </w:tc>
      </w:tr>
      <w:tr w:rsidR="00107286" w:rsidRPr="00051545" w:rsidTr="00116687">
        <w:trPr>
          <w:jc w:val="center"/>
        </w:trPr>
        <w:tc>
          <w:tcPr>
            <w:tcW w:w="718" w:type="dxa"/>
          </w:tcPr>
          <w:p w:rsidR="00107286" w:rsidRPr="00D532E7" w:rsidRDefault="00107286" w:rsidP="00116687">
            <w:pPr>
              <w:tabs>
                <w:tab w:val="left" w:pos="-720"/>
                <w:tab w:val="left" w:pos="8640"/>
              </w:tabs>
              <w:jc w:val="both"/>
              <w:outlineLvl w:val="0"/>
              <w:rPr>
                <w:rFonts w:ascii="Arial" w:hAnsi="Arial" w:cs="Arial"/>
                <w:sz w:val="24"/>
                <w:szCs w:val="18"/>
              </w:rPr>
            </w:pPr>
          </w:p>
        </w:tc>
        <w:tc>
          <w:tcPr>
            <w:tcW w:w="8190" w:type="dxa"/>
          </w:tcPr>
          <w:p w:rsidR="00107286" w:rsidRPr="00071ED0" w:rsidRDefault="00107286" w:rsidP="00116687">
            <w:pPr>
              <w:tabs>
                <w:tab w:val="left" w:pos="-720"/>
                <w:tab w:val="left" w:pos="8640"/>
              </w:tabs>
              <w:jc w:val="both"/>
              <w:outlineLvl w:val="0"/>
              <w:rPr>
                <w:rFonts w:ascii="Arial" w:hAnsi="Arial" w:cs="Arial"/>
                <w:sz w:val="24"/>
                <w:szCs w:val="24"/>
              </w:rPr>
            </w:pPr>
          </w:p>
        </w:tc>
        <w:tc>
          <w:tcPr>
            <w:tcW w:w="270" w:type="dxa"/>
          </w:tcPr>
          <w:p w:rsidR="00107286" w:rsidRPr="00071ED0" w:rsidRDefault="00107286" w:rsidP="00116687">
            <w:pPr>
              <w:tabs>
                <w:tab w:val="left" w:pos="-720"/>
                <w:tab w:val="left" w:pos="8640"/>
              </w:tabs>
              <w:jc w:val="both"/>
              <w:outlineLvl w:val="0"/>
              <w:rPr>
                <w:rFonts w:ascii="Arial" w:hAnsi="Arial" w:cs="Arial"/>
                <w:sz w:val="24"/>
                <w:szCs w:val="24"/>
              </w:rPr>
            </w:pPr>
          </w:p>
        </w:tc>
        <w:tc>
          <w:tcPr>
            <w:tcW w:w="897" w:type="dxa"/>
          </w:tcPr>
          <w:p w:rsidR="00107286" w:rsidRPr="00071ED0" w:rsidRDefault="00107286" w:rsidP="00116687">
            <w:pPr>
              <w:tabs>
                <w:tab w:val="left" w:pos="-720"/>
                <w:tab w:val="left" w:pos="8640"/>
              </w:tabs>
              <w:jc w:val="both"/>
              <w:outlineLvl w:val="0"/>
              <w:rPr>
                <w:rFonts w:ascii="Arial" w:hAnsi="Arial" w:cs="Arial"/>
                <w:sz w:val="24"/>
                <w:szCs w:val="24"/>
              </w:rPr>
            </w:pPr>
          </w:p>
        </w:tc>
      </w:tr>
      <w:tr w:rsidR="00207E79" w:rsidRPr="00051545" w:rsidTr="00116687">
        <w:trPr>
          <w:jc w:val="center"/>
        </w:trPr>
        <w:tc>
          <w:tcPr>
            <w:tcW w:w="8908" w:type="dxa"/>
            <w:gridSpan w:val="2"/>
          </w:tcPr>
          <w:p w:rsidR="00207E79" w:rsidRDefault="00207E79" w:rsidP="00C41D4F">
            <w:pPr>
              <w:tabs>
                <w:tab w:val="left" w:pos="-720"/>
                <w:tab w:val="left" w:pos="8640"/>
              </w:tabs>
              <w:ind w:firstLine="700"/>
              <w:outlineLvl w:val="0"/>
              <w:rPr>
                <w:rFonts w:ascii="Arial" w:hAnsi="Arial" w:cs="Arial"/>
                <w:sz w:val="24"/>
                <w:szCs w:val="24"/>
              </w:rPr>
            </w:pPr>
            <w:r>
              <w:rPr>
                <w:rFonts w:ascii="Arial" w:hAnsi="Arial" w:cs="Arial"/>
                <w:sz w:val="24"/>
                <w:szCs w:val="24"/>
              </w:rPr>
              <w:t>Background</w:t>
            </w:r>
          </w:p>
        </w:tc>
        <w:tc>
          <w:tcPr>
            <w:tcW w:w="270" w:type="dxa"/>
          </w:tcPr>
          <w:p w:rsidR="00207E79" w:rsidRPr="00071ED0" w:rsidRDefault="00207E79" w:rsidP="00116687">
            <w:pPr>
              <w:tabs>
                <w:tab w:val="left" w:pos="-720"/>
                <w:tab w:val="left" w:pos="8640"/>
              </w:tabs>
              <w:jc w:val="both"/>
              <w:outlineLvl w:val="0"/>
              <w:rPr>
                <w:rFonts w:ascii="Arial" w:hAnsi="Arial" w:cs="Arial"/>
                <w:sz w:val="24"/>
                <w:szCs w:val="24"/>
              </w:rPr>
            </w:pPr>
          </w:p>
        </w:tc>
        <w:tc>
          <w:tcPr>
            <w:tcW w:w="897" w:type="dxa"/>
          </w:tcPr>
          <w:p w:rsidR="00207E79" w:rsidRDefault="002742AE" w:rsidP="00207E79">
            <w:pPr>
              <w:tabs>
                <w:tab w:val="left" w:pos="-720"/>
                <w:tab w:val="left" w:pos="8640"/>
              </w:tabs>
              <w:jc w:val="center"/>
              <w:outlineLvl w:val="0"/>
              <w:rPr>
                <w:rFonts w:ascii="Arial" w:hAnsi="Arial" w:cs="Arial"/>
                <w:sz w:val="24"/>
                <w:szCs w:val="24"/>
              </w:rPr>
            </w:pPr>
            <w:r>
              <w:rPr>
                <w:rFonts w:ascii="Arial" w:hAnsi="Arial" w:cs="Arial"/>
                <w:sz w:val="24"/>
                <w:szCs w:val="24"/>
              </w:rPr>
              <w:t>6</w:t>
            </w:r>
          </w:p>
        </w:tc>
      </w:tr>
      <w:tr w:rsidR="00207E79" w:rsidRPr="00051545" w:rsidTr="00116687">
        <w:trPr>
          <w:jc w:val="center"/>
        </w:trPr>
        <w:tc>
          <w:tcPr>
            <w:tcW w:w="8908" w:type="dxa"/>
            <w:gridSpan w:val="2"/>
          </w:tcPr>
          <w:p w:rsidR="00207E79" w:rsidRDefault="00207E79" w:rsidP="00C41D4F">
            <w:pPr>
              <w:tabs>
                <w:tab w:val="left" w:pos="-720"/>
                <w:tab w:val="left" w:pos="8640"/>
              </w:tabs>
              <w:ind w:firstLine="700"/>
              <w:outlineLvl w:val="0"/>
              <w:rPr>
                <w:rFonts w:ascii="Arial" w:hAnsi="Arial" w:cs="Arial"/>
                <w:sz w:val="24"/>
                <w:szCs w:val="24"/>
              </w:rPr>
            </w:pPr>
          </w:p>
        </w:tc>
        <w:tc>
          <w:tcPr>
            <w:tcW w:w="270" w:type="dxa"/>
          </w:tcPr>
          <w:p w:rsidR="00207E79" w:rsidRPr="00071ED0" w:rsidRDefault="00207E79" w:rsidP="00116687">
            <w:pPr>
              <w:tabs>
                <w:tab w:val="left" w:pos="-720"/>
                <w:tab w:val="left" w:pos="8640"/>
              </w:tabs>
              <w:jc w:val="both"/>
              <w:outlineLvl w:val="0"/>
              <w:rPr>
                <w:rFonts w:ascii="Arial" w:hAnsi="Arial" w:cs="Arial"/>
                <w:sz w:val="24"/>
                <w:szCs w:val="24"/>
              </w:rPr>
            </w:pPr>
          </w:p>
        </w:tc>
        <w:tc>
          <w:tcPr>
            <w:tcW w:w="897" w:type="dxa"/>
          </w:tcPr>
          <w:p w:rsidR="00207E79" w:rsidRDefault="00207E79" w:rsidP="00116687">
            <w:pPr>
              <w:tabs>
                <w:tab w:val="left" w:pos="-720"/>
                <w:tab w:val="left" w:pos="8640"/>
              </w:tabs>
              <w:jc w:val="both"/>
              <w:outlineLvl w:val="0"/>
              <w:rPr>
                <w:rFonts w:ascii="Arial" w:hAnsi="Arial" w:cs="Arial"/>
                <w:sz w:val="24"/>
                <w:szCs w:val="24"/>
              </w:rPr>
            </w:pPr>
          </w:p>
        </w:tc>
      </w:tr>
      <w:tr w:rsidR="00107286" w:rsidRPr="00051545" w:rsidTr="00116687">
        <w:trPr>
          <w:jc w:val="center"/>
        </w:trPr>
        <w:tc>
          <w:tcPr>
            <w:tcW w:w="8908" w:type="dxa"/>
            <w:gridSpan w:val="2"/>
          </w:tcPr>
          <w:p w:rsidR="00107286" w:rsidRPr="00F93029" w:rsidRDefault="00107286" w:rsidP="00C41D4F">
            <w:pPr>
              <w:tabs>
                <w:tab w:val="left" w:pos="-720"/>
                <w:tab w:val="left" w:pos="8640"/>
              </w:tabs>
              <w:ind w:firstLine="700"/>
              <w:outlineLvl w:val="0"/>
              <w:rPr>
                <w:rFonts w:ascii="Arial" w:hAnsi="Arial" w:cs="Arial"/>
                <w:b/>
                <w:sz w:val="24"/>
                <w:szCs w:val="24"/>
              </w:rPr>
            </w:pPr>
            <w:r>
              <w:rPr>
                <w:rFonts w:ascii="Arial" w:hAnsi="Arial" w:cs="Arial"/>
                <w:sz w:val="24"/>
                <w:szCs w:val="24"/>
              </w:rPr>
              <w:t>Disposition</w:t>
            </w:r>
            <w:r w:rsidR="00C41D4F">
              <w:rPr>
                <w:rFonts w:ascii="Arial" w:hAnsi="Arial" w:cs="Arial"/>
                <w:sz w:val="24"/>
                <w:szCs w:val="24"/>
              </w:rPr>
              <w:t xml:space="preserve"> Of Prior</w:t>
            </w:r>
            <w:r w:rsidR="00C41D4F" w:rsidRPr="00F93029">
              <w:rPr>
                <w:rFonts w:ascii="Arial" w:hAnsi="Arial" w:cs="Arial"/>
                <w:sz w:val="24"/>
                <w:szCs w:val="24"/>
              </w:rPr>
              <w:t xml:space="preserve"> Period</w:t>
            </w:r>
            <w:r w:rsidR="00C924AB">
              <w:rPr>
                <w:rFonts w:ascii="Arial" w:hAnsi="Arial" w:cs="Arial"/>
                <w:sz w:val="24"/>
                <w:szCs w:val="24"/>
              </w:rPr>
              <w:t>’s</w:t>
            </w:r>
            <w:r w:rsidR="00C41D4F" w:rsidRPr="00F93029">
              <w:rPr>
                <w:rFonts w:ascii="Arial" w:hAnsi="Arial" w:cs="Arial"/>
                <w:sz w:val="24"/>
                <w:szCs w:val="24"/>
              </w:rPr>
              <w:t xml:space="preserve"> Audit Finding</w:t>
            </w:r>
          </w:p>
        </w:tc>
        <w:tc>
          <w:tcPr>
            <w:tcW w:w="270" w:type="dxa"/>
          </w:tcPr>
          <w:p w:rsidR="00107286" w:rsidRPr="00071ED0" w:rsidRDefault="00107286" w:rsidP="00116687">
            <w:pPr>
              <w:tabs>
                <w:tab w:val="left" w:pos="-720"/>
                <w:tab w:val="left" w:pos="8640"/>
              </w:tabs>
              <w:jc w:val="both"/>
              <w:outlineLvl w:val="0"/>
              <w:rPr>
                <w:rFonts w:ascii="Arial" w:hAnsi="Arial" w:cs="Arial"/>
                <w:sz w:val="24"/>
                <w:szCs w:val="24"/>
              </w:rPr>
            </w:pPr>
          </w:p>
        </w:tc>
        <w:tc>
          <w:tcPr>
            <w:tcW w:w="897" w:type="dxa"/>
          </w:tcPr>
          <w:p w:rsidR="00107286" w:rsidRPr="00071ED0" w:rsidRDefault="00892191" w:rsidP="00116687">
            <w:pPr>
              <w:tabs>
                <w:tab w:val="left" w:pos="-720"/>
                <w:tab w:val="left" w:pos="8640"/>
              </w:tabs>
              <w:jc w:val="both"/>
              <w:outlineLvl w:val="0"/>
              <w:rPr>
                <w:rFonts w:ascii="Arial" w:hAnsi="Arial" w:cs="Arial"/>
                <w:sz w:val="24"/>
                <w:szCs w:val="24"/>
              </w:rPr>
            </w:pPr>
            <w:r>
              <w:rPr>
                <w:rFonts w:ascii="Arial" w:hAnsi="Arial" w:cs="Arial"/>
                <w:sz w:val="24"/>
                <w:szCs w:val="24"/>
              </w:rPr>
              <w:t xml:space="preserve">    </w:t>
            </w:r>
            <w:r w:rsidR="002742AE">
              <w:rPr>
                <w:rFonts w:ascii="Arial" w:hAnsi="Arial" w:cs="Arial"/>
                <w:sz w:val="24"/>
                <w:szCs w:val="24"/>
              </w:rPr>
              <w:t>7</w:t>
            </w:r>
          </w:p>
        </w:tc>
      </w:tr>
      <w:tr w:rsidR="00107286" w:rsidRPr="00051545" w:rsidTr="00116687">
        <w:trPr>
          <w:jc w:val="center"/>
        </w:trPr>
        <w:tc>
          <w:tcPr>
            <w:tcW w:w="718" w:type="dxa"/>
          </w:tcPr>
          <w:p w:rsidR="00107286" w:rsidRPr="00D532E7" w:rsidRDefault="00107286" w:rsidP="00116687">
            <w:pPr>
              <w:tabs>
                <w:tab w:val="left" w:pos="-720"/>
                <w:tab w:val="left" w:pos="8640"/>
              </w:tabs>
              <w:jc w:val="both"/>
              <w:outlineLvl w:val="0"/>
              <w:rPr>
                <w:rFonts w:ascii="Arial" w:hAnsi="Arial" w:cs="Arial"/>
                <w:sz w:val="24"/>
                <w:szCs w:val="26"/>
              </w:rPr>
            </w:pPr>
          </w:p>
        </w:tc>
        <w:tc>
          <w:tcPr>
            <w:tcW w:w="8190" w:type="dxa"/>
          </w:tcPr>
          <w:p w:rsidR="00107286" w:rsidRPr="00071ED0" w:rsidRDefault="00107286" w:rsidP="00116687">
            <w:pPr>
              <w:tabs>
                <w:tab w:val="left" w:pos="-720"/>
                <w:tab w:val="left" w:pos="8640"/>
              </w:tabs>
              <w:outlineLvl w:val="0"/>
              <w:rPr>
                <w:rFonts w:ascii="Arial" w:hAnsi="Arial" w:cs="Arial"/>
                <w:sz w:val="24"/>
                <w:szCs w:val="24"/>
              </w:rPr>
            </w:pPr>
          </w:p>
        </w:tc>
        <w:tc>
          <w:tcPr>
            <w:tcW w:w="270" w:type="dxa"/>
          </w:tcPr>
          <w:p w:rsidR="00107286" w:rsidRPr="00071ED0" w:rsidRDefault="00107286" w:rsidP="00116687">
            <w:pPr>
              <w:tabs>
                <w:tab w:val="left" w:pos="-720"/>
                <w:tab w:val="left" w:pos="8640"/>
              </w:tabs>
              <w:jc w:val="both"/>
              <w:outlineLvl w:val="0"/>
              <w:rPr>
                <w:rFonts w:ascii="Arial" w:hAnsi="Arial" w:cs="Arial"/>
                <w:sz w:val="24"/>
                <w:szCs w:val="24"/>
              </w:rPr>
            </w:pPr>
          </w:p>
        </w:tc>
        <w:tc>
          <w:tcPr>
            <w:tcW w:w="897" w:type="dxa"/>
          </w:tcPr>
          <w:p w:rsidR="00107286" w:rsidRPr="00071ED0" w:rsidRDefault="00107286" w:rsidP="00116687">
            <w:pPr>
              <w:tabs>
                <w:tab w:val="left" w:pos="-720"/>
                <w:tab w:val="left" w:pos="8640"/>
              </w:tabs>
              <w:jc w:val="both"/>
              <w:outlineLvl w:val="0"/>
              <w:rPr>
                <w:rFonts w:ascii="Arial" w:hAnsi="Arial" w:cs="Arial"/>
                <w:sz w:val="24"/>
                <w:szCs w:val="24"/>
              </w:rPr>
            </w:pPr>
          </w:p>
        </w:tc>
      </w:tr>
      <w:tr w:rsidR="00107286" w:rsidRPr="00051545" w:rsidTr="00116687">
        <w:trPr>
          <w:jc w:val="center"/>
        </w:trPr>
        <w:tc>
          <w:tcPr>
            <w:tcW w:w="8908" w:type="dxa"/>
            <w:gridSpan w:val="2"/>
          </w:tcPr>
          <w:p w:rsidR="00107286" w:rsidRPr="007C5FC1" w:rsidRDefault="00107286" w:rsidP="00116687">
            <w:pPr>
              <w:tabs>
                <w:tab w:val="left" w:pos="-720"/>
                <w:tab w:val="left" w:pos="8640"/>
              </w:tabs>
              <w:outlineLvl w:val="0"/>
              <w:rPr>
                <w:rFonts w:ascii="Arial" w:hAnsi="Arial" w:cs="Arial"/>
                <w:b/>
                <w:sz w:val="24"/>
                <w:szCs w:val="24"/>
              </w:rPr>
            </w:pPr>
            <w:r w:rsidRPr="007C5FC1">
              <w:rPr>
                <w:rFonts w:ascii="Arial" w:hAnsi="Arial" w:cs="Arial"/>
                <w:b/>
                <w:sz w:val="24"/>
                <w:szCs w:val="24"/>
              </w:rPr>
              <w:t>ACKNOWLEDGEMENTS</w:t>
            </w:r>
          </w:p>
          <w:p w:rsidR="00107286" w:rsidRPr="00D532E7" w:rsidRDefault="00107286" w:rsidP="00116687">
            <w:pPr>
              <w:tabs>
                <w:tab w:val="left" w:pos="-720"/>
                <w:tab w:val="left" w:pos="8640"/>
              </w:tabs>
              <w:outlineLvl w:val="0"/>
              <w:rPr>
                <w:rFonts w:ascii="Arial" w:hAnsi="Arial" w:cs="Arial"/>
                <w:sz w:val="24"/>
                <w:szCs w:val="26"/>
              </w:rPr>
            </w:pPr>
          </w:p>
        </w:tc>
        <w:tc>
          <w:tcPr>
            <w:tcW w:w="270" w:type="dxa"/>
          </w:tcPr>
          <w:p w:rsidR="00107286" w:rsidRPr="00051545" w:rsidRDefault="00107286" w:rsidP="00116687">
            <w:pPr>
              <w:tabs>
                <w:tab w:val="left" w:pos="-720"/>
                <w:tab w:val="left" w:pos="8640"/>
              </w:tabs>
              <w:jc w:val="both"/>
              <w:outlineLvl w:val="0"/>
              <w:rPr>
                <w:rFonts w:ascii="Arial" w:hAnsi="Arial" w:cs="Arial"/>
                <w:sz w:val="26"/>
                <w:szCs w:val="26"/>
              </w:rPr>
            </w:pPr>
          </w:p>
        </w:tc>
        <w:tc>
          <w:tcPr>
            <w:tcW w:w="897" w:type="dxa"/>
          </w:tcPr>
          <w:p w:rsidR="00107286" w:rsidRPr="00071ED0" w:rsidRDefault="002742AE" w:rsidP="00116687">
            <w:pPr>
              <w:tabs>
                <w:tab w:val="left" w:pos="-720"/>
                <w:tab w:val="left" w:pos="8640"/>
              </w:tabs>
              <w:jc w:val="center"/>
              <w:outlineLvl w:val="0"/>
              <w:rPr>
                <w:rFonts w:ascii="Arial" w:hAnsi="Arial" w:cs="Arial"/>
                <w:sz w:val="24"/>
                <w:szCs w:val="24"/>
              </w:rPr>
            </w:pPr>
            <w:r>
              <w:rPr>
                <w:rFonts w:ascii="Arial" w:hAnsi="Arial" w:cs="Arial"/>
                <w:sz w:val="24"/>
                <w:szCs w:val="24"/>
              </w:rPr>
              <w:t>8</w:t>
            </w:r>
          </w:p>
        </w:tc>
      </w:tr>
    </w:tbl>
    <w:p w:rsidR="00107286" w:rsidRDefault="00107286" w:rsidP="00107286">
      <w:pPr>
        <w:tabs>
          <w:tab w:val="left" w:pos="-720"/>
          <w:tab w:val="left" w:pos="8640"/>
        </w:tabs>
        <w:jc w:val="both"/>
        <w:outlineLvl w:val="0"/>
        <w:rPr>
          <w:rFonts w:ascii="Arial" w:hAnsi="Arial" w:cs="Arial"/>
          <w:sz w:val="26"/>
          <w:szCs w:val="26"/>
          <w:highlight w:val="lightGray"/>
        </w:rPr>
      </w:pPr>
    </w:p>
    <w:p w:rsidR="00E32D70" w:rsidRPr="00C20F64" w:rsidRDefault="00E32D70" w:rsidP="007D5B2E">
      <w:pPr>
        <w:tabs>
          <w:tab w:val="left" w:pos="-720"/>
          <w:tab w:val="left" w:pos="8640"/>
        </w:tabs>
        <w:jc w:val="both"/>
        <w:outlineLvl w:val="0"/>
        <w:rPr>
          <w:rFonts w:ascii="Arial" w:hAnsi="Arial" w:cs="Arial"/>
          <w:sz w:val="24"/>
          <w:szCs w:val="24"/>
          <w:highlight w:val="lightGray"/>
        </w:rPr>
      </w:pPr>
    </w:p>
    <w:p w:rsidR="002627D0" w:rsidRDefault="002627D0" w:rsidP="007D5B2E">
      <w:pPr>
        <w:tabs>
          <w:tab w:val="left" w:pos="-720"/>
          <w:tab w:val="left" w:pos="8640"/>
        </w:tabs>
        <w:jc w:val="both"/>
        <w:outlineLvl w:val="0"/>
        <w:rPr>
          <w:rFonts w:ascii="Arial" w:hAnsi="Arial" w:cs="Arial"/>
          <w:sz w:val="26"/>
          <w:szCs w:val="26"/>
          <w:highlight w:val="lightGray"/>
        </w:rPr>
        <w:sectPr w:rsidR="002627D0" w:rsidSect="002627D0">
          <w:pgSz w:w="12240" w:h="15840" w:code="1"/>
          <w:pgMar w:top="1440" w:right="1440" w:bottom="1152" w:left="1440" w:header="0" w:footer="720" w:gutter="0"/>
          <w:pgNumType w:start="1"/>
          <w:cols w:space="720"/>
          <w:noEndnote/>
          <w:titlePg/>
        </w:sectPr>
      </w:pPr>
    </w:p>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lastRenderedPageBreak/>
        <w:t>FINANCIAL REVIEW</w:t>
      </w:r>
    </w:p>
    <w:p w:rsidR="00827E0A" w:rsidRDefault="00827E0A">
      <w:pPr>
        <w:rPr>
          <w:rFonts w:ascii="Arial" w:hAnsi="Arial" w:cs="Arial"/>
          <w:sz w:val="24"/>
        </w:rPr>
        <w:sectPr w:rsidR="00827E0A" w:rsidSect="007A793D">
          <w:pgSz w:w="12240" w:h="15840" w:code="1"/>
          <w:pgMar w:top="1440" w:right="1440" w:bottom="1152" w:left="1440" w:header="0" w:footer="720" w:gutter="0"/>
          <w:pgNumType w:start="1"/>
          <w:cols w:space="720"/>
          <w:vAlign w:val="center"/>
          <w:noEndnote/>
          <w:titlePg/>
        </w:sectPr>
      </w:pPr>
    </w:p>
    <w:tbl>
      <w:tblPr>
        <w:tblW w:w="10890" w:type="dxa"/>
        <w:tblInd w:w="-702" w:type="dxa"/>
        <w:tblLayout w:type="fixed"/>
        <w:tblLook w:val="0000" w:firstRow="0" w:lastRow="0" w:firstColumn="0" w:lastColumn="0" w:noHBand="0" w:noVBand="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lastRenderedPageBreak/>
              <w:drawing>
                <wp:inline distT="0" distB="0" distL="0" distR="0" wp14:anchorId="60BBC803" wp14:editId="1EF500B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A6D06" w:rsidRDefault="00EA6D06" w:rsidP="00940EE7">
            <w:pPr>
              <w:suppressAutoHyphens/>
              <w:spacing w:line="204" w:lineRule="auto"/>
              <w:jc w:val="center"/>
              <w:rPr>
                <w:rFonts w:ascii="Arial" w:hAnsi="Arial"/>
                <w:color w:val="000080"/>
                <w:spacing w:val="-3"/>
                <w:sz w:val="26"/>
              </w:rPr>
            </w:pPr>
          </w:p>
          <w:p w:rsidR="00940EE7" w:rsidRDefault="00940EE7" w:rsidP="00940EE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940EE7" w:rsidRDefault="00940EE7" w:rsidP="00940EE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40EE7" w:rsidRDefault="00940EE7" w:rsidP="00940EE7">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EC58EA" w:rsidRPr="00411B9D" w:rsidRDefault="00940EE7" w:rsidP="00940EE7">
            <w:pPr>
              <w:jc w:val="center"/>
              <w:rPr>
                <w:rFonts w:ascii="Arial" w:hAnsi="Arial" w:cs="Arial"/>
                <w:sz w:val="12"/>
              </w:rPr>
            </w:pPr>
            <w:r>
              <w:rPr>
                <w:rFonts w:ascii="Arial" w:hAnsi="Arial"/>
                <w:color w:val="000080"/>
                <w:spacing w:val="-3"/>
                <w:sz w:val="26"/>
              </w:rPr>
              <w:t>400 NORTH STREET, HARRISBURG, PA  17120</w:t>
            </w:r>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EC58EA" w:rsidRDefault="00EC58EA">
      <w:pPr>
        <w:tabs>
          <w:tab w:val="left" w:pos="-720"/>
          <w:tab w:val="left" w:pos="8820"/>
        </w:tabs>
        <w:rPr>
          <w:rFonts w:ascii="Arial" w:hAnsi="Arial" w:cs="Arial"/>
          <w:sz w:val="26"/>
          <w:szCs w:val="26"/>
        </w:rPr>
      </w:pPr>
    </w:p>
    <w:p w:rsidR="00586FCC" w:rsidRPr="00586FCC" w:rsidRDefault="00586FCC" w:rsidP="00586FCC">
      <w:pPr>
        <w:tabs>
          <w:tab w:val="center" w:pos="4680"/>
          <w:tab w:val="left" w:pos="8820"/>
        </w:tabs>
        <w:jc w:val="center"/>
        <w:outlineLvl w:val="0"/>
        <w:rPr>
          <w:rFonts w:ascii="Arial" w:hAnsi="Arial" w:cs="Arial"/>
          <w:b/>
          <w:sz w:val="26"/>
          <w:szCs w:val="26"/>
        </w:rPr>
      </w:pPr>
      <w:r w:rsidRPr="00586FCC">
        <w:rPr>
          <w:rFonts w:ascii="Arial" w:hAnsi="Arial" w:cs="Arial"/>
          <w:b/>
          <w:sz w:val="26"/>
          <w:szCs w:val="26"/>
        </w:rPr>
        <w:t>INDEPENDENT AUDITOR'S REPORT</w:t>
      </w:r>
    </w:p>
    <w:p w:rsidR="00586FCC" w:rsidRPr="00586FCC" w:rsidRDefault="00586FCC" w:rsidP="00586FCC">
      <w:pPr>
        <w:tabs>
          <w:tab w:val="left" w:pos="-720"/>
          <w:tab w:val="left" w:pos="8820"/>
        </w:tabs>
        <w:rPr>
          <w:rFonts w:ascii="Arial" w:hAnsi="Arial" w:cs="Arial"/>
          <w:sz w:val="26"/>
          <w:szCs w:val="26"/>
        </w:rPr>
      </w:pPr>
    </w:p>
    <w:p w:rsidR="00586FCC" w:rsidRPr="00586FCC" w:rsidRDefault="00586FCC" w:rsidP="00586FCC">
      <w:pPr>
        <w:tabs>
          <w:tab w:val="center" w:pos="4680"/>
          <w:tab w:val="left" w:pos="8820"/>
        </w:tabs>
        <w:jc w:val="center"/>
        <w:outlineLvl w:val="0"/>
        <w:rPr>
          <w:rFonts w:ascii="Arial" w:hAnsi="Arial" w:cs="Arial"/>
          <w:sz w:val="26"/>
          <w:szCs w:val="26"/>
        </w:rPr>
      </w:pPr>
      <w:r w:rsidRPr="00586FCC">
        <w:rPr>
          <w:rFonts w:ascii="Arial" w:hAnsi="Arial" w:cs="Arial"/>
          <w:b/>
          <w:sz w:val="26"/>
          <w:szCs w:val="26"/>
        </w:rPr>
        <w:t>To The Pennsylvania Public Utility Commission</w:t>
      </w:r>
    </w:p>
    <w:p w:rsidR="00586FCC" w:rsidRPr="00586FCC" w:rsidRDefault="00586FCC" w:rsidP="00586FCC">
      <w:pPr>
        <w:tabs>
          <w:tab w:val="left" w:pos="-720"/>
          <w:tab w:val="left" w:pos="8820"/>
        </w:tabs>
        <w:rPr>
          <w:rFonts w:ascii="Arial" w:hAnsi="Arial" w:cs="Arial"/>
          <w:sz w:val="26"/>
          <w:szCs w:val="26"/>
        </w:rPr>
      </w:pPr>
    </w:p>
    <w:p w:rsidR="00586FCC" w:rsidRPr="00586FCC" w:rsidRDefault="00586FCC" w:rsidP="00586FCC">
      <w:pPr>
        <w:rPr>
          <w:rFonts w:ascii="Arial" w:hAnsi="Arial" w:cs="Arial"/>
          <w:b/>
          <w:bCs/>
          <w:sz w:val="24"/>
          <w:szCs w:val="24"/>
        </w:rPr>
      </w:pPr>
      <w:r w:rsidRPr="00586FCC">
        <w:rPr>
          <w:rFonts w:ascii="Arial" w:hAnsi="Arial" w:cs="Arial"/>
          <w:b/>
          <w:bCs/>
          <w:sz w:val="24"/>
          <w:szCs w:val="24"/>
        </w:rPr>
        <w:t>Report on the Financial Statements</w:t>
      </w:r>
    </w:p>
    <w:p w:rsidR="00586FCC" w:rsidRPr="00586FCC" w:rsidRDefault="00586FCC" w:rsidP="00586FCC">
      <w:pPr>
        <w:rPr>
          <w:rFonts w:ascii="Arial" w:hAnsi="Arial" w:cs="Arial"/>
          <w:b/>
          <w:bCs/>
          <w:sz w:val="24"/>
          <w:szCs w:val="24"/>
        </w:rPr>
      </w:pPr>
    </w:p>
    <w:p w:rsidR="00586FCC" w:rsidRPr="00586FCC" w:rsidRDefault="00586FCC" w:rsidP="00586FCC">
      <w:pPr>
        <w:tabs>
          <w:tab w:val="left" w:pos="720"/>
        </w:tabs>
        <w:rPr>
          <w:rFonts w:ascii="Arial" w:hAnsi="Arial" w:cs="Arial"/>
          <w:sz w:val="24"/>
          <w:szCs w:val="24"/>
        </w:rPr>
      </w:pPr>
      <w:r w:rsidRPr="00586FCC">
        <w:rPr>
          <w:sz w:val="24"/>
          <w:szCs w:val="24"/>
        </w:rPr>
        <w:tab/>
      </w:r>
      <w:r w:rsidRPr="00586FCC">
        <w:rPr>
          <w:rFonts w:ascii="Arial" w:hAnsi="Arial" w:cs="Arial"/>
          <w:sz w:val="24"/>
          <w:szCs w:val="24"/>
        </w:rPr>
        <w:t xml:space="preserve">We have audited </w:t>
      </w:r>
      <w:r>
        <w:rPr>
          <w:rFonts w:ascii="Arial" w:hAnsi="Arial" w:cs="Arial"/>
          <w:sz w:val="24"/>
          <w:szCs w:val="24"/>
        </w:rPr>
        <w:t>Philadelphia Gas Works</w:t>
      </w:r>
      <w:r w:rsidRPr="00586FCC">
        <w:rPr>
          <w:rFonts w:ascii="Arial" w:hAnsi="Arial" w:cs="Arial"/>
          <w:sz w:val="24"/>
          <w:szCs w:val="24"/>
        </w:rPr>
        <w:t xml:space="preserve">’ </w:t>
      </w:r>
      <w:r w:rsidR="00E04D22" w:rsidRPr="00E04D22">
        <w:rPr>
          <w:rFonts w:ascii="Arial" w:hAnsi="Arial" w:cs="Arial"/>
          <w:sz w:val="24"/>
          <w:szCs w:val="24"/>
        </w:rPr>
        <w:t xml:space="preserve">Statements of </w:t>
      </w:r>
      <w:r w:rsidR="00107286">
        <w:rPr>
          <w:rFonts w:ascii="Arial" w:hAnsi="Arial" w:cs="Arial"/>
          <w:sz w:val="24"/>
          <w:szCs w:val="24"/>
        </w:rPr>
        <w:t>Other Post Employment Benefit</w:t>
      </w:r>
      <w:r w:rsidR="00E04D22" w:rsidRPr="00E04D22">
        <w:rPr>
          <w:rFonts w:ascii="Arial" w:hAnsi="Arial" w:cs="Arial"/>
          <w:sz w:val="24"/>
          <w:szCs w:val="24"/>
        </w:rPr>
        <w:t xml:space="preserve"> Surcharge Over/</w:t>
      </w:r>
      <w:r w:rsidR="00E26C44">
        <w:rPr>
          <w:rFonts w:ascii="Arial" w:hAnsi="Arial" w:cs="Arial"/>
          <w:sz w:val="24"/>
          <w:szCs w:val="24"/>
        </w:rPr>
        <w:t>(</w:t>
      </w:r>
      <w:r w:rsidR="00E04D22" w:rsidRPr="00E04D22">
        <w:rPr>
          <w:rFonts w:ascii="Arial" w:hAnsi="Arial" w:cs="Arial"/>
          <w:sz w:val="24"/>
          <w:szCs w:val="24"/>
        </w:rPr>
        <w:t>Under</w:t>
      </w:r>
      <w:r w:rsidR="00E26C44">
        <w:rPr>
          <w:rFonts w:ascii="Arial" w:hAnsi="Arial" w:cs="Arial"/>
          <w:sz w:val="24"/>
          <w:szCs w:val="24"/>
        </w:rPr>
        <w:t>)</w:t>
      </w:r>
      <w:r w:rsidR="00E04D22" w:rsidRPr="00E04D22">
        <w:rPr>
          <w:rFonts w:ascii="Arial" w:hAnsi="Arial" w:cs="Arial"/>
          <w:sz w:val="24"/>
          <w:szCs w:val="24"/>
        </w:rPr>
        <w:t xml:space="preserve"> Collections</w:t>
      </w:r>
      <w:r>
        <w:rPr>
          <w:rFonts w:ascii="Arial" w:hAnsi="Arial" w:cs="Arial"/>
          <w:sz w:val="24"/>
          <w:szCs w:val="24"/>
        </w:rPr>
        <w:t xml:space="preserve"> </w:t>
      </w:r>
      <w:r w:rsidRPr="00586FCC">
        <w:rPr>
          <w:rFonts w:ascii="Arial" w:hAnsi="Arial" w:cs="Arial"/>
          <w:sz w:val="24"/>
          <w:szCs w:val="24"/>
        </w:rPr>
        <w:t>(Section 1307(</w:t>
      </w:r>
      <w:r w:rsidR="002C50DB">
        <w:rPr>
          <w:rFonts w:ascii="Arial" w:hAnsi="Arial" w:cs="Arial"/>
          <w:sz w:val="24"/>
          <w:szCs w:val="24"/>
        </w:rPr>
        <w:t>f</w:t>
      </w:r>
      <w:r w:rsidRPr="00586FCC">
        <w:rPr>
          <w:rFonts w:ascii="Arial" w:hAnsi="Arial" w:cs="Arial"/>
          <w:sz w:val="24"/>
          <w:szCs w:val="24"/>
        </w:rPr>
        <w:t>)) for the twelve month</w:t>
      </w:r>
      <w:r w:rsidR="00B221DD">
        <w:rPr>
          <w:rFonts w:ascii="Arial" w:hAnsi="Arial" w:cs="Arial"/>
          <w:sz w:val="24"/>
          <w:szCs w:val="24"/>
        </w:rPr>
        <w:t xml:space="preserve"> period</w:t>
      </w:r>
      <w:r w:rsidRPr="00586FCC">
        <w:rPr>
          <w:rFonts w:ascii="Arial" w:hAnsi="Arial" w:cs="Arial"/>
          <w:sz w:val="24"/>
          <w:szCs w:val="24"/>
        </w:rPr>
        <w:t>s ended August 31, 201</w:t>
      </w:r>
      <w:r>
        <w:rPr>
          <w:rFonts w:ascii="Arial" w:hAnsi="Arial" w:cs="Arial"/>
          <w:sz w:val="24"/>
          <w:szCs w:val="24"/>
        </w:rPr>
        <w:t>4</w:t>
      </w:r>
      <w:r w:rsidRPr="00586FCC">
        <w:rPr>
          <w:rFonts w:ascii="Arial" w:hAnsi="Arial" w:cs="Arial"/>
          <w:sz w:val="24"/>
          <w:szCs w:val="24"/>
        </w:rPr>
        <w:t xml:space="preserve"> and August 31, 201</w:t>
      </w:r>
      <w:r>
        <w:rPr>
          <w:rFonts w:ascii="Arial" w:hAnsi="Arial" w:cs="Arial"/>
          <w:sz w:val="24"/>
          <w:szCs w:val="24"/>
        </w:rPr>
        <w:t>3</w:t>
      </w:r>
      <w:r w:rsidRPr="00586FCC">
        <w:rPr>
          <w:rFonts w:ascii="Arial" w:hAnsi="Arial" w:cs="Arial"/>
          <w:sz w:val="24"/>
          <w:szCs w:val="24"/>
        </w:rPr>
        <w:t xml:space="preserve">. </w:t>
      </w:r>
    </w:p>
    <w:p w:rsidR="00586FCC" w:rsidRPr="00586FCC" w:rsidRDefault="00586FCC" w:rsidP="00586FCC">
      <w:pPr>
        <w:rPr>
          <w:rFonts w:ascii="Arial" w:hAnsi="Arial" w:cs="Arial"/>
          <w:i/>
          <w:sz w:val="24"/>
          <w:szCs w:val="24"/>
        </w:rPr>
      </w:pPr>
    </w:p>
    <w:p w:rsidR="00586FCC" w:rsidRPr="00586FCC" w:rsidRDefault="00586FCC" w:rsidP="00586FCC">
      <w:pPr>
        <w:rPr>
          <w:rFonts w:ascii="Arial" w:hAnsi="Arial" w:cs="Arial"/>
          <w:sz w:val="24"/>
          <w:szCs w:val="24"/>
        </w:rPr>
      </w:pPr>
      <w:r w:rsidRPr="00586FCC">
        <w:rPr>
          <w:rFonts w:ascii="Arial" w:hAnsi="Arial" w:cs="Arial"/>
          <w:b/>
          <w:bCs/>
          <w:iCs/>
          <w:sz w:val="24"/>
          <w:szCs w:val="24"/>
        </w:rPr>
        <w:t>Management’s Responsibility for the Financial Statements</w:t>
      </w:r>
    </w:p>
    <w:p w:rsidR="00586FCC" w:rsidRPr="00586FCC" w:rsidRDefault="00586FCC" w:rsidP="00586FCC">
      <w:pPr>
        <w:rPr>
          <w:rFonts w:ascii="Arial" w:hAnsi="Arial" w:cs="Arial"/>
          <w:i/>
          <w:sz w:val="24"/>
          <w:szCs w:val="24"/>
        </w:rPr>
      </w:pPr>
    </w:p>
    <w:p w:rsidR="00586FCC" w:rsidRPr="00586FCC" w:rsidRDefault="00586FCC" w:rsidP="00586FCC">
      <w:pPr>
        <w:ind w:firstLine="720"/>
        <w:rPr>
          <w:rFonts w:ascii="Arial" w:hAnsi="Arial" w:cs="Arial"/>
          <w:sz w:val="24"/>
          <w:szCs w:val="24"/>
        </w:rPr>
      </w:pPr>
      <w:r w:rsidRPr="00586FCC">
        <w:rPr>
          <w:rFonts w:ascii="Arial" w:hAnsi="Arial" w:cs="Arial"/>
          <w:sz w:val="24"/>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586FCC" w:rsidRPr="00586FCC" w:rsidRDefault="00586FCC" w:rsidP="00586FCC">
      <w:pPr>
        <w:rPr>
          <w:rFonts w:ascii="Arial" w:hAnsi="Arial" w:cs="Arial"/>
          <w:i/>
          <w:sz w:val="24"/>
          <w:szCs w:val="24"/>
        </w:rPr>
      </w:pPr>
    </w:p>
    <w:p w:rsidR="00586FCC" w:rsidRPr="00586FCC" w:rsidRDefault="00586FCC" w:rsidP="00586FCC">
      <w:pPr>
        <w:rPr>
          <w:rFonts w:ascii="Arial" w:hAnsi="Arial" w:cs="Arial"/>
          <w:b/>
          <w:bCs/>
          <w:iCs/>
          <w:sz w:val="24"/>
          <w:szCs w:val="24"/>
        </w:rPr>
      </w:pPr>
      <w:r w:rsidRPr="00586FCC">
        <w:rPr>
          <w:rFonts w:ascii="Arial" w:hAnsi="Arial" w:cs="Arial"/>
          <w:b/>
          <w:bCs/>
          <w:iCs/>
          <w:sz w:val="24"/>
          <w:szCs w:val="24"/>
        </w:rPr>
        <w:t>Auditor’s Responsibility</w:t>
      </w:r>
    </w:p>
    <w:p w:rsidR="00586FCC" w:rsidRPr="00586FCC" w:rsidRDefault="00586FCC" w:rsidP="00586FCC">
      <w:pPr>
        <w:rPr>
          <w:rFonts w:ascii="Arial" w:hAnsi="Arial" w:cs="Arial"/>
          <w:sz w:val="24"/>
          <w:szCs w:val="24"/>
        </w:rPr>
      </w:pPr>
    </w:p>
    <w:p w:rsidR="00586FCC" w:rsidRPr="00586FCC" w:rsidRDefault="00586FCC" w:rsidP="00586FCC">
      <w:pPr>
        <w:ind w:firstLine="720"/>
        <w:rPr>
          <w:rFonts w:ascii="Arial" w:hAnsi="Arial" w:cs="Arial"/>
          <w:sz w:val="24"/>
          <w:szCs w:val="24"/>
        </w:rPr>
      </w:pPr>
      <w:r w:rsidRPr="00586FCC">
        <w:rPr>
          <w:rFonts w:ascii="Arial" w:hAnsi="Arial" w:cs="Arial"/>
          <w:sz w:val="24"/>
          <w:szCs w:val="24"/>
        </w:rPr>
        <w:t>Our responsibility is to express an opinion on these statements based on our audit.  We conducted our audit in accordance with auditing standards generally accepted in the United States of America.  Those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 and accordingly, no such opinion is expressed.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rsidR="0034784E" w:rsidRDefault="0034784E" w:rsidP="00586FCC">
      <w:pPr>
        <w:rPr>
          <w:rFonts w:ascii="Arial" w:hAnsi="Arial" w:cs="Arial"/>
          <w:b/>
          <w:bCs/>
          <w:iCs/>
          <w:sz w:val="24"/>
          <w:szCs w:val="24"/>
        </w:rPr>
        <w:sectPr w:rsidR="0034784E" w:rsidSect="00D0219E">
          <w:headerReference w:type="even" r:id="rId15"/>
          <w:headerReference w:type="default" r:id="rId16"/>
          <w:footerReference w:type="default" r:id="rId17"/>
          <w:headerReference w:type="first" r:id="rId18"/>
          <w:pgSz w:w="12240" w:h="15840" w:code="1"/>
          <w:pgMar w:top="720" w:right="1440" w:bottom="1152" w:left="1440" w:header="0" w:footer="720" w:gutter="0"/>
          <w:cols w:space="720"/>
          <w:noEndnote/>
        </w:sectPr>
      </w:pPr>
    </w:p>
    <w:p w:rsidR="00586FCC" w:rsidRPr="00586FCC" w:rsidRDefault="00586FCC" w:rsidP="00586FCC">
      <w:pPr>
        <w:rPr>
          <w:rFonts w:ascii="Arial" w:hAnsi="Arial" w:cs="Arial"/>
          <w:b/>
          <w:bCs/>
          <w:iCs/>
          <w:sz w:val="24"/>
          <w:szCs w:val="24"/>
        </w:rPr>
      </w:pPr>
    </w:p>
    <w:p w:rsidR="00586FCC" w:rsidRPr="00586FCC" w:rsidRDefault="00586FCC" w:rsidP="00586FCC">
      <w:pPr>
        <w:rPr>
          <w:rFonts w:ascii="Arial" w:hAnsi="Arial" w:cs="Arial"/>
          <w:sz w:val="24"/>
          <w:szCs w:val="24"/>
        </w:rPr>
      </w:pPr>
      <w:r w:rsidRPr="00586FCC">
        <w:rPr>
          <w:rFonts w:ascii="Arial" w:hAnsi="Arial" w:cs="Arial"/>
          <w:b/>
          <w:bCs/>
          <w:iCs/>
          <w:sz w:val="24"/>
          <w:szCs w:val="24"/>
        </w:rPr>
        <w:t>Opinion</w:t>
      </w:r>
    </w:p>
    <w:p w:rsidR="00586FCC" w:rsidRPr="00586FCC" w:rsidRDefault="00586FCC" w:rsidP="00586FCC">
      <w:pPr>
        <w:rPr>
          <w:rFonts w:ascii="Arial" w:hAnsi="Arial" w:cs="Arial"/>
          <w:sz w:val="24"/>
          <w:szCs w:val="24"/>
        </w:rPr>
      </w:pPr>
    </w:p>
    <w:p w:rsidR="00586FCC" w:rsidRPr="00586FCC" w:rsidRDefault="009B561F" w:rsidP="00586FCC">
      <w:pPr>
        <w:tabs>
          <w:tab w:val="left" w:pos="720"/>
        </w:tabs>
        <w:rPr>
          <w:rFonts w:ascii="Arial" w:hAnsi="Arial" w:cs="Arial"/>
          <w:sz w:val="24"/>
          <w:szCs w:val="24"/>
        </w:rPr>
      </w:pPr>
      <w:r>
        <w:rPr>
          <w:rFonts w:ascii="Arial" w:hAnsi="Arial" w:cs="Arial"/>
          <w:sz w:val="24"/>
          <w:szCs w:val="24"/>
        </w:rPr>
        <w:tab/>
      </w:r>
      <w:r w:rsidR="00586FCC" w:rsidRPr="00586FCC">
        <w:rPr>
          <w:rFonts w:ascii="Arial" w:hAnsi="Arial" w:cs="Arial"/>
          <w:sz w:val="24"/>
          <w:szCs w:val="24"/>
        </w:rPr>
        <w:t xml:space="preserve">In our opinion, the information set forth in the accompanying Statements of </w:t>
      </w:r>
      <w:r w:rsidR="00107286">
        <w:rPr>
          <w:rFonts w:ascii="Arial" w:hAnsi="Arial" w:cs="Arial"/>
          <w:sz w:val="24"/>
          <w:szCs w:val="24"/>
        </w:rPr>
        <w:t>Other Post Employment Benefit</w:t>
      </w:r>
      <w:r w:rsidR="00107286" w:rsidRPr="00586FCC">
        <w:rPr>
          <w:rFonts w:ascii="Arial" w:hAnsi="Arial" w:cs="Arial"/>
          <w:sz w:val="24"/>
          <w:szCs w:val="24"/>
        </w:rPr>
        <w:t xml:space="preserve"> </w:t>
      </w:r>
      <w:r w:rsidR="00586FCC" w:rsidRPr="00586FCC">
        <w:rPr>
          <w:rFonts w:ascii="Arial" w:hAnsi="Arial" w:cs="Arial"/>
          <w:sz w:val="24"/>
          <w:szCs w:val="24"/>
        </w:rPr>
        <w:t>Surcharge Over/</w:t>
      </w:r>
      <w:r w:rsidR="00E15908">
        <w:rPr>
          <w:rFonts w:ascii="Arial" w:hAnsi="Arial" w:cs="Arial"/>
          <w:sz w:val="24"/>
          <w:szCs w:val="24"/>
        </w:rPr>
        <w:t>(</w:t>
      </w:r>
      <w:r w:rsidR="00586FCC" w:rsidRPr="00586FCC">
        <w:rPr>
          <w:rFonts w:ascii="Arial" w:hAnsi="Arial" w:cs="Arial"/>
          <w:sz w:val="24"/>
          <w:szCs w:val="24"/>
        </w:rPr>
        <w:t>Under</w:t>
      </w:r>
      <w:r w:rsidR="00E15908">
        <w:rPr>
          <w:rFonts w:ascii="Arial" w:hAnsi="Arial" w:cs="Arial"/>
          <w:sz w:val="24"/>
          <w:szCs w:val="24"/>
        </w:rPr>
        <w:t>)</w:t>
      </w:r>
      <w:r w:rsidR="00586FCC" w:rsidRPr="00586FCC">
        <w:rPr>
          <w:rFonts w:ascii="Arial" w:hAnsi="Arial" w:cs="Arial"/>
          <w:sz w:val="24"/>
          <w:szCs w:val="24"/>
        </w:rPr>
        <w:t xml:space="preserve"> Collections for the twelve month</w:t>
      </w:r>
      <w:r w:rsidR="00B221DD">
        <w:rPr>
          <w:rFonts w:ascii="Arial" w:hAnsi="Arial" w:cs="Arial"/>
          <w:sz w:val="24"/>
          <w:szCs w:val="24"/>
        </w:rPr>
        <w:t xml:space="preserve"> period</w:t>
      </w:r>
      <w:r w:rsidR="00E15908">
        <w:rPr>
          <w:rFonts w:ascii="Arial" w:hAnsi="Arial" w:cs="Arial"/>
          <w:sz w:val="24"/>
          <w:szCs w:val="24"/>
        </w:rPr>
        <w:t>s</w:t>
      </w:r>
      <w:r w:rsidR="00586FCC" w:rsidRPr="00586FCC">
        <w:rPr>
          <w:rFonts w:ascii="Arial" w:hAnsi="Arial" w:cs="Arial"/>
          <w:sz w:val="24"/>
          <w:szCs w:val="24"/>
        </w:rPr>
        <w:t xml:space="preserve"> ended August 31, 201</w:t>
      </w:r>
      <w:r w:rsidR="00586FCC">
        <w:rPr>
          <w:rFonts w:ascii="Arial" w:hAnsi="Arial" w:cs="Arial"/>
          <w:sz w:val="24"/>
          <w:szCs w:val="24"/>
        </w:rPr>
        <w:t>4</w:t>
      </w:r>
      <w:r w:rsidR="00586FCC" w:rsidRPr="00586FCC">
        <w:rPr>
          <w:rFonts w:ascii="Arial" w:hAnsi="Arial" w:cs="Arial"/>
          <w:sz w:val="24"/>
          <w:szCs w:val="24"/>
        </w:rPr>
        <w:t xml:space="preserve"> and August 31, 201</w:t>
      </w:r>
      <w:r w:rsidR="00586FCC">
        <w:rPr>
          <w:rFonts w:ascii="Arial" w:hAnsi="Arial" w:cs="Arial"/>
          <w:sz w:val="24"/>
          <w:szCs w:val="24"/>
        </w:rPr>
        <w:t>3</w:t>
      </w:r>
      <w:r w:rsidR="00B221DD">
        <w:rPr>
          <w:rFonts w:ascii="Arial" w:hAnsi="Arial" w:cs="Arial"/>
          <w:sz w:val="24"/>
          <w:szCs w:val="24"/>
        </w:rPr>
        <w:t>,</w:t>
      </w:r>
      <w:r w:rsidR="00586FCC">
        <w:rPr>
          <w:rFonts w:ascii="Arial" w:hAnsi="Arial" w:cs="Arial"/>
          <w:sz w:val="24"/>
          <w:szCs w:val="24"/>
        </w:rPr>
        <w:t xml:space="preserve"> </w:t>
      </w:r>
      <w:r w:rsidR="00586FCC" w:rsidRPr="00586FCC">
        <w:rPr>
          <w:rFonts w:ascii="Arial" w:hAnsi="Arial" w:cs="Arial"/>
          <w:sz w:val="24"/>
          <w:szCs w:val="24"/>
        </w:rPr>
        <w:t xml:space="preserve">of </w:t>
      </w:r>
      <w:r w:rsidR="00586FCC">
        <w:rPr>
          <w:rFonts w:ascii="Arial" w:hAnsi="Arial" w:cs="Arial"/>
          <w:sz w:val="24"/>
          <w:szCs w:val="24"/>
        </w:rPr>
        <w:t>Philadelphia Gas Works</w:t>
      </w:r>
      <w:r w:rsidR="00B221DD">
        <w:rPr>
          <w:rFonts w:ascii="Arial" w:hAnsi="Arial" w:cs="Arial"/>
          <w:sz w:val="24"/>
          <w:szCs w:val="24"/>
        </w:rPr>
        <w:t>,</w:t>
      </w:r>
      <w:r w:rsidR="00586FCC" w:rsidRPr="00586FCC">
        <w:rPr>
          <w:rFonts w:ascii="Arial" w:hAnsi="Arial" w:cs="Arial"/>
          <w:sz w:val="24"/>
          <w:szCs w:val="24"/>
        </w:rPr>
        <w:t xml:space="preserve"> present fairly, in all material respects, in relation to the audited financial statements from which </w:t>
      </w:r>
      <w:r w:rsidR="00350739">
        <w:rPr>
          <w:rFonts w:ascii="Arial" w:hAnsi="Arial" w:cs="Arial"/>
          <w:sz w:val="24"/>
          <w:szCs w:val="24"/>
        </w:rPr>
        <w:t>they were</w:t>
      </w:r>
      <w:r w:rsidR="00586FCC" w:rsidRPr="00586FCC">
        <w:rPr>
          <w:rFonts w:ascii="Arial" w:hAnsi="Arial" w:cs="Arial"/>
          <w:sz w:val="24"/>
          <w:szCs w:val="24"/>
        </w:rPr>
        <w:t xml:space="preserve"> derived.</w:t>
      </w:r>
    </w:p>
    <w:p w:rsidR="00586FCC" w:rsidRPr="00586FCC" w:rsidRDefault="00586FCC" w:rsidP="00586FCC">
      <w:pPr>
        <w:rPr>
          <w:rFonts w:ascii="Times New Roman" w:hAnsi="Times New Roman"/>
          <w:sz w:val="24"/>
          <w:szCs w:val="24"/>
        </w:rPr>
      </w:pPr>
    </w:p>
    <w:p w:rsidR="00586FCC" w:rsidRPr="00586FCC" w:rsidRDefault="00586FCC" w:rsidP="00586FCC">
      <w:pPr>
        <w:rPr>
          <w:rFonts w:ascii="Arial" w:hAnsi="Arial" w:cs="Arial"/>
          <w:sz w:val="24"/>
          <w:szCs w:val="24"/>
        </w:rPr>
      </w:pPr>
      <w:r w:rsidRPr="00586FCC">
        <w:rPr>
          <w:rFonts w:ascii="Arial" w:hAnsi="Arial" w:cs="Arial"/>
          <w:b/>
          <w:bCs/>
          <w:sz w:val="24"/>
          <w:szCs w:val="24"/>
        </w:rPr>
        <w:t>Report on Other Legal and Regulatory Requirements</w:t>
      </w:r>
    </w:p>
    <w:p w:rsidR="009B561F" w:rsidRDefault="009B561F" w:rsidP="00586FCC">
      <w:pPr>
        <w:rPr>
          <w:rFonts w:ascii="Arial" w:hAnsi="Arial" w:cs="Arial"/>
          <w:sz w:val="24"/>
          <w:szCs w:val="24"/>
        </w:rPr>
      </w:pPr>
    </w:p>
    <w:p w:rsidR="00D21A84" w:rsidRDefault="00D21A84" w:rsidP="00D21A84">
      <w:pPr>
        <w:ind w:firstLine="720"/>
        <w:rPr>
          <w:rFonts w:ascii="Arial" w:hAnsi="Arial" w:cs="Arial"/>
          <w:sz w:val="24"/>
          <w:szCs w:val="24"/>
        </w:rPr>
      </w:pPr>
      <w:r>
        <w:rPr>
          <w:rFonts w:ascii="Arial" w:hAnsi="Arial" w:cs="Arial"/>
          <w:sz w:val="24"/>
          <w:szCs w:val="24"/>
        </w:rPr>
        <w:t>The accompanying statements were prepared for the purpose of complying with the rules and regulations of the Pennsylvania Public Utility Commission and are not intended to be a complete presentation of the Philadelphia Gas Work’s revenues and expenses.</w:t>
      </w:r>
    </w:p>
    <w:p w:rsidR="00D21A84" w:rsidRDefault="00D21A84" w:rsidP="00D21A84">
      <w:pPr>
        <w:rPr>
          <w:rFonts w:ascii="Arial" w:hAnsi="Arial" w:cs="Arial"/>
          <w:sz w:val="24"/>
          <w:szCs w:val="24"/>
        </w:rPr>
      </w:pPr>
    </w:p>
    <w:p w:rsidR="00D21A84" w:rsidRDefault="00D21A84" w:rsidP="00D21A84">
      <w:pPr>
        <w:rPr>
          <w:rFonts w:ascii="Arial" w:hAnsi="Arial" w:cs="Arial"/>
          <w:sz w:val="24"/>
          <w:szCs w:val="24"/>
        </w:rPr>
      </w:pPr>
    </w:p>
    <w:p w:rsidR="00D21A84" w:rsidRDefault="00D21A84" w:rsidP="00D21A84">
      <w:pPr>
        <w:rPr>
          <w:rFonts w:ascii="Arial" w:hAnsi="Arial" w:cs="Arial"/>
          <w:sz w:val="24"/>
          <w:szCs w:val="24"/>
        </w:rPr>
      </w:pPr>
    </w:p>
    <w:p w:rsidR="00D21A84" w:rsidRDefault="00D21A84" w:rsidP="00D21A84">
      <w:pPr>
        <w:tabs>
          <w:tab w:val="left" w:pos="5400"/>
        </w:tabs>
        <w:rPr>
          <w:sz w:val="24"/>
          <w:szCs w:val="24"/>
        </w:rPr>
      </w:pPr>
      <w:r>
        <w:rPr>
          <w:sz w:val="24"/>
          <w:szCs w:val="24"/>
        </w:rPr>
        <w:tab/>
      </w:r>
    </w:p>
    <w:p w:rsidR="00B221DD" w:rsidRPr="00B221DD" w:rsidRDefault="00D21A84" w:rsidP="0034784E">
      <w:pPr>
        <w:ind w:left="5040"/>
        <w:rPr>
          <w:rFonts w:ascii="Arial" w:hAnsi="Arial" w:cs="Arial"/>
          <w:sz w:val="24"/>
          <w:szCs w:val="24"/>
        </w:rPr>
      </w:pPr>
      <w:r>
        <w:rPr>
          <w:sz w:val="24"/>
          <w:szCs w:val="24"/>
        </w:rPr>
        <w:tab/>
      </w:r>
      <w:r w:rsidR="00B221DD" w:rsidRPr="00B221DD">
        <w:rPr>
          <w:rFonts w:ascii="Arial" w:hAnsi="Arial" w:cs="Arial"/>
          <w:sz w:val="24"/>
          <w:szCs w:val="24"/>
        </w:rPr>
        <w:t>Kelly A. Monaghan, CPA, CGFM, CFE</w:t>
      </w:r>
    </w:p>
    <w:p w:rsidR="00B221DD" w:rsidRPr="00B221DD" w:rsidRDefault="00B221DD" w:rsidP="00B221DD">
      <w:pPr>
        <w:tabs>
          <w:tab w:val="left" w:pos="5040"/>
        </w:tabs>
        <w:rPr>
          <w:rFonts w:ascii="Arial" w:hAnsi="Arial" w:cs="Arial"/>
          <w:sz w:val="24"/>
          <w:szCs w:val="24"/>
        </w:rPr>
      </w:pPr>
      <w:r w:rsidRPr="00B221DD">
        <w:rPr>
          <w:rFonts w:ascii="Arial" w:hAnsi="Arial" w:cs="Arial"/>
          <w:sz w:val="24"/>
          <w:szCs w:val="24"/>
        </w:rPr>
        <w:tab/>
        <w:t>Director</w:t>
      </w:r>
    </w:p>
    <w:p w:rsidR="00B221DD" w:rsidRPr="00B221DD" w:rsidRDefault="00B221DD" w:rsidP="00B221DD">
      <w:pPr>
        <w:tabs>
          <w:tab w:val="left" w:pos="5040"/>
        </w:tabs>
        <w:rPr>
          <w:rFonts w:ascii="Arial" w:hAnsi="Arial" w:cs="Arial"/>
          <w:sz w:val="24"/>
          <w:szCs w:val="24"/>
        </w:rPr>
      </w:pPr>
      <w:r w:rsidRPr="00B221DD">
        <w:rPr>
          <w:rFonts w:ascii="Arial" w:hAnsi="Arial" w:cs="Arial"/>
          <w:sz w:val="24"/>
          <w:szCs w:val="24"/>
        </w:rPr>
        <w:tab/>
        <w:t>Bureau of Audits</w:t>
      </w:r>
    </w:p>
    <w:p w:rsidR="00B221DD" w:rsidRPr="00B221DD" w:rsidRDefault="00B221DD" w:rsidP="00B221DD">
      <w:pPr>
        <w:tabs>
          <w:tab w:val="left" w:pos="5040"/>
          <w:tab w:val="left" w:pos="5400"/>
        </w:tabs>
        <w:rPr>
          <w:rFonts w:ascii="Arial" w:hAnsi="Arial" w:cs="Arial"/>
          <w:sz w:val="24"/>
          <w:szCs w:val="24"/>
        </w:rPr>
      </w:pPr>
      <w:r w:rsidRPr="00B221DD">
        <w:rPr>
          <w:rFonts w:ascii="Arial" w:hAnsi="Arial" w:cs="Arial"/>
          <w:sz w:val="24"/>
          <w:szCs w:val="24"/>
        </w:rPr>
        <w:tab/>
        <w:t>Harrisburg, PA</w:t>
      </w:r>
    </w:p>
    <w:p w:rsidR="00B221DD" w:rsidRPr="00B221DD" w:rsidRDefault="00B221DD" w:rsidP="00B221DD">
      <w:pPr>
        <w:tabs>
          <w:tab w:val="left" w:pos="5040"/>
        </w:tabs>
        <w:rPr>
          <w:rFonts w:ascii="Arial" w:hAnsi="Arial" w:cs="Arial"/>
          <w:sz w:val="24"/>
          <w:szCs w:val="24"/>
        </w:rPr>
      </w:pPr>
      <w:r w:rsidRPr="00B221DD">
        <w:rPr>
          <w:rFonts w:ascii="Arial" w:hAnsi="Arial" w:cs="Arial"/>
          <w:sz w:val="24"/>
          <w:szCs w:val="24"/>
        </w:rPr>
        <w:tab/>
      </w:r>
      <w:r w:rsidR="002E3546">
        <w:rPr>
          <w:rFonts w:ascii="Arial" w:hAnsi="Arial" w:cs="Arial"/>
          <w:sz w:val="24"/>
          <w:szCs w:val="24"/>
        </w:rPr>
        <w:t>February 27, 2017</w:t>
      </w:r>
    </w:p>
    <w:p w:rsidR="00D21A84" w:rsidRPr="00586FCC" w:rsidRDefault="00D21A84" w:rsidP="00B221DD">
      <w:pPr>
        <w:rPr>
          <w:rFonts w:ascii="Arial" w:hAnsi="Arial" w:cs="Arial"/>
          <w:sz w:val="24"/>
          <w:szCs w:val="24"/>
        </w:rPr>
      </w:pPr>
    </w:p>
    <w:p w:rsidR="0034784E" w:rsidRDefault="0034784E">
      <w:pPr>
        <w:rPr>
          <w:rFonts w:ascii="Arial" w:hAnsi="Arial" w:cs="Arial"/>
          <w:b/>
          <w:sz w:val="28"/>
          <w:szCs w:val="28"/>
        </w:rPr>
      </w:pPr>
      <w:r>
        <w:rPr>
          <w:rFonts w:ascii="Arial" w:hAnsi="Arial" w:cs="Arial"/>
          <w:b/>
          <w:sz w:val="28"/>
          <w:szCs w:val="28"/>
        </w:rPr>
        <w:br w:type="page"/>
      </w:r>
    </w:p>
    <w:p w:rsidR="00107286" w:rsidRPr="00F350B8" w:rsidRDefault="00107286" w:rsidP="00107286">
      <w:pPr>
        <w:jc w:val="center"/>
        <w:outlineLvl w:val="0"/>
        <w:rPr>
          <w:rFonts w:ascii="Arial" w:hAnsi="Arial" w:cs="Arial"/>
          <w:b/>
          <w:sz w:val="28"/>
          <w:szCs w:val="28"/>
        </w:rPr>
      </w:pPr>
      <w:r w:rsidRPr="005C0AB2">
        <w:rPr>
          <w:rFonts w:ascii="Arial" w:hAnsi="Arial" w:cs="Arial"/>
          <w:b/>
          <w:sz w:val="28"/>
          <w:szCs w:val="28"/>
        </w:rPr>
        <w:lastRenderedPageBreak/>
        <w:t>PHILADELPHIA GAS WORKS</w:t>
      </w:r>
    </w:p>
    <w:p w:rsidR="00107286" w:rsidRPr="00625757" w:rsidRDefault="00107286" w:rsidP="00107286">
      <w:pPr>
        <w:jc w:val="both"/>
        <w:rPr>
          <w:rFonts w:ascii="Arial" w:hAnsi="Arial" w:cs="Arial"/>
          <w:sz w:val="26"/>
          <w:szCs w:val="26"/>
        </w:rPr>
      </w:pPr>
    </w:p>
    <w:p w:rsidR="00107286" w:rsidRDefault="00845D4C" w:rsidP="00107286">
      <w:pPr>
        <w:jc w:val="center"/>
        <w:outlineLvl w:val="0"/>
        <w:rPr>
          <w:rFonts w:ascii="Arial" w:hAnsi="Arial" w:cs="Arial"/>
          <w:b/>
          <w:sz w:val="26"/>
          <w:szCs w:val="26"/>
        </w:rPr>
      </w:pPr>
      <w:r>
        <w:rPr>
          <w:rFonts w:ascii="Arial" w:hAnsi="Arial" w:cs="Arial"/>
          <w:b/>
          <w:sz w:val="26"/>
          <w:szCs w:val="26"/>
        </w:rPr>
        <w:t>Statement O</w:t>
      </w:r>
      <w:r w:rsidR="00107286">
        <w:rPr>
          <w:rFonts w:ascii="Arial" w:hAnsi="Arial" w:cs="Arial"/>
          <w:b/>
          <w:sz w:val="26"/>
          <w:szCs w:val="26"/>
        </w:rPr>
        <w:t xml:space="preserve">f </w:t>
      </w:r>
    </w:p>
    <w:p w:rsidR="00107286" w:rsidRPr="00B12E37" w:rsidRDefault="00107286" w:rsidP="00107286">
      <w:pPr>
        <w:jc w:val="center"/>
        <w:outlineLvl w:val="0"/>
        <w:rPr>
          <w:rFonts w:ascii="Arial" w:hAnsi="Arial" w:cs="Arial"/>
          <w:b/>
          <w:sz w:val="26"/>
          <w:szCs w:val="26"/>
        </w:rPr>
      </w:pPr>
      <w:r>
        <w:rPr>
          <w:rFonts w:ascii="Arial" w:hAnsi="Arial" w:cs="Arial"/>
          <w:b/>
          <w:sz w:val="26"/>
          <w:szCs w:val="26"/>
        </w:rPr>
        <w:t>Other Post Employment Benefit</w:t>
      </w:r>
      <w:r w:rsidRPr="00B12E37">
        <w:rPr>
          <w:rFonts w:ascii="Arial" w:hAnsi="Arial" w:cs="Arial"/>
          <w:b/>
          <w:sz w:val="26"/>
          <w:szCs w:val="26"/>
        </w:rPr>
        <w:t xml:space="preserve"> </w:t>
      </w:r>
      <w:r>
        <w:rPr>
          <w:rFonts w:ascii="Arial" w:hAnsi="Arial" w:cs="Arial"/>
          <w:b/>
          <w:sz w:val="26"/>
          <w:szCs w:val="26"/>
        </w:rPr>
        <w:t xml:space="preserve">(OPEB) </w:t>
      </w:r>
      <w:r w:rsidRPr="00B12E37">
        <w:rPr>
          <w:rFonts w:ascii="Arial" w:hAnsi="Arial" w:cs="Arial"/>
          <w:b/>
          <w:sz w:val="26"/>
          <w:szCs w:val="26"/>
        </w:rPr>
        <w:t>Surcharge</w:t>
      </w:r>
    </w:p>
    <w:p w:rsidR="00107286" w:rsidRPr="00B12E37" w:rsidRDefault="00107286" w:rsidP="00107286">
      <w:pPr>
        <w:tabs>
          <w:tab w:val="center" w:pos="4680"/>
        </w:tabs>
        <w:suppressAutoHyphens/>
        <w:jc w:val="center"/>
        <w:rPr>
          <w:rFonts w:ascii="Arial" w:hAnsi="Arial" w:cs="Arial"/>
          <w:sz w:val="26"/>
          <w:szCs w:val="26"/>
        </w:rPr>
      </w:pPr>
      <w:r w:rsidRPr="00B92235">
        <w:rPr>
          <w:rFonts w:ascii="Arial" w:hAnsi="Arial" w:cs="Arial"/>
          <w:b/>
          <w:sz w:val="26"/>
          <w:szCs w:val="26"/>
        </w:rPr>
        <w:t>Over/</w:t>
      </w:r>
      <w:r>
        <w:rPr>
          <w:rFonts w:ascii="Arial" w:hAnsi="Arial" w:cs="Arial"/>
          <w:b/>
          <w:sz w:val="26"/>
          <w:szCs w:val="26"/>
        </w:rPr>
        <w:t>(</w:t>
      </w:r>
      <w:r w:rsidRPr="00B92235">
        <w:rPr>
          <w:rFonts w:ascii="Arial" w:hAnsi="Arial" w:cs="Arial"/>
          <w:b/>
          <w:sz w:val="26"/>
          <w:szCs w:val="26"/>
        </w:rPr>
        <w:t>Under</w:t>
      </w:r>
      <w:r>
        <w:rPr>
          <w:rFonts w:ascii="Arial" w:hAnsi="Arial" w:cs="Arial"/>
          <w:b/>
          <w:sz w:val="26"/>
          <w:szCs w:val="26"/>
        </w:rPr>
        <w:t>)</w:t>
      </w:r>
      <w:r w:rsidRPr="00B92235">
        <w:rPr>
          <w:rFonts w:ascii="Arial" w:hAnsi="Arial" w:cs="Arial"/>
          <w:b/>
          <w:sz w:val="26"/>
          <w:szCs w:val="26"/>
        </w:rPr>
        <w:t xml:space="preserve"> Collections (Section 1307(</w:t>
      </w:r>
      <w:r>
        <w:rPr>
          <w:rFonts w:ascii="Arial" w:hAnsi="Arial" w:cs="Arial"/>
          <w:b/>
          <w:sz w:val="26"/>
          <w:szCs w:val="26"/>
        </w:rPr>
        <w:t>f</w:t>
      </w:r>
      <w:r w:rsidRPr="00B92235">
        <w:rPr>
          <w:rFonts w:ascii="Arial" w:hAnsi="Arial" w:cs="Arial"/>
          <w:b/>
          <w:sz w:val="26"/>
          <w:szCs w:val="26"/>
        </w:rPr>
        <w:t xml:space="preserve">)) </w:t>
      </w:r>
    </w:p>
    <w:p w:rsidR="00107286" w:rsidRPr="00B12E37" w:rsidRDefault="00107286" w:rsidP="00107286">
      <w:pPr>
        <w:tabs>
          <w:tab w:val="center" w:pos="4680"/>
        </w:tabs>
        <w:suppressAutoHyphens/>
        <w:jc w:val="center"/>
        <w:rPr>
          <w:rFonts w:ascii="Arial" w:hAnsi="Arial" w:cs="Arial"/>
          <w:sz w:val="26"/>
          <w:szCs w:val="26"/>
        </w:rPr>
      </w:pPr>
      <w:r>
        <w:rPr>
          <w:rFonts w:ascii="Arial" w:hAnsi="Arial" w:cs="Arial"/>
          <w:b/>
          <w:sz w:val="26"/>
          <w:szCs w:val="26"/>
        </w:rPr>
        <w:t xml:space="preserve">For The Twelve Months </w:t>
      </w:r>
      <w:r w:rsidRPr="00B12E37">
        <w:rPr>
          <w:rFonts w:ascii="Arial" w:hAnsi="Arial" w:cs="Arial"/>
          <w:b/>
          <w:sz w:val="26"/>
          <w:szCs w:val="26"/>
        </w:rPr>
        <w:t xml:space="preserve">Ended </w:t>
      </w:r>
      <w:r>
        <w:rPr>
          <w:rFonts w:ascii="Arial" w:hAnsi="Arial" w:cs="Arial"/>
          <w:b/>
          <w:sz w:val="26"/>
          <w:szCs w:val="26"/>
        </w:rPr>
        <w:t xml:space="preserve">August 31, 2014* </w:t>
      </w:r>
      <w:r w:rsidRPr="00B12E37">
        <w:rPr>
          <w:rFonts w:ascii="Arial" w:hAnsi="Arial" w:cs="Arial"/>
          <w:b/>
          <w:sz w:val="26"/>
          <w:szCs w:val="26"/>
        </w:rPr>
        <w:t>(Note 1)</w:t>
      </w:r>
    </w:p>
    <w:p w:rsidR="00107286" w:rsidRPr="002C79E6" w:rsidRDefault="00107286" w:rsidP="002C79E6">
      <w:pPr>
        <w:outlineLvl w:val="0"/>
        <w:rPr>
          <w:rFonts w:ascii="Arial" w:hAnsi="Arial" w:cs="Arial"/>
          <w:sz w:val="24"/>
          <w:szCs w:val="24"/>
        </w:rPr>
      </w:pPr>
    </w:p>
    <w:tbl>
      <w:tblPr>
        <w:tblpPr w:leftFromText="180" w:rightFromText="180" w:vertAnchor="text" w:horzAnchor="margin" w:tblpXSpec="center" w:tblpY="130"/>
        <w:tblW w:w="8388" w:type="dxa"/>
        <w:tblLook w:val="04A0" w:firstRow="1" w:lastRow="0" w:firstColumn="1" w:lastColumn="0" w:noHBand="0" w:noVBand="1"/>
      </w:tblPr>
      <w:tblGrid>
        <w:gridCol w:w="2268"/>
        <w:gridCol w:w="1894"/>
        <w:gridCol w:w="1976"/>
        <w:gridCol w:w="2250"/>
      </w:tblGrid>
      <w:tr w:rsidR="002C79E6" w:rsidRPr="00632F88" w:rsidTr="00116687">
        <w:trPr>
          <w:trHeight w:val="290"/>
        </w:trPr>
        <w:tc>
          <w:tcPr>
            <w:tcW w:w="2268" w:type="dxa"/>
            <w:tcBorders>
              <w:top w:val="nil"/>
              <w:left w:val="nil"/>
              <w:bottom w:val="nil"/>
              <w:right w:val="nil"/>
            </w:tcBorders>
            <w:shd w:val="clear" w:color="auto" w:fill="auto"/>
            <w:noWrap/>
            <w:vAlign w:val="bottom"/>
          </w:tcPr>
          <w:p w:rsidR="002C79E6" w:rsidRPr="00632F88" w:rsidRDefault="002C79E6" w:rsidP="00116687">
            <w:pPr>
              <w:rPr>
                <w:rFonts w:ascii="Arial" w:hAnsi="Arial" w:cs="Arial"/>
                <w:b/>
                <w:color w:val="000000"/>
                <w:sz w:val="24"/>
                <w:szCs w:val="24"/>
                <w:u w:val="single"/>
              </w:rPr>
            </w:pPr>
          </w:p>
        </w:tc>
        <w:tc>
          <w:tcPr>
            <w:tcW w:w="1894" w:type="dxa"/>
            <w:tcBorders>
              <w:top w:val="nil"/>
              <w:left w:val="nil"/>
              <w:bottom w:val="nil"/>
              <w:right w:val="nil"/>
            </w:tcBorders>
            <w:shd w:val="clear" w:color="auto" w:fill="auto"/>
            <w:noWrap/>
            <w:vAlign w:val="bottom"/>
          </w:tcPr>
          <w:p w:rsidR="002C79E6" w:rsidRDefault="002C79E6" w:rsidP="00116687">
            <w:pPr>
              <w:jc w:val="center"/>
              <w:rPr>
                <w:rFonts w:ascii="Arial" w:hAnsi="Arial" w:cs="Arial"/>
                <w:b/>
                <w:color w:val="000000"/>
                <w:sz w:val="24"/>
                <w:szCs w:val="24"/>
              </w:rPr>
            </w:pPr>
          </w:p>
        </w:tc>
        <w:tc>
          <w:tcPr>
            <w:tcW w:w="1976" w:type="dxa"/>
            <w:tcBorders>
              <w:top w:val="nil"/>
              <w:left w:val="nil"/>
              <w:bottom w:val="nil"/>
              <w:right w:val="nil"/>
            </w:tcBorders>
            <w:shd w:val="clear" w:color="auto" w:fill="auto"/>
            <w:noWrap/>
            <w:vAlign w:val="bottom"/>
          </w:tcPr>
          <w:p w:rsidR="002C79E6" w:rsidRDefault="002C79E6" w:rsidP="00116687">
            <w:pPr>
              <w:jc w:val="center"/>
              <w:rPr>
                <w:rFonts w:ascii="Arial" w:hAnsi="Arial" w:cs="Arial"/>
                <w:b/>
                <w:color w:val="000000"/>
                <w:sz w:val="24"/>
                <w:szCs w:val="24"/>
              </w:rPr>
            </w:pPr>
          </w:p>
        </w:tc>
        <w:tc>
          <w:tcPr>
            <w:tcW w:w="2250" w:type="dxa"/>
            <w:tcBorders>
              <w:top w:val="nil"/>
              <w:left w:val="nil"/>
              <w:bottom w:val="nil"/>
              <w:right w:val="nil"/>
            </w:tcBorders>
            <w:shd w:val="clear" w:color="auto" w:fill="auto"/>
            <w:noWrap/>
            <w:vAlign w:val="bottom"/>
          </w:tcPr>
          <w:p w:rsidR="002C79E6" w:rsidRDefault="002C79E6" w:rsidP="00116687">
            <w:pPr>
              <w:jc w:val="center"/>
              <w:rPr>
                <w:rFonts w:ascii="Arial" w:hAnsi="Arial" w:cs="Arial"/>
                <w:b/>
                <w:color w:val="000000"/>
                <w:sz w:val="24"/>
                <w:szCs w:val="24"/>
              </w:rPr>
            </w:pPr>
          </w:p>
        </w:tc>
      </w:tr>
      <w:tr w:rsidR="00107286" w:rsidRPr="00632F88" w:rsidTr="00116687">
        <w:trPr>
          <w:trHeight w:val="290"/>
        </w:trPr>
        <w:tc>
          <w:tcPr>
            <w:tcW w:w="2268" w:type="dxa"/>
            <w:tcBorders>
              <w:top w:val="nil"/>
              <w:left w:val="nil"/>
              <w:bottom w:val="nil"/>
              <w:right w:val="nil"/>
            </w:tcBorders>
            <w:shd w:val="clear" w:color="auto" w:fill="auto"/>
            <w:noWrap/>
            <w:vAlign w:val="bottom"/>
            <w:hideMark/>
          </w:tcPr>
          <w:p w:rsidR="00107286" w:rsidRPr="00632F88" w:rsidRDefault="00107286" w:rsidP="00861263">
            <w:pPr>
              <w:jc w:val="center"/>
              <w:rPr>
                <w:rFonts w:ascii="Arial" w:hAnsi="Arial" w:cs="Arial"/>
                <w:b/>
                <w:color w:val="000000"/>
                <w:sz w:val="24"/>
                <w:szCs w:val="24"/>
                <w:u w:val="single"/>
              </w:rPr>
            </w:pPr>
            <w:r w:rsidRPr="00632F88">
              <w:rPr>
                <w:rFonts w:ascii="Arial" w:hAnsi="Arial" w:cs="Arial"/>
                <w:b/>
                <w:color w:val="000000"/>
                <w:sz w:val="24"/>
                <w:szCs w:val="24"/>
                <w:u w:val="single"/>
              </w:rPr>
              <w:t>Month</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center"/>
              <w:rPr>
                <w:rFonts w:ascii="Arial" w:hAnsi="Arial" w:cs="Arial"/>
                <w:b/>
                <w:color w:val="000000"/>
                <w:sz w:val="24"/>
                <w:szCs w:val="24"/>
              </w:rPr>
            </w:pPr>
            <w:r>
              <w:rPr>
                <w:rFonts w:ascii="Arial" w:hAnsi="Arial" w:cs="Arial"/>
                <w:b/>
                <w:color w:val="000000"/>
                <w:sz w:val="24"/>
                <w:szCs w:val="24"/>
              </w:rPr>
              <w:t xml:space="preserve">OPEB </w:t>
            </w:r>
            <w:r w:rsidRPr="008E6B81">
              <w:rPr>
                <w:rFonts w:ascii="Arial" w:hAnsi="Arial" w:cs="Arial"/>
                <w:b/>
                <w:color w:val="000000"/>
                <w:sz w:val="24"/>
                <w:szCs w:val="24"/>
                <w:u w:val="single"/>
              </w:rPr>
              <w:t>Volumes</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center"/>
              <w:rPr>
                <w:rFonts w:ascii="Arial" w:hAnsi="Arial" w:cs="Arial"/>
                <w:b/>
                <w:color w:val="000000"/>
                <w:sz w:val="24"/>
                <w:szCs w:val="24"/>
              </w:rPr>
            </w:pPr>
            <w:r>
              <w:rPr>
                <w:rFonts w:ascii="Arial" w:hAnsi="Arial" w:cs="Arial"/>
                <w:b/>
                <w:color w:val="000000"/>
                <w:sz w:val="24"/>
                <w:szCs w:val="24"/>
              </w:rPr>
              <w:t xml:space="preserve">OPEB </w:t>
            </w:r>
            <w:r w:rsidRPr="008E6B81">
              <w:rPr>
                <w:rFonts w:ascii="Arial" w:hAnsi="Arial" w:cs="Arial"/>
                <w:b/>
                <w:color w:val="000000"/>
                <w:sz w:val="24"/>
                <w:szCs w:val="24"/>
                <w:u w:val="single"/>
              </w:rPr>
              <w:t>Surcharge</w:t>
            </w:r>
          </w:p>
        </w:tc>
        <w:tc>
          <w:tcPr>
            <w:tcW w:w="2250" w:type="dxa"/>
            <w:tcBorders>
              <w:top w:val="nil"/>
              <w:left w:val="nil"/>
              <w:bottom w:val="nil"/>
              <w:right w:val="nil"/>
            </w:tcBorders>
            <w:shd w:val="clear" w:color="auto" w:fill="auto"/>
            <w:noWrap/>
            <w:vAlign w:val="bottom"/>
            <w:hideMark/>
          </w:tcPr>
          <w:p w:rsidR="00107286" w:rsidRDefault="00107286" w:rsidP="00116687">
            <w:pPr>
              <w:jc w:val="center"/>
              <w:rPr>
                <w:rFonts w:ascii="Arial" w:hAnsi="Arial" w:cs="Arial"/>
                <w:b/>
                <w:color w:val="000000"/>
                <w:sz w:val="24"/>
                <w:szCs w:val="24"/>
              </w:rPr>
            </w:pPr>
            <w:r>
              <w:rPr>
                <w:rFonts w:ascii="Arial" w:hAnsi="Arial" w:cs="Arial"/>
                <w:b/>
                <w:color w:val="000000"/>
                <w:sz w:val="24"/>
                <w:szCs w:val="24"/>
              </w:rPr>
              <w:t xml:space="preserve">OPEB </w:t>
            </w:r>
          </w:p>
          <w:p w:rsidR="00107286" w:rsidRPr="004A4DAD" w:rsidRDefault="00107286" w:rsidP="00116687">
            <w:pPr>
              <w:jc w:val="center"/>
              <w:rPr>
                <w:rFonts w:ascii="Arial" w:hAnsi="Arial" w:cs="Arial"/>
                <w:b/>
                <w:color w:val="000000"/>
                <w:sz w:val="24"/>
                <w:szCs w:val="24"/>
                <w:u w:val="single"/>
              </w:rPr>
            </w:pPr>
            <w:r>
              <w:rPr>
                <w:rFonts w:ascii="Arial" w:hAnsi="Arial" w:cs="Arial"/>
                <w:b/>
                <w:color w:val="000000"/>
                <w:sz w:val="24"/>
                <w:szCs w:val="24"/>
              </w:rPr>
              <w:t xml:space="preserve"> </w:t>
            </w:r>
            <w:r w:rsidRPr="004A4DAD">
              <w:rPr>
                <w:rFonts w:ascii="Arial" w:hAnsi="Arial" w:cs="Arial"/>
                <w:b/>
                <w:color w:val="000000"/>
                <w:sz w:val="24"/>
                <w:szCs w:val="24"/>
                <w:u w:val="single"/>
              </w:rPr>
              <w:t xml:space="preserve">Revenues </w:t>
            </w:r>
          </w:p>
        </w:tc>
      </w:tr>
      <w:tr w:rsidR="00107286" w:rsidRPr="00632F88" w:rsidTr="00116687">
        <w:trPr>
          <w:trHeight w:val="290"/>
        </w:trPr>
        <w:tc>
          <w:tcPr>
            <w:tcW w:w="2268" w:type="dxa"/>
            <w:tcBorders>
              <w:top w:val="nil"/>
              <w:left w:val="nil"/>
              <w:bottom w:val="nil"/>
              <w:right w:val="nil"/>
            </w:tcBorders>
            <w:shd w:val="clear" w:color="auto" w:fill="auto"/>
            <w:noWrap/>
            <w:vAlign w:val="bottom"/>
          </w:tcPr>
          <w:p w:rsidR="00107286" w:rsidRPr="00632F88" w:rsidRDefault="00107286" w:rsidP="00116687">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107286" w:rsidRPr="00632F88" w:rsidRDefault="00107286" w:rsidP="00116687">
            <w:pPr>
              <w:jc w:val="center"/>
              <w:rPr>
                <w:rFonts w:ascii="Arial" w:hAnsi="Arial" w:cs="Arial"/>
                <w:color w:val="000000"/>
                <w:sz w:val="24"/>
                <w:szCs w:val="24"/>
              </w:rPr>
            </w:pPr>
            <w:r>
              <w:rPr>
                <w:rFonts w:ascii="Arial" w:hAnsi="Arial" w:cs="Arial"/>
                <w:color w:val="000000"/>
                <w:sz w:val="24"/>
                <w:szCs w:val="24"/>
              </w:rPr>
              <w:t>(1)</w:t>
            </w:r>
          </w:p>
        </w:tc>
        <w:tc>
          <w:tcPr>
            <w:tcW w:w="1976" w:type="dxa"/>
            <w:tcBorders>
              <w:top w:val="nil"/>
              <w:left w:val="nil"/>
              <w:bottom w:val="nil"/>
              <w:right w:val="nil"/>
            </w:tcBorders>
            <w:shd w:val="clear" w:color="auto" w:fill="auto"/>
            <w:noWrap/>
            <w:vAlign w:val="bottom"/>
          </w:tcPr>
          <w:p w:rsidR="00107286" w:rsidRPr="00632F88" w:rsidRDefault="00107286" w:rsidP="00116687">
            <w:pPr>
              <w:jc w:val="center"/>
              <w:rPr>
                <w:rFonts w:ascii="Arial" w:hAnsi="Arial" w:cs="Arial"/>
                <w:color w:val="000000"/>
                <w:sz w:val="24"/>
                <w:szCs w:val="24"/>
              </w:rPr>
            </w:pPr>
            <w:r>
              <w:rPr>
                <w:rFonts w:ascii="Arial" w:hAnsi="Arial" w:cs="Arial"/>
                <w:color w:val="000000"/>
                <w:sz w:val="24"/>
                <w:szCs w:val="24"/>
              </w:rPr>
              <w:t>(2)</w:t>
            </w:r>
          </w:p>
        </w:tc>
        <w:tc>
          <w:tcPr>
            <w:tcW w:w="2250" w:type="dxa"/>
            <w:tcBorders>
              <w:top w:val="nil"/>
              <w:left w:val="nil"/>
              <w:bottom w:val="nil"/>
              <w:right w:val="nil"/>
            </w:tcBorders>
            <w:shd w:val="clear" w:color="auto" w:fill="auto"/>
            <w:noWrap/>
            <w:vAlign w:val="bottom"/>
          </w:tcPr>
          <w:p w:rsidR="00107286" w:rsidRPr="00632F88" w:rsidRDefault="00107286" w:rsidP="00116687">
            <w:pPr>
              <w:jc w:val="center"/>
              <w:rPr>
                <w:rFonts w:ascii="Arial" w:hAnsi="Arial" w:cs="Arial"/>
                <w:color w:val="000000"/>
                <w:sz w:val="24"/>
                <w:szCs w:val="24"/>
              </w:rPr>
            </w:pPr>
            <w:r>
              <w:rPr>
                <w:rFonts w:ascii="Arial" w:hAnsi="Arial" w:cs="Arial"/>
                <w:color w:val="000000"/>
                <w:sz w:val="24"/>
                <w:szCs w:val="24"/>
              </w:rPr>
              <w:t>(3)=(1)x(2)</w:t>
            </w:r>
          </w:p>
        </w:tc>
      </w:tr>
      <w:tr w:rsidR="00107286" w:rsidRPr="00632F88" w:rsidTr="00116687">
        <w:trPr>
          <w:trHeight w:val="290"/>
        </w:trPr>
        <w:tc>
          <w:tcPr>
            <w:tcW w:w="2268" w:type="dxa"/>
            <w:tcBorders>
              <w:top w:val="nil"/>
              <w:left w:val="nil"/>
              <w:bottom w:val="nil"/>
              <w:right w:val="nil"/>
            </w:tcBorders>
            <w:shd w:val="clear" w:color="auto" w:fill="auto"/>
            <w:noWrap/>
            <w:vAlign w:val="bottom"/>
          </w:tcPr>
          <w:p w:rsidR="00107286" w:rsidRPr="00632F88" w:rsidRDefault="00107286" w:rsidP="00116687">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107286" w:rsidRPr="00632F88" w:rsidRDefault="00107286" w:rsidP="00116687">
            <w:pPr>
              <w:jc w:val="center"/>
              <w:rPr>
                <w:rFonts w:ascii="Arial" w:hAnsi="Arial" w:cs="Arial"/>
                <w:color w:val="000000"/>
                <w:sz w:val="24"/>
                <w:szCs w:val="24"/>
              </w:rPr>
            </w:pPr>
            <w:r>
              <w:rPr>
                <w:rFonts w:ascii="Arial" w:hAnsi="Arial" w:cs="Arial"/>
                <w:color w:val="000000"/>
                <w:sz w:val="24"/>
                <w:szCs w:val="24"/>
              </w:rPr>
              <w:t>Note 2</w:t>
            </w:r>
          </w:p>
        </w:tc>
        <w:tc>
          <w:tcPr>
            <w:tcW w:w="1976" w:type="dxa"/>
            <w:tcBorders>
              <w:top w:val="nil"/>
              <w:left w:val="nil"/>
              <w:bottom w:val="nil"/>
              <w:right w:val="nil"/>
            </w:tcBorders>
            <w:shd w:val="clear" w:color="auto" w:fill="auto"/>
            <w:noWrap/>
            <w:vAlign w:val="bottom"/>
          </w:tcPr>
          <w:p w:rsidR="00107286" w:rsidRPr="00632F88" w:rsidRDefault="00107286" w:rsidP="00116687">
            <w:pPr>
              <w:jc w:val="center"/>
              <w:rPr>
                <w:rFonts w:ascii="Arial" w:hAnsi="Arial" w:cs="Arial"/>
                <w:color w:val="000000"/>
                <w:sz w:val="24"/>
                <w:szCs w:val="24"/>
              </w:rPr>
            </w:pPr>
            <w:r>
              <w:rPr>
                <w:rFonts w:ascii="Arial" w:hAnsi="Arial" w:cs="Arial"/>
                <w:color w:val="000000"/>
                <w:sz w:val="24"/>
                <w:szCs w:val="24"/>
              </w:rPr>
              <w:t>Note 3</w:t>
            </w:r>
          </w:p>
        </w:tc>
        <w:tc>
          <w:tcPr>
            <w:tcW w:w="2250" w:type="dxa"/>
            <w:tcBorders>
              <w:top w:val="nil"/>
              <w:left w:val="nil"/>
              <w:bottom w:val="nil"/>
              <w:right w:val="nil"/>
            </w:tcBorders>
            <w:shd w:val="clear" w:color="auto" w:fill="auto"/>
            <w:noWrap/>
            <w:vAlign w:val="bottom"/>
          </w:tcPr>
          <w:p w:rsidR="00107286" w:rsidRPr="00632F88" w:rsidRDefault="00107286" w:rsidP="00116687">
            <w:pPr>
              <w:jc w:val="center"/>
              <w:rPr>
                <w:rFonts w:ascii="Arial" w:hAnsi="Arial" w:cs="Arial"/>
                <w:color w:val="000000"/>
                <w:sz w:val="24"/>
                <w:szCs w:val="24"/>
              </w:rPr>
            </w:pPr>
            <w:r>
              <w:rPr>
                <w:rFonts w:ascii="Arial" w:hAnsi="Arial" w:cs="Arial"/>
                <w:color w:val="000000"/>
                <w:sz w:val="24"/>
                <w:szCs w:val="24"/>
              </w:rPr>
              <w:t>Note 4</w:t>
            </w:r>
          </w:p>
        </w:tc>
      </w:tr>
      <w:tr w:rsidR="00107286" w:rsidRPr="00632F88" w:rsidTr="00116687">
        <w:trPr>
          <w:trHeight w:val="290"/>
        </w:trPr>
        <w:tc>
          <w:tcPr>
            <w:tcW w:w="2268" w:type="dxa"/>
            <w:tcBorders>
              <w:top w:val="nil"/>
              <w:left w:val="nil"/>
              <w:bottom w:val="nil"/>
              <w:right w:val="nil"/>
            </w:tcBorders>
            <w:shd w:val="clear" w:color="auto" w:fill="auto"/>
            <w:noWrap/>
            <w:vAlign w:val="bottom"/>
          </w:tcPr>
          <w:p w:rsidR="00107286" w:rsidRPr="00632F88" w:rsidRDefault="00107286" w:rsidP="00116687">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107286" w:rsidRPr="00632F88" w:rsidRDefault="00107286" w:rsidP="00116687">
            <w:pPr>
              <w:jc w:val="right"/>
              <w:rPr>
                <w:rFonts w:ascii="Arial" w:hAnsi="Arial" w:cs="Arial"/>
                <w:color w:val="000000"/>
                <w:sz w:val="24"/>
                <w:szCs w:val="24"/>
              </w:rPr>
            </w:pPr>
          </w:p>
        </w:tc>
        <w:tc>
          <w:tcPr>
            <w:tcW w:w="1976" w:type="dxa"/>
            <w:tcBorders>
              <w:top w:val="nil"/>
              <w:left w:val="nil"/>
              <w:bottom w:val="nil"/>
              <w:right w:val="nil"/>
            </w:tcBorders>
            <w:shd w:val="clear" w:color="auto" w:fill="auto"/>
            <w:noWrap/>
            <w:vAlign w:val="bottom"/>
          </w:tcPr>
          <w:p w:rsidR="00107286" w:rsidRPr="00632F88" w:rsidRDefault="00107286" w:rsidP="00116687">
            <w:pPr>
              <w:jc w:val="right"/>
              <w:rPr>
                <w:rFonts w:ascii="Arial" w:hAnsi="Arial" w:cs="Arial"/>
                <w:color w:val="000000"/>
                <w:sz w:val="24"/>
                <w:szCs w:val="24"/>
              </w:rPr>
            </w:pPr>
          </w:p>
        </w:tc>
        <w:tc>
          <w:tcPr>
            <w:tcW w:w="2250" w:type="dxa"/>
            <w:tcBorders>
              <w:top w:val="nil"/>
              <w:left w:val="nil"/>
              <w:bottom w:val="nil"/>
              <w:right w:val="nil"/>
            </w:tcBorders>
            <w:shd w:val="clear" w:color="auto" w:fill="auto"/>
            <w:noWrap/>
            <w:vAlign w:val="bottom"/>
          </w:tcPr>
          <w:p w:rsidR="00107286" w:rsidRPr="00632F88" w:rsidRDefault="00107286" w:rsidP="00116687">
            <w:pPr>
              <w:jc w:val="right"/>
              <w:rPr>
                <w:rFonts w:ascii="Arial" w:hAnsi="Arial" w:cs="Arial"/>
                <w:color w:val="000000"/>
                <w:sz w:val="24"/>
                <w:szCs w:val="24"/>
              </w:rPr>
            </w:pP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September 201</w:t>
            </w:r>
            <w:r>
              <w:rPr>
                <w:rFonts w:ascii="Arial" w:hAnsi="Arial" w:cs="Arial"/>
                <w:color w:val="000000"/>
                <w:sz w:val="24"/>
                <w:szCs w:val="24"/>
              </w:rPr>
              <w:t>3</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 xml:space="preserve">      1</w:t>
            </w:r>
            <w:r w:rsidRPr="00632F88">
              <w:rPr>
                <w:rFonts w:ascii="Arial" w:hAnsi="Arial" w:cs="Arial"/>
                <w:color w:val="000000"/>
                <w:sz w:val="24"/>
                <w:szCs w:val="24"/>
              </w:rPr>
              <w:t>,</w:t>
            </w:r>
            <w:r>
              <w:rPr>
                <w:rFonts w:ascii="Arial" w:hAnsi="Arial" w:cs="Arial"/>
                <w:color w:val="000000"/>
                <w:sz w:val="24"/>
                <w:szCs w:val="24"/>
              </w:rPr>
              <w:t>184</w:t>
            </w:r>
            <w:r w:rsidRPr="00632F88">
              <w:rPr>
                <w:rFonts w:ascii="Arial" w:hAnsi="Arial" w:cs="Arial"/>
                <w:color w:val="000000"/>
                <w:sz w:val="24"/>
                <w:szCs w:val="24"/>
              </w:rPr>
              <w:t>,</w:t>
            </w:r>
            <w:r>
              <w:rPr>
                <w:rFonts w:ascii="Arial" w:hAnsi="Arial" w:cs="Arial"/>
                <w:color w:val="000000"/>
                <w:sz w:val="24"/>
                <w:szCs w:val="24"/>
              </w:rPr>
              <w:t>200</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A52A91">
            <w:pPr>
              <w:jc w:val="right"/>
              <w:rPr>
                <w:rFonts w:ascii="Arial" w:hAnsi="Arial" w:cs="Arial"/>
                <w:color w:val="000000"/>
                <w:sz w:val="24"/>
                <w:szCs w:val="24"/>
              </w:rPr>
            </w:pPr>
            <w:r>
              <w:rPr>
                <w:rFonts w:ascii="Arial" w:hAnsi="Arial" w:cs="Arial"/>
                <w:color w:val="000000"/>
                <w:sz w:val="24"/>
                <w:szCs w:val="24"/>
              </w:rPr>
              <w:t>$     0.3652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       432</w:t>
            </w:r>
            <w:r w:rsidRPr="00632F88">
              <w:rPr>
                <w:rFonts w:ascii="Arial" w:hAnsi="Arial" w:cs="Arial"/>
                <w:color w:val="000000"/>
                <w:sz w:val="24"/>
                <w:szCs w:val="24"/>
              </w:rPr>
              <w:t>,</w:t>
            </w:r>
            <w:r>
              <w:rPr>
                <w:rFonts w:ascii="Arial" w:hAnsi="Arial" w:cs="Arial"/>
                <w:color w:val="000000"/>
                <w:sz w:val="24"/>
                <w:szCs w:val="24"/>
              </w:rPr>
              <w:t>470</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October</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1</w:t>
            </w:r>
            <w:r w:rsidRPr="00632F88">
              <w:rPr>
                <w:rFonts w:ascii="Arial" w:hAnsi="Arial" w:cs="Arial"/>
                <w:color w:val="000000"/>
                <w:sz w:val="24"/>
                <w:szCs w:val="24"/>
              </w:rPr>
              <w:t>,</w:t>
            </w:r>
            <w:r>
              <w:rPr>
                <w:rFonts w:ascii="Arial" w:hAnsi="Arial" w:cs="Arial"/>
                <w:color w:val="000000"/>
                <w:sz w:val="24"/>
                <w:szCs w:val="24"/>
              </w:rPr>
              <w:t>444</w:t>
            </w:r>
            <w:r w:rsidRPr="00632F88">
              <w:rPr>
                <w:rFonts w:ascii="Arial" w:hAnsi="Arial" w:cs="Arial"/>
                <w:color w:val="000000"/>
                <w:sz w:val="24"/>
                <w:szCs w:val="24"/>
              </w:rPr>
              <w:t>,</w:t>
            </w:r>
            <w:r>
              <w:rPr>
                <w:rFonts w:ascii="Arial" w:hAnsi="Arial" w:cs="Arial"/>
                <w:color w:val="000000"/>
                <w:sz w:val="24"/>
                <w:szCs w:val="24"/>
              </w:rPr>
              <w:t>193</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A52A91">
            <w:pPr>
              <w:jc w:val="right"/>
              <w:rPr>
                <w:rFonts w:ascii="Arial" w:hAnsi="Arial" w:cs="Arial"/>
                <w:color w:val="000000"/>
                <w:sz w:val="24"/>
                <w:szCs w:val="24"/>
              </w:rPr>
            </w:pPr>
            <w:r>
              <w:rPr>
                <w:rFonts w:ascii="Arial" w:hAnsi="Arial" w:cs="Arial"/>
                <w:color w:val="000000"/>
                <w:sz w:val="24"/>
                <w:szCs w:val="24"/>
              </w:rPr>
              <w:t>0.3482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502</w:t>
            </w:r>
            <w:r w:rsidRPr="00632F88">
              <w:rPr>
                <w:rFonts w:ascii="Arial" w:hAnsi="Arial" w:cs="Arial"/>
                <w:color w:val="000000"/>
                <w:sz w:val="24"/>
                <w:szCs w:val="24"/>
              </w:rPr>
              <w:t>,</w:t>
            </w:r>
            <w:r>
              <w:rPr>
                <w:rFonts w:ascii="Arial" w:hAnsi="Arial" w:cs="Arial"/>
                <w:color w:val="000000"/>
                <w:sz w:val="24"/>
                <w:szCs w:val="24"/>
              </w:rPr>
              <w:t>868</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November</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450</w:t>
            </w:r>
            <w:r w:rsidRPr="00632F88">
              <w:rPr>
                <w:rFonts w:ascii="Arial" w:hAnsi="Arial" w:cs="Arial"/>
                <w:color w:val="000000"/>
                <w:sz w:val="24"/>
                <w:szCs w:val="24"/>
              </w:rPr>
              <w:t>,</w:t>
            </w:r>
            <w:r>
              <w:rPr>
                <w:rFonts w:ascii="Arial" w:hAnsi="Arial" w:cs="Arial"/>
                <w:color w:val="000000"/>
                <w:sz w:val="24"/>
                <w:szCs w:val="24"/>
              </w:rPr>
              <w:t>180</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0.3482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1,201</w:t>
            </w:r>
            <w:r w:rsidRPr="00632F88">
              <w:rPr>
                <w:rFonts w:ascii="Arial" w:hAnsi="Arial" w:cs="Arial"/>
                <w:color w:val="000000"/>
                <w:sz w:val="24"/>
                <w:szCs w:val="24"/>
              </w:rPr>
              <w:t>,</w:t>
            </w:r>
            <w:r>
              <w:rPr>
                <w:rFonts w:ascii="Arial" w:hAnsi="Arial" w:cs="Arial"/>
                <w:color w:val="000000"/>
                <w:sz w:val="24"/>
                <w:szCs w:val="24"/>
              </w:rPr>
              <w:t>353</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December</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6</w:t>
            </w:r>
            <w:r w:rsidRPr="00632F88">
              <w:rPr>
                <w:rFonts w:ascii="Arial" w:hAnsi="Arial" w:cs="Arial"/>
                <w:color w:val="000000"/>
                <w:sz w:val="24"/>
                <w:szCs w:val="24"/>
              </w:rPr>
              <w:t>,</w:t>
            </w:r>
            <w:r>
              <w:rPr>
                <w:rFonts w:ascii="Arial" w:hAnsi="Arial" w:cs="Arial"/>
                <w:color w:val="000000"/>
                <w:sz w:val="24"/>
                <w:szCs w:val="24"/>
              </w:rPr>
              <w:t>756</w:t>
            </w:r>
            <w:r w:rsidRPr="00632F88">
              <w:rPr>
                <w:rFonts w:ascii="Arial" w:hAnsi="Arial" w:cs="Arial"/>
                <w:color w:val="000000"/>
                <w:sz w:val="24"/>
                <w:szCs w:val="24"/>
              </w:rPr>
              <w:t>,</w:t>
            </w:r>
            <w:r>
              <w:rPr>
                <w:rFonts w:ascii="Arial" w:hAnsi="Arial" w:cs="Arial"/>
                <w:color w:val="000000"/>
                <w:sz w:val="24"/>
                <w:szCs w:val="24"/>
              </w:rPr>
              <w:t>794</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0.3482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2</w:t>
            </w:r>
            <w:r w:rsidRPr="00632F88">
              <w:rPr>
                <w:rFonts w:ascii="Arial" w:hAnsi="Arial" w:cs="Arial"/>
                <w:color w:val="000000"/>
                <w:sz w:val="24"/>
                <w:szCs w:val="24"/>
              </w:rPr>
              <w:t>,</w:t>
            </w:r>
            <w:r>
              <w:rPr>
                <w:rFonts w:ascii="Arial" w:hAnsi="Arial" w:cs="Arial"/>
                <w:color w:val="000000"/>
                <w:sz w:val="24"/>
                <w:szCs w:val="24"/>
              </w:rPr>
              <w:t>352</w:t>
            </w:r>
            <w:r w:rsidRPr="00632F88">
              <w:rPr>
                <w:rFonts w:ascii="Arial" w:hAnsi="Arial" w:cs="Arial"/>
                <w:color w:val="000000"/>
                <w:sz w:val="24"/>
                <w:szCs w:val="24"/>
              </w:rPr>
              <w:t>,</w:t>
            </w:r>
            <w:r>
              <w:rPr>
                <w:rFonts w:ascii="Arial" w:hAnsi="Arial" w:cs="Arial"/>
                <w:color w:val="000000"/>
                <w:sz w:val="24"/>
                <w:szCs w:val="24"/>
              </w:rPr>
              <w:t>716</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January 201</w:t>
            </w:r>
            <w:r>
              <w:rPr>
                <w:rFonts w:ascii="Arial" w:hAnsi="Arial" w:cs="Arial"/>
                <w:color w:val="000000"/>
                <w:sz w:val="24"/>
                <w:szCs w:val="24"/>
              </w:rPr>
              <w:t>4</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9</w:t>
            </w:r>
            <w:r w:rsidRPr="00632F88">
              <w:rPr>
                <w:rFonts w:ascii="Arial" w:hAnsi="Arial" w:cs="Arial"/>
                <w:color w:val="000000"/>
                <w:sz w:val="24"/>
                <w:szCs w:val="24"/>
              </w:rPr>
              <w:t>,</w:t>
            </w:r>
            <w:r>
              <w:rPr>
                <w:rFonts w:ascii="Arial" w:hAnsi="Arial" w:cs="Arial"/>
                <w:color w:val="000000"/>
                <w:sz w:val="24"/>
                <w:szCs w:val="24"/>
              </w:rPr>
              <w:t>331</w:t>
            </w:r>
            <w:r w:rsidRPr="00632F88">
              <w:rPr>
                <w:rFonts w:ascii="Arial" w:hAnsi="Arial" w:cs="Arial"/>
                <w:color w:val="000000"/>
                <w:sz w:val="24"/>
                <w:szCs w:val="24"/>
              </w:rPr>
              <w:t>,</w:t>
            </w:r>
            <w:r>
              <w:rPr>
                <w:rFonts w:ascii="Arial" w:hAnsi="Arial" w:cs="Arial"/>
                <w:color w:val="000000"/>
                <w:sz w:val="24"/>
                <w:szCs w:val="24"/>
              </w:rPr>
              <w:t>243</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0.3482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249</w:t>
            </w:r>
            <w:r w:rsidRPr="00632F88">
              <w:rPr>
                <w:rFonts w:ascii="Arial" w:hAnsi="Arial" w:cs="Arial"/>
                <w:color w:val="000000"/>
                <w:sz w:val="24"/>
                <w:szCs w:val="24"/>
              </w:rPr>
              <w:t>,</w:t>
            </w:r>
            <w:r>
              <w:rPr>
                <w:rFonts w:ascii="Arial" w:hAnsi="Arial" w:cs="Arial"/>
                <w:color w:val="000000"/>
                <w:sz w:val="24"/>
                <w:szCs w:val="24"/>
              </w:rPr>
              <w:t>139</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February</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10</w:t>
            </w:r>
            <w:r w:rsidRPr="00632F88">
              <w:rPr>
                <w:rFonts w:ascii="Arial" w:hAnsi="Arial" w:cs="Arial"/>
                <w:color w:val="000000"/>
                <w:sz w:val="24"/>
                <w:szCs w:val="24"/>
              </w:rPr>
              <w:t>,</w:t>
            </w:r>
            <w:r>
              <w:rPr>
                <w:rFonts w:ascii="Arial" w:hAnsi="Arial" w:cs="Arial"/>
                <w:color w:val="000000"/>
                <w:sz w:val="24"/>
                <w:szCs w:val="24"/>
              </w:rPr>
              <w:t>477</w:t>
            </w:r>
            <w:r w:rsidRPr="00632F88">
              <w:rPr>
                <w:rFonts w:ascii="Arial" w:hAnsi="Arial" w:cs="Arial"/>
                <w:color w:val="000000"/>
                <w:sz w:val="24"/>
                <w:szCs w:val="24"/>
              </w:rPr>
              <w:t>,</w:t>
            </w:r>
            <w:r>
              <w:rPr>
                <w:rFonts w:ascii="Arial" w:hAnsi="Arial" w:cs="Arial"/>
                <w:color w:val="000000"/>
                <w:sz w:val="24"/>
                <w:szCs w:val="24"/>
              </w:rPr>
              <w:t>796</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0.3482</w:t>
            </w:r>
          </w:p>
        </w:tc>
        <w:tc>
          <w:tcPr>
            <w:tcW w:w="2250" w:type="dxa"/>
            <w:tcBorders>
              <w:top w:val="nil"/>
              <w:left w:val="nil"/>
              <w:bottom w:val="nil"/>
              <w:right w:val="nil"/>
            </w:tcBorders>
            <w:shd w:val="clear" w:color="auto" w:fill="auto"/>
            <w:noWrap/>
            <w:vAlign w:val="bottom"/>
            <w:hideMark/>
          </w:tcPr>
          <w:p w:rsidR="00107286" w:rsidRPr="00632F88" w:rsidRDefault="00107286" w:rsidP="004944F3">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6</w:t>
            </w:r>
            <w:r w:rsidR="004944F3">
              <w:rPr>
                <w:rFonts w:ascii="Arial" w:hAnsi="Arial" w:cs="Arial"/>
                <w:color w:val="000000"/>
                <w:sz w:val="24"/>
                <w:szCs w:val="24"/>
              </w:rPr>
              <w:t>48</w:t>
            </w:r>
            <w:r w:rsidRPr="00632F88">
              <w:rPr>
                <w:rFonts w:ascii="Arial" w:hAnsi="Arial" w:cs="Arial"/>
                <w:color w:val="000000"/>
                <w:sz w:val="24"/>
                <w:szCs w:val="24"/>
              </w:rPr>
              <w:t>,</w:t>
            </w:r>
            <w:r>
              <w:rPr>
                <w:rFonts w:ascii="Arial" w:hAnsi="Arial" w:cs="Arial"/>
                <w:color w:val="000000"/>
                <w:sz w:val="24"/>
                <w:szCs w:val="24"/>
              </w:rPr>
              <w:t>369</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March</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8</w:t>
            </w:r>
            <w:r w:rsidRPr="00632F88">
              <w:rPr>
                <w:rFonts w:ascii="Arial" w:hAnsi="Arial" w:cs="Arial"/>
                <w:color w:val="000000"/>
                <w:sz w:val="24"/>
                <w:szCs w:val="24"/>
              </w:rPr>
              <w:t>,</w:t>
            </w:r>
            <w:r>
              <w:rPr>
                <w:rFonts w:ascii="Arial" w:hAnsi="Arial" w:cs="Arial"/>
                <w:color w:val="000000"/>
                <w:sz w:val="24"/>
                <w:szCs w:val="24"/>
              </w:rPr>
              <w:t>933</w:t>
            </w:r>
            <w:r w:rsidRPr="00632F88">
              <w:rPr>
                <w:rFonts w:ascii="Arial" w:hAnsi="Arial" w:cs="Arial"/>
                <w:color w:val="000000"/>
                <w:sz w:val="24"/>
                <w:szCs w:val="24"/>
              </w:rPr>
              <w:t>,</w:t>
            </w:r>
            <w:r>
              <w:rPr>
                <w:rFonts w:ascii="Arial" w:hAnsi="Arial" w:cs="Arial"/>
                <w:color w:val="000000"/>
                <w:sz w:val="24"/>
                <w:szCs w:val="24"/>
              </w:rPr>
              <w:t>944</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0.3482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110</w:t>
            </w:r>
            <w:r w:rsidRPr="00632F88">
              <w:rPr>
                <w:rFonts w:ascii="Arial" w:hAnsi="Arial" w:cs="Arial"/>
                <w:color w:val="000000"/>
                <w:sz w:val="24"/>
                <w:szCs w:val="24"/>
              </w:rPr>
              <w:t>,</w:t>
            </w:r>
            <w:r>
              <w:rPr>
                <w:rFonts w:ascii="Arial" w:hAnsi="Arial" w:cs="Arial"/>
                <w:color w:val="000000"/>
                <w:sz w:val="24"/>
                <w:szCs w:val="24"/>
              </w:rPr>
              <w:t>799</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April</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5</w:t>
            </w:r>
            <w:r w:rsidRPr="00632F88">
              <w:rPr>
                <w:rFonts w:ascii="Arial" w:hAnsi="Arial" w:cs="Arial"/>
                <w:color w:val="000000"/>
                <w:sz w:val="24"/>
                <w:szCs w:val="24"/>
              </w:rPr>
              <w:t>,</w:t>
            </w:r>
            <w:r>
              <w:rPr>
                <w:rFonts w:ascii="Arial" w:hAnsi="Arial" w:cs="Arial"/>
                <w:color w:val="000000"/>
                <w:sz w:val="24"/>
                <w:szCs w:val="24"/>
              </w:rPr>
              <w:t>079</w:t>
            </w:r>
            <w:r w:rsidRPr="00632F88">
              <w:rPr>
                <w:rFonts w:ascii="Arial" w:hAnsi="Arial" w:cs="Arial"/>
                <w:color w:val="000000"/>
                <w:sz w:val="24"/>
                <w:szCs w:val="24"/>
              </w:rPr>
              <w:t>,</w:t>
            </w:r>
            <w:r>
              <w:rPr>
                <w:rFonts w:ascii="Arial" w:hAnsi="Arial" w:cs="Arial"/>
                <w:color w:val="000000"/>
                <w:sz w:val="24"/>
                <w:szCs w:val="24"/>
              </w:rPr>
              <w:t>409</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0.3482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1,768,650</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May</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2</w:t>
            </w:r>
            <w:r w:rsidRPr="00632F88">
              <w:rPr>
                <w:rFonts w:ascii="Arial" w:hAnsi="Arial" w:cs="Arial"/>
                <w:color w:val="000000"/>
                <w:sz w:val="24"/>
                <w:szCs w:val="24"/>
              </w:rPr>
              <w:t>,</w:t>
            </w:r>
            <w:r>
              <w:rPr>
                <w:rFonts w:ascii="Arial" w:hAnsi="Arial" w:cs="Arial"/>
                <w:color w:val="000000"/>
                <w:sz w:val="24"/>
                <w:szCs w:val="24"/>
              </w:rPr>
              <w:t>382</w:t>
            </w:r>
            <w:r w:rsidRPr="00632F88">
              <w:rPr>
                <w:rFonts w:ascii="Arial" w:hAnsi="Arial" w:cs="Arial"/>
                <w:color w:val="000000"/>
                <w:sz w:val="24"/>
                <w:szCs w:val="24"/>
              </w:rPr>
              <w:t>,</w:t>
            </w:r>
            <w:r>
              <w:rPr>
                <w:rFonts w:ascii="Arial" w:hAnsi="Arial" w:cs="Arial"/>
                <w:color w:val="000000"/>
                <w:sz w:val="24"/>
                <w:szCs w:val="24"/>
              </w:rPr>
              <w:t>324</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0.3482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829</w:t>
            </w:r>
            <w:r w:rsidRPr="00632F88">
              <w:rPr>
                <w:rFonts w:ascii="Arial" w:hAnsi="Arial" w:cs="Arial"/>
                <w:color w:val="000000"/>
                <w:sz w:val="24"/>
                <w:szCs w:val="24"/>
              </w:rPr>
              <w:t>,</w:t>
            </w:r>
            <w:r>
              <w:rPr>
                <w:rFonts w:ascii="Arial" w:hAnsi="Arial" w:cs="Arial"/>
                <w:color w:val="000000"/>
                <w:sz w:val="24"/>
                <w:szCs w:val="24"/>
              </w:rPr>
              <w:t>525</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June</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1</w:t>
            </w:r>
            <w:r w:rsidRPr="00632F88">
              <w:rPr>
                <w:rFonts w:ascii="Arial" w:hAnsi="Arial" w:cs="Arial"/>
                <w:color w:val="000000"/>
                <w:sz w:val="24"/>
                <w:szCs w:val="24"/>
              </w:rPr>
              <w:t>,</w:t>
            </w:r>
            <w:r>
              <w:rPr>
                <w:rFonts w:ascii="Arial" w:hAnsi="Arial" w:cs="Arial"/>
                <w:color w:val="000000"/>
                <w:sz w:val="24"/>
                <w:szCs w:val="24"/>
              </w:rPr>
              <w:t>394</w:t>
            </w:r>
            <w:r w:rsidRPr="00632F88">
              <w:rPr>
                <w:rFonts w:ascii="Arial" w:hAnsi="Arial" w:cs="Arial"/>
                <w:color w:val="000000"/>
                <w:sz w:val="24"/>
                <w:szCs w:val="24"/>
              </w:rPr>
              <w:t>,</w:t>
            </w:r>
            <w:r>
              <w:rPr>
                <w:rFonts w:ascii="Arial" w:hAnsi="Arial" w:cs="Arial"/>
                <w:color w:val="000000"/>
                <w:sz w:val="24"/>
                <w:szCs w:val="24"/>
              </w:rPr>
              <w:t>716</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0.3482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485</w:t>
            </w:r>
            <w:r w:rsidRPr="00632F88">
              <w:rPr>
                <w:rFonts w:ascii="Arial" w:hAnsi="Arial" w:cs="Arial"/>
                <w:color w:val="000000"/>
                <w:sz w:val="24"/>
                <w:szCs w:val="24"/>
              </w:rPr>
              <w:t>,</w:t>
            </w:r>
            <w:r>
              <w:rPr>
                <w:rFonts w:ascii="Arial" w:hAnsi="Arial" w:cs="Arial"/>
                <w:color w:val="000000"/>
                <w:sz w:val="24"/>
                <w:szCs w:val="24"/>
              </w:rPr>
              <w:t>640</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July</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1</w:t>
            </w:r>
            <w:r w:rsidRPr="00632F88">
              <w:rPr>
                <w:rFonts w:ascii="Arial" w:hAnsi="Arial" w:cs="Arial"/>
                <w:color w:val="000000"/>
                <w:sz w:val="24"/>
                <w:szCs w:val="24"/>
              </w:rPr>
              <w:t>,</w:t>
            </w:r>
            <w:r>
              <w:rPr>
                <w:rFonts w:ascii="Arial" w:hAnsi="Arial" w:cs="Arial"/>
                <w:color w:val="000000"/>
                <w:sz w:val="24"/>
                <w:szCs w:val="24"/>
              </w:rPr>
              <w:t>133</w:t>
            </w:r>
            <w:r w:rsidRPr="00632F88">
              <w:rPr>
                <w:rFonts w:ascii="Arial" w:hAnsi="Arial" w:cs="Arial"/>
                <w:color w:val="000000"/>
                <w:sz w:val="24"/>
                <w:szCs w:val="24"/>
              </w:rPr>
              <w:t>,</w:t>
            </w:r>
            <w:r>
              <w:rPr>
                <w:rFonts w:ascii="Arial" w:hAnsi="Arial" w:cs="Arial"/>
                <w:color w:val="000000"/>
                <w:sz w:val="24"/>
                <w:szCs w:val="24"/>
              </w:rPr>
              <w:t>369</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0.3482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394</w:t>
            </w:r>
            <w:r w:rsidRPr="00632F88">
              <w:rPr>
                <w:rFonts w:ascii="Arial" w:hAnsi="Arial" w:cs="Arial"/>
                <w:color w:val="000000"/>
                <w:sz w:val="24"/>
                <w:szCs w:val="24"/>
              </w:rPr>
              <w:t>,</w:t>
            </w:r>
            <w:r>
              <w:rPr>
                <w:rFonts w:ascii="Arial" w:hAnsi="Arial" w:cs="Arial"/>
                <w:color w:val="000000"/>
                <w:sz w:val="24"/>
                <w:szCs w:val="24"/>
              </w:rPr>
              <w:t>639</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August</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u w:val="single"/>
              </w:rPr>
            </w:pPr>
            <w:r w:rsidRPr="00794DEB">
              <w:rPr>
                <w:rFonts w:ascii="Arial" w:hAnsi="Arial" w:cs="Arial"/>
                <w:color w:val="000000"/>
                <w:sz w:val="24"/>
                <w:szCs w:val="24"/>
              </w:rPr>
              <w:t xml:space="preserve">     </w:t>
            </w:r>
            <w:r>
              <w:rPr>
                <w:rFonts w:ascii="Arial" w:hAnsi="Arial" w:cs="Arial"/>
                <w:color w:val="000000"/>
                <w:sz w:val="24"/>
                <w:szCs w:val="24"/>
                <w:u w:val="single"/>
              </w:rPr>
              <w:t xml:space="preserve">  1,034</w:t>
            </w:r>
            <w:r w:rsidRPr="00632F88">
              <w:rPr>
                <w:rFonts w:ascii="Arial" w:hAnsi="Arial" w:cs="Arial"/>
                <w:color w:val="000000"/>
                <w:sz w:val="24"/>
                <w:szCs w:val="24"/>
                <w:u w:val="single"/>
              </w:rPr>
              <w:t>,</w:t>
            </w:r>
            <w:r>
              <w:rPr>
                <w:rFonts w:ascii="Arial" w:hAnsi="Arial" w:cs="Arial"/>
                <w:color w:val="000000"/>
                <w:sz w:val="24"/>
                <w:szCs w:val="24"/>
                <w:u w:val="single"/>
              </w:rPr>
              <w:t>068</w:t>
            </w:r>
            <w:r w:rsidRPr="00632F88">
              <w:rPr>
                <w:rFonts w:ascii="Arial" w:hAnsi="Arial" w:cs="Arial"/>
                <w:color w:val="000000"/>
                <w:sz w:val="24"/>
                <w:szCs w:val="24"/>
                <w:u w:val="single"/>
              </w:rPr>
              <w:t xml:space="preserve"> </w:t>
            </w:r>
          </w:p>
        </w:tc>
        <w:tc>
          <w:tcPr>
            <w:tcW w:w="1976" w:type="dxa"/>
            <w:tcBorders>
              <w:top w:val="nil"/>
              <w:left w:val="nil"/>
              <w:bottom w:val="nil"/>
              <w:right w:val="nil"/>
            </w:tcBorders>
            <w:shd w:val="clear" w:color="auto" w:fill="auto"/>
            <w:noWrap/>
            <w:vAlign w:val="bottom"/>
            <w:hideMark/>
          </w:tcPr>
          <w:p w:rsidR="00107286" w:rsidRPr="00005470" w:rsidRDefault="00107286" w:rsidP="00116687">
            <w:pPr>
              <w:jc w:val="right"/>
              <w:rPr>
                <w:rFonts w:ascii="Arial" w:hAnsi="Arial" w:cs="Arial"/>
                <w:color w:val="000000"/>
                <w:sz w:val="24"/>
                <w:szCs w:val="24"/>
              </w:rPr>
            </w:pPr>
            <w:r>
              <w:rPr>
                <w:rFonts w:ascii="Arial" w:hAnsi="Arial" w:cs="Arial"/>
                <w:color w:val="000000"/>
                <w:sz w:val="24"/>
                <w:szCs w:val="24"/>
              </w:rPr>
              <w:t>0.3482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u w:val="single"/>
              </w:rPr>
            </w:pPr>
            <w:r>
              <w:rPr>
                <w:rFonts w:ascii="Arial" w:hAnsi="Arial" w:cs="Arial"/>
                <w:color w:val="000000"/>
                <w:sz w:val="24"/>
                <w:szCs w:val="24"/>
                <w:u w:val="single"/>
              </w:rPr>
              <w:t xml:space="preserve">      360</w:t>
            </w:r>
            <w:r w:rsidRPr="00632F88">
              <w:rPr>
                <w:rFonts w:ascii="Arial" w:hAnsi="Arial" w:cs="Arial"/>
                <w:color w:val="000000"/>
                <w:sz w:val="24"/>
                <w:szCs w:val="24"/>
                <w:u w:val="single"/>
              </w:rPr>
              <w:t>,</w:t>
            </w:r>
            <w:r>
              <w:rPr>
                <w:rFonts w:ascii="Arial" w:hAnsi="Arial" w:cs="Arial"/>
                <w:color w:val="000000"/>
                <w:sz w:val="24"/>
                <w:szCs w:val="24"/>
                <w:u w:val="single"/>
              </w:rPr>
              <w:t>062</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Pr>
                <w:rFonts w:ascii="Arial" w:hAnsi="Arial" w:cs="Arial"/>
                <w:color w:val="000000"/>
                <w:sz w:val="24"/>
                <w:szCs w:val="24"/>
              </w:rPr>
              <w:t xml:space="preserve">     </w:t>
            </w:r>
            <w:r w:rsidRPr="00632F88">
              <w:rPr>
                <w:rFonts w:ascii="Arial" w:hAnsi="Arial" w:cs="Arial"/>
                <w:color w:val="000000"/>
                <w:sz w:val="24"/>
                <w:szCs w:val="24"/>
              </w:rPr>
              <w:t>Totals</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u w:val="double"/>
              </w:rPr>
            </w:pPr>
            <w:r w:rsidRPr="00794DEB">
              <w:rPr>
                <w:rFonts w:ascii="Arial" w:hAnsi="Arial" w:cs="Arial"/>
                <w:color w:val="000000"/>
                <w:sz w:val="24"/>
                <w:szCs w:val="24"/>
              </w:rPr>
              <w:t xml:space="preserve">     </w:t>
            </w:r>
            <w:r>
              <w:rPr>
                <w:rFonts w:ascii="Arial" w:hAnsi="Arial" w:cs="Arial"/>
                <w:color w:val="000000"/>
                <w:sz w:val="24"/>
                <w:szCs w:val="24"/>
                <w:u w:val="double"/>
              </w:rPr>
              <w:t>52</w:t>
            </w:r>
            <w:r w:rsidRPr="00632F88">
              <w:rPr>
                <w:rFonts w:ascii="Arial" w:hAnsi="Arial" w:cs="Arial"/>
                <w:color w:val="000000"/>
                <w:sz w:val="24"/>
                <w:szCs w:val="24"/>
                <w:u w:val="double"/>
              </w:rPr>
              <w:t>,</w:t>
            </w:r>
            <w:r>
              <w:rPr>
                <w:rFonts w:ascii="Arial" w:hAnsi="Arial" w:cs="Arial"/>
                <w:color w:val="000000"/>
                <w:sz w:val="24"/>
                <w:szCs w:val="24"/>
                <w:u w:val="double"/>
              </w:rPr>
              <w:t>602</w:t>
            </w:r>
            <w:r w:rsidRPr="00632F88">
              <w:rPr>
                <w:rFonts w:ascii="Arial" w:hAnsi="Arial" w:cs="Arial"/>
                <w:color w:val="000000"/>
                <w:sz w:val="24"/>
                <w:szCs w:val="24"/>
                <w:u w:val="double"/>
              </w:rPr>
              <w:t>,</w:t>
            </w:r>
            <w:r>
              <w:rPr>
                <w:rFonts w:ascii="Arial" w:hAnsi="Arial" w:cs="Arial"/>
                <w:color w:val="000000"/>
                <w:sz w:val="24"/>
                <w:szCs w:val="24"/>
                <w:u w:val="double"/>
              </w:rPr>
              <w:t>236</w:t>
            </w:r>
          </w:p>
        </w:tc>
        <w:tc>
          <w:tcPr>
            <w:tcW w:w="1976" w:type="dxa"/>
            <w:tcBorders>
              <w:top w:val="nil"/>
              <w:left w:val="nil"/>
              <w:bottom w:val="nil"/>
              <w:right w:val="nil"/>
            </w:tcBorders>
            <w:shd w:val="clear" w:color="auto" w:fill="auto"/>
            <w:noWrap/>
            <w:vAlign w:val="bottom"/>
          </w:tcPr>
          <w:p w:rsidR="00107286" w:rsidRPr="00632F88" w:rsidRDefault="00107286" w:rsidP="00116687">
            <w:pPr>
              <w:ind w:right="72"/>
              <w:jc w:val="right"/>
              <w:rPr>
                <w:rFonts w:ascii="Arial" w:hAnsi="Arial" w:cs="Arial"/>
                <w:color w:val="000000"/>
                <w:sz w:val="24"/>
                <w:szCs w:val="24"/>
                <w:u w:val="double"/>
              </w:rPr>
            </w:pP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u w:val="double"/>
              </w:rPr>
            </w:pPr>
            <w:r>
              <w:rPr>
                <w:rFonts w:ascii="Arial" w:hAnsi="Arial" w:cs="Arial"/>
                <w:color w:val="000000"/>
                <w:sz w:val="24"/>
                <w:szCs w:val="24"/>
                <w:u w:val="double"/>
              </w:rPr>
              <w:t>$  18,336</w:t>
            </w:r>
            <w:r w:rsidRPr="00632F88">
              <w:rPr>
                <w:rFonts w:ascii="Arial" w:hAnsi="Arial" w:cs="Arial"/>
                <w:color w:val="000000"/>
                <w:sz w:val="24"/>
                <w:szCs w:val="24"/>
                <w:u w:val="double"/>
              </w:rPr>
              <w:t>,</w:t>
            </w:r>
            <w:r>
              <w:rPr>
                <w:rFonts w:ascii="Arial" w:hAnsi="Arial" w:cs="Arial"/>
                <w:color w:val="000000"/>
                <w:sz w:val="24"/>
                <w:szCs w:val="24"/>
                <w:u w:val="double"/>
              </w:rPr>
              <w:t>230</w:t>
            </w:r>
            <w:r w:rsidRPr="00632F88">
              <w:rPr>
                <w:rFonts w:ascii="Arial" w:hAnsi="Arial" w:cs="Arial"/>
                <w:color w:val="000000"/>
                <w:sz w:val="24"/>
                <w:szCs w:val="24"/>
                <w:u w:val="double"/>
              </w:rPr>
              <w:t xml:space="preserve"> </w:t>
            </w:r>
          </w:p>
        </w:tc>
      </w:tr>
    </w:tbl>
    <w:p w:rsidR="00107286" w:rsidRDefault="00107286" w:rsidP="00107286">
      <w:pPr>
        <w:rPr>
          <w:rFonts w:ascii="Arial" w:hAnsi="Arial" w:cs="Arial"/>
          <w:sz w:val="24"/>
          <w:szCs w:val="24"/>
        </w:rPr>
      </w:pPr>
    </w:p>
    <w:p w:rsidR="00107286" w:rsidRDefault="00107286" w:rsidP="00107286">
      <w:pPr>
        <w:tabs>
          <w:tab w:val="left" w:pos="8100"/>
        </w:tabs>
        <w:spacing w:line="360" w:lineRule="atLeast"/>
        <w:ind w:left="450" w:firstLine="14"/>
        <w:outlineLvl w:val="0"/>
        <w:rPr>
          <w:rFonts w:ascii="Arial" w:hAnsi="Arial" w:cs="Arial"/>
          <w:sz w:val="24"/>
          <w:szCs w:val="24"/>
        </w:rPr>
      </w:pPr>
      <w:r>
        <w:rPr>
          <w:rFonts w:ascii="Arial" w:hAnsi="Arial" w:cs="Arial"/>
          <w:sz w:val="24"/>
          <w:szCs w:val="24"/>
        </w:rPr>
        <w:t xml:space="preserve">FY 2014 OPEB Revenues </w:t>
      </w:r>
      <w:r w:rsidRPr="004C0F81">
        <w:rPr>
          <w:rFonts w:ascii="Arial" w:hAnsi="Arial" w:cs="Arial"/>
          <w:sz w:val="24"/>
          <w:szCs w:val="24"/>
        </w:rPr>
        <w:t>plus</w:t>
      </w:r>
      <w:r>
        <w:rPr>
          <w:rFonts w:ascii="Arial" w:hAnsi="Arial" w:cs="Arial"/>
          <w:sz w:val="24"/>
          <w:szCs w:val="24"/>
        </w:rPr>
        <w:t xml:space="preserve"> FY 2013</w:t>
      </w:r>
      <w:r w:rsidR="005205EE">
        <w:rPr>
          <w:rFonts w:ascii="Arial" w:hAnsi="Arial" w:cs="Arial"/>
          <w:sz w:val="24"/>
          <w:szCs w:val="24"/>
        </w:rPr>
        <w:t xml:space="preserve"> Under Collection</w:t>
      </w:r>
      <w:r w:rsidR="00B2529D">
        <w:rPr>
          <w:rFonts w:ascii="Arial" w:hAnsi="Arial" w:cs="Arial"/>
          <w:sz w:val="24"/>
          <w:szCs w:val="24"/>
        </w:rPr>
        <w:t xml:space="preserve">   </w:t>
      </w:r>
      <w:r w:rsidR="00096B69">
        <w:rPr>
          <w:rFonts w:ascii="Arial" w:hAnsi="Arial" w:cs="Arial"/>
          <w:sz w:val="24"/>
          <w:szCs w:val="24"/>
        </w:rPr>
        <w:t xml:space="preserve"> </w:t>
      </w:r>
      <w:r w:rsidR="005205EE">
        <w:rPr>
          <w:rFonts w:ascii="Arial" w:hAnsi="Arial" w:cs="Arial"/>
          <w:sz w:val="24"/>
          <w:szCs w:val="24"/>
        </w:rPr>
        <w:t xml:space="preserve">     </w:t>
      </w:r>
      <w:r w:rsidR="00A14E24">
        <w:rPr>
          <w:rFonts w:ascii="Arial" w:hAnsi="Arial" w:cs="Arial"/>
          <w:sz w:val="24"/>
          <w:szCs w:val="24"/>
        </w:rPr>
        <w:t xml:space="preserve">  </w:t>
      </w:r>
      <w:proofErr w:type="gramStart"/>
      <w:r>
        <w:rPr>
          <w:rFonts w:ascii="Arial" w:hAnsi="Arial" w:cs="Arial"/>
          <w:sz w:val="24"/>
          <w:szCs w:val="24"/>
        </w:rPr>
        <w:t>$</w:t>
      </w:r>
      <w:r w:rsidR="00A14E24">
        <w:rPr>
          <w:rFonts w:ascii="Arial" w:hAnsi="Arial" w:cs="Arial"/>
          <w:sz w:val="24"/>
          <w:szCs w:val="24"/>
        </w:rPr>
        <w:t xml:space="preserve"> </w:t>
      </w:r>
      <w:r>
        <w:rPr>
          <w:rFonts w:ascii="Arial" w:hAnsi="Arial" w:cs="Arial"/>
          <w:sz w:val="24"/>
          <w:szCs w:val="24"/>
        </w:rPr>
        <w:t xml:space="preserve"> 16,562,022</w:t>
      </w:r>
      <w:proofErr w:type="gramEnd"/>
    </w:p>
    <w:p w:rsidR="00107286" w:rsidRDefault="00107286" w:rsidP="00107286">
      <w:pPr>
        <w:tabs>
          <w:tab w:val="left" w:pos="8100"/>
        </w:tabs>
        <w:spacing w:line="360" w:lineRule="atLeast"/>
        <w:ind w:left="450" w:firstLine="14"/>
        <w:outlineLvl w:val="0"/>
        <w:rPr>
          <w:rFonts w:ascii="Arial" w:hAnsi="Arial" w:cs="Arial"/>
          <w:sz w:val="24"/>
          <w:szCs w:val="24"/>
          <w:u w:val="single"/>
        </w:rPr>
      </w:pPr>
      <w:r>
        <w:rPr>
          <w:rFonts w:ascii="Arial" w:hAnsi="Arial" w:cs="Arial"/>
          <w:sz w:val="24"/>
          <w:szCs w:val="24"/>
        </w:rPr>
        <w:t xml:space="preserve">FY 2014 Permitted Recovery - Note 5                                          </w:t>
      </w:r>
      <w:r w:rsidRPr="00A14E24">
        <w:rPr>
          <w:rFonts w:ascii="Arial" w:hAnsi="Arial" w:cs="Arial"/>
          <w:sz w:val="24"/>
          <w:szCs w:val="24"/>
        </w:rPr>
        <w:t xml:space="preserve"> </w:t>
      </w:r>
      <w:r w:rsidRPr="00A14E24">
        <w:rPr>
          <w:rFonts w:ascii="Arial" w:hAnsi="Arial" w:cs="Arial"/>
          <w:sz w:val="24"/>
          <w:szCs w:val="24"/>
          <w:u w:val="single"/>
        </w:rPr>
        <w:t xml:space="preserve"> </w:t>
      </w:r>
      <w:r w:rsidR="00A14E24" w:rsidRPr="00A14E24">
        <w:rPr>
          <w:rFonts w:ascii="Arial" w:hAnsi="Arial" w:cs="Arial"/>
          <w:sz w:val="24"/>
          <w:szCs w:val="24"/>
          <w:u w:val="single"/>
        </w:rPr>
        <w:t xml:space="preserve"> </w:t>
      </w:r>
      <w:r w:rsidRPr="00947508">
        <w:rPr>
          <w:rFonts w:ascii="Arial" w:hAnsi="Arial" w:cs="Arial"/>
          <w:sz w:val="24"/>
          <w:szCs w:val="24"/>
          <w:u w:val="single"/>
        </w:rPr>
        <w:t xml:space="preserve"> </w:t>
      </w:r>
      <w:r>
        <w:rPr>
          <w:rFonts w:ascii="Arial" w:hAnsi="Arial" w:cs="Arial"/>
          <w:sz w:val="24"/>
          <w:szCs w:val="24"/>
          <w:u w:val="single"/>
        </w:rPr>
        <w:t xml:space="preserve"> </w:t>
      </w:r>
      <w:r w:rsidRPr="003C45ED">
        <w:rPr>
          <w:rFonts w:ascii="Arial" w:hAnsi="Arial" w:cs="Arial"/>
          <w:sz w:val="24"/>
          <w:szCs w:val="24"/>
          <w:u w:val="single"/>
        </w:rPr>
        <w:t>16,000,000</w:t>
      </w:r>
    </w:p>
    <w:p w:rsidR="00107286" w:rsidRDefault="00107286" w:rsidP="00107286">
      <w:pPr>
        <w:tabs>
          <w:tab w:val="left" w:pos="8100"/>
        </w:tabs>
        <w:spacing w:line="360" w:lineRule="atLeast"/>
        <w:ind w:left="450" w:firstLine="14"/>
        <w:outlineLvl w:val="0"/>
        <w:rPr>
          <w:rFonts w:ascii="Arial" w:hAnsi="Arial" w:cs="Arial"/>
          <w:sz w:val="24"/>
          <w:szCs w:val="24"/>
        </w:rPr>
      </w:pPr>
      <w:r>
        <w:rPr>
          <w:rFonts w:ascii="Arial" w:hAnsi="Arial" w:cs="Arial"/>
          <w:sz w:val="24"/>
          <w:szCs w:val="24"/>
        </w:rPr>
        <w:t xml:space="preserve">Over/(Under) </w:t>
      </w:r>
      <w:r w:rsidR="00EA2EBC">
        <w:rPr>
          <w:rFonts w:ascii="Arial" w:hAnsi="Arial" w:cs="Arial"/>
          <w:sz w:val="24"/>
          <w:szCs w:val="24"/>
        </w:rPr>
        <w:t>Collections</w:t>
      </w:r>
      <w:r>
        <w:rPr>
          <w:rFonts w:ascii="Arial" w:hAnsi="Arial" w:cs="Arial"/>
          <w:sz w:val="24"/>
          <w:szCs w:val="24"/>
        </w:rPr>
        <w:t xml:space="preserve"> - Note 6                                                 </w:t>
      </w:r>
      <w:r w:rsidRPr="00326605">
        <w:rPr>
          <w:rFonts w:ascii="Arial" w:hAnsi="Arial" w:cs="Arial"/>
          <w:sz w:val="24"/>
          <w:szCs w:val="24"/>
          <w:u w:val="double"/>
        </w:rPr>
        <w:t>$</w:t>
      </w:r>
      <w:r w:rsidR="00A14E24">
        <w:rPr>
          <w:rFonts w:ascii="Arial" w:hAnsi="Arial" w:cs="Arial"/>
          <w:sz w:val="24"/>
          <w:szCs w:val="24"/>
          <w:u w:val="double"/>
        </w:rPr>
        <w:t xml:space="preserve">  </w:t>
      </w:r>
      <w:r w:rsidRPr="00326605">
        <w:rPr>
          <w:rFonts w:ascii="Arial" w:hAnsi="Arial" w:cs="Arial"/>
          <w:sz w:val="24"/>
          <w:szCs w:val="24"/>
          <w:u w:val="double"/>
        </w:rPr>
        <w:t xml:space="preserve"> </w:t>
      </w:r>
      <w:r>
        <w:rPr>
          <w:rFonts w:ascii="Arial" w:hAnsi="Arial" w:cs="Arial"/>
          <w:sz w:val="24"/>
          <w:szCs w:val="24"/>
          <w:u w:val="double"/>
        </w:rPr>
        <w:t xml:space="preserve"> </w:t>
      </w:r>
      <w:r w:rsidR="00A14E24">
        <w:rPr>
          <w:rFonts w:ascii="Arial" w:hAnsi="Arial" w:cs="Arial"/>
          <w:sz w:val="24"/>
          <w:szCs w:val="24"/>
          <w:u w:val="double"/>
        </w:rPr>
        <w:t xml:space="preserve"> </w:t>
      </w:r>
      <w:r>
        <w:rPr>
          <w:rFonts w:ascii="Arial" w:hAnsi="Arial" w:cs="Arial"/>
          <w:sz w:val="24"/>
          <w:szCs w:val="24"/>
          <w:u w:val="double"/>
        </w:rPr>
        <w:t xml:space="preserve">   562,022</w:t>
      </w:r>
    </w:p>
    <w:p w:rsidR="00107286" w:rsidRDefault="00107286" w:rsidP="002C79E6">
      <w:pPr>
        <w:tabs>
          <w:tab w:val="left" w:pos="8100"/>
        </w:tabs>
        <w:spacing w:line="360" w:lineRule="atLeast"/>
        <w:ind w:left="126" w:firstLine="14"/>
        <w:outlineLvl w:val="0"/>
        <w:rPr>
          <w:rFonts w:ascii="Arial" w:hAnsi="Arial" w:cs="Arial"/>
          <w:sz w:val="24"/>
          <w:szCs w:val="24"/>
        </w:rPr>
      </w:pPr>
      <w:r>
        <w:rPr>
          <w:rFonts w:ascii="Arial" w:hAnsi="Arial" w:cs="Arial"/>
          <w:sz w:val="24"/>
          <w:szCs w:val="24"/>
        </w:rPr>
        <w:t xml:space="preserve"> </w:t>
      </w:r>
    </w:p>
    <w:p w:rsidR="00F01A0F" w:rsidRDefault="00F01A0F" w:rsidP="00107286">
      <w:pPr>
        <w:tabs>
          <w:tab w:val="left" w:pos="450"/>
          <w:tab w:val="left" w:pos="1800"/>
          <w:tab w:val="decimal" w:pos="6300"/>
          <w:tab w:val="decimal" w:pos="8550"/>
          <w:tab w:val="decimal" w:pos="10350"/>
          <w:tab w:val="left" w:pos="10800"/>
        </w:tabs>
        <w:ind w:left="450" w:right="-144"/>
        <w:jc w:val="both"/>
        <w:rPr>
          <w:rFonts w:ascii="Arial" w:hAnsi="Arial" w:cs="Arial"/>
          <w:sz w:val="24"/>
          <w:szCs w:val="24"/>
        </w:rPr>
      </w:pPr>
    </w:p>
    <w:p w:rsidR="00107286" w:rsidRDefault="00107286" w:rsidP="00107286">
      <w:pPr>
        <w:tabs>
          <w:tab w:val="left" w:pos="450"/>
          <w:tab w:val="left" w:pos="1800"/>
          <w:tab w:val="decimal" w:pos="6300"/>
          <w:tab w:val="decimal" w:pos="8550"/>
          <w:tab w:val="decimal" w:pos="10350"/>
          <w:tab w:val="left" w:pos="10800"/>
        </w:tabs>
        <w:ind w:left="450" w:right="-144"/>
        <w:jc w:val="both"/>
        <w:rPr>
          <w:rFonts w:ascii="Arial" w:hAnsi="Arial" w:cs="Arial"/>
          <w:sz w:val="24"/>
          <w:szCs w:val="24"/>
        </w:rPr>
      </w:pPr>
      <w:r>
        <w:rPr>
          <w:rFonts w:ascii="Arial" w:hAnsi="Arial" w:cs="Arial"/>
          <w:sz w:val="24"/>
          <w:szCs w:val="24"/>
        </w:rPr>
        <w:t xml:space="preserve">* - As reported to the Commission at Docket No. </w:t>
      </w:r>
      <w:r w:rsidRPr="004C0F81">
        <w:rPr>
          <w:rFonts w:ascii="Arial" w:hAnsi="Arial" w:cs="Arial"/>
          <w:sz w:val="24"/>
          <w:szCs w:val="24"/>
        </w:rPr>
        <w:t>R-2015-2465656</w:t>
      </w:r>
      <w:r>
        <w:rPr>
          <w:rFonts w:ascii="Arial" w:hAnsi="Arial" w:cs="Arial"/>
          <w:sz w:val="24"/>
          <w:szCs w:val="24"/>
        </w:rPr>
        <w:t>.</w:t>
      </w:r>
    </w:p>
    <w:p w:rsidR="00107286" w:rsidRDefault="00107286" w:rsidP="00107286">
      <w:pPr>
        <w:tabs>
          <w:tab w:val="left" w:pos="450"/>
          <w:tab w:val="left" w:pos="8100"/>
        </w:tabs>
        <w:ind w:left="450"/>
        <w:outlineLvl w:val="0"/>
        <w:rPr>
          <w:rFonts w:ascii="Arial" w:hAnsi="Arial" w:cs="Arial"/>
          <w:sz w:val="24"/>
          <w:szCs w:val="24"/>
        </w:rPr>
      </w:pPr>
    </w:p>
    <w:p w:rsidR="00107286" w:rsidRDefault="00107286" w:rsidP="00107286">
      <w:pPr>
        <w:tabs>
          <w:tab w:val="left" w:pos="450"/>
          <w:tab w:val="left" w:pos="8100"/>
        </w:tabs>
        <w:ind w:left="450"/>
        <w:outlineLvl w:val="0"/>
        <w:rPr>
          <w:rFonts w:ascii="Arial" w:hAnsi="Arial" w:cs="Arial"/>
          <w:sz w:val="24"/>
          <w:szCs w:val="24"/>
        </w:rPr>
      </w:pPr>
      <w:r>
        <w:rPr>
          <w:rFonts w:ascii="Arial" w:hAnsi="Arial" w:cs="Arial"/>
          <w:sz w:val="24"/>
          <w:szCs w:val="24"/>
        </w:rPr>
        <w:t>Arithmetic differences are due to rounding.</w:t>
      </w:r>
    </w:p>
    <w:p w:rsidR="00107286" w:rsidRPr="00D82C3C" w:rsidRDefault="00107286" w:rsidP="00107286">
      <w:pPr>
        <w:tabs>
          <w:tab w:val="left" w:pos="450"/>
          <w:tab w:val="left" w:pos="8100"/>
        </w:tabs>
        <w:ind w:left="450"/>
        <w:outlineLvl w:val="0"/>
        <w:rPr>
          <w:rFonts w:ascii="Arial" w:hAnsi="Arial" w:cs="Arial"/>
        </w:rPr>
      </w:pPr>
    </w:p>
    <w:p w:rsidR="007445B8" w:rsidRPr="00C20F64" w:rsidRDefault="00107286" w:rsidP="00F01A0F">
      <w:pPr>
        <w:tabs>
          <w:tab w:val="left" w:pos="0"/>
          <w:tab w:val="left" w:pos="1800"/>
          <w:tab w:val="decimal" w:pos="6300"/>
          <w:tab w:val="decimal" w:pos="8550"/>
          <w:tab w:val="decimal" w:pos="10350"/>
          <w:tab w:val="left" w:pos="10800"/>
        </w:tabs>
        <w:ind w:right="-144" w:firstLine="450"/>
        <w:jc w:val="both"/>
        <w:rPr>
          <w:rFonts w:ascii="Arial" w:hAnsi="Arial" w:cs="Arial"/>
          <w:sz w:val="24"/>
          <w:szCs w:val="24"/>
        </w:rPr>
      </w:pPr>
      <w:r w:rsidRPr="007A1DB0">
        <w:rPr>
          <w:rFonts w:ascii="Arial" w:hAnsi="Arial" w:cs="Arial"/>
          <w:sz w:val="24"/>
          <w:szCs w:val="24"/>
        </w:rPr>
        <w:t>Notes to the Financial Statements are an integral part of this report.</w:t>
      </w: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107286" w:rsidRPr="00F350B8" w:rsidRDefault="00F01A0F" w:rsidP="00107286">
      <w:pPr>
        <w:jc w:val="center"/>
        <w:outlineLvl w:val="0"/>
        <w:rPr>
          <w:rFonts w:ascii="Arial" w:hAnsi="Arial" w:cs="Arial"/>
          <w:b/>
          <w:sz w:val="28"/>
          <w:szCs w:val="28"/>
        </w:rPr>
      </w:pPr>
      <w:r>
        <w:rPr>
          <w:rFonts w:ascii="Arial" w:hAnsi="Arial" w:cs="Arial"/>
          <w:b/>
          <w:sz w:val="28"/>
          <w:szCs w:val="28"/>
        </w:rPr>
        <w:lastRenderedPageBreak/>
        <w:t>P</w:t>
      </w:r>
      <w:r w:rsidR="00107286" w:rsidRPr="00B07B4B">
        <w:rPr>
          <w:rFonts w:ascii="Arial" w:hAnsi="Arial" w:cs="Arial"/>
          <w:b/>
          <w:sz w:val="28"/>
          <w:szCs w:val="28"/>
        </w:rPr>
        <w:t>HILADELPHIA GAS WORKS</w:t>
      </w:r>
    </w:p>
    <w:p w:rsidR="00107286" w:rsidRPr="00625757" w:rsidRDefault="00107286" w:rsidP="00107286">
      <w:pPr>
        <w:jc w:val="both"/>
        <w:rPr>
          <w:rFonts w:ascii="Arial" w:hAnsi="Arial" w:cs="Arial"/>
          <w:sz w:val="26"/>
          <w:szCs w:val="26"/>
        </w:rPr>
      </w:pPr>
    </w:p>
    <w:p w:rsidR="00107286" w:rsidRDefault="00845D4C" w:rsidP="00107286">
      <w:pPr>
        <w:jc w:val="center"/>
        <w:outlineLvl w:val="0"/>
        <w:rPr>
          <w:rFonts w:ascii="Arial" w:hAnsi="Arial" w:cs="Arial"/>
          <w:b/>
          <w:sz w:val="26"/>
          <w:szCs w:val="26"/>
        </w:rPr>
      </w:pPr>
      <w:r>
        <w:rPr>
          <w:rFonts w:ascii="Arial" w:hAnsi="Arial" w:cs="Arial"/>
          <w:b/>
          <w:sz w:val="26"/>
          <w:szCs w:val="26"/>
        </w:rPr>
        <w:t>Statement O</w:t>
      </w:r>
      <w:r w:rsidR="00107286">
        <w:rPr>
          <w:rFonts w:ascii="Arial" w:hAnsi="Arial" w:cs="Arial"/>
          <w:b/>
          <w:sz w:val="26"/>
          <w:szCs w:val="26"/>
        </w:rPr>
        <w:t xml:space="preserve">f </w:t>
      </w:r>
    </w:p>
    <w:p w:rsidR="00107286" w:rsidRPr="00B12E37" w:rsidRDefault="00107286" w:rsidP="00107286">
      <w:pPr>
        <w:jc w:val="center"/>
        <w:outlineLvl w:val="0"/>
        <w:rPr>
          <w:rFonts w:ascii="Arial" w:hAnsi="Arial" w:cs="Arial"/>
          <w:b/>
          <w:sz w:val="26"/>
          <w:szCs w:val="26"/>
        </w:rPr>
      </w:pPr>
      <w:r>
        <w:rPr>
          <w:rFonts w:ascii="Arial" w:hAnsi="Arial" w:cs="Arial"/>
          <w:b/>
          <w:sz w:val="26"/>
          <w:szCs w:val="26"/>
        </w:rPr>
        <w:t>Other Post Employment Benefit</w:t>
      </w:r>
      <w:r w:rsidRPr="00B12E37">
        <w:rPr>
          <w:rFonts w:ascii="Arial" w:hAnsi="Arial" w:cs="Arial"/>
          <w:b/>
          <w:sz w:val="26"/>
          <w:szCs w:val="26"/>
        </w:rPr>
        <w:t xml:space="preserve"> </w:t>
      </w:r>
      <w:r>
        <w:rPr>
          <w:rFonts w:ascii="Arial" w:hAnsi="Arial" w:cs="Arial"/>
          <w:b/>
          <w:sz w:val="26"/>
          <w:szCs w:val="26"/>
        </w:rPr>
        <w:t xml:space="preserve">(OPEB) </w:t>
      </w:r>
      <w:r w:rsidRPr="00B12E37">
        <w:rPr>
          <w:rFonts w:ascii="Arial" w:hAnsi="Arial" w:cs="Arial"/>
          <w:b/>
          <w:sz w:val="26"/>
          <w:szCs w:val="26"/>
        </w:rPr>
        <w:t>Surcharge</w:t>
      </w:r>
    </w:p>
    <w:p w:rsidR="00107286" w:rsidRPr="00B12E37" w:rsidRDefault="00107286" w:rsidP="00107286">
      <w:pPr>
        <w:tabs>
          <w:tab w:val="center" w:pos="4680"/>
        </w:tabs>
        <w:suppressAutoHyphens/>
        <w:jc w:val="center"/>
        <w:rPr>
          <w:rFonts w:ascii="Arial" w:hAnsi="Arial" w:cs="Arial"/>
          <w:sz w:val="26"/>
          <w:szCs w:val="26"/>
        </w:rPr>
      </w:pPr>
      <w:r w:rsidRPr="00B92235">
        <w:rPr>
          <w:rFonts w:ascii="Arial" w:hAnsi="Arial" w:cs="Arial"/>
          <w:b/>
          <w:sz w:val="26"/>
          <w:szCs w:val="26"/>
        </w:rPr>
        <w:t>Over/</w:t>
      </w:r>
      <w:r>
        <w:rPr>
          <w:rFonts w:ascii="Arial" w:hAnsi="Arial" w:cs="Arial"/>
          <w:b/>
          <w:sz w:val="26"/>
          <w:szCs w:val="26"/>
        </w:rPr>
        <w:t>(</w:t>
      </w:r>
      <w:r w:rsidRPr="00B92235">
        <w:rPr>
          <w:rFonts w:ascii="Arial" w:hAnsi="Arial" w:cs="Arial"/>
          <w:b/>
          <w:sz w:val="26"/>
          <w:szCs w:val="26"/>
        </w:rPr>
        <w:t>Under</w:t>
      </w:r>
      <w:r>
        <w:rPr>
          <w:rFonts w:ascii="Arial" w:hAnsi="Arial" w:cs="Arial"/>
          <w:b/>
          <w:sz w:val="26"/>
          <w:szCs w:val="26"/>
        </w:rPr>
        <w:t>)</w:t>
      </w:r>
      <w:r w:rsidRPr="00B92235">
        <w:rPr>
          <w:rFonts w:ascii="Arial" w:hAnsi="Arial" w:cs="Arial"/>
          <w:b/>
          <w:sz w:val="26"/>
          <w:szCs w:val="26"/>
        </w:rPr>
        <w:t xml:space="preserve"> Collections (Section 1307(</w:t>
      </w:r>
      <w:r>
        <w:rPr>
          <w:rFonts w:ascii="Arial" w:hAnsi="Arial" w:cs="Arial"/>
          <w:b/>
          <w:sz w:val="26"/>
          <w:szCs w:val="26"/>
        </w:rPr>
        <w:t>f</w:t>
      </w:r>
      <w:r w:rsidRPr="00B92235">
        <w:rPr>
          <w:rFonts w:ascii="Arial" w:hAnsi="Arial" w:cs="Arial"/>
          <w:b/>
          <w:sz w:val="26"/>
          <w:szCs w:val="26"/>
        </w:rPr>
        <w:t xml:space="preserve">)) </w:t>
      </w:r>
    </w:p>
    <w:p w:rsidR="00107286" w:rsidRPr="00B12E37" w:rsidRDefault="00107286" w:rsidP="00107286">
      <w:pPr>
        <w:tabs>
          <w:tab w:val="center" w:pos="4680"/>
        </w:tabs>
        <w:suppressAutoHyphens/>
        <w:jc w:val="center"/>
        <w:rPr>
          <w:rFonts w:ascii="Arial" w:hAnsi="Arial" w:cs="Arial"/>
          <w:sz w:val="26"/>
          <w:szCs w:val="26"/>
        </w:rPr>
      </w:pPr>
      <w:r>
        <w:rPr>
          <w:rFonts w:ascii="Arial" w:hAnsi="Arial" w:cs="Arial"/>
          <w:b/>
          <w:sz w:val="26"/>
          <w:szCs w:val="26"/>
        </w:rPr>
        <w:t xml:space="preserve">For The Twelve Months </w:t>
      </w:r>
      <w:r w:rsidRPr="00B12E37">
        <w:rPr>
          <w:rFonts w:ascii="Arial" w:hAnsi="Arial" w:cs="Arial"/>
          <w:b/>
          <w:sz w:val="26"/>
          <w:szCs w:val="26"/>
        </w:rPr>
        <w:t xml:space="preserve">Ended </w:t>
      </w:r>
      <w:r>
        <w:rPr>
          <w:rFonts w:ascii="Arial" w:hAnsi="Arial" w:cs="Arial"/>
          <w:b/>
          <w:sz w:val="26"/>
          <w:szCs w:val="26"/>
        </w:rPr>
        <w:t xml:space="preserve">August 31, 2013* </w:t>
      </w:r>
      <w:r w:rsidRPr="00B12E37">
        <w:rPr>
          <w:rFonts w:ascii="Arial" w:hAnsi="Arial" w:cs="Arial"/>
          <w:b/>
          <w:sz w:val="26"/>
          <w:szCs w:val="26"/>
        </w:rPr>
        <w:t>(Note 1)</w:t>
      </w:r>
    </w:p>
    <w:p w:rsidR="00107286" w:rsidRPr="00625757" w:rsidRDefault="00107286" w:rsidP="00107286">
      <w:pPr>
        <w:outlineLvl w:val="0"/>
        <w:rPr>
          <w:rFonts w:ascii="Arial" w:hAnsi="Arial" w:cs="Arial"/>
          <w:sz w:val="26"/>
          <w:szCs w:val="26"/>
        </w:rPr>
      </w:pPr>
    </w:p>
    <w:tbl>
      <w:tblPr>
        <w:tblpPr w:leftFromText="180" w:rightFromText="180" w:vertAnchor="text" w:horzAnchor="margin" w:tblpXSpec="center" w:tblpY="130"/>
        <w:tblW w:w="8388" w:type="dxa"/>
        <w:tblLook w:val="04A0" w:firstRow="1" w:lastRow="0" w:firstColumn="1" w:lastColumn="0" w:noHBand="0" w:noVBand="1"/>
      </w:tblPr>
      <w:tblGrid>
        <w:gridCol w:w="2268"/>
        <w:gridCol w:w="1894"/>
        <w:gridCol w:w="1976"/>
        <w:gridCol w:w="2250"/>
      </w:tblGrid>
      <w:tr w:rsidR="007B4D8F" w:rsidRPr="00632F88" w:rsidTr="00116687">
        <w:trPr>
          <w:trHeight w:val="290"/>
        </w:trPr>
        <w:tc>
          <w:tcPr>
            <w:tcW w:w="2268" w:type="dxa"/>
            <w:tcBorders>
              <w:top w:val="nil"/>
              <w:left w:val="nil"/>
              <w:bottom w:val="nil"/>
              <w:right w:val="nil"/>
            </w:tcBorders>
            <w:shd w:val="clear" w:color="auto" w:fill="auto"/>
            <w:noWrap/>
            <w:vAlign w:val="bottom"/>
          </w:tcPr>
          <w:p w:rsidR="007B4D8F" w:rsidRPr="00632F88" w:rsidRDefault="007B4D8F" w:rsidP="00116687">
            <w:pPr>
              <w:rPr>
                <w:rFonts w:ascii="Arial" w:hAnsi="Arial" w:cs="Arial"/>
                <w:b/>
                <w:color w:val="000000"/>
                <w:sz w:val="24"/>
                <w:szCs w:val="24"/>
                <w:u w:val="single"/>
              </w:rPr>
            </w:pPr>
          </w:p>
        </w:tc>
        <w:tc>
          <w:tcPr>
            <w:tcW w:w="1894" w:type="dxa"/>
            <w:tcBorders>
              <w:top w:val="nil"/>
              <w:left w:val="nil"/>
              <w:bottom w:val="nil"/>
              <w:right w:val="nil"/>
            </w:tcBorders>
            <w:shd w:val="clear" w:color="auto" w:fill="auto"/>
            <w:noWrap/>
            <w:vAlign w:val="bottom"/>
          </w:tcPr>
          <w:p w:rsidR="007B4D8F" w:rsidRDefault="007B4D8F" w:rsidP="00116687">
            <w:pPr>
              <w:jc w:val="center"/>
              <w:rPr>
                <w:rFonts w:ascii="Arial" w:hAnsi="Arial" w:cs="Arial"/>
                <w:b/>
                <w:color w:val="000000"/>
                <w:sz w:val="24"/>
                <w:szCs w:val="24"/>
              </w:rPr>
            </w:pPr>
          </w:p>
        </w:tc>
        <w:tc>
          <w:tcPr>
            <w:tcW w:w="1976" w:type="dxa"/>
            <w:tcBorders>
              <w:top w:val="nil"/>
              <w:left w:val="nil"/>
              <w:bottom w:val="nil"/>
              <w:right w:val="nil"/>
            </w:tcBorders>
            <w:shd w:val="clear" w:color="auto" w:fill="auto"/>
            <w:noWrap/>
            <w:vAlign w:val="bottom"/>
          </w:tcPr>
          <w:p w:rsidR="007B4D8F" w:rsidRDefault="007B4D8F" w:rsidP="00116687">
            <w:pPr>
              <w:jc w:val="center"/>
              <w:rPr>
                <w:rFonts w:ascii="Arial" w:hAnsi="Arial" w:cs="Arial"/>
                <w:b/>
                <w:color w:val="000000"/>
                <w:sz w:val="24"/>
                <w:szCs w:val="24"/>
              </w:rPr>
            </w:pPr>
          </w:p>
        </w:tc>
        <w:tc>
          <w:tcPr>
            <w:tcW w:w="2250" w:type="dxa"/>
            <w:tcBorders>
              <w:top w:val="nil"/>
              <w:left w:val="nil"/>
              <w:bottom w:val="nil"/>
              <w:right w:val="nil"/>
            </w:tcBorders>
            <w:shd w:val="clear" w:color="auto" w:fill="auto"/>
            <w:noWrap/>
            <w:vAlign w:val="bottom"/>
          </w:tcPr>
          <w:p w:rsidR="007B4D8F" w:rsidRDefault="007B4D8F" w:rsidP="00116687">
            <w:pPr>
              <w:jc w:val="center"/>
              <w:rPr>
                <w:rFonts w:ascii="Arial" w:hAnsi="Arial" w:cs="Arial"/>
                <w:b/>
                <w:color w:val="000000"/>
                <w:sz w:val="24"/>
                <w:szCs w:val="24"/>
              </w:rPr>
            </w:pPr>
          </w:p>
        </w:tc>
      </w:tr>
      <w:tr w:rsidR="00107286" w:rsidRPr="00632F88" w:rsidTr="00116687">
        <w:trPr>
          <w:trHeight w:val="290"/>
        </w:trPr>
        <w:tc>
          <w:tcPr>
            <w:tcW w:w="2268" w:type="dxa"/>
            <w:tcBorders>
              <w:top w:val="nil"/>
              <w:left w:val="nil"/>
              <w:bottom w:val="nil"/>
              <w:right w:val="nil"/>
            </w:tcBorders>
            <w:shd w:val="clear" w:color="auto" w:fill="auto"/>
            <w:noWrap/>
            <w:vAlign w:val="bottom"/>
            <w:hideMark/>
          </w:tcPr>
          <w:p w:rsidR="00107286" w:rsidRPr="00632F88" w:rsidRDefault="00107286" w:rsidP="00861263">
            <w:pPr>
              <w:jc w:val="center"/>
              <w:rPr>
                <w:rFonts w:ascii="Arial" w:hAnsi="Arial" w:cs="Arial"/>
                <w:b/>
                <w:color w:val="000000"/>
                <w:sz w:val="24"/>
                <w:szCs w:val="24"/>
                <w:u w:val="single"/>
              </w:rPr>
            </w:pPr>
            <w:r w:rsidRPr="00632F88">
              <w:rPr>
                <w:rFonts w:ascii="Arial" w:hAnsi="Arial" w:cs="Arial"/>
                <w:b/>
                <w:color w:val="000000"/>
                <w:sz w:val="24"/>
                <w:szCs w:val="24"/>
                <w:u w:val="single"/>
              </w:rPr>
              <w:t>Month</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center"/>
              <w:rPr>
                <w:rFonts w:ascii="Arial" w:hAnsi="Arial" w:cs="Arial"/>
                <w:b/>
                <w:color w:val="000000"/>
                <w:sz w:val="24"/>
                <w:szCs w:val="24"/>
              </w:rPr>
            </w:pPr>
            <w:r>
              <w:rPr>
                <w:rFonts w:ascii="Arial" w:hAnsi="Arial" w:cs="Arial"/>
                <w:b/>
                <w:color w:val="000000"/>
                <w:sz w:val="24"/>
                <w:szCs w:val="24"/>
              </w:rPr>
              <w:t xml:space="preserve">OPEB </w:t>
            </w:r>
            <w:r w:rsidRPr="008E6B81">
              <w:rPr>
                <w:rFonts w:ascii="Arial" w:hAnsi="Arial" w:cs="Arial"/>
                <w:b/>
                <w:color w:val="000000"/>
                <w:sz w:val="24"/>
                <w:szCs w:val="24"/>
                <w:u w:val="single"/>
              </w:rPr>
              <w:t>Volumes</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center"/>
              <w:rPr>
                <w:rFonts w:ascii="Arial" w:hAnsi="Arial" w:cs="Arial"/>
                <w:b/>
                <w:color w:val="000000"/>
                <w:sz w:val="24"/>
                <w:szCs w:val="24"/>
              </w:rPr>
            </w:pPr>
            <w:r>
              <w:rPr>
                <w:rFonts w:ascii="Arial" w:hAnsi="Arial" w:cs="Arial"/>
                <w:b/>
                <w:color w:val="000000"/>
                <w:sz w:val="24"/>
                <w:szCs w:val="24"/>
              </w:rPr>
              <w:t xml:space="preserve">OPEB </w:t>
            </w:r>
            <w:r w:rsidRPr="008E6B81">
              <w:rPr>
                <w:rFonts w:ascii="Arial" w:hAnsi="Arial" w:cs="Arial"/>
                <w:b/>
                <w:color w:val="000000"/>
                <w:sz w:val="24"/>
                <w:szCs w:val="24"/>
                <w:u w:val="single"/>
              </w:rPr>
              <w:t>Surcharge</w:t>
            </w:r>
          </w:p>
        </w:tc>
        <w:tc>
          <w:tcPr>
            <w:tcW w:w="2250" w:type="dxa"/>
            <w:tcBorders>
              <w:top w:val="nil"/>
              <w:left w:val="nil"/>
              <w:bottom w:val="nil"/>
              <w:right w:val="nil"/>
            </w:tcBorders>
            <w:shd w:val="clear" w:color="auto" w:fill="auto"/>
            <w:noWrap/>
            <w:vAlign w:val="bottom"/>
            <w:hideMark/>
          </w:tcPr>
          <w:p w:rsidR="00107286" w:rsidRDefault="00107286" w:rsidP="00116687">
            <w:pPr>
              <w:jc w:val="center"/>
              <w:rPr>
                <w:rFonts w:ascii="Arial" w:hAnsi="Arial" w:cs="Arial"/>
                <w:b/>
                <w:color w:val="000000"/>
                <w:sz w:val="24"/>
                <w:szCs w:val="24"/>
              </w:rPr>
            </w:pPr>
            <w:r>
              <w:rPr>
                <w:rFonts w:ascii="Arial" w:hAnsi="Arial" w:cs="Arial"/>
                <w:b/>
                <w:color w:val="000000"/>
                <w:sz w:val="24"/>
                <w:szCs w:val="24"/>
              </w:rPr>
              <w:t xml:space="preserve">OPEB </w:t>
            </w:r>
          </w:p>
          <w:p w:rsidR="00107286" w:rsidRPr="00632F88" w:rsidRDefault="00107286" w:rsidP="00116687">
            <w:pPr>
              <w:jc w:val="center"/>
              <w:rPr>
                <w:rFonts w:ascii="Arial" w:hAnsi="Arial" w:cs="Arial"/>
                <w:b/>
                <w:color w:val="000000"/>
                <w:sz w:val="24"/>
                <w:szCs w:val="24"/>
              </w:rPr>
            </w:pPr>
            <w:r>
              <w:rPr>
                <w:rFonts w:ascii="Arial" w:hAnsi="Arial" w:cs="Arial"/>
                <w:b/>
                <w:color w:val="000000"/>
                <w:sz w:val="24"/>
                <w:szCs w:val="24"/>
              </w:rPr>
              <w:t xml:space="preserve"> </w:t>
            </w:r>
            <w:r w:rsidRPr="004A4DAD">
              <w:rPr>
                <w:rFonts w:ascii="Arial" w:hAnsi="Arial" w:cs="Arial"/>
                <w:b/>
                <w:color w:val="000000"/>
                <w:sz w:val="24"/>
                <w:szCs w:val="24"/>
                <w:u w:val="single"/>
              </w:rPr>
              <w:t xml:space="preserve">Revenues </w:t>
            </w:r>
          </w:p>
        </w:tc>
      </w:tr>
      <w:tr w:rsidR="00107286" w:rsidRPr="00632F88" w:rsidTr="00116687">
        <w:trPr>
          <w:trHeight w:val="290"/>
        </w:trPr>
        <w:tc>
          <w:tcPr>
            <w:tcW w:w="2268" w:type="dxa"/>
            <w:tcBorders>
              <w:top w:val="nil"/>
              <w:left w:val="nil"/>
              <w:bottom w:val="nil"/>
              <w:right w:val="nil"/>
            </w:tcBorders>
            <w:shd w:val="clear" w:color="auto" w:fill="auto"/>
            <w:noWrap/>
            <w:vAlign w:val="bottom"/>
          </w:tcPr>
          <w:p w:rsidR="00107286" w:rsidRPr="00632F88" w:rsidRDefault="00107286" w:rsidP="00116687">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107286" w:rsidRPr="00632F88" w:rsidRDefault="00107286" w:rsidP="00116687">
            <w:pPr>
              <w:jc w:val="center"/>
              <w:rPr>
                <w:rFonts w:ascii="Arial" w:hAnsi="Arial" w:cs="Arial"/>
                <w:color w:val="000000"/>
                <w:sz w:val="24"/>
                <w:szCs w:val="24"/>
              </w:rPr>
            </w:pPr>
            <w:r>
              <w:rPr>
                <w:rFonts w:ascii="Arial" w:hAnsi="Arial" w:cs="Arial"/>
                <w:color w:val="000000"/>
                <w:sz w:val="24"/>
                <w:szCs w:val="24"/>
              </w:rPr>
              <w:t>(1)</w:t>
            </w:r>
          </w:p>
        </w:tc>
        <w:tc>
          <w:tcPr>
            <w:tcW w:w="1976" w:type="dxa"/>
            <w:tcBorders>
              <w:top w:val="nil"/>
              <w:left w:val="nil"/>
              <w:bottom w:val="nil"/>
              <w:right w:val="nil"/>
            </w:tcBorders>
            <w:shd w:val="clear" w:color="auto" w:fill="auto"/>
            <w:noWrap/>
            <w:vAlign w:val="bottom"/>
          </w:tcPr>
          <w:p w:rsidR="00107286" w:rsidRPr="00632F88" w:rsidRDefault="00107286" w:rsidP="00116687">
            <w:pPr>
              <w:jc w:val="center"/>
              <w:rPr>
                <w:rFonts w:ascii="Arial" w:hAnsi="Arial" w:cs="Arial"/>
                <w:color w:val="000000"/>
                <w:sz w:val="24"/>
                <w:szCs w:val="24"/>
              </w:rPr>
            </w:pPr>
            <w:r>
              <w:rPr>
                <w:rFonts w:ascii="Arial" w:hAnsi="Arial" w:cs="Arial"/>
                <w:color w:val="000000"/>
                <w:sz w:val="24"/>
                <w:szCs w:val="24"/>
              </w:rPr>
              <w:t>(2)</w:t>
            </w:r>
          </w:p>
        </w:tc>
        <w:tc>
          <w:tcPr>
            <w:tcW w:w="2250" w:type="dxa"/>
            <w:tcBorders>
              <w:top w:val="nil"/>
              <w:left w:val="nil"/>
              <w:bottom w:val="nil"/>
              <w:right w:val="nil"/>
            </w:tcBorders>
            <w:shd w:val="clear" w:color="auto" w:fill="auto"/>
            <w:noWrap/>
            <w:vAlign w:val="bottom"/>
          </w:tcPr>
          <w:p w:rsidR="00107286" w:rsidRPr="00632F88" w:rsidRDefault="00107286" w:rsidP="00116687">
            <w:pPr>
              <w:jc w:val="center"/>
              <w:rPr>
                <w:rFonts w:ascii="Arial" w:hAnsi="Arial" w:cs="Arial"/>
                <w:color w:val="000000"/>
                <w:sz w:val="24"/>
                <w:szCs w:val="24"/>
              </w:rPr>
            </w:pPr>
            <w:r>
              <w:rPr>
                <w:rFonts w:ascii="Arial" w:hAnsi="Arial" w:cs="Arial"/>
                <w:color w:val="000000"/>
                <w:sz w:val="24"/>
                <w:szCs w:val="24"/>
              </w:rPr>
              <w:t>(3)=(1)</w:t>
            </w:r>
            <w:r>
              <w:rPr>
                <w:rFonts w:ascii="Arial" w:hAnsi="Arial" w:cs="Arial"/>
                <w:color w:val="000000"/>
                <w:sz w:val="28"/>
                <w:szCs w:val="28"/>
                <w:vertAlign w:val="subscript"/>
              </w:rPr>
              <w:t>X</w:t>
            </w:r>
            <w:r>
              <w:rPr>
                <w:rFonts w:ascii="Arial" w:hAnsi="Arial" w:cs="Arial"/>
                <w:color w:val="000000"/>
                <w:sz w:val="24"/>
                <w:szCs w:val="24"/>
              </w:rPr>
              <w:t>(2)</w:t>
            </w:r>
          </w:p>
        </w:tc>
      </w:tr>
      <w:tr w:rsidR="00107286" w:rsidRPr="00632F88" w:rsidTr="00116687">
        <w:trPr>
          <w:trHeight w:val="290"/>
        </w:trPr>
        <w:tc>
          <w:tcPr>
            <w:tcW w:w="2268" w:type="dxa"/>
            <w:tcBorders>
              <w:top w:val="nil"/>
              <w:left w:val="nil"/>
              <w:bottom w:val="nil"/>
              <w:right w:val="nil"/>
            </w:tcBorders>
            <w:shd w:val="clear" w:color="auto" w:fill="auto"/>
            <w:noWrap/>
            <w:vAlign w:val="bottom"/>
          </w:tcPr>
          <w:p w:rsidR="00107286" w:rsidRPr="00632F88" w:rsidRDefault="00107286" w:rsidP="00116687">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107286" w:rsidRPr="00632F88" w:rsidRDefault="00107286" w:rsidP="00116687">
            <w:pPr>
              <w:jc w:val="center"/>
              <w:rPr>
                <w:rFonts w:ascii="Arial" w:hAnsi="Arial" w:cs="Arial"/>
                <w:color w:val="000000"/>
                <w:sz w:val="24"/>
                <w:szCs w:val="24"/>
              </w:rPr>
            </w:pPr>
            <w:r>
              <w:rPr>
                <w:rFonts w:ascii="Arial" w:hAnsi="Arial" w:cs="Arial"/>
                <w:color w:val="000000"/>
                <w:sz w:val="24"/>
                <w:szCs w:val="24"/>
              </w:rPr>
              <w:t>Note 2</w:t>
            </w:r>
          </w:p>
        </w:tc>
        <w:tc>
          <w:tcPr>
            <w:tcW w:w="1976" w:type="dxa"/>
            <w:tcBorders>
              <w:top w:val="nil"/>
              <w:left w:val="nil"/>
              <w:bottom w:val="nil"/>
              <w:right w:val="nil"/>
            </w:tcBorders>
            <w:shd w:val="clear" w:color="auto" w:fill="auto"/>
            <w:noWrap/>
            <w:vAlign w:val="bottom"/>
          </w:tcPr>
          <w:p w:rsidR="00107286" w:rsidRPr="00632F88" w:rsidRDefault="00107286" w:rsidP="00116687">
            <w:pPr>
              <w:jc w:val="center"/>
              <w:rPr>
                <w:rFonts w:ascii="Arial" w:hAnsi="Arial" w:cs="Arial"/>
                <w:color w:val="000000"/>
                <w:sz w:val="24"/>
                <w:szCs w:val="24"/>
              </w:rPr>
            </w:pPr>
            <w:r>
              <w:rPr>
                <w:rFonts w:ascii="Arial" w:hAnsi="Arial" w:cs="Arial"/>
                <w:color w:val="000000"/>
                <w:sz w:val="24"/>
                <w:szCs w:val="24"/>
              </w:rPr>
              <w:t>Note 3</w:t>
            </w:r>
          </w:p>
        </w:tc>
        <w:tc>
          <w:tcPr>
            <w:tcW w:w="2250" w:type="dxa"/>
            <w:tcBorders>
              <w:top w:val="nil"/>
              <w:left w:val="nil"/>
              <w:bottom w:val="nil"/>
              <w:right w:val="nil"/>
            </w:tcBorders>
            <w:shd w:val="clear" w:color="auto" w:fill="auto"/>
            <w:noWrap/>
            <w:vAlign w:val="bottom"/>
          </w:tcPr>
          <w:p w:rsidR="00107286" w:rsidRPr="00632F88" w:rsidRDefault="00107286" w:rsidP="00116687">
            <w:pPr>
              <w:jc w:val="center"/>
              <w:rPr>
                <w:rFonts w:ascii="Arial" w:hAnsi="Arial" w:cs="Arial"/>
                <w:color w:val="000000"/>
                <w:sz w:val="24"/>
                <w:szCs w:val="24"/>
              </w:rPr>
            </w:pPr>
            <w:r>
              <w:rPr>
                <w:rFonts w:ascii="Arial" w:hAnsi="Arial" w:cs="Arial"/>
                <w:color w:val="000000"/>
                <w:sz w:val="24"/>
                <w:szCs w:val="24"/>
              </w:rPr>
              <w:t>Note 4</w:t>
            </w:r>
          </w:p>
        </w:tc>
      </w:tr>
      <w:tr w:rsidR="00107286" w:rsidRPr="00632F88" w:rsidTr="00116687">
        <w:trPr>
          <w:trHeight w:val="290"/>
        </w:trPr>
        <w:tc>
          <w:tcPr>
            <w:tcW w:w="2268" w:type="dxa"/>
            <w:tcBorders>
              <w:top w:val="nil"/>
              <w:left w:val="nil"/>
              <w:bottom w:val="nil"/>
              <w:right w:val="nil"/>
            </w:tcBorders>
            <w:shd w:val="clear" w:color="auto" w:fill="auto"/>
            <w:noWrap/>
            <w:vAlign w:val="bottom"/>
          </w:tcPr>
          <w:p w:rsidR="00107286" w:rsidRPr="00632F88" w:rsidRDefault="00107286" w:rsidP="00116687">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107286" w:rsidRPr="00632F88" w:rsidRDefault="00107286" w:rsidP="00116687">
            <w:pPr>
              <w:jc w:val="right"/>
              <w:rPr>
                <w:rFonts w:ascii="Arial" w:hAnsi="Arial" w:cs="Arial"/>
                <w:color w:val="000000"/>
                <w:sz w:val="24"/>
                <w:szCs w:val="24"/>
              </w:rPr>
            </w:pPr>
          </w:p>
        </w:tc>
        <w:tc>
          <w:tcPr>
            <w:tcW w:w="1976" w:type="dxa"/>
            <w:tcBorders>
              <w:top w:val="nil"/>
              <w:left w:val="nil"/>
              <w:bottom w:val="nil"/>
              <w:right w:val="nil"/>
            </w:tcBorders>
            <w:shd w:val="clear" w:color="auto" w:fill="auto"/>
            <w:noWrap/>
            <w:vAlign w:val="bottom"/>
          </w:tcPr>
          <w:p w:rsidR="00107286" w:rsidRPr="00632F88" w:rsidRDefault="00107286" w:rsidP="00116687">
            <w:pPr>
              <w:jc w:val="right"/>
              <w:rPr>
                <w:rFonts w:ascii="Arial" w:hAnsi="Arial" w:cs="Arial"/>
                <w:color w:val="000000"/>
                <w:sz w:val="24"/>
                <w:szCs w:val="24"/>
              </w:rPr>
            </w:pPr>
          </w:p>
        </w:tc>
        <w:tc>
          <w:tcPr>
            <w:tcW w:w="2250" w:type="dxa"/>
            <w:tcBorders>
              <w:top w:val="nil"/>
              <w:left w:val="nil"/>
              <w:bottom w:val="nil"/>
              <w:right w:val="nil"/>
            </w:tcBorders>
            <w:shd w:val="clear" w:color="auto" w:fill="auto"/>
            <w:noWrap/>
            <w:vAlign w:val="bottom"/>
          </w:tcPr>
          <w:p w:rsidR="00107286" w:rsidRPr="00632F88" w:rsidRDefault="00107286" w:rsidP="00116687">
            <w:pPr>
              <w:jc w:val="right"/>
              <w:rPr>
                <w:rFonts w:ascii="Arial" w:hAnsi="Arial" w:cs="Arial"/>
                <w:color w:val="000000"/>
                <w:sz w:val="24"/>
                <w:szCs w:val="24"/>
              </w:rPr>
            </w:pP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September 201</w:t>
            </w:r>
            <w:r>
              <w:rPr>
                <w:rFonts w:ascii="Arial" w:hAnsi="Arial" w:cs="Arial"/>
                <w:color w:val="000000"/>
                <w:sz w:val="24"/>
                <w:szCs w:val="24"/>
              </w:rPr>
              <w:t>2</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 xml:space="preserve">      1,177</w:t>
            </w:r>
            <w:r w:rsidRPr="00632F88">
              <w:rPr>
                <w:rFonts w:ascii="Arial" w:hAnsi="Arial" w:cs="Arial"/>
                <w:color w:val="000000"/>
                <w:sz w:val="24"/>
                <w:szCs w:val="24"/>
              </w:rPr>
              <w:t>,</w:t>
            </w:r>
            <w:r>
              <w:rPr>
                <w:rFonts w:ascii="Arial" w:hAnsi="Arial" w:cs="Arial"/>
                <w:color w:val="000000"/>
                <w:sz w:val="24"/>
                <w:szCs w:val="24"/>
              </w:rPr>
              <w:t>471</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        0.3485</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       410</w:t>
            </w:r>
            <w:r w:rsidRPr="00632F88">
              <w:rPr>
                <w:rFonts w:ascii="Arial" w:hAnsi="Arial" w:cs="Arial"/>
                <w:color w:val="000000"/>
                <w:sz w:val="24"/>
                <w:szCs w:val="24"/>
              </w:rPr>
              <w:t>,</w:t>
            </w:r>
            <w:r>
              <w:rPr>
                <w:rFonts w:ascii="Arial" w:hAnsi="Arial" w:cs="Arial"/>
                <w:color w:val="000000"/>
                <w:sz w:val="24"/>
                <w:szCs w:val="24"/>
              </w:rPr>
              <w:t>290</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October</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1</w:t>
            </w:r>
            <w:r w:rsidRPr="00632F88">
              <w:rPr>
                <w:rFonts w:ascii="Arial" w:hAnsi="Arial" w:cs="Arial"/>
                <w:color w:val="000000"/>
                <w:sz w:val="24"/>
                <w:szCs w:val="24"/>
              </w:rPr>
              <w:t>,</w:t>
            </w:r>
            <w:r>
              <w:rPr>
                <w:rFonts w:ascii="Arial" w:hAnsi="Arial" w:cs="Arial"/>
                <w:color w:val="000000"/>
                <w:sz w:val="24"/>
                <w:szCs w:val="24"/>
              </w:rPr>
              <w:t>621</w:t>
            </w:r>
            <w:r w:rsidRPr="00632F88">
              <w:rPr>
                <w:rFonts w:ascii="Arial" w:hAnsi="Arial" w:cs="Arial"/>
                <w:color w:val="000000"/>
                <w:sz w:val="24"/>
                <w:szCs w:val="24"/>
              </w:rPr>
              <w:t>,</w:t>
            </w:r>
            <w:r>
              <w:rPr>
                <w:rFonts w:ascii="Arial" w:hAnsi="Arial" w:cs="Arial"/>
                <w:color w:val="000000"/>
                <w:sz w:val="24"/>
                <w:szCs w:val="24"/>
              </w:rPr>
              <w:t>498</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0.3822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619</w:t>
            </w:r>
            <w:r w:rsidRPr="00632F88">
              <w:rPr>
                <w:rFonts w:ascii="Arial" w:hAnsi="Arial" w:cs="Arial"/>
                <w:color w:val="000000"/>
                <w:sz w:val="24"/>
                <w:szCs w:val="24"/>
              </w:rPr>
              <w:t>,</w:t>
            </w:r>
            <w:r>
              <w:rPr>
                <w:rFonts w:ascii="Arial" w:hAnsi="Arial" w:cs="Arial"/>
                <w:color w:val="000000"/>
                <w:sz w:val="24"/>
                <w:szCs w:val="24"/>
              </w:rPr>
              <w:t>737</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November</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986</w:t>
            </w:r>
            <w:r w:rsidRPr="00632F88">
              <w:rPr>
                <w:rFonts w:ascii="Arial" w:hAnsi="Arial" w:cs="Arial"/>
                <w:color w:val="000000"/>
                <w:sz w:val="24"/>
                <w:szCs w:val="24"/>
              </w:rPr>
              <w:t>,</w:t>
            </w:r>
            <w:r>
              <w:rPr>
                <w:rFonts w:ascii="Arial" w:hAnsi="Arial" w:cs="Arial"/>
                <w:color w:val="000000"/>
                <w:sz w:val="24"/>
                <w:szCs w:val="24"/>
              </w:rPr>
              <w:t>079</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0.3822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1,523</w:t>
            </w:r>
            <w:r w:rsidRPr="00632F88">
              <w:rPr>
                <w:rFonts w:ascii="Arial" w:hAnsi="Arial" w:cs="Arial"/>
                <w:color w:val="000000"/>
                <w:sz w:val="24"/>
                <w:szCs w:val="24"/>
              </w:rPr>
              <w:t>,</w:t>
            </w:r>
            <w:r>
              <w:rPr>
                <w:rFonts w:ascii="Arial" w:hAnsi="Arial" w:cs="Arial"/>
                <w:color w:val="000000"/>
                <w:sz w:val="24"/>
                <w:szCs w:val="24"/>
              </w:rPr>
              <w:t>479</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December</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6</w:t>
            </w:r>
            <w:r w:rsidRPr="00632F88">
              <w:rPr>
                <w:rFonts w:ascii="Arial" w:hAnsi="Arial" w:cs="Arial"/>
                <w:color w:val="000000"/>
                <w:sz w:val="24"/>
                <w:szCs w:val="24"/>
              </w:rPr>
              <w:t>,</w:t>
            </w:r>
            <w:r>
              <w:rPr>
                <w:rFonts w:ascii="Arial" w:hAnsi="Arial" w:cs="Arial"/>
                <w:color w:val="000000"/>
                <w:sz w:val="24"/>
                <w:szCs w:val="24"/>
              </w:rPr>
              <w:t>101</w:t>
            </w:r>
            <w:r w:rsidRPr="00632F88">
              <w:rPr>
                <w:rFonts w:ascii="Arial" w:hAnsi="Arial" w:cs="Arial"/>
                <w:color w:val="000000"/>
                <w:sz w:val="24"/>
                <w:szCs w:val="24"/>
              </w:rPr>
              <w:t>,</w:t>
            </w:r>
            <w:r>
              <w:rPr>
                <w:rFonts w:ascii="Arial" w:hAnsi="Arial" w:cs="Arial"/>
                <w:color w:val="000000"/>
                <w:sz w:val="24"/>
                <w:szCs w:val="24"/>
              </w:rPr>
              <w:t>949</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0.3822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2</w:t>
            </w:r>
            <w:r w:rsidRPr="00632F88">
              <w:rPr>
                <w:rFonts w:ascii="Arial" w:hAnsi="Arial" w:cs="Arial"/>
                <w:color w:val="000000"/>
                <w:sz w:val="24"/>
                <w:szCs w:val="24"/>
              </w:rPr>
              <w:t>,</w:t>
            </w:r>
            <w:r>
              <w:rPr>
                <w:rFonts w:ascii="Arial" w:hAnsi="Arial" w:cs="Arial"/>
                <w:color w:val="000000"/>
                <w:sz w:val="24"/>
                <w:szCs w:val="24"/>
              </w:rPr>
              <w:t>332</w:t>
            </w:r>
            <w:r w:rsidRPr="00632F88">
              <w:rPr>
                <w:rFonts w:ascii="Arial" w:hAnsi="Arial" w:cs="Arial"/>
                <w:color w:val="000000"/>
                <w:sz w:val="24"/>
                <w:szCs w:val="24"/>
              </w:rPr>
              <w:t>,</w:t>
            </w:r>
            <w:r>
              <w:rPr>
                <w:rFonts w:ascii="Arial" w:hAnsi="Arial" w:cs="Arial"/>
                <w:color w:val="000000"/>
                <w:sz w:val="24"/>
                <w:szCs w:val="24"/>
              </w:rPr>
              <w:t>165</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January 201</w:t>
            </w:r>
            <w:r>
              <w:rPr>
                <w:rFonts w:ascii="Arial" w:hAnsi="Arial" w:cs="Arial"/>
                <w:color w:val="000000"/>
                <w:sz w:val="24"/>
                <w:szCs w:val="24"/>
              </w:rPr>
              <w:t>3</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8</w:t>
            </w:r>
            <w:r w:rsidRPr="00632F88">
              <w:rPr>
                <w:rFonts w:ascii="Arial" w:hAnsi="Arial" w:cs="Arial"/>
                <w:color w:val="000000"/>
                <w:sz w:val="24"/>
                <w:szCs w:val="24"/>
              </w:rPr>
              <w:t>,</w:t>
            </w:r>
            <w:r>
              <w:rPr>
                <w:rFonts w:ascii="Arial" w:hAnsi="Arial" w:cs="Arial"/>
                <w:color w:val="000000"/>
                <w:sz w:val="24"/>
                <w:szCs w:val="24"/>
              </w:rPr>
              <w:t>085</w:t>
            </w:r>
            <w:r w:rsidRPr="00632F88">
              <w:rPr>
                <w:rFonts w:ascii="Arial" w:hAnsi="Arial" w:cs="Arial"/>
                <w:color w:val="000000"/>
                <w:sz w:val="24"/>
                <w:szCs w:val="24"/>
              </w:rPr>
              <w:t>,</w:t>
            </w:r>
            <w:r>
              <w:rPr>
                <w:rFonts w:ascii="Arial" w:hAnsi="Arial" w:cs="Arial"/>
                <w:color w:val="000000"/>
                <w:sz w:val="24"/>
                <w:szCs w:val="24"/>
              </w:rPr>
              <w:t>343</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0.3822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090</w:t>
            </w:r>
            <w:r w:rsidRPr="00632F88">
              <w:rPr>
                <w:rFonts w:ascii="Arial" w:hAnsi="Arial" w:cs="Arial"/>
                <w:color w:val="000000"/>
                <w:sz w:val="24"/>
                <w:szCs w:val="24"/>
              </w:rPr>
              <w:t>,</w:t>
            </w:r>
            <w:r>
              <w:rPr>
                <w:rFonts w:ascii="Arial" w:hAnsi="Arial" w:cs="Arial"/>
                <w:color w:val="000000"/>
                <w:sz w:val="24"/>
                <w:szCs w:val="24"/>
              </w:rPr>
              <w:t>218</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February</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8</w:t>
            </w:r>
            <w:r w:rsidRPr="00632F88">
              <w:rPr>
                <w:rFonts w:ascii="Arial" w:hAnsi="Arial" w:cs="Arial"/>
                <w:color w:val="000000"/>
                <w:sz w:val="24"/>
                <w:szCs w:val="24"/>
              </w:rPr>
              <w:t>,</w:t>
            </w:r>
            <w:r>
              <w:rPr>
                <w:rFonts w:ascii="Arial" w:hAnsi="Arial" w:cs="Arial"/>
                <w:color w:val="000000"/>
                <w:sz w:val="24"/>
                <w:szCs w:val="24"/>
              </w:rPr>
              <w:t>814</w:t>
            </w:r>
            <w:r w:rsidRPr="00632F88">
              <w:rPr>
                <w:rFonts w:ascii="Arial" w:hAnsi="Arial" w:cs="Arial"/>
                <w:color w:val="000000"/>
                <w:sz w:val="24"/>
                <w:szCs w:val="24"/>
              </w:rPr>
              <w:t>,</w:t>
            </w:r>
            <w:r>
              <w:rPr>
                <w:rFonts w:ascii="Arial" w:hAnsi="Arial" w:cs="Arial"/>
                <w:color w:val="000000"/>
                <w:sz w:val="24"/>
                <w:szCs w:val="24"/>
              </w:rPr>
              <w:t>595</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0.3822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368</w:t>
            </w:r>
            <w:r w:rsidRPr="00632F88">
              <w:rPr>
                <w:rFonts w:ascii="Arial" w:hAnsi="Arial" w:cs="Arial"/>
                <w:color w:val="000000"/>
                <w:sz w:val="24"/>
                <w:szCs w:val="24"/>
              </w:rPr>
              <w:t>,</w:t>
            </w:r>
            <w:r>
              <w:rPr>
                <w:rFonts w:ascii="Arial" w:hAnsi="Arial" w:cs="Arial"/>
                <w:color w:val="000000"/>
                <w:sz w:val="24"/>
                <w:szCs w:val="24"/>
              </w:rPr>
              <w:t>938</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March</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7</w:t>
            </w:r>
            <w:r w:rsidRPr="00632F88">
              <w:rPr>
                <w:rFonts w:ascii="Arial" w:hAnsi="Arial" w:cs="Arial"/>
                <w:color w:val="000000"/>
                <w:sz w:val="24"/>
                <w:szCs w:val="24"/>
              </w:rPr>
              <w:t>,</w:t>
            </w:r>
            <w:r>
              <w:rPr>
                <w:rFonts w:ascii="Arial" w:hAnsi="Arial" w:cs="Arial"/>
                <w:color w:val="000000"/>
                <w:sz w:val="24"/>
                <w:szCs w:val="24"/>
              </w:rPr>
              <w:t>401</w:t>
            </w:r>
            <w:r w:rsidRPr="00632F88">
              <w:rPr>
                <w:rFonts w:ascii="Arial" w:hAnsi="Arial" w:cs="Arial"/>
                <w:color w:val="000000"/>
                <w:sz w:val="24"/>
                <w:szCs w:val="24"/>
              </w:rPr>
              <w:t>,</w:t>
            </w:r>
            <w:r>
              <w:rPr>
                <w:rFonts w:ascii="Arial" w:hAnsi="Arial" w:cs="Arial"/>
                <w:color w:val="000000"/>
                <w:sz w:val="24"/>
                <w:szCs w:val="24"/>
              </w:rPr>
              <w:t>653</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0.3822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2</w:t>
            </w:r>
            <w:r w:rsidRPr="00632F88">
              <w:rPr>
                <w:rFonts w:ascii="Arial" w:hAnsi="Arial" w:cs="Arial"/>
                <w:color w:val="000000"/>
                <w:sz w:val="24"/>
                <w:szCs w:val="24"/>
              </w:rPr>
              <w:t>,</w:t>
            </w:r>
            <w:r>
              <w:rPr>
                <w:rFonts w:ascii="Arial" w:hAnsi="Arial" w:cs="Arial"/>
                <w:color w:val="000000"/>
                <w:sz w:val="24"/>
                <w:szCs w:val="24"/>
              </w:rPr>
              <w:t>828</w:t>
            </w:r>
            <w:r w:rsidRPr="00632F88">
              <w:rPr>
                <w:rFonts w:ascii="Arial" w:hAnsi="Arial" w:cs="Arial"/>
                <w:color w:val="000000"/>
                <w:sz w:val="24"/>
                <w:szCs w:val="24"/>
              </w:rPr>
              <w:t>,</w:t>
            </w:r>
            <w:r>
              <w:rPr>
                <w:rFonts w:ascii="Arial" w:hAnsi="Arial" w:cs="Arial"/>
                <w:color w:val="000000"/>
                <w:sz w:val="24"/>
                <w:szCs w:val="24"/>
              </w:rPr>
              <w:t>912</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April</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5</w:t>
            </w:r>
            <w:r w:rsidRPr="00632F88">
              <w:rPr>
                <w:rFonts w:ascii="Arial" w:hAnsi="Arial" w:cs="Arial"/>
                <w:color w:val="000000"/>
                <w:sz w:val="24"/>
                <w:szCs w:val="24"/>
              </w:rPr>
              <w:t>,</w:t>
            </w:r>
            <w:r>
              <w:rPr>
                <w:rFonts w:ascii="Arial" w:hAnsi="Arial" w:cs="Arial"/>
                <w:color w:val="000000"/>
                <w:sz w:val="24"/>
                <w:szCs w:val="24"/>
              </w:rPr>
              <w:t>034</w:t>
            </w:r>
            <w:r w:rsidRPr="00632F88">
              <w:rPr>
                <w:rFonts w:ascii="Arial" w:hAnsi="Arial" w:cs="Arial"/>
                <w:color w:val="000000"/>
                <w:sz w:val="24"/>
                <w:szCs w:val="24"/>
              </w:rPr>
              <w:t>,</w:t>
            </w:r>
            <w:r>
              <w:rPr>
                <w:rFonts w:ascii="Arial" w:hAnsi="Arial" w:cs="Arial"/>
                <w:color w:val="000000"/>
                <w:sz w:val="24"/>
                <w:szCs w:val="24"/>
              </w:rPr>
              <w:t>364</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0.3822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1,924,134</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May</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2</w:t>
            </w:r>
            <w:r w:rsidRPr="00632F88">
              <w:rPr>
                <w:rFonts w:ascii="Arial" w:hAnsi="Arial" w:cs="Arial"/>
                <w:color w:val="000000"/>
                <w:sz w:val="24"/>
                <w:szCs w:val="24"/>
              </w:rPr>
              <w:t>,</w:t>
            </w:r>
            <w:r>
              <w:rPr>
                <w:rFonts w:ascii="Arial" w:hAnsi="Arial" w:cs="Arial"/>
                <w:color w:val="000000"/>
                <w:sz w:val="24"/>
                <w:szCs w:val="24"/>
              </w:rPr>
              <w:t>284</w:t>
            </w:r>
            <w:r w:rsidRPr="00632F88">
              <w:rPr>
                <w:rFonts w:ascii="Arial" w:hAnsi="Arial" w:cs="Arial"/>
                <w:color w:val="000000"/>
                <w:sz w:val="24"/>
                <w:szCs w:val="24"/>
              </w:rPr>
              <w:t>,</w:t>
            </w:r>
            <w:r>
              <w:rPr>
                <w:rFonts w:ascii="Arial" w:hAnsi="Arial" w:cs="Arial"/>
                <w:color w:val="000000"/>
                <w:sz w:val="24"/>
                <w:szCs w:val="24"/>
              </w:rPr>
              <w:t>331</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0.3822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873</w:t>
            </w:r>
            <w:r w:rsidRPr="00632F88">
              <w:rPr>
                <w:rFonts w:ascii="Arial" w:hAnsi="Arial" w:cs="Arial"/>
                <w:color w:val="000000"/>
                <w:sz w:val="24"/>
                <w:szCs w:val="24"/>
              </w:rPr>
              <w:t>,</w:t>
            </w:r>
            <w:r>
              <w:rPr>
                <w:rFonts w:ascii="Arial" w:hAnsi="Arial" w:cs="Arial"/>
                <w:color w:val="000000"/>
                <w:sz w:val="24"/>
                <w:szCs w:val="24"/>
              </w:rPr>
              <w:t>071</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June</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1</w:t>
            </w:r>
            <w:r w:rsidRPr="00632F88">
              <w:rPr>
                <w:rFonts w:ascii="Arial" w:hAnsi="Arial" w:cs="Arial"/>
                <w:color w:val="000000"/>
                <w:sz w:val="24"/>
                <w:szCs w:val="24"/>
              </w:rPr>
              <w:t>,</w:t>
            </w:r>
            <w:r>
              <w:rPr>
                <w:rFonts w:ascii="Arial" w:hAnsi="Arial" w:cs="Arial"/>
                <w:color w:val="000000"/>
                <w:sz w:val="24"/>
                <w:szCs w:val="24"/>
              </w:rPr>
              <w:t>478</w:t>
            </w:r>
            <w:r w:rsidRPr="00632F88">
              <w:rPr>
                <w:rFonts w:ascii="Arial" w:hAnsi="Arial" w:cs="Arial"/>
                <w:color w:val="000000"/>
                <w:sz w:val="24"/>
                <w:szCs w:val="24"/>
              </w:rPr>
              <w:t>,</w:t>
            </w:r>
            <w:r>
              <w:rPr>
                <w:rFonts w:ascii="Arial" w:hAnsi="Arial" w:cs="Arial"/>
                <w:color w:val="000000"/>
                <w:sz w:val="24"/>
                <w:szCs w:val="24"/>
              </w:rPr>
              <w:t>332</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0.3822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565</w:t>
            </w:r>
            <w:r w:rsidRPr="00632F88">
              <w:rPr>
                <w:rFonts w:ascii="Arial" w:hAnsi="Arial" w:cs="Arial"/>
                <w:color w:val="000000"/>
                <w:sz w:val="24"/>
                <w:szCs w:val="24"/>
              </w:rPr>
              <w:t>,</w:t>
            </w:r>
            <w:r>
              <w:rPr>
                <w:rFonts w:ascii="Arial" w:hAnsi="Arial" w:cs="Arial"/>
                <w:color w:val="000000"/>
                <w:sz w:val="24"/>
                <w:szCs w:val="24"/>
              </w:rPr>
              <w:t>018</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July</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1</w:t>
            </w:r>
            <w:r w:rsidRPr="00632F88">
              <w:rPr>
                <w:rFonts w:ascii="Arial" w:hAnsi="Arial" w:cs="Arial"/>
                <w:color w:val="000000"/>
                <w:sz w:val="24"/>
                <w:szCs w:val="24"/>
              </w:rPr>
              <w:t>,</w:t>
            </w:r>
            <w:r>
              <w:rPr>
                <w:rFonts w:ascii="Arial" w:hAnsi="Arial" w:cs="Arial"/>
                <w:color w:val="000000"/>
                <w:sz w:val="24"/>
                <w:szCs w:val="24"/>
              </w:rPr>
              <w:t>125</w:t>
            </w:r>
            <w:r w:rsidRPr="00632F88">
              <w:rPr>
                <w:rFonts w:ascii="Arial" w:hAnsi="Arial" w:cs="Arial"/>
                <w:color w:val="000000"/>
                <w:sz w:val="24"/>
                <w:szCs w:val="24"/>
              </w:rPr>
              <w:t>,</w:t>
            </w:r>
            <w:r>
              <w:rPr>
                <w:rFonts w:ascii="Arial" w:hAnsi="Arial" w:cs="Arial"/>
                <w:color w:val="000000"/>
                <w:sz w:val="24"/>
                <w:szCs w:val="24"/>
              </w:rPr>
              <w:t>847</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0.3822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rPr>
            </w:pPr>
            <w:r>
              <w:rPr>
                <w:rFonts w:ascii="Arial" w:hAnsi="Arial" w:cs="Arial"/>
                <w:color w:val="000000"/>
                <w:sz w:val="24"/>
                <w:szCs w:val="24"/>
              </w:rPr>
              <w:t>430</w:t>
            </w:r>
            <w:r w:rsidRPr="00632F88">
              <w:rPr>
                <w:rFonts w:ascii="Arial" w:hAnsi="Arial" w:cs="Arial"/>
                <w:color w:val="000000"/>
                <w:sz w:val="24"/>
                <w:szCs w:val="24"/>
              </w:rPr>
              <w:t>,</w:t>
            </w:r>
            <w:r>
              <w:rPr>
                <w:rFonts w:ascii="Arial" w:hAnsi="Arial" w:cs="Arial"/>
                <w:color w:val="000000"/>
                <w:sz w:val="24"/>
                <w:szCs w:val="24"/>
              </w:rPr>
              <w:t>299</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sidRPr="00632F88">
              <w:rPr>
                <w:rFonts w:ascii="Arial" w:hAnsi="Arial" w:cs="Arial"/>
                <w:color w:val="000000"/>
                <w:sz w:val="24"/>
                <w:szCs w:val="24"/>
              </w:rPr>
              <w:t>August</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u w:val="single"/>
              </w:rPr>
            </w:pPr>
            <w:r w:rsidRPr="00503C64">
              <w:rPr>
                <w:rFonts w:ascii="Arial" w:hAnsi="Arial" w:cs="Arial"/>
                <w:color w:val="000000"/>
                <w:sz w:val="24"/>
                <w:szCs w:val="24"/>
              </w:rPr>
              <w:t xml:space="preserve">   </w:t>
            </w:r>
            <w:r>
              <w:rPr>
                <w:rFonts w:ascii="Arial" w:hAnsi="Arial" w:cs="Arial"/>
                <w:color w:val="000000"/>
                <w:sz w:val="24"/>
                <w:szCs w:val="24"/>
                <w:u w:val="single"/>
              </w:rPr>
              <w:t xml:space="preserve">  1,056</w:t>
            </w:r>
            <w:r w:rsidRPr="00632F88">
              <w:rPr>
                <w:rFonts w:ascii="Arial" w:hAnsi="Arial" w:cs="Arial"/>
                <w:color w:val="000000"/>
                <w:sz w:val="24"/>
                <w:szCs w:val="24"/>
                <w:u w:val="single"/>
              </w:rPr>
              <w:t>,</w:t>
            </w:r>
            <w:r>
              <w:rPr>
                <w:rFonts w:ascii="Arial" w:hAnsi="Arial" w:cs="Arial"/>
                <w:color w:val="000000"/>
                <w:sz w:val="24"/>
                <w:szCs w:val="24"/>
                <w:u w:val="single"/>
              </w:rPr>
              <w:t>455</w:t>
            </w:r>
            <w:r w:rsidRPr="00632F88">
              <w:rPr>
                <w:rFonts w:ascii="Arial" w:hAnsi="Arial" w:cs="Arial"/>
                <w:color w:val="000000"/>
                <w:sz w:val="24"/>
                <w:szCs w:val="24"/>
                <w:u w:val="single"/>
              </w:rPr>
              <w:t xml:space="preserve"> </w:t>
            </w:r>
          </w:p>
        </w:tc>
        <w:tc>
          <w:tcPr>
            <w:tcW w:w="1976" w:type="dxa"/>
            <w:tcBorders>
              <w:top w:val="nil"/>
              <w:left w:val="nil"/>
              <w:bottom w:val="nil"/>
              <w:right w:val="nil"/>
            </w:tcBorders>
            <w:shd w:val="clear" w:color="auto" w:fill="auto"/>
            <w:noWrap/>
            <w:vAlign w:val="bottom"/>
            <w:hideMark/>
          </w:tcPr>
          <w:p w:rsidR="00107286" w:rsidRPr="00531988" w:rsidRDefault="00107286" w:rsidP="00116687">
            <w:pPr>
              <w:jc w:val="right"/>
              <w:rPr>
                <w:rFonts w:ascii="Arial" w:hAnsi="Arial" w:cs="Arial"/>
                <w:color w:val="000000"/>
                <w:sz w:val="24"/>
                <w:szCs w:val="24"/>
              </w:rPr>
            </w:pPr>
            <w:r w:rsidRPr="00531988">
              <w:rPr>
                <w:rFonts w:ascii="Arial" w:hAnsi="Arial" w:cs="Arial"/>
                <w:color w:val="000000"/>
                <w:sz w:val="24"/>
                <w:szCs w:val="24"/>
              </w:rPr>
              <w:t xml:space="preserve">     0.3822</w:t>
            </w: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u w:val="single"/>
              </w:rPr>
            </w:pPr>
            <w:r>
              <w:rPr>
                <w:rFonts w:ascii="Arial" w:hAnsi="Arial" w:cs="Arial"/>
                <w:color w:val="000000"/>
                <w:sz w:val="24"/>
                <w:szCs w:val="24"/>
                <w:u w:val="single"/>
              </w:rPr>
              <w:t xml:space="preserve">         403</w:t>
            </w:r>
            <w:r w:rsidRPr="00632F88">
              <w:rPr>
                <w:rFonts w:ascii="Arial" w:hAnsi="Arial" w:cs="Arial"/>
                <w:color w:val="000000"/>
                <w:sz w:val="24"/>
                <w:szCs w:val="24"/>
                <w:u w:val="single"/>
              </w:rPr>
              <w:t>,</w:t>
            </w:r>
            <w:r>
              <w:rPr>
                <w:rFonts w:ascii="Arial" w:hAnsi="Arial" w:cs="Arial"/>
                <w:color w:val="000000"/>
                <w:sz w:val="24"/>
                <w:szCs w:val="24"/>
                <w:u w:val="single"/>
              </w:rPr>
              <w:t>777</w:t>
            </w:r>
          </w:p>
        </w:tc>
      </w:tr>
      <w:tr w:rsidR="00107286" w:rsidRPr="00632F88" w:rsidTr="00116687">
        <w:trPr>
          <w:trHeight w:val="432"/>
        </w:trPr>
        <w:tc>
          <w:tcPr>
            <w:tcW w:w="2268" w:type="dxa"/>
            <w:tcBorders>
              <w:top w:val="nil"/>
              <w:left w:val="nil"/>
              <w:bottom w:val="nil"/>
              <w:right w:val="nil"/>
            </w:tcBorders>
            <w:shd w:val="clear" w:color="auto" w:fill="auto"/>
            <w:noWrap/>
            <w:vAlign w:val="bottom"/>
            <w:hideMark/>
          </w:tcPr>
          <w:p w:rsidR="00107286" w:rsidRPr="00632F88" w:rsidRDefault="00107286" w:rsidP="00116687">
            <w:pPr>
              <w:rPr>
                <w:rFonts w:ascii="Arial" w:hAnsi="Arial" w:cs="Arial"/>
                <w:color w:val="000000"/>
                <w:sz w:val="24"/>
                <w:szCs w:val="24"/>
              </w:rPr>
            </w:pPr>
            <w:r>
              <w:rPr>
                <w:rFonts w:ascii="Arial" w:hAnsi="Arial" w:cs="Arial"/>
                <w:color w:val="000000"/>
                <w:sz w:val="24"/>
                <w:szCs w:val="24"/>
              </w:rPr>
              <w:t xml:space="preserve">     </w:t>
            </w:r>
            <w:r w:rsidRPr="00632F88">
              <w:rPr>
                <w:rFonts w:ascii="Arial" w:hAnsi="Arial" w:cs="Arial"/>
                <w:color w:val="000000"/>
                <w:sz w:val="24"/>
                <w:szCs w:val="24"/>
              </w:rPr>
              <w:t>Totals</w:t>
            </w:r>
          </w:p>
        </w:tc>
        <w:tc>
          <w:tcPr>
            <w:tcW w:w="1894"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u w:val="double"/>
              </w:rPr>
            </w:pPr>
            <w:r w:rsidRPr="00503C64">
              <w:rPr>
                <w:rFonts w:ascii="Arial" w:hAnsi="Arial" w:cs="Arial"/>
                <w:color w:val="000000"/>
                <w:sz w:val="24"/>
                <w:szCs w:val="24"/>
              </w:rPr>
              <w:t xml:space="preserve">   </w:t>
            </w:r>
            <w:r>
              <w:rPr>
                <w:rFonts w:ascii="Arial" w:hAnsi="Arial" w:cs="Arial"/>
                <w:color w:val="000000"/>
                <w:sz w:val="24"/>
                <w:szCs w:val="24"/>
                <w:u w:val="double"/>
              </w:rPr>
              <w:t>48</w:t>
            </w:r>
            <w:r w:rsidRPr="00632F88">
              <w:rPr>
                <w:rFonts w:ascii="Arial" w:hAnsi="Arial" w:cs="Arial"/>
                <w:color w:val="000000"/>
                <w:sz w:val="24"/>
                <w:szCs w:val="24"/>
                <w:u w:val="double"/>
              </w:rPr>
              <w:t>,</w:t>
            </w:r>
            <w:r>
              <w:rPr>
                <w:rFonts w:ascii="Arial" w:hAnsi="Arial" w:cs="Arial"/>
                <w:color w:val="000000"/>
                <w:sz w:val="24"/>
                <w:szCs w:val="24"/>
                <w:u w:val="double"/>
              </w:rPr>
              <w:t>167</w:t>
            </w:r>
            <w:r w:rsidRPr="00632F88">
              <w:rPr>
                <w:rFonts w:ascii="Arial" w:hAnsi="Arial" w:cs="Arial"/>
                <w:color w:val="000000"/>
                <w:sz w:val="24"/>
                <w:szCs w:val="24"/>
                <w:u w:val="double"/>
              </w:rPr>
              <w:t>,</w:t>
            </w:r>
            <w:r>
              <w:rPr>
                <w:rFonts w:ascii="Arial" w:hAnsi="Arial" w:cs="Arial"/>
                <w:color w:val="000000"/>
                <w:sz w:val="24"/>
                <w:szCs w:val="24"/>
                <w:u w:val="double"/>
              </w:rPr>
              <w:t>917</w:t>
            </w:r>
          </w:p>
        </w:tc>
        <w:tc>
          <w:tcPr>
            <w:tcW w:w="1976" w:type="dxa"/>
            <w:tcBorders>
              <w:top w:val="nil"/>
              <w:left w:val="nil"/>
              <w:bottom w:val="nil"/>
              <w:right w:val="nil"/>
            </w:tcBorders>
            <w:shd w:val="clear" w:color="auto" w:fill="auto"/>
            <w:noWrap/>
            <w:vAlign w:val="bottom"/>
            <w:hideMark/>
          </w:tcPr>
          <w:p w:rsidR="00107286" w:rsidRPr="00632F88" w:rsidRDefault="00107286" w:rsidP="00116687">
            <w:pPr>
              <w:ind w:right="72"/>
              <w:jc w:val="right"/>
              <w:rPr>
                <w:rFonts w:ascii="Arial" w:hAnsi="Arial" w:cs="Arial"/>
                <w:color w:val="000000"/>
                <w:sz w:val="24"/>
                <w:szCs w:val="24"/>
                <w:u w:val="double"/>
              </w:rPr>
            </w:pPr>
          </w:p>
        </w:tc>
        <w:tc>
          <w:tcPr>
            <w:tcW w:w="2250" w:type="dxa"/>
            <w:tcBorders>
              <w:top w:val="nil"/>
              <w:left w:val="nil"/>
              <w:bottom w:val="nil"/>
              <w:right w:val="nil"/>
            </w:tcBorders>
            <w:shd w:val="clear" w:color="auto" w:fill="auto"/>
            <w:noWrap/>
            <w:vAlign w:val="bottom"/>
            <w:hideMark/>
          </w:tcPr>
          <w:p w:rsidR="00107286" w:rsidRPr="00632F88" w:rsidRDefault="00107286" w:rsidP="00116687">
            <w:pPr>
              <w:jc w:val="right"/>
              <w:rPr>
                <w:rFonts w:ascii="Arial" w:hAnsi="Arial" w:cs="Arial"/>
                <w:color w:val="000000"/>
                <w:sz w:val="24"/>
                <w:szCs w:val="24"/>
                <w:u w:val="double"/>
              </w:rPr>
            </w:pPr>
            <w:r>
              <w:rPr>
                <w:rFonts w:ascii="Arial" w:hAnsi="Arial" w:cs="Arial"/>
                <w:color w:val="000000"/>
                <w:sz w:val="24"/>
                <w:szCs w:val="24"/>
                <w:u w:val="double"/>
              </w:rPr>
              <w:t>$  18,370</w:t>
            </w:r>
            <w:r w:rsidRPr="00632F88">
              <w:rPr>
                <w:rFonts w:ascii="Arial" w:hAnsi="Arial" w:cs="Arial"/>
                <w:color w:val="000000"/>
                <w:sz w:val="24"/>
                <w:szCs w:val="24"/>
                <w:u w:val="double"/>
              </w:rPr>
              <w:t>,</w:t>
            </w:r>
            <w:r>
              <w:rPr>
                <w:rFonts w:ascii="Arial" w:hAnsi="Arial" w:cs="Arial"/>
                <w:color w:val="000000"/>
                <w:sz w:val="24"/>
                <w:szCs w:val="24"/>
                <w:u w:val="double"/>
              </w:rPr>
              <w:t>038</w:t>
            </w:r>
            <w:r w:rsidRPr="00632F88">
              <w:rPr>
                <w:rFonts w:ascii="Arial" w:hAnsi="Arial" w:cs="Arial"/>
                <w:color w:val="000000"/>
                <w:sz w:val="24"/>
                <w:szCs w:val="24"/>
                <w:u w:val="double"/>
              </w:rPr>
              <w:t xml:space="preserve"> </w:t>
            </w:r>
          </w:p>
        </w:tc>
      </w:tr>
    </w:tbl>
    <w:p w:rsidR="00107286" w:rsidRDefault="00107286" w:rsidP="00107286">
      <w:pPr>
        <w:rPr>
          <w:rFonts w:ascii="Arial" w:hAnsi="Arial" w:cs="Arial"/>
          <w:sz w:val="24"/>
          <w:szCs w:val="24"/>
        </w:rPr>
      </w:pPr>
    </w:p>
    <w:p w:rsidR="00107286" w:rsidRDefault="00107286" w:rsidP="00722F37">
      <w:pPr>
        <w:tabs>
          <w:tab w:val="left" w:pos="7290"/>
        </w:tabs>
        <w:spacing w:line="360" w:lineRule="atLeast"/>
        <w:ind w:left="540" w:firstLine="14"/>
        <w:outlineLvl w:val="0"/>
        <w:rPr>
          <w:rFonts w:ascii="Arial" w:hAnsi="Arial" w:cs="Arial"/>
          <w:sz w:val="24"/>
          <w:szCs w:val="24"/>
        </w:rPr>
      </w:pPr>
      <w:r>
        <w:rPr>
          <w:rFonts w:ascii="Arial" w:hAnsi="Arial" w:cs="Arial"/>
          <w:sz w:val="24"/>
          <w:szCs w:val="24"/>
        </w:rPr>
        <w:t xml:space="preserve">FY 2013 OPEB Revenues </w:t>
      </w:r>
      <w:r w:rsidRPr="0035640D">
        <w:rPr>
          <w:rFonts w:ascii="Arial" w:hAnsi="Arial" w:cs="Arial"/>
          <w:sz w:val="24"/>
          <w:szCs w:val="24"/>
        </w:rPr>
        <w:t>plus</w:t>
      </w:r>
      <w:r>
        <w:rPr>
          <w:rFonts w:ascii="Arial" w:hAnsi="Arial" w:cs="Arial"/>
          <w:sz w:val="24"/>
          <w:szCs w:val="24"/>
        </w:rPr>
        <w:t xml:space="preserve"> FY 2012 Under </w:t>
      </w:r>
      <w:r w:rsidR="008D2F26">
        <w:rPr>
          <w:rFonts w:ascii="Arial" w:hAnsi="Arial" w:cs="Arial"/>
          <w:sz w:val="24"/>
          <w:szCs w:val="24"/>
        </w:rPr>
        <w:t>Collection</w:t>
      </w:r>
      <w:r w:rsidR="007B4D8F">
        <w:rPr>
          <w:rFonts w:ascii="Arial" w:hAnsi="Arial" w:cs="Arial"/>
          <w:sz w:val="24"/>
          <w:szCs w:val="24"/>
        </w:rPr>
        <w:t xml:space="preserve"> </w:t>
      </w:r>
      <w:r w:rsidR="00722F37">
        <w:rPr>
          <w:rFonts w:ascii="Arial" w:hAnsi="Arial" w:cs="Arial"/>
          <w:sz w:val="24"/>
          <w:szCs w:val="24"/>
        </w:rPr>
        <w:t xml:space="preserve">         </w:t>
      </w:r>
      <w:r>
        <w:rPr>
          <w:rFonts w:ascii="Arial" w:hAnsi="Arial" w:cs="Arial"/>
          <w:sz w:val="24"/>
          <w:szCs w:val="24"/>
        </w:rPr>
        <w:t>$</w:t>
      </w:r>
      <w:r w:rsidR="00722F37">
        <w:rPr>
          <w:rFonts w:ascii="Arial" w:hAnsi="Arial" w:cs="Arial"/>
          <w:sz w:val="24"/>
          <w:szCs w:val="24"/>
        </w:rPr>
        <w:t xml:space="preserve">  </w:t>
      </w:r>
      <w:r>
        <w:rPr>
          <w:rFonts w:ascii="Arial" w:hAnsi="Arial" w:cs="Arial"/>
          <w:sz w:val="24"/>
          <w:szCs w:val="24"/>
        </w:rPr>
        <w:t>14,225,792</w:t>
      </w:r>
    </w:p>
    <w:p w:rsidR="00107286" w:rsidRDefault="00107286" w:rsidP="00107286">
      <w:pPr>
        <w:tabs>
          <w:tab w:val="left" w:pos="8100"/>
        </w:tabs>
        <w:spacing w:line="360" w:lineRule="atLeast"/>
        <w:ind w:left="540" w:firstLine="14"/>
        <w:outlineLvl w:val="0"/>
        <w:rPr>
          <w:rFonts w:ascii="Arial" w:hAnsi="Arial" w:cs="Arial"/>
          <w:sz w:val="24"/>
          <w:szCs w:val="24"/>
          <w:u w:val="single"/>
        </w:rPr>
      </w:pPr>
      <w:r>
        <w:rPr>
          <w:rFonts w:ascii="Arial" w:hAnsi="Arial" w:cs="Arial"/>
          <w:sz w:val="24"/>
          <w:szCs w:val="24"/>
        </w:rPr>
        <w:t xml:space="preserve">FY 2013 Permitted Recovery - Note 5                                          </w:t>
      </w:r>
      <w:r w:rsidRPr="0080082E">
        <w:rPr>
          <w:rFonts w:ascii="Arial" w:hAnsi="Arial" w:cs="Arial"/>
          <w:sz w:val="24"/>
          <w:szCs w:val="24"/>
          <w:u w:val="single"/>
        </w:rPr>
        <w:t xml:space="preserve">   </w:t>
      </w:r>
      <w:r w:rsidRPr="00326605">
        <w:rPr>
          <w:rFonts w:ascii="Arial" w:hAnsi="Arial" w:cs="Arial"/>
          <w:sz w:val="24"/>
          <w:szCs w:val="24"/>
          <w:u w:val="single"/>
        </w:rPr>
        <w:t xml:space="preserve"> </w:t>
      </w:r>
      <w:r w:rsidRPr="003C45ED">
        <w:rPr>
          <w:rFonts w:ascii="Arial" w:hAnsi="Arial" w:cs="Arial"/>
          <w:sz w:val="24"/>
          <w:szCs w:val="24"/>
          <w:u w:val="single"/>
        </w:rPr>
        <w:t>16,000,000</w:t>
      </w:r>
    </w:p>
    <w:p w:rsidR="00107286" w:rsidRDefault="00107286" w:rsidP="00107286">
      <w:pPr>
        <w:tabs>
          <w:tab w:val="left" w:pos="8100"/>
        </w:tabs>
        <w:spacing w:line="360" w:lineRule="atLeast"/>
        <w:ind w:left="540" w:firstLine="14"/>
        <w:outlineLvl w:val="0"/>
        <w:rPr>
          <w:rFonts w:ascii="Arial" w:hAnsi="Arial" w:cs="Arial"/>
          <w:sz w:val="24"/>
          <w:szCs w:val="24"/>
        </w:rPr>
      </w:pPr>
      <w:r>
        <w:rPr>
          <w:rFonts w:ascii="Arial" w:hAnsi="Arial" w:cs="Arial"/>
          <w:sz w:val="24"/>
          <w:szCs w:val="24"/>
        </w:rPr>
        <w:t xml:space="preserve">Over/(Under) </w:t>
      </w:r>
      <w:r w:rsidR="006806EC">
        <w:rPr>
          <w:rFonts w:ascii="Arial" w:hAnsi="Arial" w:cs="Arial"/>
          <w:sz w:val="24"/>
          <w:szCs w:val="24"/>
        </w:rPr>
        <w:t xml:space="preserve">Collections </w:t>
      </w:r>
      <w:r>
        <w:rPr>
          <w:rFonts w:ascii="Arial" w:hAnsi="Arial" w:cs="Arial"/>
          <w:sz w:val="24"/>
          <w:szCs w:val="24"/>
        </w:rPr>
        <w:t xml:space="preserve">- Note 6                                                </w:t>
      </w:r>
      <w:r w:rsidRPr="00326605">
        <w:rPr>
          <w:rFonts w:ascii="Arial" w:hAnsi="Arial" w:cs="Arial"/>
          <w:sz w:val="24"/>
          <w:szCs w:val="24"/>
          <w:u w:val="double"/>
        </w:rPr>
        <w:t>$</w:t>
      </w:r>
      <w:r w:rsidR="00722F37">
        <w:rPr>
          <w:rFonts w:ascii="Arial" w:hAnsi="Arial" w:cs="Arial"/>
          <w:sz w:val="24"/>
          <w:szCs w:val="24"/>
          <w:u w:val="double"/>
        </w:rPr>
        <w:t xml:space="preserve"> </w:t>
      </w:r>
      <w:r>
        <w:rPr>
          <w:rFonts w:ascii="Arial" w:hAnsi="Arial" w:cs="Arial"/>
          <w:sz w:val="24"/>
          <w:szCs w:val="24"/>
          <w:u w:val="double"/>
        </w:rPr>
        <w:t xml:space="preserve"> </w:t>
      </w:r>
      <w:r w:rsidRPr="00326605">
        <w:rPr>
          <w:rFonts w:ascii="Arial" w:hAnsi="Arial" w:cs="Arial"/>
          <w:sz w:val="24"/>
          <w:szCs w:val="24"/>
          <w:u w:val="double"/>
        </w:rPr>
        <w:t xml:space="preserve"> (</w:t>
      </w:r>
      <w:r>
        <w:rPr>
          <w:rFonts w:ascii="Arial" w:hAnsi="Arial" w:cs="Arial"/>
          <w:sz w:val="24"/>
          <w:szCs w:val="24"/>
          <w:u w:val="double"/>
        </w:rPr>
        <w:t>1,774</w:t>
      </w:r>
      <w:r w:rsidRPr="00326605">
        <w:rPr>
          <w:rFonts w:ascii="Arial" w:hAnsi="Arial" w:cs="Arial"/>
          <w:sz w:val="24"/>
          <w:szCs w:val="24"/>
          <w:u w:val="double"/>
        </w:rPr>
        <w:t>,</w:t>
      </w:r>
      <w:r>
        <w:rPr>
          <w:rFonts w:ascii="Arial" w:hAnsi="Arial" w:cs="Arial"/>
          <w:sz w:val="24"/>
          <w:szCs w:val="24"/>
          <w:u w:val="double"/>
        </w:rPr>
        <w:t>208</w:t>
      </w:r>
      <w:r w:rsidRPr="00326605">
        <w:rPr>
          <w:rFonts w:ascii="Arial" w:hAnsi="Arial" w:cs="Arial"/>
          <w:sz w:val="24"/>
          <w:szCs w:val="24"/>
          <w:u w:val="double"/>
        </w:rPr>
        <w:t>)</w:t>
      </w:r>
    </w:p>
    <w:p w:rsidR="00107286" w:rsidRDefault="00107286" w:rsidP="00107286">
      <w:pPr>
        <w:spacing w:line="360" w:lineRule="atLeast"/>
        <w:ind w:left="540"/>
        <w:outlineLvl w:val="0"/>
        <w:rPr>
          <w:rFonts w:ascii="Arial" w:hAnsi="Arial" w:cs="Arial"/>
          <w:sz w:val="24"/>
          <w:szCs w:val="24"/>
        </w:rPr>
      </w:pPr>
      <w:r>
        <w:rPr>
          <w:rFonts w:ascii="Arial" w:hAnsi="Arial" w:cs="Arial"/>
          <w:sz w:val="24"/>
          <w:szCs w:val="24"/>
        </w:rPr>
        <w:t xml:space="preserve"> </w:t>
      </w:r>
    </w:p>
    <w:p w:rsidR="00422CFF" w:rsidRDefault="00422CFF" w:rsidP="00107286">
      <w:pPr>
        <w:tabs>
          <w:tab w:val="left" w:pos="0"/>
          <w:tab w:val="left" w:pos="1800"/>
          <w:tab w:val="decimal" w:pos="6300"/>
          <w:tab w:val="decimal" w:pos="8550"/>
          <w:tab w:val="decimal" w:pos="10350"/>
          <w:tab w:val="left" w:pos="10800"/>
        </w:tabs>
        <w:ind w:right="-144" w:firstLine="630"/>
        <w:jc w:val="both"/>
        <w:rPr>
          <w:rFonts w:ascii="Arial" w:hAnsi="Arial" w:cs="Arial"/>
          <w:sz w:val="24"/>
          <w:szCs w:val="24"/>
        </w:rPr>
      </w:pPr>
    </w:p>
    <w:p w:rsidR="00107286" w:rsidRDefault="00107286" w:rsidP="00107286">
      <w:pPr>
        <w:tabs>
          <w:tab w:val="left" w:pos="0"/>
          <w:tab w:val="left" w:pos="1800"/>
          <w:tab w:val="decimal" w:pos="6300"/>
          <w:tab w:val="decimal" w:pos="8550"/>
          <w:tab w:val="decimal" w:pos="10350"/>
          <w:tab w:val="left" w:pos="10800"/>
        </w:tabs>
        <w:ind w:right="-144" w:firstLine="630"/>
        <w:jc w:val="both"/>
        <w:rPr>
          <w:rFonts w:ascii="Arial" w:hAnsi="Arial" w:cs="Arial"/>
          <w:sz w:val="24"/>
          <w:szCs w:val="24"/>
        </w:rPr>
      </w:pPr>
      <w:r>
        <w:rPr>
          <w:rFonts w:ascii="Arial" w:hAnsi="Arial" w:cs="Arial"/>
          <w:sz w:val="24"/>
          <w:szCs w:val="24"/>
        </w:rPr>
        <w:t xml:space="preserve">* - As reported to the Commission at Docket No. </w:t>
      </w:r>
      <w:r w:rsidRPr="0035640D">
        <w:rPr>
          <w:rFonts w:ascii="Arial" w:hAnsi="Arial" w:cs="Arial"/>
          <w:sz w:val="24"/>
          <w:szCs w:val="24"/>
        </w:rPr>
        <w:t>R-2014-2404355</w:t>
      </w:r>
      <w:r>
        <w:rPr>
          <w:rFonts w:ascii="Arial" w:hAnsi="Arial" w:cs="Arial"/>
          <w:sz w:val="24"/>
          <w:szCs w:val="24"/>
        </w:rPr>
        <w:t>.</w:t>
      </w:r>
    </w:p>
    <w:p w:rsidR="00107286" w:rsidRDefault="00107286" w:rsidP="00107286">
      <w:pPr>
        <w:tabs>
          <w:tab w:val="left" w:pos="0"/>
          <w:tab w:val="left" w:pos="8100"/>
        </w:tabs>
        <w:ind w:firstLine="630"/>
        <w:outlineLvl w:val="0"/>
        <w:rPr>
          <w:rFonts w:ascii="Arial" w:hAnsi="Arial" w:cs="Arial"/>
          <w:sz w:val="24"/>
          <w:szCs w:val="24"/>
        </w:rPr>
      </w:pPr>
    </w:p>
    <w:p w:rsidR="00107286" w:rsidRDefault="00107286" w:rsidP="00107286">
      <w:pPr>
        <w:tabs>
          <w:tab w:val="left" w:pos="0"/>
          <w:tab w:val="left" w:pos="8100"/>
        </w:tabs>
        <w:ind w:firstLine="630"/>
        <w:outlineLvl w:val="0"/>
        <w:rPr>
          <w:rFonts w:ascii="Arial" w:hAnsi="Arial" w:cs="Arial"/>
          <w:sz w:val="24"/>
          <w:szCs w:val="24"/>
        </w:rPr>
      </w:pPr>
      <w:r>
        <w:rPr>
          <w:rFonts w:ascii="Arial" w:hAnsi="Arial" w:cs="Arial"/>
          <w:sz w:val="24"/>
          <w:szCs w:val="24"/>
        </w:rPr>
        <w:t>Arithmetic differences are due to rounding.</w:t>
      </w:r>
    </w:p>
    <w:p w:rsidR="00107286" w:rsidRPr="00D82C3C" w:rsidRDefault="00107286" w:rsidP="00107286">
      <w:pPr>
        <w:tabs>
          <w:tab w:val="left" w:pos="0"/>
          <w:tab w:val="left" w:pos="8100"/>
        </w:tabs>
        <w:ind w:left="126" w:firstLine="630"/>
        <w:outlineLvl w:val="0"/>
        <w:rPr>
          <w:rFonts w:ascii="Arial" w:hAnsi="Arial" w:cs="Arial"/>
        </w:rPr>
      </w:pPr>
    </w:p>
    <w:p w:rsidR="00107286" w:rsidRDefault="00107286" w:rsidP="00107286">
      <w:pPr>
        <w:tabs>
          <w:tab w:val="left" w:pos="0"/>
        </w:tabs>
        <w:ind w:firstLine="630"/>
        <w:outlineLvl w:val="0"/>
        <w:rPr>
          <w:rFonts w:ascii="Arial" w:hAnsi="Arial" w:cs="Arial"/>
          <w:sz w:val="24"/>
          <w:szCs w:val="24"/>
        </w:rPr>
      </w:pPr>
      <w:r w:rsidRPr="007A1DB0">
        <w:rPr>
          <w:rFonts w:ascii="Arial" w:hAnsi="Arial" w:cs="Arial"/>
          <w:sz w:val="24"/>
          <w:szCs w:val="24"/>
        </w:rPr>
        <w:t>Notes to the Financial Statements are an integral part of this report.</w:t>
      </w:r>
    </w:p>
    <w:p w:rsidR="00107286" w:rsidRPr="00743107" w:rsidRDefault="00107286" w:rsidP="00107286">
      <w:pPr>
        <w:jc w:val="center"/>
        <w:outlineLvl w:val="0"/>
        <w:rPr>
          <w:rFonts w:ascii="Arial" w:hAnsi="Arial" w:cs="Arial"/>
          <w:b/>
          <w:sz w:val="26"/>
          <w:szCs w:val="26"/>
        </w:rPr>
      </w:pPr>
      <w:r w:rsidRPr="00717869">
        <w:rPr>
          <w:rFonts w:ascii="Arial" w:hAnsi="Arial" w:cs="Arial"/>
          <w:b/>
          <w:sz w:val="26"/>
          <w:szCs w:val="26"/>
        </w:rPr>
        <w:lastRenderedPageBreak/>
        <w:t>PHILADELPHIA GAS WORKS</w:t>
      </w:r>
    </w:p>
    <w:p w:rsidR="00107286" w:rsidRPr="00743107" w:rsidRDefault="00107286" w:rsidP="00107286">
      <w:pPr>
        <w:rPr>
          <w:rFonts w:ascii="Arial" w:hAnsi="Arial" w:cs="Arial"/>
          <w:b/>
          <w:sz w:val="26"/>
          <w:szCs w:val="26"/>
          <w:u w:val="single"/>
        </w:rPr>
      </w:pPr>
    </w:p>
    <w:p w:rsidR="00107286" w:rsidRPr="00743107" w:rsidRDefault="00107286" w:rsidP="00107286">
      <w:pPr>
        <w:jc w:val="center"/>
        <w:rPr>
          <w:rFonts w:ascii="Arial" w:hAnsi="Arial" w:cs="Arial"/>
          <w:b/>
          <w:sz w:val="26"/>
          <w:szCs w:val="26"/>
        </w:rPr>
      </w:pPr>
      <w:r w:rsidRPr="00743107">
        <w:rPr>
          <w:rFonts w:ascii="Arial" w:hAnsi="Arial" w:cs="Arial"/>
          <w:b/>
          <w:sz w:val="26"/>
          <w:szCs w:val="26"/>
        </w:rPr>
        <w:t>Notes to the Financial Statements</w:t>
      </w:r>
    </w:p>
    <w:p w:rsidR="00107286" w:rsidRPr="008B560F" w:rsidRDefault="00107286" w:rsidP="00107286">
      <w:pPr>
        <w:rPr>
          <w:rFonts w:ascii="Arial" w:hAnsi="Arial" w:cs="Arial"/>
          <w:b/>
          <w:sz w:val="22"/>
          <w:szCs w:val="26"/>
          <w:u w:val="single"/>
        </w:rPr>
      </w:pPr>
    </w:p>
    <w:p w:rsidR="00107286" w:rsidRPr="0008323F" w:rsidRDefault="00107286" w:rsidP="00107286">
      <w:pPr>
        <w:tabs>
          <w:tab w:val="left" w:pos="360"/>
          <w:tab w:val="left" w:pos="9720"/>
        </w:tabs>
        <w:rPr>
          <w:rFonts w:ascii="Arial" w:hAnsi="Arial" w:cs="Arial"/>
          <w:b/>
          <w:sz w:val="24"/>
          <w:szCs w:val="24"/>
          <w:u w:val="single"/>
        </w:rPr>
      </w:pPr>
      <w:r w:rsidRPr="0008323F">
        <w:rPr>
          <w:rFonts w:ascii="Arial" w:hAnsi="Arial" w:cs="Arial"/>
          <w:b/>
          <w:sz w:val="24"/>
          <w:szCs w:val="24"/>
          <w:u w:val="single"/>
        </w:rPr>
        <w:t>1 – Statements</w:t>
      </w:r>
    </w:p>
    <w:p w:rsidR="00107286" w:rsidRPr="00F0063C" w:rsidRDefault="00107286" w:rsidP="00107286">
      <w:pPr>
        <w:autoSpaceDE w:val="0"/>
        <w:autoSpaceDN w:val="0"/>
        <w:adjustRightInd w:val="0"/>
        <w:ind w:left="450"/>
        <w:rPr>
          <w:rFonts w:ascii="Arial" w:hAnsi="Arial" w:cs="Arial"/>
          <w:sz w:val="18"/>
          <w:szCs w:val="18"/>
        </w:rPr>
      </w:pPr>
    </w:p>
    <w:p w:rsidR="00107286" w:rsidRDefault="009051E0" w:rsidP="00107286">
      <w:pPr>
        <w:tabs>
          <w:tab w:val="left" w:pos="0"/>
        </w:tabs>
        <w:ind w:left="360"/>
        <w:rPr>
          <w:rFonts w:ascii="Arial" w:hAnsi="Arial" w:cs="Arial"/>
          <w:sz w:val="24"/>
          <w:szCs w:val="24"/>
        </w:rPr>
      </w:pPr>
      <w:r>
        <w:rPr>
          <w:rFonts w:ascii="Arial" w:hAnsi="Arial" w:cs="Arial"/>
          <w:sz w:val="24"/>
          <w:szCs w:val="24"/>
        </w:rPr>
        <w:t>The Statements o</w:t>
      </w:r>
      <w:r w:rsidR="00107286">
        <w:rPr>
          <w:rFonts w:ascii="Arial" w:hAnsi="Arial" w:cs="Arial"/>
          <w:sz w:val="24"/>
          <w:szCs w:val="24"/>
        </w:rPr>
        <w:t xml:space="preserve">f </w:t>
      </w:r>
      <w:r w:rsidR="00107286" w:rsidRPr="00280D50">
        <w:rPr>
          <w:rFonts w:ascii="Arial" w:hAnsi="Arial" w:cs="Arial"/>
          <w:sz w:val="24"/>
          <w:szCs w:val="24"/>
        </w:rPr>
        <w:t xml:space="preserve">Other Post Employment Benefit </w:t>
      </w:r>
      <w:r w:rsidR="00107286">
        <w:rPr>
          <w:rFonts w:ascii="Arial" w:hAnsi="Arial" w:cs="Arial"/>
          <w:sz w:val="24"/>
          <w:szCs w:val="24"/>
        </w:rPr>
        <w:t xml:space="preserve">(OPEB) </w:t>
      </w:r>
      <w:r w:rsidR="00107286" w:rsidRPr="00280D50">
        <w:rPr>
          <w:rFonts w:ascii="Arial" w:hAnsi="Arial" w:cs="Arial"/>
          <w:sz w:val="24"/>
          <w:szCs w:val="24"/>
        </w:rPr>
        <w:t>Surcharge</w:t>
      </w:r>
      <w:r w:rsidR="00107286">
        <w:rPr>
          <w:rFonts w:ascii="Arial" w:hAnsi="Arial" w:cs="Arial"/>
          <w:sz w:val="24"/>
          <w:szCs w:val="24"/>
        </w:rPr>
        <w:t xml:space="preserve"> Over/(Under) Collections audit was conducted on Philadelphia Gas Works’ (PGW or Company) </w:t>
      </w:r>
      <w:r w:rsidR="00107286" w:rsidRPr="00AC28F0">
        <w:rPr>
          <w:rFonts w:ascii="Arial" w:hAnsi="Arial" w:cs="Arial"/>
          <w:sz w:val="24"/>
          <w:szCs w:val="24"/>
        </w:rPr>
        <w:t xml:space="preserve">officially filed </w:t>
      </w:r>
      <w:r w:rsidR="00107286" w:rsidRPr="00914928">
        <w:rPr>
          <w:rFonts w:ascii="Arial" w:hAnsi="Arial" w:cs="Arial"/>
          <w:sz w:val="24"/>
          <w:szCs w:val="24"/>
        </w:rPr>
        <w:t xml:space="preserve">1307(f) </w:t>
      </w:r>
      <w:r w:rsidR="00107286">
        <w:rPr>
          <w:rFonts w:ascii="Arial" w:hAnsi="Arial" w:cs="Arial"/>
          <w:sz w:val="24"/>
          <w:szCs w:val="24"/>
        </w:rPr>
        <w:t xml:space="preserve">reconciliation </w:t>
      </w:r>
      <w:r w:rsidR="00107286" w:rsidRPr="00AC28F0">
        <w:rPr>
          <w:rFonts w:ascii="Arial" w:hAnsi="Arial" w:cs="Arial"/>
          <w:sz w:val="24"/>
          <w:szCs w:val="24"/>
        </w:rPr>
        <w:t>statements submitted to the Pennsylvania Public Utility Commission (PUC</w:t>
      </w:r>
      <w:r w:rsidR="00116186">
        <w:rPr>
          <w:rFonts w:ascii="Arial" w:hAnsi="Arial" w:cs="Arial"/>
          <w:sz w:val="24"/>
          <w:szCs w:val="24"/>
        </w:rPr>
        <w:t xml:space="preserve"> or Commission</w:t>
      </w:r>
      <w:r w:rsidR="00107286" w:rsidRPr="00AC28F0">
        <w:rPr>
          <w:rFonts w:ascii="Arial" w:hAnsi="Arial" w:cs="Arial"/>
          <w:sz w:val="24"/>
          <w:szCs w:val="24"/>
        </w:rPr>
        <w:t>) in accordance with Section 1307(f)(3) of the Public Utility Code</w:t>
      </w:r>
      <w:r w:rsidR="00107286">
        <w:rPr>
          <w:rFonts w:ascii="Arial" w:hAnsi="Arial" w:cs="Arial"/>
          <w:sz w:val="24"/>
          <w:szCs w:val="24"/>
        </w:rPr>
        <w:t xml:space="preserve"> on February 26, 2015 and February 28, 2014 and are available at Docket Nos. R-2015-2465656 and R-2014-2404355, respectively, via </w:t>
      </w:r>
      <w:hyperlink r:id="rId19" w:history="1">
        <w:r w:rsidR="00107286" w:rsidRPr="004A2F97">
          <w:rPr>
            <w:rStyle w:val="Hyperlink"/>
            <w:rFonts w:ascii="Arial" w:hAnsi="Arial" w:cs="Arial"/>
            <w:sz w:val="24"/>
            <w:szCs w:val="24"/>
          </w:rPr>
          <w:t>http://www.puc.pa.gov</w:t>
        </w:r>
      </w:hyperlink>
      <w:r w:rsidR="00107286">
        <w:rPr>
          <w:rFonts w:ascii="Arial" w:hAnsi="Arial" w:cs="Arial"/>
          <w:sz w:val="24"/>
          <w:szCs w:val="24"/>
        </w:rPr>
        <w:t>.</w:t>
      </w:r>
    </w:p>
    <w:p w:rsidR="00107286" w:rsidRPr="00F0063C" w:rsidRDefault="00107286" w:rsidP="00107286">
      <w:pPr>
        <w:spacing w:line="360" w:lineRule="atLeast"/>
        <w:jc w:val="center"/>
        <w:outlineLvl w:val="0"/>
        <w:rPr>
          <w:rFonts w:ascii="Arial" w:hAnsi="Arial" w:cs="Arial"/>
          <w:b/>
          <w:sz w:val="18"/>
          <w:szCs w:val="18"/>
          <w:u w:val="single"/>
        </w:rPr>
      </w:pPr>
    </w:p>
    <w:p w:rsidR="00107286" w:rsidRDefault="00107286" w:rsidP="00107286">
      <w:pPr>
        <w:tabs>
          <w:tab w:val="left" w:pos="360"/>
          <w:tab w:val="left" w:pos="9720"/>
        </w:tabs>
        <w:rPr>
          <w:rFonts w:ascii="Arial" w:hAnsi="Arial" w:cs="Arial"/>
          <w:b/>
          <w:sz w:val="24"/>
          <w:szCs w:val="24"/>
          <w:u w:val="single"/>
        </w:rPr>
      </w:pPr>
      <w:r>
        <w:rPr>
          <w:rFonts w:ascii="Arial" w:hAnsi="Arial" w:cs="Arial"/>
          <w:b/>
          <w:sz w:val="24"/>
          <w:szCs w:val="24"/>
          <w:u w:val="single"/>
        </w:rPr>
        <w:t>2</w:t>
      </w:r>
      <w:r w:rsidRPr="0008323F">
        <w:rPr>
          <w:rFonts w:ascii="Arial" w:hAnsi="Arial" w:cs="Arial"/>
          <w:b/>
          <w:sz w:val="24"/>
          <w:szCs w:val="24"/>
          <w:u w:val="single"/>
        </w:rPr>
        <w:t xml:space="preserve"> – </w:t>
      </w:r>
      <w:r>
        <w:rPr>
          <w:rFonts w:ascii="Arial" w:hAnsi="Arial" w:cs="Arial"/>
          <w:b/>
          <w:sz w:val="24"/>
          <w:szCs w:val="24"/>
          <w:u w:val="single"/>
        </w:rPr>
        <w:t>OPEB Volumes</w:t>
      </w:r>
    </w:p>
    <w:p w:rsidR="00107286" w:rsidRPr="00F0063C" w:rsidRDefault="00107286" w:rsidP="00107286">
      <w:pPr>
        <w:tabs>
          <w:tab w:val="left" w:pos="360"/>
          <w:tab w:val="left" w:pos="9720"/>
        </w:tabs>
        <w:rPr>
          <w:rFonts w:ascii="Arial" w:hAnsi="Arial" w:cs="Arial"/>
          <w:b/>
          <w:sz w:val="18"/>
          <w:szCs w:val="18"/>
          <w:u w:val="single"/>
        </w:rPr>
      </w:pPr>
    </w:p>
    <w:p w:rsidR="00107286" w:rsidRPr="00F0063C" w:rsidRDefault="00107286" w:rsidP="00107286">
      <w:pPr>
        <w:autoSpaceDE w:val="0"/>
        <w:autoSpaceDN w:val="0"/>
        <w:adjustRightInd w:val="0"/>
        <w:ind w:left="450"/>
        <w:rPr>
          <w:rFonts w:ascii="Arial" w:hAnsi="Arial" w:cs="Arial"/>
          <w:sz w:val="24"/>
          <w:szCs w:val="24"/>
        </w:rPr>
      </w:pPr>
      <w:r>
        <w:rPr>
          <w:rFonts w:ascii="Arial" w:hAnsi="Arial" w:cs="Arial"/>
          <w:sz w:val="24"/>
          <w:szCs w:val="24"/>
        </w:rPr>
        <w:t xml:space="preserve">OPEB Volumes are the </w:t>
      </w:r>
      <w:r w:rsidRPr="00856879">
        <w:rPr>
          <w:rFonts w:ascii="Arial" w:hAnsi="Arial" w:cs="Arial"/>
          <w:sz w:val="24"/>
          <w:szCs w:val="24"/>
        </w:rPr>
        <w:t xml:space="preserve">sales volumes </w:t>
      </w:r>
      <w:r>
        <w:rPr>
          <w:rFonts w:ascii="Arial" w:hAnsi="Arial" w:cs="Arial"/>
          <w:sz w:val="24"/>
          <w:szCs w:val="24"/>
        </w:rPr>
        <w:t xml:space="preserve">in MCFs </w:t>
      </w:r>
      <w:r w:rsidRPr="00856879">
        <w:rPr>
          <w:rFonts w:ascii="Arial" w:hAnsi="Arial" w:cs="Arial"/>
          <w:sz w:val="24"/>
          <w:szCs w:val="24"/>
        </w:rPr>
        <w:t>billed during the month</w:t>
      </w:r>
      <w:r>
        <w:rPr>
          <w:rFonts w:ascii="Arial" w:hAnsi="Arial" w:cs="Arial"/>
          <w:sz w:val="24"/>
          <w:szCs w:val="24"/>
        </w:rPr>
        <w:t xml:space="preserve">.  One MCF is equal to </w:t>
      </w:r>
      <w:r w:rsidRPr="00F0063C">
        <w:rPr>
          <w:rFonts w:ascii="Arial" w:hAnsi="Arial" w:cs="Arial"/>
          <w:sz w:val="24"/>
          <w:szCs w:val="24"/>
        </w:rPr>
        <w:t>a thousand cubic feet of natural gas.</w:t>
      </w:r>
    </w:p>
    <w:p w:rsidR="00107286" w:rsidRPr="00F0063C" w:rsidRDefault="00107286" w:rsidP="00107286">
      <w:pPr>
        <w:spacing w:line="360" w:lineRule="atLeast"/>
        <w:ind w:left="450"/>
        <w:outlineLvl w:val="0"/>
        <w:rPr>
          <w:rFonts w:ascii="Arial" w:hAnsi="Arial" w:cs="Arial"/>
          <w:color w:val="111111"/>
          <w:sz w:val="18"/>
          <w:szCs w:val="18"/>
        </w:rPr>
      </w:pPr>
    </w:p>
    <w:p w:rsidR="00107286" w:rsidRDefault="00107286" w:rsidP="00107286">
      <w:pPr>
        <w:tabs>
          <w:tab w:val="left" w:pos="360"/>
          <w:tab w:val="left" w:pos="9720"/>
        </w:tabs>
        <w:rPr>
          <w:rFonts w:ascii="Arial" w:hAnsi="Arial" w:cs="Arial"/>
          <w:b/>
          <w:sz w:val="24"/>
          <w:szCs w:val="24"/>
          <w:u w:val="single"/>
        </w:rPr>
      </w:pPr>
      <w:r>
        <w:rPr>
          <w:rFonts w:ascii="Arial" w:hAnsi="Arial" w:cs="Arial"/>
          <w:b/>
          <w:sz w:val="24"/>
          <w:szCs w:val="24"/>
          <w:u w:val="single"/>
        </w:rPr>
        <w:t>3</w:t>
      </w:r>
      <w:r w:rsidRPr="0008323F">
        <w:rPr>
          <w:rFonts w:ascii="Arial" w:hAnsi="Arial" w:cs="Arial"/>
          <w:b/>
          <w:sz w:val="24"/>
          <w:szCs w:val="24"/>
          <w:u w:val="single"/>
        </w:rPr>
        <w:t xml:space="preserve"> – </w:t>
      </w:r>
      <w:r>
        <w:rPr>
          <w:rFonts w:ascii="Arial" w:hAnsi="Arial" w:cs="Arial"/>
          <w:b/>
          <w:sz w:val="24"/>
          <w:szCs w:val="24"/>
          <w:u w:val="single"/>
        </w:rPr>
        <w:t>OPEB Surcharge</w:t>
      </w:r>
    </w:p>
    <w:p w:rsidR="00107286" w:rsidRPr="00F0063C" w:rsidRDefault="00107286" w:rsidP="00107286">
      <w:pPr>
        <w:tabs>
          <w:tab w:val="left" w:pos="360"/>
          <w:tab w:val="left" w:pos="9720"/>
        </w:tabs>
        <w:rPr>
          <w:rFonts w:ascii="Arial" w:hAnsi="Arial" w:cs="Arial"/>
          <w:b/>
          <w:sz w:val="18"/>
          <w:szCs w:val="18"/>
          <w:u w:val="single"/>
        </w:rPr>
      </w:pPr>
    </w:p>
    <w:p w:rsidR="00107286" w:rsidRDefault="00107286" w:rsidP="00107286">
      <w:pPr>
        <w:autoSpaceDE w:val="0"/>
        <w:autoSpaceDN w:val="0"/>
        <w:adjustRightInd w:val="0"/>
        <w:ind w:left="450"/>
        <w:rPr>
          <w:rFonts w:ascii="Arial" w:hAnsi="Arial" w:cs="Arial"/>
          <w:sz w:val="24"/>
          <w:szCs w:val="24"/>
        </w:rPr>
      </w:pPr>
      <w:r w:rsidRPr="00703C5D">
        <w:rPr>
          <w:rFonts w:ascii="Arial" w:hAnsi="Arial" w:cs="Arial"/>
          <w:sz w:val="24"/>
          <w:szCs w:val="24"/>
        </w:rPr>
        <w:t xml:space="preserve">The </w:t>
      </w:r>
      <w:r>
        <w:rPr>
          <w:rFonts w:ascii="Arial" w:hAnsi="Arial" w:cs="Arial"/>
          <w:sz w:val="24"/>
          <w:szCs w:val="24"/>
        </w:rPr>
        <w:t>OPEB S</w:t>
      </w:r>
      <w:r w:rsidRPr="00703C5D">
        <w:rPr>
          <w:rFonts w:ascii="Arial" w:hAnsi="Arial" w:cs="Arial"/>
          <w:sz w:val="24"/>
          <w:szCs w:val="24"/>
        </w:rPr>
        <w:t xml:space="preserve">urcharge is calculated by dividing the total costs approved for annual recovery </w:t>
      </w:r>
      <w:r>
        <w:rPr>
          <w:rFonts w:ascii="Arial" w:hAnsi="Arial" w:cs="Arial"/>
          <w:sz w:val="24"/>
          <w:szCs w:val="24"/>
        </w:rPr>
        <w:t xml:space="preserve">(see Note 5) </w:t>
      </w:r>
      <w:r w:rsidRPr="00703C5D">
        <w:rPr>
          <w:rFonts w:ascii="Arial" w:hAnsi="Arial" w:cs="Arial"/>
          <w:sz w:val="24"/>
          <w:szCs w:val="24"/>
        </w:rPr>
        <w:t>by the estimated applicable MCFs of throughput and applied to all firm sales and transportation volumes.</w:t>
      </w:r>
      <w:r>
        <w:rPr>
          <w:rFonts w:ascii="Arial" w:hAnsi="Arial" w:cs="Arial"/>
          <w:sz w:val="24"/>
          <w:szCs w:val="24"/>
        </w:rPr>
        <w:t xml:space="preserve">  </w:t>
      </w:r>
    </w:p>
    <w:p w:rsidR="00107286" w:rsidRPr="00F0063C" w:rsidRDefault="00107286" w:rsidP="00107286">
      <w:pPr>
        <w:tabs>
          <w:tab w:val="left" w:pos="360"/>
          <w:tab w:val="left" w:pos="9720"/>
        </w:tabs>
        <w:ind w:left="450"/>
        <w:rPr>
          <w:rFonts w:ascii="Arial" w:hAnsi="Arial" w:cs="Arial"/>
          <w:sz w:val="18"/>
          <w:szCs w:val="18"/>
        </w:rPr>
      </w:pPr>
    </w:p>
    <w:p w:rsidR="00107286" w:rsidRDefault="00107286" w:rsidP="00107286">
      <w:pPr>
        <w:tabs>
          <w:tab w:val="left" w:pos="360"/>
          <w:tab w:val="left" w:pos="9720"/>
        </w:tabs>
        <w:rPr>
          <w:rFonts w:ascii="Arial" w:hAnsi="Arial" w:cs="Arial"/>
          <w:b/>
          <w:sz w:val="24"/>
          <w:szCs w:val="24"/>
          <w:u w:val="single"/>
        </w:rPr>
      </w:pPr>
      <w:r>
        <w:rPr>
          <w:rFonts w:ascii="Arial" w:hAnsi="Arial" w:cs="Arial"/>
          <w:b/>
          <w:sz w:val="24"/>
          <w:szCs w:val="24"/>
          <w:u w:val="single"/>
        </w:rPr>
        <w:t>4</w:t>
      </w:r>
      <w:r w:rsidRPr="0008323F">
        <w:rPr>
          <w:rFonts w:ascii="Arial" w:hAnsi="Arial" w:cs="Arial"/>
          <w:b/>
          <w:sz w:val="24"/>
          <w:szCs w:val="24"/>
          <w:u w:val="single"/>
        </w:rPr>
        <w:t xml:space="preserve"> – </w:t>
      </w:r>
      <w:r>
        <w:rPr>
          <w:rFonts w:ascii="Arial" w:hAnsi="Arial" w:cs="Arial"/>
          <w:b/>
          <w:sz w:val="24"/>
          <w:szCs w:val="24"/>
          <w:u w:val="single"/>
        </w:rPr>
        <w:t>OPEB Revenues</w:t>
      </w:r>
    </w:p>
    <w:p w:rsidR="00107286" w:rsidRPr="00F0063C" w:rsidRDefault="00107286" w:rsidP="00107286">
      <w:pPr>
        <w:tabs>
          <w:tab w:val="left" w:pos="360"/>
          <w:tab w:val="left" w:pos="9720"/>
        </w:tabs>
        <w:rPr>
          <w:rFonts w:ascii="Arial" w:hAnsi="Arial" w:cs="Arial"/>
          <w:b/>
          <w:sz w:val="18"/>
          <w:szCs w:val="18"/>
          <w:u w:val="single"/>
        </w:rPr>
      </w:pPr>
    </w:p>
    <w:p w:rsidR="00107286" w:rsidRDefault="00107286" w:rsidP="00107286">
      <w:pPr>
        <w:autoSpaceDE w:val="0"/>
        <w:autoSpaceDN w:val="0"/>
        <w:adjustRightInd w:val="0"/>
        <w:ind w:left="450"/>
        <w:rPr>
          <w:rFonts w:ascii="Arial" w:hAnsi="Arial" w:cs="Arial"/>
          <w:sz w:val="24"/>
          <w:szCs w:val="24"/>
        </w:rPr>
      </w:pPr>
      <w:r>
        <w:rPr>
          <w:rFonts w:ascii="Arial" w:hAnsi="Arial" w:cs="Arial"/>
          <w:sz w:val="24"/>
          <w:szCs w:val="24"/>
        </w:rPr>
        <w:t>OPEB</w:t>
      </w:r>
      <w:r w:rsidRPr="00F476E3">
        <w:rPr>
          <w:rFonts w:ascii="Arial" w:hAnsi="Arial" w:cs="Arial"/>
          <w:sz w:val="24"/>
          <w:szCs w:val="24"/>
        </w:rPr>
        <w:t xml:space="preserve"> Revenues are derived by multiplying the sales </w:t>
      </w:r>
      <w:r>
        <w:rPr>
          <w:rFonts w:ascii="Arial" w:hAnsi="Arial" w:cs="Arial"/>
          <w:sz w:val="24"/>
          <w:szCs w:val="24"/>
        </w:rPr>
        <w:t xml:space="preserve">volumes </w:t>
      </w:r>
      <w:r w:rsidRPr="00F476E3">
        <w:rPr>
          <w:rFonts w:ascii="Arial" w:hAnsi="Arial" w:cs="Arial"/>
          <w:sz w:val="24"/>
          <w:szCs w:val="24"/>
        </w:rPr>
        <w:t xml:space="preserve">billed during the month by the </w:t>
      </w:r>
      <w:r w:rsidRPr="00E729D3">
        <w:rPr>
          <w:rFonts w:ascii="Arial" w:hAnsi="Arial" w:cs="Arial"/>
          <w:sz w:val="24"/>
          <w:szCs w:val="24"/>
        </w:rPr>
        <w:t xml:space="preserve">applicable </w:t>
      </w:r>
      <w:r>
        <w:rPr>
          <w:rFonts w:ascii="Arial" w:hAnsi="Arial" w:cs="Arial"/>
          <w:sz w:val="24"/>
          <w:szCs w:val="24"/>
        </w:rPr>
        <w:t>OPEB rate</w:t>
      </w:r>
      <w:r w:rsidRPr="00E729D3">
        <w:rPr>
          <w:rFonts w:ascii="Arial" w:hAnsi="Arial" w:cs="Arial"/>
          <w:sz w:val="24"/>
          <w:szCs w:val="24"/>
        </w:rPr>
        <w:t xml:space="preserve">.  </w:t>
      </w:r>
      <w:r>
        <w:rPr>
          <w:rFonts w:ascii="Arial" w:hAnsi="Arial" w:cs="Arial"/>
          <w:sz w:val="24"/>
          <w:szCs w:val="24"/>
        </w:rPr>
        <w:t>The OPEB is applied to each MCF of firm sales</w:t>
      </w:r>
      <w:r w:rsidRPr="00703C5D">
        <w:rPr>
          <w:rFonts w:ascii="Arial" w:hAnsi="Arial" w:cs="Arial"/>
          <w:sz w:val="24"/>
          <w:szCs w:val="24"/>
        </w:rPr>
        <w:t xml:space="preserve"> and transportation volumes</w:t>
      </w:r>
      <w:r>
        <w:rPr>
          <w:rFonts w:ascii="Arial" w:hAnsi="Arial" w:cs="Arial"/>
          <w:sz w:val="24"/>
          <w:szCs w:val="24"/>
        </w:rPr>
        <w:t xml:space="preserve"> with the exception of the Natural Gas Vehicle Service Firm customers</w:t>
      </w:r>
      <w:r w:rsidRPr="00703C5D">
        <w:rPr>
          <w:rFonts w:ascii="Arial" w:hAnsi="Arial" w:cs="Arial"/>
          <w:sz w:val="24"/>
          <w:szCs w:val="24"/>
        </w:rPr>
        <w:t>.</w:t>
      </w:r>
    </w:p>
    <w:p w:rsidR="00107286" w:rsidRPr="00F0063C" w:rsidRDefault="00107286" w:rsidP="00107286">
      <w:pPr>
        <w:tabs>
          <w:tab w:val="left" w:pos="360"/>
          <w:tab w:val="left" w:pos="9720"/>
        </w:tabs>
        <w:ind w:left="450"/>
        <w:rPr>
          <w:rFonts w:ascii="Arial" w:hAnsi="Arial" w:cs="Arial"/>
          <w:sz w:val="18"/>
          <w:szCs w:val="18"/>
        </w:rPr>
      </w:pPr>
    </w:p>
    <w:p w:rsidR="00107286" w:rsidRDefault="00107286" w:rsidP="00107286">
      <w:pPr>
        <w:tabs>
          <w:tab w:val="left" w:pos="360"/>
          <w:tab w:val="left" w:pos="9720"/>
        </w:tabs>
        <w:rPr>
          <w:rFonts w:ascii="Arial" w:hAnsi="Arial" w:cs="Arial"/>
          <w:b/>
          <w:sz w:val="24"/>
          <w:szCs w:val="24"/>
          <w:u w:val="single"/>
        </w:rPr>
      </w:pPr>
      <w:r>
        <w:rPr>
          <w:rFonts w:ascii="Arial" w:hAnsi="Arial" w:cs="Arial"/>
          <w:b/>
          <w:sz w:val="24"/>
          <w:szCs w:val="24"/>
          <w:u w:val="single"/>
        </w:rPr>
        <w:t>5</w:t>
      </w:r>
      <w:r w:rsidRPr="0008323F">
        <w:rPr>
          <w:rFonts w:ascii="Arial" w:hAnsi="Arial" w:cs="Arial"/>
          <w:b/>
          <w:sz w:val="24"/>
          <w:szCs w:val="24"/>
          <w:u w:val="single"/>
        </w:rPr>
        <w:t xml:space="preserve"> – </w:t>
      </w:r>
      <w:r>
        <w:rPr>
          <w:rFonts w:ascii="Arial" w:hAnsi="Arial" w:cs="Arial"/>
          <w:b/>
          <w:sz w:val="24"/>
          <w:szCs w:val="24"/>
          <w:u w:val="single"/>
        </w:rPr>
        <w:t>Permitted Recovery</w:t>
      </w:r>
    </w:p>
    <w:p w:rsidR="00107286" w:rsidRPr="00F0063C" w:rsidRDefault="00107286" w:rsidP="00107286">
      <w:pPr>
        <w:autoSpaceDE w:val="0"/>
        <w:autoSpaceDN w:val="0"/>
        <w:adjustRightInd w:val="0"/>
        <w:ind w:left="450"/>
        <w:rPr>
          <w:rFonts w:ascii="Arial" w:hAnsi="Arial" w:cs="Arial"/>
          <w:sz w:val="18"/>
          <w:szCs w:val="18"/>
        </w:rPr>
      </w:pPr>
    </w:p>
    <w:p w:rsidR="00107286" w:rsidRDefault="00107286" w:rsidP="00107286">
      <w:pPr>
        <w:autoSpaceDE w:val="0"/>
        <w:autoSpaceDN w:val="0"/>
        <w:adjustRightInd w:val="0"/>
        <w:ind w:left="450"/>
        <w:rPr>
          <w:rFonts w:ascii="Arial" w:hAnsi="Arial" w:cs="Arial"/>
          <w:sz w:val="24"/>
          <w:szCs w:val="24"/>
        </w:rPr>
      </w:pPr>
      <w:r>
        <w:rPr>
          <w:rFonts w:ascii="Arial" w:hAnsi="Arial" w:cs="Arial"/>
          <w:sz w:val="24"/>
          <w:szCs w:val="24"/>
        </w:rPr>
        <w:t xml:space="preserve">On July 29, 2010, at Docket No. R-2009-2139884, the PUC approved the settlement of the base rate filing filed by PGW in December 2009, under which PGW was permitted to maintain virtually all of the $60 million extraordinary rate increase granted by the PUC in 2008 that was effective as of January 1, 2009.  In addition, PGW was allowed to collect an additional $16 million annually to fund OPEB through an adjustment clause.  </w:t>
      </w:r>
    </w:p>
    <w:p w:rsidR="00107286" w:rsidRPr="00F0063C" w:rsidRDefault="00107286" w:rsidP="00107286">
      <w:pPr>
        <w:autoSpaceDE w:val="0"/>
        <w:autoSpaceDN w:val="0"/>
        <w:adjustRightInd w:val="0"/>
        <w:ind w:left="450"/>
        <w:rPr>
          <w:rFonts w:ascii="Arial" w:hAnsi="Arial" w:cs="Arial"/>
          <w:sz w:val="18"/>
          <w:szCs w:val="18"/>
        </w:rPr>
      </w:pPr>
    </w:p>
    <w:p w:rsidR="00107286" w:rsidRDefault="00107286" w:rsidP="00107286">
      <w:pPr>
        <w:tabs>
          <w:tab w:val="left" w:pos="360"/>
          <w:tab w:val="left" w:pos="9720"/>
        </w:tabs>
        <w:rPr>
          <w:rFonts w:ascii="Arial" w:hAnsi="Arial" w:cs="Arial"/>
          <w:b/>
          <w:sz w:val="24"/>
          <w:szCs w:val="24"/>
          <w:u w:val="single"/>
        </w:rPr>
      </w:pPr>
      <w:r>
        <w:rPr>
          <w:rFonts w:ascii="Arial" w:hAnsi="Arial" w:cs="Arial"/>
          <w:b/>
          <w:sz w:val="24"/>
          <w:szCs w:val="24"/>
          <w:u w:val="single"/>
        </w:rPr>
        <w:t>6</w:t>
      </w:r>
      <w:r w:rsidRPr="0008323F">
        <w:rPr>
          <w:rFonts w:ascii="Arial" w:hAnsi="Arial" w:cs="Arial"/>
          <w:b/>
          <w:sz w:val="24"/>
          <w:szCs w:val="24"/>
          <w:u w:val="single"/>
        </w:rPr>
        <w:t xml:space="preserve"> – </w:t>
      </w:r>
      <w:r w:rsidRPr="0014729C">
        <w:rPr>
          <w:rFonts w:ascii="Arial" w:hAnsi="Arial" w:cs="Arial"/>
          <w:b/>
          <w:sz w:val="24"/>
          <w:szCs w:val="24"/>
          <w:u w:val="single"/>
        </w:rPr>
        <w:t xml:space="preserve">Over/(Under) </w:t>
      </w:r>
      <w:r w:rsidR="007B4D8F">
        <w:rPr>
          <w:rFonts w:ascii="Arial" w:hAnsi="Arial" w:cs="Arial"/>
          <w:b/>
          <w:sz w:val="24"/>
          <w:szCs w:val="24"/>
          <w:u w:val="single"/>
        </w:rPr>
        <w:t>Recovery</w:t>
      </w:r>
    </w:p>
    <w:p w:rsidR="00107286" w:rsidRPr="00F0063C" w:rsidRDefault="00107286" w:rsidP="00107286">
      <w:pPr>
        <w:autoSpaceDE w:val="0"/>
        <w:autoSpaceDN w:val="0"/>
        <w:adjustRightInd w:val="0"/>
        <w:ind w:left="450"/>
        <w:rPr>
          <w:rFonts w:ascii="Arial" w:hAnsi="Arial" w:cs="Arial"/>
          <w:sz w:val="18"/>
          <w:szCs w:val="18"/>
        </w:rPr>
      </w:pPr>
    </w:p>
    <w:p w:rsidR="00107286" w:rsidRDefault="00107286" w:rsidP="00107286">
      <w:pPr>
        <w:tabs>
          <w:tab w:val="left" w:pos="360"/>
        </w:tabs>
        <w:ind w:left="450"/>
        <w:rPr>
          <w:rFonts w:ascii="Arial" w:hAnsi="Arial" w:cs="Arial"/>
          <w:sz w:val="24"/>
          <w:szCs w:val="24"/>
        </w:rPr>
      </w:pPr>
      <w:r w:rsidRPr="00F1241D">
        <w:rPr>
          <w:rFonts w:ascii="Arial" w:hAnsi="Arial" w:cs="Arial"/>
          <w:sz w:val="24"/>
          <w:szCs w:val="24"/>
        </w:rPr>
        <w:t xml:space="preserve">The Over/(Under) Collections are the differences between the </w:t>
      </w:r>
      <w:r>
        <w:rPr>
          <w:rFonts w:ascii="Arial" w:hAnsi="Arial" w:cs="Arial"/>
          <w:sz w:val="24"/>
          <w:szCs w:val="24"/>
        </w:rPr>
        <w:t>OPEB</w:t>
      </w:r>
      <w:r w:rsidRPr="00F1241D">
        <w:rPr>
          <w:rFonts w:ascii="Arial" w:hAnsi="Arial" w:cs="Arial"/>
          <w:sz w:val="24"/>
          <w:szCs w:val="24"/>
        </w:rPr>
        <w:t xml:space="preserve"> Revenues and the </w:t>
      </w:r>
      <w:r>
        <w:rPr>
          <w:rFonts w:ascii="Arial" w:hAnsi="Arial" w:cs="Arial"/>
          <w:sz w:val="24"/>
          <w:szCs w:val="24"/>
        </w:rPr>
        <w:t>Permitted Recovery</w:t>
      </w:r>
      <w:r w:rsidRPr="00F1241D">
        <w:rPr>
          <w:rFonts w:ascii="Arial" w:hAnsi="Arial" w:cs="Arial"/>
          <w:sz w:val="24"/>
          <w:szCs w:val="24"/>
        </w:rPr>
        <w:t xml:space="preserve">.  The resulting amounts represent the portion of </w:t>
      </w:r>
      <w:r>
        <w:rPr>
          <w:rFonts w:ascii="Arial" w:hAnsi="Arial" w:cs="Arial"/>
          <w:sz w:val="24"/>
          <w:szCs w:val="24"/>
        </w:rPr>
        <w:t>OPEB</w:t>
      </w:r>
      <w:r w:rsidRPr="00F1241D">
        <w:rPr>
          <w:rFonts w:ascii="Arial" w:hAnsi="Arial" w:cs="Arial"/>
          <w:sz w:val="24"/>
          <w:szCs w:val="24"/>
        </w:rPr>
        <w:t xml:space="preserve"> Revenues refundable to or </w:t>
      </w:r>
      <w:r>
        <w:rPr>
          <w:rFonts w:ascii="Arial" w:hAnsi="Arial" w:cs="Arial"/>
          <w:sz w:val="24"/>
          <w:szCs w:val="24"/>
        </w:rPr>
        <w:t>Permitted Recovery</w:t>
      </w:r>
      <w:r w:rsidRPr="00F1241D">
        <w:rPr>
          <w:rFonts w:ascii="Arial" w:hAnsi="Arial" w:cs="Arial"/>
          <w:sz w:val="24"/>
          <w:szCs w:val="24"/>
        </w:rPr>
        <w:t xml:space="preserve"> from customers through subsequent </w:t>
      </w:r>
      <w:r>
        <w:rPr>
          <w:rFonts w:ascii="Arial" w:hAnsi="Arial" w:cs="Arial"/>
          <w:sz w:val="24"/>
          <w:szCs w:val="24"/>
        </w:rPr>
        <w:t>OPEB</w:t>
      </w:r>
      <w:r w:rsidRPr="00F1241D">
        <w:rPr>
          <w:rFonts w:ascii="Arial" w:hAnsi="Arial" w:cs="Arial"/>
          <w:sz w:val="24"/>
          <w:szCs w:val="24"/>
        </w:rPr>
        <w:t xml:space="preserve"> filings.  Interest is not applicable to over or under </w:t>
      </w:r>
      <w:r w:rsidRPr="00113367">
        <w:rPr>
          <w:rFonts w:ascii="Arial" w:hAnsi="Arial" w:cs="Arial"/>
          <w:sz w:val="24"/>
          <w:szCs w:val="24"/>
        </w:rPr>
        <w:t>billed</w:t>
      </w:r>
      <w:r w:rsidRPr="00F0063C">
        <w:rPr>
          <w:rFonts w:ascii="Arial" w:hAnsi="Arial" w:cs="Arial"/>
          <w:sz w:val="24"/>
          <w:szCs w:val="24"/>
        </w:rPr>
        <w:t xml:space="preserve"> </w:t>
      </w:r>
      <w:r w:rsidRPr="00F1241D">
        <w:rPr>
          <w:rFonts w:ascii="Arial" w:hAnsi="Arial" w:cs="Arial"/>
          <w:sz w:val="24"/>
          <w:szCs w:val="24"/>
        </w:rPr>
        <w:t xml:space="preserve">collections.  Differences arise </w:t>
      </w:r>
      <w:r>
        <w:rPr>
          <w:rFonts w:ascii="Arial" w:hAnsi="Arial" w:cs="Arial"/>
          <w:sz w:val="24"/>
          <w:szCs w:val="24"/>
        </w:rPr>
        <w:t>due to v</w:t>
      </w:r>
      <w:r w:rsidRPr="00F476E3">
        <w:rPr>
          <w:rFonts w:ascii="Arial" w:hAnsi="Arial" w:cs="Arial"/>
          <w:sz w:val="24"/>
          <w:szCs w:val="24"/>
        </w:rPr>
        <w:t xml:space="preserve">ariations between the actual </w:t>
      </w:r>
      <w:r>
        <w:rPr>
          <w:rFonts w:ascii="Arial" w:hAnsi="Arial" w:cs="Arial"/>
          <w:sz w:val="24"/>
          <w:szCs w:val="24"/>
        </w:rPr>
        <w:t xml:space="preserve">sales </w:t>
      </w:r>
      <w:r w:rsidRPr="00113367">
        <w:rPr>
          <w:rFonts w:ascii="Arial" w:hAnsi="Arial" w:cs="Arial"/>
          <w:sz w:val="24"/>
          <w:szCs w:val="24"/>
        </w:rPr>
        <w:t xml:space="preserve">volumes to customers and the estimates used to determine the </w:t>
      </w:r>
      <w:r>
        <w:rPr>
          <w:rFonts w:ascii="Arial" w:hAnsi="Arial" w:cs="Arial"/>
          <w:sz w:val="24"/>
          <w:szCs w:val="24"/>
        </w:rPr>
        <w:t>OPEB</w:t>
      </w:r>
      <w:r w:rsidRPr="00113367">
        <w:rPr>
          <w:rFonts w:ascii="Arial" w:hAnsi="Arial" w:cs="Arial"/>
          <w:sz w:val="24"/>
          <w:szCs w:val="24"/>
        </w:rPr>
        <w:t xml:space="preserve"> rate.</w:t>
      </w:r>
    </w:p>
    <w:p w:rsidR="0062641A" w:rsidRDefault="0062641A" w:rsidP="00113367">
      <w:pPr>
        <w:tabs>
          <w:tab w:val="left" w:pos="360"/>
          <w:tab w:val="left" w:pos="9720"/>
        </w:tabs>
        <w:rPr>
          <w:rFonts w:ascii="Arial" w:hAnsi="Arial" w:cs="Arial"/>
          <w:sz w:val="24"/>
          <w:szCs w:val="24"/>
        </w:rPr>
        <w:sectPr w:rsidR="0062641A" w:rsidSect="00833A48">
          <w:headerReference w:type="even" r:id="rId20"/>
          <w:headerReference w:type="default" r:id="rId21"/>
          <w:footerReference w:type="default" r:id="rId22"/>
          <w:headerReference w:type="first" r:id="rId23"/>
          <w:footerReference w:type="first" r:id="rId24"/>
          <w:pgSz w:w="12240" w:h="15840" w:code="1"/>
          <w:pgMar w:top="1440" w:right="1440" w:bottom="1152" w:left="1440" w:header="0" w:footer="720" w:gutter="0"/>
          <w:pgNumType w:fmt="numberInDash" w:start="2"/>
          <w:cols w:space="720"/>
          <w:noEndnote/>
          <w:titlePg/>
          <w:docGrid w:linePitch="272"/>
        </w:sectPr>
      </w:pPr>
    </w:p>
    <w:p w:rsidR="002560FA" w:rsidRDefault="002560FA" w:rsidP="00E403AC">
      <w:pPr>
        <w:jc w:val="center"/>
        <w:outlineLvl w:val="0"/>
        <w:rPr>
          <w:rFonts w:ascii="Arial" w:hAnsi="Arial" w:cs="Arial"/>
          <w:b/>
          <w:sz w:val="36"/>
          <w:szCs w:val="36"/>
        </w:rPr>
      </w:pPr>
      <w:r>
        <w:rPr>
          <w:rFonts w:ascii="Arial" w:hAnsi="Arial" w:cs="Arial"/>
          <w:b/>
          <w:sz w:val="36"/>
          <w:szCs w:val="36"/>
        </w:rPr>
        <w:lastRenderedPageBreak/>
        <w:t>BACKGROUND</w:t>
      </w:r>
    </w:p>
    <w:p w:rsidR="00B43902" w:rsidRDefault="00B43902" w:rsidP="00E403AC">
      <w:pPr>
        <w:jc w:val="center"/>
        <w:outlineLvl w:val="0"/>
        <w:rPr>
          <w:rFonts w:ascii="Arial" w:hAnsi="Arial" w:cs="Arial"/>
          <w:b/>
          <w:sz w:val="36"/>
          <w:szCs w:val="36"/>
        </w:rPr>
      </w:pPr>
    </w:p>
    <w:p w:rsidR="002560FA" w:rsidRDefault="002560FA">
      <w:pPr>
        <w:jc w:val="center"/>
        <w:outlineLvl w:val="0"/>
        <w:rPr>
          <w:rFonts w:ascii="Arial" w:hAnsi="Arial" w:cs="Arial"/>
          <w:b/>
          <w:sz w:val="36"/>
          <w:szCs w:val="36"/>
        </w:rPr>
      </w:pPr>
      <w:r>
        <w:rPr>
          <w:rFonts w:ascii="Arial" w:hAnsi="Arial" w:cs="Arial"/>
          <w:b/>
          <w:sz w:val="36"/>
          <w:szCs w:val="36"/>
        </w:rPr>
        <w:t>AND</w:t>
      </w:r>
    </w:p>
    <w:p w:rsidR="00B43902" w:rsidRDefault="00B43902">
      <w:pPr>
        <w:jc w:val="center"/>
        <w:outlineLvl w:val="0"/>
        <w:rPr>
          <w:rFonts w:ascii="Arial" w:hAnsi="Arial" w:cs="Arial"/>
          <w:b/>
          <w:sz w:val="36"/>
          <w:szCs w:val="36"/>
        </w:rPr>
      </w:pPr>
    </w:p>
    <w:p w:rsidR="00EC58EA" w:rsidRPr="002774E4" w:rsidRDefault="00EC58EA">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62641A">
          <w:headerReference w:type="even" r:id="rId25"/>
          <w:headerReference w:type="default" r:id="rId26"/>
          <w:headerReference w:type="first" r:id="rId27"/>
          <w:footerReference w:type="first" r:id="rId28"/>
          <w:pgSz w:w="12240" w:h="15840" w:code="1"/>
          <w:pgMar w:top="1440" w:right="1440" w:bottom="1152" w:left="1440" w:header="0" w:footer="720" w:gutter="0"/>
          <w:pgNumType w:fmt="numberInDash" w:start="1"/>
          <w:cols w:space="720"/>
          <w:vAlign w:val="center"/>
          <w:noEndnote/>
          <w:titlePg/>
          <w:docGrid w:linePitch="272"/>
        </w:sectPr>
      </w:pPr>
    </w:p>
    <w:p w:rsidR="00EC58EA" w:rsidRPr="000741F7" w:rsidRDefault="00EC58EA">
      <w:pPr>
        <w:pStyle w:val="Heading4"/>
        <w:rPr>
          <w:rFonts w:ascii="Arial" w:hAnsi="Arial" w:cs="Arial"/>
          <w:b/>
          <w:sz w:val="26"/>
          <w:szCs w:val="26"/>
          <w:u w:val="none"/>
        </w:rPr>
      </w:pPr>
      <w:r w:rsidRPr="000741F7">
        <w:rPr>
          <w:rFonts w:ascii="Arial" w:hAnsi="Arial" w:cs="Arial"/>
          <w:b/>
          <w:sz w:val="26"/>
          <w:szCs w:val="26"/>
          <w:u w:val="none"/>
        </w:rPr>
        <w:lastRenderedPageBreak/>
        <w:t>PHILADELPHIA GAS WORKS</w:t>
      </w:r>
    </w:p>
    <w:p w:rsidR="00EC58EA" w:rsidRPr="000741F7" w:rsidRDefault="00EC58EA">
      <w:pPr>
        <w:rPr>
          <w:rFonts w:ascii="Arial" w:hAnsi="Arial" w:cs="Arial"/>
          <w:sz w:val="26"/>
          <w:szCs w:val="26"/>
        </w:rPr>
      </w:pPr>
    </w:p>
    <w:p w:rsidR="00EC58EA" w:rsidRPr="000741F7" w:rsidRDefault="00EC58EA">
      <w:pPr>
        <w:pStyle w:val="Heading4"/>
        <w:rPr>
          <w:rFonts w:ascii="Arial" w:hAnsi="Arial" w:cs="Arial"/>
          <w:b/>
          <w:sz w:val="26"/>
          <w:szCs w:val="26"/>
          <w:u w:val="none"/>
        </w:rPr>
      </w:pPr>
      <w:r w:rsidRPr="003E21B0">
        <w:rPr>
          <w:rFonts w:ascii="Arial" w:hAnsi="Arial" w:cs="Arial"/>
          <w:b/>
          <w:sz w:val="26"/>
          <w:szCs w:val="26"/>
          <w:u w:val="none"/>
        </w:rPr>
        <w:t>Background</w:t>
      </w:r>
    </w:p>
    <w:p w:rsidR="00EC58EA" w:rsidRPr="008D0BD6" w:rsidRDefault="00EC58EA">
      <w:pPr>
        <w:tabs>
          <w:tab w:val="left" w:pos="-1440"/>
          <w:tab w:val="left" w:pos="-720"/>
          <w:tab w:val="left" w:pos="864"/>
        </w:tabs>
        <w:suppressAutoHyphens/>
        <w:rPr>
          <w:rFonts w:ascii="Arial" w:hAnsi="Arial" w:cs="Arial"/>
          <w:sz w:val="24"/>
          <w:szCs w:val="24"/>
        </w:rPr>
      </w:pPr>
    </w:p>
    <w:p w:rsidR="00EC58EA" w:rsidRPr="008D0BD6" w:rsidRDefault="00EC58EA">
      <w:pPr>
        <w:tabs>
          <w:tab w:val="left" w:pos="-1440"/>
          <w:tab w:val="left" w:pos="-720"/>
          <w:tab w:val="left" w:pos="864"/>
        </w:tabs>
        <w:suppressAutoHyphens/>
        <w:rPr>
          <w:rFonts w:ascii="Arial" w:hAnsi="Arial" w:cs="Arial"/>
          <w:sz w:val="24"/>
          <w:szCs w:val="24"/>
        </w:rPr>
      </w:pPr>
    </w:p>
    <w:p w:rsidR="00631AA4" w:rsidRPr="00334404" w:rsidRDefault="00EC58EA" w:rsidP="00631AA4">
      <w:pPr>
        <w:tabs>
          <w:tab w:val="left" w:pos="-1440"/>
          <w:tab w:val="left" w:pos="-720"/>
          <w:tab w:val="left" w:pos="720"/>
        </w:tabs>
        <w:suppressAutoHyphens/>
        <w:rPr>
          <w:rFonts w:ascii="Arial" w:hAnsi="Arial" w:cs="Arial"/>
          <w:sz w:val="24"/>
          <w:szCs w:val="24"/>
        </w:rPr>
      </w:pPr>
      <w:r w:rsidRPr="008D0BD6">
        <w:rPr>
          <w:rFonts w:ascii="Arial" w:hAnsi="Arial" w:cs="Arial"/>
          <w:sz w:val="24"/>
          <w:szCs w:val="24"/>
        </w:rPr>
        <w:tab/>
      </w:r>
      <w:r w:rsidR="00631AA4" w:rsidRPr="00334404">
        <w:rPr>
          <w:rFonts w:ascii="Arial" w:hAnsi="Arial" w:cs="Arial"/>
          <w:sz w:val="24"/>
          <w:szCs w:val="24"/>
        </w:rPr>
        <w:t xml:space="preserve">This background section was developed substantially from </w:t>
      </w:r>
      <w:r w:rsidR="00631AA4">
        <w:rPr>
          <w:rFonts w:ascii="Arial" w:hAnsi="Arial" w:cs="Arial"/>
          <w:sz w:val="24"/>
          <w:szCs w:val="24"/>
        </w:rPr>
        <w:t xml:space="preserve">unaudited </w:t>
      </w:r>
      <w:r w:rsidR="00631AA4" w:rsidRPr="00334404">
        <w:rPr>
          <w:rFonts w:ascii="Arial" w:hAnsi="Arial" w:cs="Arial"/>
          <w:sz w:val="24"/>
          <w:szCs w:val="24"/>
        </w:rPr>
        <w:t>data and documentation made available by PGW and is presented solely for informational purposes.</w:t>
      </w:r>
    </w:p>
    <w:p w:rsidR="00631AA4" w:rsidRPr="00334404" w:rsidRDefault="00631AA4" w:rsidP="00631AA4">
      <w:pPr>
        <w:tabs>
          <w:tab w:val="left" w:pos="-1440"/>
          <w:tab w:val="left" w:pos="-720"/>
          <w:tab w:val="left" w:pos="864"/>
        </w:tabs>
        <w:suppressAutoHyphens/>
        <w:rPr>
          <w:rFonts w:ascii="Arial" w:hAnsi="Arial" w:cs="Arial"/>
          <w:sz w:val="24"/>
          <w:szCs w:val="24"/>
        </w:rPr>
      </w:pPr>
    </w:p>
    <w:p w:rsidR="00B24E9D" w:rsidRDefault="00631AA4" w:rsidP="00B24E9D">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r>
      <w:r w:rsidR="00B24E9D" w:rsidRPr="00334404">
        <w:rPr>
          <w:rFonts w:ascii="Arial" w:hAnsi="Arial" w:cs="Arial"/>
          <w:sz w:val="24"/>
          <w:szCs w:val="24"/>
        </w:rPr>
        <w:t>PGW is owned by the City of Philadelphia (City) and is the largest municipally</w:t>
      </w:r>
      <w:r w:rsidR="00B24E9D">
        <w:rPr>
          <w:rFonts w:ascii="Arial" w:hAnsi="Arial" w:cs="Arial"/>
          <w:sz w:val="24"/>
          <w:szCs w:val="24"/>
        </w:rPr>
        <w:noBreakHyphen/>
      </w:r>
      <w:r w:rsidR="00B24E9D" w:rsidRPr="00334404">
        <w:rPr>
          <w:rFonts w:ascii="Arial" w:hAnsi="Arial" w:cs="Arial"/>
          <w:sz w:val="24"/>
          <w:szCs w:val="24"/>
        </w:rPr>
        <w:t xml:space="preserve">owned gas utility in the nation. </w:t>
      </w:r>
      <w:r w:rsidR="00B24E9D">
        <w:rPr>
          <w:rFonts w:ascii="Arial" w:hAnsi="Arial" w:cs="Arial"/>
          <w:sz w:val="24"/>
          <w:szCs w:val="24"/>
        </w:rPr>
        <w:t xml:space="preserve"> The City has provided for the management and oversight of PGW’s operations through a non-profit corporation, the Philadelphia Facilities Management Corporation (PFMC).  According to PGW’s annual reports filed with the PUC, for the years 2014 and 2013 PGW’s total sales revenues from residential, commercial, industrial, and public authorities were $689,592,982</w:t>
      </w:r>
      <w:r w:rsidR="00B24E9D" w:rsidRPr="00716D2E">
        <w:rPr>
          <w:rFonts w:ascii="Arial" w:hAnsi="Arial" w:cs="Arial"/>
          <w:sz w:val="24"/>
          <w:szCs w:val="24"/>
        </w:rPr>
        <w:t xml:space="preserve"> and $</w:t>
      </w:r>
      <w:r w:rsidR="00B24E9D">
        <w:rPr>
          <w:rFonts w:ascii="Arial" w:hAnsi="Arial" w:cs="Arial"/>
          <w:sz w:val="24"/>
          <w:szCs w:val="24"/>
        </w:rPr>
        <w:t>648,230,582 respectively.</w:t>
      </w:r>
      <w:r w:rsidR="00B24E9D" w:rsidRPr="00334404">
        <w:rPr>
          <w:rFonts w:ascii="Arial" w:hAnsi="Arial" w:cs="Arial"/>
          <w:sz w:val="24"/>
          <w:szCs w:val="24"/>
        </w:rPr>
        <w:t xml:space="preserve"> </w:t>
      </w:r>
    </w:p>
    <w:p w:rsidR="00B24E9D" w:rsidRDefault="00B24E9D" w:rsidP="00B24E9D">
      <w:pPr>
        <w:tabs>
          <w:tab w:val="left" w:pos="-1440"/>
          <w:tab w:val="left" w:pos="-720"/>
          <w:tab w:val="left" w:pos="720"/>
        </w:tabs>
        <w:suppressAutoHyphens/>
        <w:rPr>
          <w:rFonts w:ascii="Arial" w:hAnsi="Arial" w:cs="Arial"/>
          <w:sz w:val="24"/>
          <w:szCs w:val="24"/>
        </w:rPr>
      </w:pPr>
    </w:p>
    <w:p w:rsidR="00B24E9D" w:rsidRPr="00334404" w:rsidRDefault="00B24E9D" w:rsidP="00B24E9D">
      <w:pPr>
        <w:autoSpaceDE w:val="0"/>
        <w:autoSpaceDN w:val="0"/>
        <w:adjustRightInd w:val="0"/>
        <w:ind w:firstLine="720"/>
        <w:rPr>
          <w:rFonts w:ascii="Arial" w:hAnsi="Arial" w:cs="Arial"/>
          <w:sz w:val="24"/>
          <w:szCs w:val="24"/>
        </w:rPr>
      </w:pPr>
      <w:r w:rsidRPr="00334404">
        <w:rPr>
          <w:rFonts w:ascii="Arial" w:hAnsi="Arial" w:cs="Arial"/>
          <w:sz w:val="24"/>
          <w:szCs w:val="24"/>
        </w:rPr>
        <w:t xml:space="preserve">PGW maintains a distribution system of </w:t>
      </w:r>
      <w:r>
        <w:rPr>
          <w:rFonts w:ascii="Arial" w:hAnsi="Arial" w:cs="Arial"/>
          <w:sz w:val="24"/>
          <w:szCs w:val="24"/>
        </w:rPr>
        <w:t>approximately 3,000 miles of gas mains</w:t>
      </w:r>
      <w:r w:rsidRPr="00334404">
        <w:rPr>
          <w:rFonts w:ascii="Arial" w:hAnsi="Arial" w:cs="Arial"/>
          <w:sz w:val="24"/>
          <w:szCs w:val="24"/>
        </w:rPr>
        <w:t xml:space="preserve">, and provides gas service to approximately half a million residential, commercial and industrial customers in the City.  </w:t>
      </w:r>
      <w:r w:rsidRPr="00507D9D">
        <w:rPr>
          <w:rFonts w:ascii="Arial" w:hAnsi="Arial" w:cs="Arial"/>
          <w:sz w:val="24"/>
          <w:szCs w:val="24"/>
        </w:rPr>
        <w:t xml:space="preserve">PGW </w:t>
      </w:r>
      <w:r>
        <w:rPr>
          <w:rFonts w:ascii="Arial" w:hAnsi="Arial" w:cs="Arial"/>
          <w:sz w:val="24"/>
          <w:szCs w:val="24"/>
        </w:rPr>
        <w:t xml:space="preserve">also </w:t>
      </w:r>
      <w:r w:rsidRPr="00507D9D">
        <w:rPr>
          <w:rFonts w:ascii="Arial" w:hAnsi="Arial" w:cs="Arial"/>
          <w:sz w:val="24"/>
          <w:szCs w:val="24"/>
        </w:rPr>
        <w:t>owns and operates facilities for the liquefaction, storage, and</w:t>
      </w:r>
      <w:r>
        <w:rPr>
          <w:rFonts w:ascii="Arial" w:hAnsi="Arial" w:cs="Arial"/>
          <w:sz w:val="24"/>
          <w:szCs w:val="24"/>
        </w:rPr>
        <w:t xml:space="preserve"> v</w:t>
      </w:r>
      <w:r w:rsidRPr="00507D9D">
        <w:rPr>
          <w:rFonts w:ascii="Arial" w:hAnsi="Arial" w:cs="Arial"/>
          <w:sz w:val="24"/>
          <w:szCs w:val="24"/>
        </w:rPr>
        <w:t>aporization of natural gas to supplement the gas supply it takes directly from interstate pipeline and</w:t>
      </w:r>
      <w:r>
        <w:rPr>
          <w:rFonts w:ascii="Arial" w:hAnsi="Arial" w:cs="Arial"/>
          <w:sz w:val="24"/>
          <w:szCs w:val="24"/>
        </w:rPr>
        <w:t xml:space="preserve"> </w:t>
      </w:r>
      <w:r w:rsidRPr="00507D9D">
        <w:rPr>
          <w:rFonts w:ascii="Arial" w:hAnsi="Arial" w:cs="Arial"/>
          <w:sz w:val="24"/>
          <w:szCs w:val="24"/>
        </w:rPr>
        <w:t xml:space="preserve">storage companies. </w:t>
      </w:r>
      <w:r>
        <w:rPr>
          <w:rFonts w:ascii="Arial" w:hAnsi="Arial" w:cs="Arial"/>
          <w:sz w:val="24"/>
          <w:szCs w:val="24"/>
        </w:rPr>
        <w:t xml:space="preserve"> </w:t>
      </w:r>
      <w:r w:rsidRPr="00507D9D">
        <w:rPr>
          <w:rFonts w:ascii="Arial" w:hAnsi="Arial" w:cs="Arial"/>
          <w:sz w:val="24"/>
          <w:szCs w:val="24"/>
        </w:rPr>
        <w:t>PGW has a diverse customer base that includes firm service, interruptible service, and</w:t>
      </w:r>
      <w:r>
        <w:rPr>
          <w:rFonts w:ascii="Arial" w:hAnsi="Arial" w:cs="Arial"/>
          <w:sz w:val="24"/>
          <w:szCs w:val="24"/>
        </w:rPr>
        <w:t xml:space="preserve"> </w:t>
      </w:r>
      <w:r w:rsidRPr="00507D9D">
        <w:rPr>
          <w:rFonts w:ascii="Arial" w:hAnsi="Arial" w:cs="Arial"/>
          <w:sz w:val="24"/>
          <w:szCs w:val="24"/>
        </w:rPr>
        <w:t xml:space="preserve">transportation service customers. </w:t>
      </w:r>
      <w:r>
        <w:rPr>
          <w:rFonts w:ascii="Arial" w:hAnsi="Arial" w:cs="Arial"/>
          <w:sz w:val="24"/>
          <w:szCs w:val="24"/>
        </w:rPr>
        <w:t xml:space="preserve"> </w:t>
      </w:r>
      <w:r w:rsidRPr="00507D9D">
        <w:rPr>
          <w:rFonts w:ascii="Arial" w:hAnsi="Arial" w:cs="Arial"/>
          <w:sz w:val="24"/>
          <w:szCs w:val="24"/>
        </w:rPr>
        <w:t>PGW’s revenue base is comprised primarily of firm service residential</w:t>
      </w:r>
      <w:r>
        <w:rPr>
          <w:rFonts w:ascii="Arial" w:hAnsi="Arial" w:cs="Arial"/>
          <w:sz w:val="24"/>
          <w:szCs w:val="24"/>
        </w:rPr>
        <w:t xml:space="preserve"> </w:t>
      </w:r>
      <w:r w:rsidRPr="00507D9D">
        <w:rPr>
          <w:rFonts w:ascii="Arial" w:hAnsi="Arial" w:cs="Arial"/>
          <w:sz w:val="24"/>
          <w:szCs w:val="24"/>
        </w:rPr>
        <w:t>customers</w:t>
      </w:r>
      <w:r>
        <w:rPr>
          <w:rFonts w:ascii="Arial" w:hAnsi="Arial" w:cs="Arial"/>
          <w:sz w:val="24"/>
          <w:szCs w:val="24"/>
        </w:rPr>
        <w:t>.</w:t>
      </w:r>
    </w:p>
    <w:p w:rsidR="00B24E9D" w:rsidRPr="00334404" w:rsidRDefault="00B24E9D" w:rsidP="00B24E9D">
      <w:pPr>
        <w:tabs>
          <w:tab w:val="left" w:pos="-1440"/>
          <w:tab w:val="left" w:pos="-720"/>
          <w:tab w:val="left" w:pos="864"/>
        </w:tabs>
        <w:suppressAutoHyphens/>
        <w:rPr>
          <w:rFonts w:ascii="Arial" w:hAnsi="Arial" w:cs="Arial"/>
          <w:sz w:val="24"/>
          <w:szCs w:val="24"/>
        </w:rPr>
      </w:pPr>
    </w:p>
    <w:p w:rsidR="00B24E9D" w:rsidRDefault="00B24E9D" w:rsidP="00B24E9D">
      <w:pPr>
        <w:tabs>
          <w:tab w:val="left" w:pos="-1440"/>
          <w:tab w:val="left" w:pos="-720"/>
          <w:tab w:val="left" w:pos="720"/>
          <w:tab w:val="left" w:pos="864"/>
        </w:tabs>
        <w:suppressAutoHyphens/>
        <w:rPr>
          <w:rFonts w:ascii="Arial" w:hAnsi="Arial" w:cs="Arial"/>
          <w:sz w:val="24"/>
          <w:szCs w:val="24"/>
        </w:rPr>
      </w:pPr>
      <w:r w:rsidRPr="00334404">
        <w:rPr>
          <w:rFonts w:ascii="Arial" w:hAnsi="Arial" w:cs="Arial"/>
          <w:sz w:val="24"/>
          <w:szCs w:val="24"/>
        </w:rPr>
        <w:tab/>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PUC.</w:t>
      </w:r>
      <w:r>
        <w:rPr>
          <w:rFonts w:ascii="Arial" w:hAnsi="Arial" w:cs="Arial"/>
          <w:sz w:val="24"/>
          <w:szCs w:val="24"/>
        </w:rPr>
        <w:t xml:space="preserve">  </w:t>
      </w:r>
      <w:r w:rsidRPr="00334404">
        <w:rPr>
          <w:rFonts w:ascii="Arial" w:hAnsi="Arial" w:cs="Arial"/>
          <w:sz w:val="24"/>
          <w:szCs w:val="24"/>
        </w:rPr>
        <w:t xml:space="preserve">Under the Act, notwithstanding any other provision of the Public Utility Code to the contrary, the </w:t>
      </w:r>
      <w:r>
        <w:rPr>
          <w:rFonts w:ascii="Arial" w:hAnsi="Arial" w:cs="Arial"/>
          <w:sz w:val="24"/>
          <w:szCs w:val="24"/>
        </w:rPr>
        <w:t>PUC</w:t>
      </w:r>
      <w:r w:rsidRPr="00334404">
        <w:rPr>
          <w:rFonts w:ascii="Arial" w:hAnsi="Arial" w:cs="Arial"/>
          <w:sz w:val="24"/>
          <w:szCs w:val="24"/>
        </w:rPr>
        <w:t xml:space="preserve"> is required to follow the same ratemaking methodology and requirements previously applicable to PGW in determining the Company’s operational revenue requirement and in approving overall rates and charges.</w:t>
      </w:r>
      <w:r>
        <w:rPr>
          <w:rFonts w:ascii="Arial" w:hAnsi="Arial" w:cs="Arial"/>
          <w:sz w:val="24"/>
          <w:szCs w:val="24"/>
        </w:rPr>
        <w:t xml:space="preserve">  </w:t>
      </w:r>
    </w:p>
    <w:p w:rsidR="00221DCC" w:rsidRDefault="00221DCC" w:rsidP="00B24E9D">
      <w:pPr>
        <w:tabs>
          <w:tab w:val="left" w:pos="-1440"/>
          <w:tab w:val="left" w:pos="-720"/>
          <w:tab w:val="left" w:pos="720"/>
        </w:tabs>
        <w:suppressAutoHyphens/>
        <w:rPr>
          <w:rFonts w:ascii="Arial" w:hAnsi="Arial" w:cs="Arial"/>
          <w:sz w:val="24"/>
          <w:szCs w:val="24"/>
        </w:rPr>
      </w:pPr>
      <w:r>
        <w:rPr>
          <w:rFonts w:ascii="Arial" w:hAnsi="Arial" w:cs="Arial"/>
          <w:sz w:val="24"/>
          <w:szCs w:val="24"/>
        </w:rPr>
        <w:t xml:space="preserve"> </w:t>
      </w:r>
    </w:p>
    <w:p w:rsidR="004A0AA6" w:rsidRDefault="00A902C4" w:rsidP="004A0AA6">
      <w:pPr>
        <w:autoSpaceDE w:val="0"/>
        <w:autoSpaceDN w:val="0"/>
        <w:adjustRightInd w:val="0"/>
        <w:ind w:firstLine="720"/>
        <w:rPr>
          <w:rFonts w:ascii="Arial" w:hAnsi="Arial" w:cs="Arial"/>
          <w:sz w:val="24"/>
          <w:szCs w:val="24"/>
        </w:rPr>
      </w:pPr>
      <w:r w:rsidRPr="00353011">
        <w:rPr>
          <w:rFonts w:ascii="Arial" w:hAnsi="Arial" w:cs="Arial"/>
          <w:sz w:val="24"/>
          <w:szCs w:val="24"/>
        </w:rPr>
        <w:tab/>
      </w:r>
      <w:r w:rsidR="00353011">
        <w:rPr>
          <w:rFonts w:ascii="Arial" w:hAnsi="Arial" w:cs="Arial"/>
          <w:sz w:val="24"/>
          <w:szCs w:val="24"/>
        </w:rPr>
        <w:tab/>
      </w:r>
      <w:r w:rsidR="004A0AA6">
        <w:rPr>
          <w:rFonts w:ascii="Arial" w:hAnsi="Arial" w:cs="Arial"/>
          <w:sz w:val="24"/>
          <w:szCs w:val="24"/>
        </w:rPr>
        <w:t>On July 29, 2010, at Docket No. R-2009-2139884, the PUC approved the settlement of the base rate filing filed by PGW in December 2009, under which PGW was permitted to maintain virtually all of the $60 million extraordinary rate increase granted by the PUC in 2008 that was effective as of January 1, 2009.  In addition, PGW was allowed to collect an additional $16 million annually to fund OPEB through an adjustment clause.  PGW is required under the settlement to fund $18.5 annually of its Unfunded Actuarial Accrued Liability (UAAL) in each of the fiscal years 2011 through 2015.</w:t>
      </w:r>
    </w:p>
    <w:p w:rsidR="00FF54D9" w:rsidRDefault="003F2247" w:rsidP="00E81F92">
      <w:pPr>
        <w:autoSpaceDE w:val="0"/>
        <w:autoSpaceDN w:val="0"/>
        <w:adjustRightInd w:val="0"/>
        <w:ind w:firstLine="720"/>
        <w:rPr>
          <w:rFonts w:ascii="Arial" w:hAnsi="Arial" w:cs="Arial"/>
          <w:sz w:val="24"/>
          <w:szCs w:val="24"/>
        </w:rPr>
      </w:pPr>
      <w:r>
        <w:rPr>
          <w:rFonts w:ascii="Arial" w:hAnsi="Arial" w:cs="Arial"/>
          <w:sz w:val="24"/>
          <w:szCs w:val="24"/>
        </w:rPr>
        <w:t xml:space="preserve">  </w:t>
      </w:r>
    </w:p>
    <w:p w:rsidR="001B205A" w:rsidRDefault="001B205A" w:rsidP="00E81F92">
      <w:pPr>
        <w:autoSpaceDE w:val="0"/>
        <w:autoSpaceDN w:val="0"/>
        <w:adjustRightInd w:val="0"/>
        <w:ind w:firstLine="720"/>
        <w:rPr>
          <w:rFonts w:ascii="Arial" w:hAnsi="Arial" w:cs="Arial"/>
          <w:sz w:val="24"/>
          <w:szCs w:val="24"/>
        </w:rPr>
      </w:pPr>
    </w:p>
    <w:p w:rsidR="00E44395" w:rsidRPr="00B03583" w:rsidRDefault="0037003C" w:rsidP="00B03583">
      <w:pPr>
        <w:tabs>
          <w:tab w:val="left" w:pos="-1440"/>
          <w:tab w:val="left" w:pos="-720"/>
          <w:tab w:val="left" w:pos="720"/>
          <w:tab w:val="left" w:pos="864"/>
        </w:tabs>
        <w:suppressAutoHyphens/>
        <w:rPr>
          <w:rFonts w:ascii="Arial" w:hAnsi="Arial" w:cs="Arial"/>
          <w:sz w:val="24"/>
          <w:szCs w:val="24"/>
        </w:rPr>
      </w:pPr>
      <w:r w:rsidRPr="008D0BD6">
        <w:rPr>
          <w:rFonts w:ascii="Arial" w:hAnsi="Arial" w:cs="Arial"/>
          <w:sz w:val="24"/>
          <w:szCs w:val="24"/>
        </w:rPr>
        <w:t xml:space="preserve"> </w:t>
      </w:r>
    </w:p>
    <w:p w:rsidR="004A0AA6" w:rsidRPr="000E33BC" w:rsidRDefault="004A0AA6" w:rsidP="004A0AA6">
      <w:pPr>
        <w:jc w:val="center"/>
        <w:rPr>
          <w:rFonts w:ascii="Arial" w:hAnsi="Arial" w:cs="Arial"/>
          <w:b/>
          <w:sz w:val="26"/>
          <w:szCs w:val="26"/>
        </w:rPr>
      </w:pPr>
      <w:r w:rsidRPr="000E33BC">
        <w:rPr>
          <w:rFonts w:ascii="Arial" w:hAnsi="Arial" w:cs="Arial"/>
          <w:b/>
          <w:sz w:val="26"/>
          <w:szCs w:val="26"/>
        </w:rPr>
        <w:lastRenderedPageBreak/>
        <w:t>PHILADELPHIA GAS WORKS</w:t>
      </w:r>
    </w:p>
    <w:p w:rsidR="004A0AA6" w:rsidRPr="00892191" w:rsidRDefault="004A0AA6" w:rsidP="004A0AA6">
      <w:pPr>
        <w:rPr>
          <w:rFonts w:ascii="Arial" w:hAnsi="Arial" w:cs="Arial"/>
          <w:sz w:val="24"/>
          <w:szCs w:val="24"/>
        </w:rPr>
      </w:pPr>
    </w:p>
    <w:p w:rsidR="004A0AA6" w:rsidRPr="009374D6" w:rsidRDefault="000E7A11" w:rsidP="004A0AA6">
      <w:pPr>
        <w:jc w:val="center"/>
        <w:rPr>
          <w:rFonts w:ascii="Arial" w:hAnsi="Arial" w:cs="Arial"/>
          <w:b/>
          <w:sz w:val="26"/>
          <w:szCs w:val="26"/>
        </w:rPr>
      </w:pPr>
      <w:r>
        <w:rPr>
          <w:rFonts w:ascii="Arial" w:hAnsi="Arial" w:cs="Arial"/>
          <w:b/>
          <w:sz w:val="26"/>
          <w:szCs w:val="26"/>
        </w:rPr>
        <w:t>Disposition O</w:t>
      </w:r>
      <w:bookmarkStart w:id="0" w:name="_GoBack"/>
      <w:bookmarkEnd w:id="0"/>
      <w:r w:rsidR="00892191" w:rsidRPr="009374D6">
        <w:rPr>
          <w:rFonts w:ascii="Arial" w:hAnsi="Arial" w:cs="Arial"/>
          <w:b/>
          <w:sz w:val="26"/>
          <w:szCs w:val="26"/>
        </w:rPr>
        <w:t xml:space="preserve">f </w:t>
      </w:r>
      <w:r w:rsidR="004A0AA6" w:rsidRPr="009374D6">
        <w:rPr>
          <w:rFonts w:ascii="Arial" w:hAnsi="Arial" w:cs="Arial"/>
          <w:b/>
          <w:sz w:val="26"/>
          <w:szCs w:val="26"/>
        </w:rPr>
        <w:t>Prior Period</w:t>
      </w:r>
      <w:r w:rsidR="009374D6">
        <w:rPr>
          <w:rFonts w:ascii="Arial" w:hAnsi="Arial" w:cs="Arial"/>
          <w:b/>
          <w:sz w:val="26"/>
          <w:szCs w:val="26"/>
        </w:rPr>
        <w:t>’s</w:t>
      </w:r>
      <w:r w:rsidR="004A0AA6" w:rsidRPr="009374D6">
        <w:rPr>
          <w:rFonts w:ascii="Arial" w:hAnsi="Arial" w:cs="Arial"/>
          <w:b/>
          <w:sz w:val="26"/>
          <w:szCs w:val="26"/>
        </w:rPr>
        <w:t xml:space="preserve"> Audit Finding</w:t>
      </w:r>
    </w:p>
    <w:p w:rsidR="004A0AA6" w:rsidRDefault="004A0AA6" w:rsidP="004A0AA6">
      <w:pPr>
        <w:jc w:val="center"/>
        <w:rPr>
          <w:rFonts w:ascii="Arial" w:hAnsi="Arial" w:cs="Arial"/>
          <w:b/>
          <w:sz w:val="26"/>
          <w:szCs w:val="26"/>
          <w:u w:val="single"/>
        </w:rPr>
      </w:pPr>
    </w:p>
    <w:p w:rsidR="004A0AA6" w:rsidRDefault="00802DF4" w:rsidP="00802DF4">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sidR="00892191">
        <w:rPr>
          <w:rFonts w:ascii="Arial" w:hAnsi="Arial" w:cs="Arial"/>
          <w:sz w:val="24"/>
          <w:szCs w:val="24"/>
        </w:rPr>
        <w:t>Our previous audit of PG</w:t>
      </w:r>
      <w:r w:rsidR="00527508">
        <w:rPr>
          <w:rFonts w:ascii="Arial" w:hAnsi="Arial" w:cs="Arial"/>
          <w:sz w:val="24"/>
          <w:szCs w:val="24"/>
        </w:rPr>
        <w:t>W</w:t>
      </w:r>
      <w:r w:rsidR="00892191">
        <w:rPr>
          <w:rFonts w:ascii="Arial" w:hAnsi="Arial" w:cs="Arial"/>
          <w:sz w:val="24"/>
          <w:szCs w:val="24"/>
        </w:rPr>
        <w:t xml:space="preserve">’s Other Post Employment Benefit (OPEB) </w:t>
      </w:r>
      <w:r w:rsidR="003C2FBF">
        <w:rPr>
          <w:rFonts w:ascii="Arial" w:hAnsi="Arial" w:cs="Arial"/>
          <w:sz w:val="24"/>
          <w:szCs w:val="24"/>
        </w:rPr>
        <w:t>Surcharge</w:t>
      </w:r>
      <w:r w:rsidR="00892191">
        <w:rPr>
          <w:rFonts w:ascii="Arial" w:hAnsi="Arial" w:cs="Arial"/>
          <w:sz w:val="24"/>
          <w:szCs w:val="24"/>
        </w:rPr>
        <w:t xml:space="preserve"> for the twelve month</w:t>
      </w:r>
      <w:r w:rsidR="00A005A2">
        <w:rPr>
          <w:rFonts w:ascii="Arial" w:hAnsi="Arial" w:cs="Arial"/>
          <w:sz w:val="24"/>
          <w:szCs w:val="24"/>
        </w:rPr>
        <w:t xml:space="preserve"> period</w:t>
      </w:r>
      <w:r w:rsidR="003C2FBF">
        <w:rPr>
          <w:rFonts w:ascii="Arial" w:hAnsi="Arial" w:cs="Arial"/>
          <w:sz w:val="24"/>
          <w:szCs w:val="24"/>
        </w:rPr>
        <w:t xml:space="preserve">s ended </w:t>
      </w:r>
      <w:r w:rsidR="003C2FBF" w:rsidRPr="003C2FBF">
        <w:rPr>
          <w:rFonts w:ascii="Arial" w:hAnsi="Arial" w:cs="Arial"/>
          <w:sz w:val="24"/>
          <w:szCs w:val="24"/>
        </w:rPr>
        <w:t>August 31, 2012 and August 31, 2011</w:t>
      </w:r>
      <w:r w:rsidR="009F3E22">
        <w:rPr>
          <w:rFonts w:ascii="Arial" w:hAnsi="Arial" w:cs="Arial"/>
          <w:sz w:val="24"/>
          <w:szCs w:val="24"/>
        </w:rPr>
        <w:t>,</w:t>
      </w:r>
      <w:r w:rsidR="00892191">
        <w:rPr>
          <w:rFonts w:ascii="Arial" w:hAnsi="Arial" w:cs="Arial"/>
          <w:sz w:val="24"/>
          <w:szCs w:val="24"/>
        </w:rPr>
        <w:t xml:space="preserve"> </w:t>
      </w:r>
      <w:r w:rsidR="002C7F7A">
        <w:rPr>
          <w:rFonts w:ascii="Arial" w:hAnsi="Arial" w:cs="Arial"/>
          <w:sz w:val="24"/>
          <w:szCs w:val="24"/>
        </w:rPr>
        <w:t>at Docket No. D</w:t>
      </w:r>
      <w:r w:rsidR="00447DA4">
        <w:rPr>
          <w:rFonts w:ascii="Arial" w:hAnsi="Arial" w:cs="Arial"/>
          <w:sz w:val="24"/>
          <w:szCs w:val="24"/>
        </w:rPr>
        <w:noBreakHyphen/>
      </w:r>
      <w:r w:rsidR="002C7F7A">
        <w:rPr>
          <w:rFonts w:ascii="Arial" w:hAnsi="Arial" w:cs="Arial"/>
          <w:sz w:val="24"/>
          <w:szCs w:val="24"/>
        </w:rPr>
        <w:t xml:space="preserve">2013-2399004, </w:t>
      </w:r>
      <w:r w:rsidR="00892191">
        <w:rPr>
          <w:rFonts w:ascii="Arial" w:hAnsi="Arial" w:cs="Arial"/>
          <w:sz w:val="24"/>
          <w:szCs w:val="24"/>
        </w:rPr>
        <w:t>disclosed the following finding:</w:t>
      </w:r>
    </w:p>
    <w:p w:rsidR="00892191" w:rsidRDefault="00892191" w:rsidP="00892191">
      <w:pPr>
        <w:rPr>
          <w:rFonts w:ascii="Arial" w:hAnsi="Arial" w:cs="Arial"/>
          <w:sz w:val="24"/>
          <w:szCs w:val="24"/>
        </w:rPr>
      </w:pPr>
    </w:p>
    <w:p w:rsidR="004A0AA6" w:rsidRDefault="004A0AA6" w:rsidP="004A0AA6">
      <w:pPr>
        <w:ind w:left="1170" w:hanging="1170"/>
        <w:rPr>
          <w:rFonts w:ascii="Arial" w:hAnsi="Arial" w:cs="Arial"/>
          <w:b/>
          <w:sz w:val="24"/>
          <w:szCs w:val="24"/>
        </w:rPr>
      </w:pPr>
      <w:r>
        <w:rPr>
          <w:rFonts w:ascii="Arial" w:hAnsi="Arial" w:cs="Arial"/>
          <w:b/>
          <w:sz w:val="24"/>
          <w:szCs w:val="24"/>
        </w:rPr>
        <w:t>Finding – The Company Erroneously Charged the Natural Gas Vehicle (NGVSF) Customer Class the Other Post Employment Benefit Surcharge.</w:t>
      </w:r>
    </w:p>
    <w:p w:rsidR="004A0AA6" w:rsidRDefault="004A0AA6" w:rsidP="004A0AA6">
      <w:pPr>
        <w:rPr>
          <w:rFonts w:ascii="Arial" w:hAnsi="Arial" w:cs="Arial"/>
          <w:b/>
          <w:sz w:val="24"/>
          <w:szCs w:val="24"/>
          <w:u w:val="single"/>
        </w:rPr>
      </w:pPr>
    </w:p>
    <w:p w:rsidR="004A0AA6" w:rsidRDefault="004A0AA6" w:rsidP="004A0AA6">
      <w:pPr>
        <w:rPr>
          <w:rFonts w:ascii="Arial" w:hAnsi="Arial" w:cs="Arial"/>
          <w:b/>
          <w:sz w:val="24"/>
          <w:szCs w:val="24"/>
          <w:u w:val="single"/>
        </w:rPr>
      </w:pPr>
      <w:r>
        <w:rPr>
          <w:rFonts w:ascii="Arial" w:hAnsi="Arial" w:cs="Arial"/>
          <w:b/>
          <w:sz w:val="24"/>
          <w:szCs w:val="24"/>
        </w:rPr>
        <w:t>Recommendation</w:t>
      </w:r>
    </w:p>
    <w:p w:rsidR="004A0AA6" w:rsidRPr="002859D1" w:rsidRDefault="004A0AA6" w:rsidP="004A0AA6">
      <w:pPr>
        <w:rPr>
          <w:rFonts w:ascii="Arial" w:hAnsi="Arial" w:cs="Arial"/>
          <w:sz w:val="24"/>
          <w:szCs w:val="24"/>
        </w:rPr>
      </w:pPr>
    </w:p>
    <w:p w:rsidR="004A0AA6" w:rsidRPr="002859D1" w:rsidRDefault="00892191" w:rsidP="004A0AA6">
      <w:pPr>
        <w:tabs>
          <w:tab w:val="left" w:pos="720"/>
          <w:tab w:val="left" w:pos="1170"/>
          <w:tab w:val="decimal" w:pos="6120"/>
          <w:tab w:val="decimal" w:pos="7560"/>
        </w:tabs>
        <w:ind w:firstLine="720"/>
        <w:rPr>
          <w:rFonts w:ascii="Arial" w:hAnsi="Arial" w:cs="Arial"/>
          <w:sz w:val="24"/>
          <w:szCs w:val="24"/>
        </w:rPr>
      </w:pPr>
      <w:r>
        <w:rPr>
          <w:rFonts w:ascii="Arial" w:hAnsi="Arial" w:cs="Arial"/>
          <w:sz w:val="24"/>
          <w:szCs w:val="24"/>
        </w:rPr>
        <w:t>Staff</w:t>
      </w:r>
      <w:r w:rsidR="004A0AA6">
        <w:rPr>
          <w:rFonts w:ascii="Arial" w:hAnsi="Arial" w:cs="Arial"/>
          <w:sz w:val="24"/>
          <w:szCs w:val="24"/>
        </w:rPr>
        <w:t xml:space="preserve"> recommended that PGW refund $211 to the NGVSF customer class </w:t>
      </w:r>
      <w:r w:rsidR="004A0AA6" w:rsidRPr="002859D1">
        <w:rPr>
          <w:rFonts w:ascii="Arial" w:hAnsi="Arial" w:cs="Arial"/>
          <w:sz w:val="24"/>
          <w:szCs w:val="24"/>
        </w:rPr>
        <w:t>in a subsequent OPEB Rate filing.</w:t>
      </w:r>
      <w:r w:rsidR="004A0AA6">
        <w:rPr>
          <w:rFonts w:ascii="Arial" w:hAnsi="Arial" w:cs="Arial"/>
          <w:sz w:val="24"/>
          <w:szCs w:val="24"/>
        </w:rPr>
        <w:t xml:space="preserve">  </w:t>
      </w:r>
      <w:r>
        <w:rPr>
          <w:rFonts w:ascii="Arial" w:hAnsi="Arial" w:cs="Arial"/>
          <w:sz w:val="24"/>
          <w:szCs w:val="24"/>
        </w:rPr>
        <w:t>Staff</w:t>
      </w:r>
      <w:r w:rsidR="004A0AA6">
        <w:rPr>
          <w:rFonts w:ascii="Arial" w:hAnsi="Arial" w:cs="Arial"/>
          <w:sz w:val="24"/>
          <w:szCs w:val="24"/>
        </w:rPr>
        <w:t xml:space="preserve"> also recommend</w:t>
      </w:r>
      <w:r w:rsidR="002C7F7A">
        <w:rPr>
          <w:rFonts w:ascii="Arial" w:hAnsi="Arial" w:cs="Arial"/>
          <w:sz w:val="24"/>
          <w:szCs w:val="24"/>
        </w:rPr>
        <w:t>ed</w:t>
      </w:r>
      <w:r w:rsidR="004A0AA6">
        <w:rPr>
          <w:rFonts w:ascii="Arial" w:hAnsi="Arial" w:cs="Arial"/>
          <w:sz w:val="24"/>
          <w:szCs w:val="24"/>
        </w:rPr>
        <w:t xml:space="preserve"> that the </w:t>
      </w:r>
      <w:r w:rsidR="004A0AA6" w:rsidRPr="002859D1">
        <w:rPr>
          <w:rFonts w:ascii="Arial" w:hAnsi="Arial" w:cs="Arial"/>
          <w:sz w:val="24"/>
          <w:szCs w:val="24"/>
        </w:rPr>
        <w:t>Company review and monitor their rate implement</w:t>
      </w:r>
      <w:r w:rsidR="004A0AA6">
        <w:rPr>
          <w:rFonts w:ascii="Arial" w:hAnsi="Arial" w:cs="Arial"/>
          <w:sz w:val="24"/>
          <w:szCs w:val="24"/>
        </w:rPr>
        <w:t>ation system to ensure each customer</w:t>
      </w:r>
      <w:r w:rsidR="004A0AA6" w:rsidRPr="002859D1">
        <w:rPr>
          <w:rFonts w:ascii="Arial" w:hAnsi="Arial" w:cs="Arial"/>
          <w:sz w:val="24"/>
          <w:szCs w:val="24"/>
        </w:rPr>
        <w:t xml:space="preserve"> class is properly charged.</w:t>
      </w:r>
    </w:p>
    <w:p w:rsidR="004A0AA6" w:rsidRDefault="004A0AA6" w:rsidP="004A0AA6">
      <w:pPr>
        <w:rPr>
          <w:rFonts w:ascii="Arial" w:hAnsi="Arial" w:cs="Arial"/>
          <w:b/>
          <w:sz w:val="24"/>
          <w:szCs w:val="24"/>
          <w:u w:val="single"/>
        </w:rPr>
      </w:pPr>
    </w:p>
    <w:p w:rsidR="004A0AA6" w:rsidRPr="0063215F" w:rsidRDefault="00892191" w:rsidP="004A0AA6">
      <w:pPr>
        <w:tabs>
          <w:tab w:val="left" w:pos="4500"/>
          <w:tab w:val="center" w:pos="4680"/>
        </w:tabs>
        <w:suppressAutoHyphens/>
        <w:outlineLvl w:val="0"/>
        <w:rPr>
          <w:rFonts w:ascii="Arial" w:hAnsi="Arial" w:cs="Arial"/>
          <w:b/>
          <w:sz w:val="24"/>
          <w:szCs w:val="24"/>
        </w:rPr>
      </w:pPr>
      <w:r>
        <w:rPr>
          <w:rFonts w:ascii="Arial" w:hAnsi="Arial" w:cs="Arial"/>
          <w:b/>
          <w:sz w:val="24"/>
          <w:szCs w:val="24"/>
        </w:rPr>
        <w:t>Disposition</w:t>
      </w:r>
    </w:p>
    <w:p w:rsidR="004A0AA6" w:rsidRPr="0063215F" w:rsidRDefault="004A0AA6" w:rsidP="004A0AA6">
      <w:pPr>
        <w:rPr>
          <w:rFonts w:ascii="Arial" w:hAnsi="Arial" w:cs="Arial"/>
          <w:sz w:val="24"/>
          <w:szCs w:val="24"/>
        </w:rPr>
      </w:pPr>
    </w:p>
    <w:p w:rsidR="004A0AA6" w:rsidRDefault="004A0AA6" w:rsidP="004A0AA6">
      <w:pPr>
        <w:ind w:firstLine="720"/>
        <w:rPr>
          <w:rFonts w:ascii="Arial" w:hAnsi="Arial" w:cs="Arial"/>
          <w:sz w:val="24"/>
          <w:szCs w:val="24"/>
        </w:rPr>
      </w:pPr>
      <w:r>
        <w:rPr>
          <w:rFonts w:ascii="Arial" w:hAnsi="Arial" w:cs="Arial"/>
          <w:sz w:val="24"/>
          <w:szCs w:val="24"/>
        </w:rPr>
        <w:t>The Company</w:t>
      </w:r>
      <w:r w:rsidRPr="0063215F">
        <w:rPr>
          <w:rFonts w:ascii="Arial" w:hAnsi="Arial" w:cs="Arial"/>
          <w:sz w:val="24"/>
          <w:szCs w:val="24"/>
        </w:rPr>
        <w:t xml:space="preserve"> agree</w:t>
      </w:r>
      <w:r>
        <w:rPr>
          <w:rFonts w:ascii="Arial" w:hAnsi="Arial" w:cs="Arial"/>
          <w:sz w:val="24"/>
          <w:szCs w:val="24"/>
        </w:rPr>
        <w:t>d</w:t>
      </w:r>
      <w:r w:rsidRPr="0063215F">
        <w:rPr>
          <w:rFonts w:ascii="Arial" w:hAnsi="Arial" w:cs="Arial"/>
          <w:sz w:val="24"/>
          <w:szCs w:val="24"/>
        </w:rPr>
        <w:t xml:space="preserve"> with the </w:t>
      </w:r>
      <w:r>
        <w:rPr>
          <w:rFonts w:ascii="Arial" w:hAnsi="Arial" w:cs="Arial"/>
          <w:sz w:val="24"/>
          <w:szCs w:val="24"/>
        </w:rPr>
        <w:t>recommendation and made a billing adjustment to the NGVSF customer class in August 2014.</w:t>
      </w:r>
    </w:p>
    <w:p w:rsidR="004A0AA6" w:rsidRDefault="004A0AA6" w:rsidP="004A0AA6">
      <w:pPr>
        <w:ind w:firstLine="720"/>
        <w:rPr>
          <w:rFonts w:ascii="Arial" w:hAnsi="Arial" w:cs="Arial"/>
          <w:sz w:val="24"/>
          <w:szCs w:val="24"/>
        </w:rPr>
      </w:pPr>
    </w:p>
    <w:p w:rsidR="004A0AA6" w:rsidRDefault="004A0AA6">
      <w:pPr>
        <w:rPr>
          <w:rFonts w:ascii="Arial" w:hAnsi="Arial" w:cs="Arial"/>
          <w:sz w:val="24"/>
          <w:szCs w:val="24"/>
        </w:rPr>
      </w:pPr>
      <w:r>
        <w:rPr>
          <w:rFonts w:ascii="Arial" w:hAnsi="Arial" w:cs="Arial"/>
          <w:sz w:val="24"/>
          <w:szCs w:val="24"/>
        </w:rPr>
        <w:br w:type="page"/>
      </w:r>
    </w:p>
    <w:p w:rsidR="004A0AA6" w:rsidRDefault="004A0AA6" w:rsidP="004A0AA6">
      <w:pPr>
        <w:jc w:val="center"/>
        <w:rPr>
          <w:rFonts w:ascii="Arial" w:hAnsi="Arial" w:cs="Arial"/>
          <w:b/>
          <w:sz w:val="26"/>
          <w:szCs w:val="26"/>
        </w:rPr>
      </w:pPr>
      <w:r w:rsidRPr="000E33BC">
        <w:rPr>
          <w:rFonts w:ascii="Arial" w:hAnsi="Arial" w:cs="Arial"/>
          <w:b/>
          <w:sz w:val="26"/>
          <w:szCs w:val="26"/>
        </w:rPr>
        <w:lastRenderedPageBreak/>
        <w:t>PHILADELPHIA GAS WORKS</w:t>
      </w:r>
      <w:r w:rsidRPr="0003739F">
        <w:rPr>
          <w:rFonts w:ascii="Arial" w:hAnsi="Arial" w:cs="Arial"/>
          <w:b/>
          <w:sz w:val="26"/>
          <w:szCs w:val="26"/>
        </w:rPr>
        <w:t xml:space="preserve"> </w:t>
      </w:r>
    </w:p>
    <w:p w:rsidR="004A0AA6" w:rsidRDefault="004A0AA6" w:rsidP="004A0AA6">
      <w:pPr>
        <w:jc w:val="center"/>
        <w:rPr>
          <w:rFonts w:ascii="Arial" w:hAnsi="Arial" w:cs="Arial"/>
          <w:b/>
          <w:sz w:val="26"/>
          <w:szCs w:val="26"/>
        </w:rPr>
      </w:pPr>
    </w:p>
    <w:p w:rsidR="004A0AA6" w:rsidRPr="0003739F" w:rsidRDefault="004A0AA6" w:rsidP="004A0AA6">
      <w:pPr>
        <w:jc w:val="center"/>
        <w:rPr>
          <w:rFonts w:ascii="Arial" w:hAnsi="Arial" w:cs="Arial"/>
          <w:sz w:val="26"/>
          <w:szCs w:val="26"/>
        </w:rPr>
      </w:pPr>
      <w:r w:rsidRPr="0003739F">
        <w:rPr>
          <w:rFonts w:ascii="Arial" w:hAnsi="Arial" w:cs="Arial"/>
          <w:b/>
          <w:sz w:val="26"/>
          <w:szCs w:val="26"/>
        </w:rPr>
        <w:t>Acknowledgements</w:t>
      </w:r>
    </w:p>
    <w:p w:rsidR="004A0AA6" w:rsidRPr="006A6AD0" w:rsidRDefault="004A0AA6" w:rsidP="004A0AA6">
      <w:pPr>
        <w:tabs>
          <w:tab w:val="left" w:pos="0"/>
          <w:tab w:val="left" w:pos="144"/>
          <w:tab w:val="left" w:pos="288"/>
        </w:tabs>
        <w:rPr>
          <w:rFonts w:ascii="Arial" w:hAnsi="Arial" w:cs="Arial"/>
          <w:sz w:val="24"/>
          <w:szCs w:val="26"/>
        </w:rPr>
      </w:pPr>
    </w:p>
    <w:p w:rsidR="004A0AA6" w:rsidRPr="006A6AD0" w:rsidRDefault="004A0AA6" w:rsidP="004A0AA6">
      <w:pPr>
        <w:tabs>
          <w:tab w:val="left" w:pos="0"/>
          <w:tab w:val="left" w:pos="144"/>
          <w:tab w:val="left" w:pos="288"/>
        </w:tabs>
        <w:rPr>
          <w:rFonts w:ascii="Arial" w:hAnsi="Arial" w:cs="Arial"/>
          <w:sz w:val="24"/>
          <w:szCs w:val="26"/>
        </w:rPr>
      </w:pPr>
    </w:p>
    <w:p w:rsidR="004A0AA6" w:rsidRPr="00E32D70" w:rsidRDefault="004A0AA6" w:rsidP="004A0AA6">
      <w:pPr>
        <w:tabs>
          <w:tab w:val="left" w:pos="720"/>
        </w:tabs>
        <w:rPr>
          <w:rFonts w:ascii="Arial" w:hAnsi="Arial" w:cs="Arial"/>
          <w:sz w:val="24"/>
          <w:szCs w:val="24"/>
        </w:rPr>
      </w:pPr>
      <w:r w:rsidRPr="00051545">
        <w:rPr>
          <w:rFonts w:ascii="Arial" w:hAnsi="Arial" w:cs="Arial"/>
          <w:sz w:val="26"/>
          <w:szCs w:val="26"/>
        </w:rPr>
        <w:tab/>
      </w:r>
      <w:r w:rsidR="00ED04EC" w:rsidRPr="00E32D70">
        <w:rPr>
          <w:rFonts w:ascii="Arial" w:hAnsi="Arial" w:cs="Arial"/>
          <w:sz w:val="24"/>
          <w:szCs w:val="24"/>
        </w:rPr>
        <w:t xml:space="preserve">We wish to express our appreciation to the officers and staff of Philadelphia Gas Works for the cooperation and assistance given </w:t>
      </w:r>
      <w:r w:rsidR="00ED04EC">
        <w:rPr>
          <w:rFonts w:ascii="Arial" w:hAnsi="Arial" w:cs="Arial"/>
          <w:sz w:val="24"/>
          <w:szCs w:val="24"/>
        </w:rPr>
        <w:t xml:space="preserve">to </w:t>
      </w:r>
      <w:r w:rsidR="00ED04EC" w:rsidRPr="00E32D70">
        <w:rPr>
          <w:rFonts w:ascii="Arial" w:hAnsi="Arial" w:cs="Arial"/>
          <w:sz w:val="24"/>
          <w:szCs w:val="24"/>
        </w:rPr>
        <w:t xml:space="preserve">us during the course of our examination.  The audit was conducted by </w:t>
      </w:r>
      <w:r w:rsidR="00ED04EC">
        <w:rPr>
          <w:rFonts w:ascii="Arial" w:hAnsi="Arial" w:cs="Arial"/>
          <w:sz w:val="24"/>
          <w:szCs w:val="24"/>
        </w:rPr>
        <w:t>Katrina S. Johnson</w:t>
      </w:r>
      <w:r w:rsidR="00ED04EC" w:rsidRPr="00E32D70">
        <w:rPr>
          <w:rFonts w:ascii="Arial" w:hAnsi="Arial" w:cs="Arial"/>
          <w:sz w:val="24"/>
          <w:szCs w:val="24"/>
        </w:rPr>
        <w:t xml:space="preserve">, assisted by </w:t>
      </w:r>
      <w:r w:rsidR="00ED04EC">
        <w:rPr>
          <w:rFonts w:ascii="Arial" w:hAnsi="Arial" w:cs="Arial"/>
          <w:sz w:val="24"/>
          <w:szCs w:val="24"/>
        </w:rPr>
        <w:t>Darrell Baxter.</w:t>
      </w:r>
    </w:p>
    <w:p w:rsidR="004A0AA6" w:rsidRPr="0063215F" w:rsidRDefault="004A0AA6" w:rsidP="004A0AA6">
      <w:pPr>
        <w:ind w:firstLine="720"/>
        <w:rPr>
          <w:rFonts w:ascii="Times New Roman" w:hAnsi="Times New Roman"/>
          <w:sz w:val="28"/>
          <w:szCs w:val="28"/>
        </w:rPr>
      </w:pPr>
    </w:p>
    <w:sectPr w:rsidR="004A0AA6" w:rsidRPr="0063215F" w:rsidSect="0034784E">
      <w:headerReference w:type="even" r:id="rId29"/>
      <w:headerReference w:type="default" r:id="rId30"/>
      <w:footerReference w:type="default" r:id="rId31"/>
      <w:headerReference w:type="first" r:id="rId32"/>
      <w:pgSz w:w="12240" w:h="15840" w:code="1"/>
      <w:pgMar w:top="1440" w:right="1440" w:bottom="1440" w:left="1440" w:header="0" w:footer="720" w:gutter="0"/>
      <w:pgNumType w:fmt="numberInDash" w:start="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A85" w:rsidRDefault="00786A85">
      <w:r>
        <w:separator/>
      </w:r>
    </w:p>
  </w:endnote>
  <w:endnote w:type="continuationSeparator" w:id="0">
    <w:p w:rsidR="00786A85" w:rsidRDefault="0078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E42928" w:rsidRDefault="00C86343" w:rsidP="00E42928">
    <w:pPr>
      <w:pStyle w:val="Footer"/>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5A1" w:rsidRDefault="00AE35A1" w:rsidP="00AE35A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E42928" w:rsidRDefault="00C86343" w:rsidP="00E42928">
    <w:pPr>
      <w:pStyle w:val="Footer"/>
      <w:jc w:val="center"/>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164903"/>
      <w:docPartObj>
        <w:docPartGallery w:val="Page Numbers (Bottom of Page)"/>
        <w:docPartUnique/>
      </w:docPartObj>
    </w:sdtPr>
    <w:sdtEndPr>
      <w:rPr>
        <w:rFonts w:ascii="Arial" w:hAnsi="Arial" w:cs="Arial"/>
        <w:noProof/>
        <w:sz w:val="24"/>
        <w:szCs w:val="24"/>
      </w:rPr>
    </w:sdtEndPr>
    <w:sdtContent>
      <w:p w:rsidR="002A533A" w:rsidRPr="005D2141" w:rsidRDefault="002A533A">
        <w:pPr>
          <w:pStyle w:val="Footer"/>
          <w:jc w:val="center"/>
          <w:rPr>
            <w:rFonts w:ascii="Arial" w:hAnsi="Arial" w:cs="Arial"/>
            <w:sz w:val="24"/>
            <w:szCs w:val="24"/>
          </w:rPr>
        </w:pPr>
        <w:r w:rsidRPr="005D2141">
          <w:rPr>
            <w:rFonts w:ascii="Arial" w:hAnsi="Arial" w:cs="Arial"/>
            <w:sz w:val="24"/>
            <w:szCs w:val="24"/>
          </w:rPr>
          <w:fldChar w:fldCharType="begin"/>
        </w:r>
        <w:r w:rsidRPr="005D2141">
          <w:rPr>
            <w:rFonts w:ascii="Arial" w:hAnsi="Arial" w:cs="Arial"/>
            <w:sz w:val="24"/>
            <w:szCs w:val="24"/>
          </w:rPr>
          <w:instrText xml:space="preserve"> PAGE   \* MERGEFORMAT </w:instrText>
        </w:r>
        <w:r w:rsidRPr="005D2141">
          <w:rPr>
            <w:rFonts w:ascii="Arial" w:hAnsi="Arial" w:cs="Arial"/>
            <w:sz w:val="24"/>
            <w:szCs w:val="24"/>
          </w:rPr>
          <w:fldChar w:fldCharType="separate"/>
        </w:r>
        <w:r w:rsidR="000E7A11">
          <w:rPr>
            <w:rFonts w:ascii="Arial" w:hAnsi="Arial" w:cs="Arial"/>
            <w:noProof/>
            <w:sz w:val="24"/>
            <w:szCs w:val="24"/>
          </w:rPr>
          <w:t>- 5 -</w:t>
        </w:r>
        <w:r w:rsidRPr="005D2141">
          <w:rPr>
            <w:rFonts w:ascii="Arial" w:hAnsi="Arial" w:cs="Arial"/>
            <w:noProof/>
            <w:sz w:val="24"/>
            <w:szCs w:val="24"/>
          </w:rPr>
          <w:fldChar w:fldCharType="end"/>
        </w:r>
      </w:p>
    </w:sdtContent>
  </w:sdt>
  <w:p w:rsidR="007F026A" w:rsidRPr="00263F05" w:rsidRDefault="007F026A" w:rsidP="00263F0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006348"/>
      <w:docPartObj>
        <w:docPartGallery w:val="Page Numbers (Bottom of Page)"/>
        <w:docPartUnique/>
      </w:docPartObj>
    </w:sdtPr>
    <w:sdtEndPr>
      <w:rPr>
        <w:rFonts w:ascii="Arial" w:hAnsi="Arial" w:cs="Arial"/>
        <w:noProof/>
        <w:sz w:val="24"/>
      </w:rPr>
    </w:sdtEndPr>
    <w:sdtContent>
      <w:p w:rsidR="00907014" w:rsidRPr="0062641A" w:rsidRDefault="00833A48" w:rsidP="00833A48">
        <w:pPr>
          <w:pStyle w:val="Footer"/>
          <w:jc w:val="center"/>
          <w:rPr>
            <w:rFonts w:ascii="Arial" w:hAnsi="Arial" w:cs="Arial"/>
            <w:sz w:val="24"/>
          </w:rPr>
        </w:pPr>
        <w:r w:rsidRPr="00833A48">
          <w:rPr>
            <w:rFonts w:ascii="Arial" w:hAnsi="Arial" w:cs="Arial"/>
            <w:sz w:val="24"/>
          </w:rPr>
          <w:fldChar w:fldCharType="begin"/>
        </w:r>
        <w:r w:rsidRPr="00833A48">
          <w:rPr>
            <w:rFonts w:ascii="Arial" w:hAnsi="Arial" w:cs="Arial"/>
            <w:sz w:val="24"/>
          </w:rPr>
          <w:instrText xml:space="preserve"> PAGE   \* MERGEFORMAT </w:instrText>
        </w:r>
        <w:r w:rsidRPr="00833A48">
          <w:rPr>
            <w:rFonts w:ascii="Arial" w:hAnsi="Arial" w:cs="Arial"/>
            <w:sz w:val="24"/>
          </w:rPr>
          <w:fldChar w:fldCharType="separate"/>
        </w:r>
        <w:r w:rsidR="000E7A11">
          <w:rPr>
            <w:rFonts w:ascii="Arial" w:hAnsi="Arial" w:cs="Arial"/>
            <w:noProof/>
            <w:sz w:val="24"/>
          </w:rPr>
          <w:t>- 2 -</w:t>
        </w:r>
        <w:r w:rsidRPr="00833A48">
          <w:rPr>
            <w:rFonts w:ascii="Arial" w:hAnsi="Arial" w:cs="Arial"/>
            <w:noProof/>
            <w:sz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1A" w:rsidRPr="0062641A" w:rsidRDefault="0062641A" w:rsidP="0062641A">
    <w:pPr>
      <w:pStyle w:val="Footer"/>
      <w:jc w:val="center"/>
      <w:rPr>
        <w:rFonts w:ascii="Arial" w:hAnsi="Arial" w:cs="Arial"/>
        <w:sz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592545"/>
      <w:docPartObj>
        <w:docPartGallery w:val="Page Numbers (Bottom of Page)"/>
        <w:docPartUnique/>
      </w:docPartObj>
    </w:sdtPr>
    <w:sdtEndPr>
      <w:rPr>
        <w:rFonts w:ascii="Arial" w:hAnsi="Arial" w:cs="Arial"/>
        <w:noProof/>
        <w:sz w:val="24"/>
        <w:szCs w:val="24"/>
      </w:rPr>
    </w:sdtEndPr>
    <w:sdtContent>
      <w:p w:rsidR="0062641A" w:rsidRPr="0062641A" w:rsidRDefault="0062641A" w:rsidP="0062641A">
        <w:pPr>
          <w:pStyle w:val="Footer"/>
          <w:jc w:val="center"/>
          <w:rPr>
            <w:rFonts w:ascii="Arial" w:hAnsi="Arial" w:cs="Arial"/>
            <w:sz w:val="24"/>
            <w:szCs w:val="24"/>
          </w:rPr>
        </w:pPr>
        <w:r w:rsidRPr="005D2141">
          <w:rPr>
            <w:rFonts w:ascii="Arial" w:hAnsi="Arial" w:cs="Arial"/>
            <w:sz w:val="24"/>
            <w:szCs w:val="24"/>
          </w:rPr>
          <w:fldChar w:fldCharType="begin"/>
        </w:r>
        <w:r w:rsidRPr="005D2141">
          <w:rPr>
            <w:rFonts w:ascii="Arial" w:hAnsi="Arial" w:cs="Arial"/>
            <w:sz w:val="24"/>
            <w:szCs w:val="24"/>
          </w:rPr>
          <w:instrText xml:space="preserve"> PAGE   \* MERGEFORMAT </w:instrText>
        </w:r>
        <w:r w:rsidRPr="005D2141">
          <w:rPr>
            <w:rFonts w:ascii="Arial" w:hAnsi="Arial" w:cs="Arial"/>
            <w:sz w:val="24"/>
            <w:szCs w:val="24"/>
          </w:rPr>
          <w:fldChar w:fldCharType="separate"/>
        </w:r>
        <w:r w:rsidR="000E7A11">
          <w:rPr>
            <w:rFonts w:ascii="Arial" w:hAnsi="Arial" w:cs="Arial"/>
            <w:noProof/>
            <w:sz w:val="24"/>
            <w:szCs w:val="24"/>
          </w:rPr>
          <w:t>- 7 -</w:t>
        </w:r>
        <w:r w:rsidRPr="005D2141">
          <w:rPr>
            <w:rFonts w:ascii="Arial" w:hAnsi="Arial" w:cs="Arial"/>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A85" w:rsidRDefault="00786A85">
      <w:r>
        <w:rPr>
          <w:sz w:val="24"/>
        </w:rPr>
        <w:separator/>
      </w:r>
    </w:p>
  </w:footnote>
  <w:footnote w:type="continuationSeparator" w:id="0">
    <w:p w:rsidR="00786A85" w:rsidRDefault="00786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5B" w:rsidRDefault="0022385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907014" w:rsidRDefault="00C86343" w:rsidP="0090701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5B" w:rsidRDefault="002238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5B" w:rsidRDefault="002238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816A39" w:rsidRDefault="00C86343" w:rsidP="00816A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1DDF1EE4"/>
    <w:multiLevelType w:val="hybridMultilevel"/>
    <w:tmpl w:val="CA72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D8523C"/>
    <w:multiLevelType w:val="hybridMultilevel"/>
    <w:tmpl w:val="1FD6B3A8"/>
    <w:lvl w:ilvl="0" w:tplc="E59893C4">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39261D"/>
    <w:multiLevelType w:val="hybridMultilevel"/>
    <w:tmpl w:val="DB0864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628D1250"/>
    <w:multiLevelType w:val="hybridMultilevel"/>
    <w:tmpl w:val="92D438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7"/>
    <w:rsid w:val="00000CE5"/>
    <w:rsid w:val="00002575"/>
    <w:rsid w:val="000100B9"/>
    <w:rsid w:val="00010137"/>
    <w:rsid w:val="00016658"/>
    <w:rsid w:val="00021EFF"/>
    <w:rsid w:val="00025FA2"/>
    <w:rsid w:val="00026C48"/>
    <w:rsid w:val="000319D2"/>
    <w:rsid w:val="00050F75"/>
    <w:rsid w:val="00051545"/>
    <w:rsid w:val="000532DA"/>
    <w:rsid w:val="00055CCA"/>
    <w:rsid w:val="00057A59"/>
    <w:rsid w:val="000621ED"/>
    <w:rsid w:val="00062389"/>
    <w:rsid w:val="000633C1"/>
    <w:rsid w:val="0006368F"/>
    <w:rsid w:val="00065FC1"/>
    <w:rsid w:val="00066A17"/>
    <w:rsid w:val="00067375"/>
    <w:rsid w:val="000710B1"/>
    <w:rsid w:val="000712BC"/>
    <w:rsid w:val="00071870"/>
    <w:rsid w:val="00071ED0"/>
    <w:rsid w:val="000725E8"/>
    <w:rsid w:val="00072B41"/>
    <w:rsid w:val="000741F7"/>
    <w:rsid w:val="00076720"/>
    <w:rsid w:val="0008323F"/>
    <w:rsid w:val="000834B5"/>
    <w:rsid w:val="00083CAB"/>
    <w:rsid w:val="000922B7"/>
    <w:rsid w:val="00094E55"/>
    <w:rsid w:val="00095AE2"/>
    <w:rsid w:val="00095C4B"/>
    <w:rsid w:val="00096B69"/>
    <w:rsid w:val="000A01C5"/>
    <w:rsid w:val="000A44C8"/>
    <w:rsid w:val="000A55CF"/>
    <w:rsid w:val="000A6A45"/>
    <w:rsid w:val="000B2FFF"/>
    <w:rsid w:val="000B49E7"/>
    <w:rsid w:val="000C0AEA"/>
    <w:rsid w:val="000C2895"/>
    <w:rsid w:val="000C4AC9"/>
    <w:rsid w:val="000D6321"/>
    <w:rsid w:val="000D6ECC"/>
    <w:rsid w:val="000E3DF2"/>
    <w:rsid w:val="000E4222"/>
    <w:rsid w:val="000E506C"/>
    <w:rsid w:val="000E6C1C"/>
    <w:rsid w:val="000E7A11"/>
    <w:rsid w:val="000F4ADE"/>
    <w:rsid w:val="000F634D"/>
    <w:rsid w:val="000F7853"/>
    <w:rsid w:val="00102368"/>
    <w:rsid w:val="00103261"/>
    <w:rsid w:val="00107286"/>
    <w:rsid w:val="00107B06"/>
    <w:rsid w:val="00113367"/>
    <w:rsid w:val="00115624"/>
    <w:rsid w:val="001160F6"/>
    <w:rsid w:val="00116186"/>
    <w:rsid w:val="00116E34"/>
    <w:rsid w:val="00122B87"/>
    <w:rsid w:val="0012369F"/>
    <w:rsid w:val="00123BD6"/>
    <w:rsid w:val="00127F65"/>
    <w:rsid w:val="00133F0E"/>
    <w:rsid w:val="00134BEB"/>
    <w:rsid w:val="00135B9D"/>
    <w:rsid w:val="00135F4E"/>
    <w:rsid w:val="0014208D"/>
    <w:rsid w:val="001439AC"/>
    <w:rsid w:val="00145125"/>
    <w:rsid w:val="00145E72"/>
    <w:rsid w:val="00153537"/>
    <w:rsid w:val="00155243"/>
    <w:rsid w:val="001607D5"/>
    <w:rsid w:val="00165DF7"/>
    <w:rsid w:val="0016795A"/>
    <w:rsid w:val="00170780"/>
    <w:rsid w:val="00171416"/>
    <w:rsid w:val="00171631"/>
    <w:rsid w:val="00171A4C"/>
    <w:rsid w:val="00171F95"/>
    <w:rsid w:val="0017270D"/>
    <w:rsid w:val="00172C33"/>
    <w:rsid w:val="00180069"/>
    <w:rsid w:val="00180B59"/>
    <w:rsid w:val="00181737"/>
    <w:rsid w:val="00183D20"/>
    <w:rsid w:val="001849D4"/>
    <w:rsid w:val="0018653D"/>
    <w:rsid w:val="001866A8"/>
    <w:rsid w:val="0018674E"/>
    <w:rsid w:val="00187098"/>
    <w:rsid w:val="00191D62"/>
    <w:rsid w:val="00193303"/>
    <w:rsid w:val="001A278B"/>
    <w:rsid w:val="001A3365"/>
    <w:rsid w:val="001A5617"/>
    <w:rsid w:val="001A59C0"/>
    <w:rsid w:val="001B205A"/>
    <w:rsid w:val="001B39E8"/>
    <w:rsid w:val="001B5F87"/>
    <w:rsid w:val="001B6BD3"/>
    <w:rsid w:val="001C0358"/>
    <w:rsid w:val="001C0FDE"/>
    <w:rsid w:val="001C742F"/>
    <w:rsid w:val="001D0BC6"/>
    <w:rsid w:val="001D1C1B"/>
    <w:rsid w:val="001D49EE"/>
    <w:rsid w:val="001D4C6C"/>
    <w:rsid w:val="001D5EB8"/>
    <w:rsid w:val="001D67F2"/>
    <w:rsid w:val="001F5DE4"/>
    <w:rsid w:val="0020091A"/>
    <w:rsid w:val="00202E7F"/>
    <w:rsid w:val="00204BE5"/>
    <w:rsid w:val="00206E69"/>
    <w:rsid w:val="00207628"/>
    <w:rsid w:val="00207E79"/>
    <w:rsid w:val="002111B5"/>
    <w:rsid w:val="00212CA5"/>
    <w:rsid w:val="002130B0"/>
    <w:rsid w:val="00216291"/>
    <w:rsid w:val="00220C8D"/>
    <w:rsid w:val="00220DDF"/>
    <w:rsid w:val="00221DCC"/>
    <w:rsid w:val="00221E11"/>
    <w:rsid w:val="002225EB"/>
    <w:rsid w:val="00222A8E"/>
    <w:rsid w:val="0022385B"/>
    <w:rsid w:val="00225379"/>
    <w:rsid w:val="002269C6"/>
    <w:rsid w:val="00226EB2"/>
    <w:rsid w:val="002353B0"/>
    <w:rsid w:val="0023542C"/>
    <w:rsid w:val="00236ED8"/>
    <w:rsid w:val="00243238"/>
    <w:rsid w:val="0024348A"/>
    <w:rsid w:val="00250D09"/>
    <w:rsid w:val="0025277C"/>
    <w:rsid w:val="00252B7F"/>
    <w:rsid w:val="00253A91"/>
    <w:rsid w:val="002560FA"/>
    <w:rsid w:val="002566C6"/>
    <w:rsid w:val="002627D0"/>
    <w:rsid w:val="00263F05"/>
    <w:rsid w:val="00265DE3"/>
    <w:rsid w:val="00266297"/>
    <w:rsid w:val="00266671"/>
    <w:rsid w:val="00266CA7"/>
    <w:rsid w:val="00270F72"/>
    <w:rsid w:val="002742AE"/>
    <w:rsid w:val="00274650"/>
    <w:rsid w:val="00274A87"/>
    <w:rsid w:val="00274E4B"/>
    <w:rsid w:val="00276042"/>
    <w:rsid w:val="002774E4"/>
    <w:rsid w:val="00281056"/>
    <w:rsid w:val="002817DE"/>
    <w:rsid w:val="002828E8"/>
    <w:rsid w:val="00284A91"/>
    <w:rsid w:val="0028653E"/>
    <w:rsid w:val="00290DDE"/>
    <w:rsid w:val="00297C11"/>
    <w:rsid w:val="002A1D43"/>
    <w:rsid w:val="002A533A"/>
    <w:rsid w:val="002A6835"/>
    <w:rsid w:val="002B0A4E"/>
    <w:rsid w:val="002B6775"/>
    <w:rsid w:val="002C2982"/>
    <w:rsid w:val="002C3BAB"/>
    <w:rsid w:val="002C4CE2"/>
    <w:rsid w:val="002C50DB"/>
    <w:rsid w:val="002C5C27"/>
    <w:rsid w:val="002C5E34"/>
    <w:rsid w:val="002C7920"/>
    <w:rsid w:val="002C79E6"/>
    <w:rsid w:val="002C7F7A"/>
    <w:rsid w:val="002D5DEB"/>
    <w:rsid w:val="002D6D61"/>
    <w:rsid w:val="002D799A"/>
    <w:rsid w:val="002E3546"/>
    <w:rsid w:val="002F270D"/>
    <w:rsid w:val="002F32AD"/>
    <w:rsid w:val="002F7950"/>
    <w:rsid w:val="00303EA6"/>
    <w:rsid w:val="00303FBF"/>
    <w:rsid w:val="00307C90"/>
    <w:rsid w:val="00312758"/>
    <w:rsid w:val="00315A4E"/>
    <w:rsid w:val="00320203"/>
    <w:rsid w:val="00326A88"/>
    <w:rsid w:val="00327E7A"/>
    <w:rsid w:val="0033091F"/>
    <w:rsid w:val="003316B7"/>
    <w:rsid w:val="0033185A"/>
    <w:rsid w:val="00334404"/>
    <w:rsid w:val="00334B48"/>
    <w:rsid w:val="003374B8"/>
    <w:rsid w:val="00340ED4"/>
    <w:rsid w:val="0034240B"/>
    <w:rsid w:val="00342B16"/>
    <w:rsid w:val="0034784E"/>
    <w:rsid w:val="00350739"/>
    <w:rsid w:val="00353011"/>
    <w:rsid w:val="003532DE"/>
    <w:rsid w:val="0035640D"/>
    <w:rsid w:val="00356B91"/>
    <w:rsid w:val="00357424"/>
    <w:rsid w:val="00367F28"/>
    <w:rsid w:val="0037003C"/>
    <w:rsid w:val="003710D5"/>
    <w:rsid w:val="00371DDC"/>
    <w:rsid w:val="00373C14"/>
    <w:rsid w:val="00373D2A"/>
    <w:rsid w:val="00374FB6"/>
    <w:rsid w:val="00376DD6"/>
    <w:rsid w:val="00380DEF"/>
    <w:rsid w:val="00382903"/>
    <w:rsid w:val="003858C7"/>
    <w:rsid w:val="00391485"/>
    <w:rsid w:val="0039211D"/>
    <w:rsid w:val="003926D9"/>
    <w:rsid w:val="00392BBB"/>
    <w:rsid w:val="003976B0"/>
    <w:rsid w:val="003A2BEF"/>
    <w:rsid w:val="003A6FBF"/>
    <w:rsid w:val="003B1E65"/>
    <w:rsid w:val="003C0BB7"/>
    <w:rsid w:val="003C2FBF"/>
    <w:rsid w:val="003C4552"/>
    <w:rsid w:val="003C54A7"/>
    <w:rsid w:val="003D419C"/>
    <w:rsid w:val="003D43E3"/>
    <w:rsid w:val="003E1843"/>
    <w:rsid w:val="003E21B0"/>
    <w:rsid w:val="003E29DF"/>
    <w:rsid w:val="003E4130"/>
    <w:rsid w:val="003F1BA6"/>
    <w:rsid w:val="003F2247"/>
    <w:rsid w:val="003F495A"/>
    <w:rsid w:val="003F5511"/>
    <w:rsid w:val="003F6317"/>
    <w:rsid w:val="00400894"/>
    <w:rsid w:val="004017BA"/>
    <w:rsid w:val="004021F0"/>
    <w:rsid w:val="0040533B"/>
    <w:rsid w:val="00405669"/>
    <w:rsid w:val="00407B80"/>
    <w:rsid w:val="0041125E"/>
    <w:rsid w:val="00411B9D"/>
    <w:rsid w:val="00413406"/>
    <w:rsid w:val="00416813"/>
    <w:rsid w:val="004217BD"/>
    <w:rsid w:val="004227E7"/>
    <w:rsid w:val="00422CFF"/>
    <w:rsid w:val="00423213"/>
    <w:rsid w:val="00424006"/>
    <w:rsid w:val="0042485D"/>
    <w:rsid w:val="0042580B"/>
    <w:rsid w:val="0042685D"/>
    <w:rsid w:val="00426EB2"/>
    <w:rsid w:val="004270C2"/>
    <w:rsid w:val="00433BFC"/>
    <w:rsid w:val="004342AE"/>
    <w:rsid w:val="00434A32"/>
    <w:rsid w:val="00436990"/>
    <w:rsid w:val="00441847"/>
    <w:rsid w:val="00445BEE"/>
    <w:rsid w:val="0044633C"/>
    <w:rsid w:val="00447DA4"/>
    <w:rsid w:val="00454826"/>
    <w:rsid w:val="0045486B"/>
    <w:rsid w:val="00454CCE"/>
    <w:rsid w:val="00461AE3"/>
    <w:rsid w:val="00464785"/>
    <w:rsid w:val="004648D9"/>
    <w:rsid w:val="00464EF5"/>
    <w:rsid w:val="0047343E"/>
    <w:rsid w:val="0048234E"/>
    <w:rsid w:val="00482AFD"/>
    <w:rsid w:val="004849E5"/>
    <w:rsid w:val="00491BF0"/>
    <w:rsid w:val="00492D5F"/>
    <w:rsid w:val="004944F3"/>
    <w:rsid w:val="00494AA8"/>
    <w:rsid w:val="00496DB9"/>
    <w:rsid w:val="0049713D"/>
    <w:rsid w:val="004A0AA6"/>
    <w:rsid w:val="004A2041"/>
    <w:rsid w:val="004A45A0"/>
    <w:rsid w:val="004B12F1"/>
    <w:rsid w:val="004B1BEA"/>
    <w:rsid w:val="004B5DDA"/>
    <w:rsid w:val="004B7A6A"/>
    <w:rsid w:val="004B7DCD"/>
    <w:rsid w:val="004B7E27"/>
    <w:rsid w:val="004C0E81"/>
    <w:rsid w:val="004C0F81"/>
    <w:rsid w:val="004C1456"/>
    <w:rsid w:val="004C1D5F"/>
    <w:rsid w:val="004C38AB"/>
    <w:rsid w:val="004C4343"/>
    <w:rsid w:val="004C5477"/>
    <w:rsid w:val="004D0940"/>
    <w:rsid w:val="004E1453"/>
    <w:rsid w:val="004E31D3"/>
    <w:rsid w:val="004E3A19"/>
    <w:rsid w:val="004E3EBA"/>
    <w:rsid w:val="004F0C6B"/>
    <w:rsid w:val="004F2DA6"/>
    <w:rsid w:val="005018AD"/>
    <w:rsid w:val="0050371C"/>
    <w:rsid w:val="00503778"/>
    <w:rsid w:val="00507913"/>
    <w:rsid w:val="00511E0F"/>
    <w:rsid w:val="005137DA"/>
    <w:rsid w:val="005205EE"/>
    <w:rsid w:val="00521655"/>
    <w:rsid w:val="00521B1A"/>
    <w:rsid w:val="005221A2"/>
    <w:rsid w:val="00522C2C"/>
    <w:rsid w:val="005233CD"/>
    <w:rsid w:val="00524677"/>
    <w:rsid w:val="00527508"/>
    <w:rsid w:val="00531988"/>
    <w:rsid w:val="005330BC"/>
    <w:rsid w:val="00534447"/>
    <w:rsid w:val="005367D5"/>
    <w:rsid w:val="005403B3"/>
    <w:rsid w:val="00540945"/>
    <w:rsid w:val="00545591"/>
    <w:rsid w:val="00545E73"/>
    <w:rsid w:val="00551057"/>
    <w:rsid w:val="00551E63"/>
    <w:rsid w:val="005528AB"/>
    <w:rsid w:val="00554E01"/>
    <w:rsid w:val="0055766F"/>
    <w:rsid w:val="00562583"/>
    <w:rsid w:val="0056481D"/>
    <w:rsid w:val="00565D6E"/>
    <w:rsid w:val="00567995"/>
    <w:rsid w:val="00571EA9"/>
    <w:rsid w:val="00573E3C"/>
    <w:rsid w:val="00575459"/>
    <w:rsid w:val="005764F7"/>
    <w:rsid w:val="00577D8D"/>
    <w:rsid w:val="00581625"/>
    <w:rsid w:val="00582AEC"/>
    <w:rsid w:val="0058492D"/>
    <w:rsid w:val="00586FCC"/>
    <w:rsid w:val="00590ABA"/>
    <w:rsid w:val="00591D89"/>
    <w:rsid w:val="0059597A"/>
    <w:rsid w:val="00595D6C"/>
    <w:rsid w:val="00597735"/>
    <w:rsid w:val="005A1010"/>
    <w:rsid w:val="005A25FD"/>
    <w:rsid w:val="005A2D4C"/>
    <w:rsid w:val="005A4DB0"/>
    <w:rsid w:val="005A5B75"/>
    <w:rsid w:val="005A6517"/>
    <w:rsid w:val="005B25B7"/>
    <w:rsid w:val="005B5497"/>
    <w:rsid w:val="005B6D2B"/>
    <w:rsid w:val="005C0806"/>
    <w:rsid w:val="005C2241"/>
    <w:rsid w:val="005C4A0A"/>
    <w:rsid w:val="005D2141"/>
    <w:rsid w:val="005D3B56"/>
    <w:rsid w:val="005D564B"/>
    <w:rsid w:val="005E2F97"/>
    <w:rsid w:val="005E6004"/>
    <w:rsid w:val="005F154D"/>
    <w:rsid w:val="005F34A4"/>
    <w:rsid w:val="005F4E5C"/>
    <w:rsid w:val="005F5E3C"/>
    <w:rsid w:val="006000FC"/>
    <w:rsid w:val="00601992"/>
    <w:rsid w:val="00601A96"/>
    <w:rsid w:val="00604FFF"/>
    <w:rsid w:val="00605422"/>
    <w:rsid w:val="006111AB"/>
    <w:rsid w:val="00614171"/>
    <w:rsid w:val="006141E6"/>
    <w:rsid w:val="006228F1"/>
    <w:rsid w:val="00625757"/>
    <w:rsid w:val="00625DD2"/>
    <w:rsid w:val="0062641A"/>
    <w:rsid w:val="00631AA4"/>
    <w:rsid w:val="006365AD"/>
    <w:rsid w:val="006421DF"/>
    <w:rsid w:val="00642EA7"/>
    <w:rsid w:val="006447B4"/>
    <w:rsid w:val="0065758C"/>
    <w:rsid w:val="00663772"/>
    <w:rsid w:val="00665D8C"/>
    <w:rsid w:val="00665E24"/>
    <w:rsid w:val="00666457"/>
    <w:rsid w:val="0067126E"/>
    <w:rsid w:val="006752A3"/>
    <w:rsid w:val="00675CC5"/>
    <w:rsid w:val="006804E6"/>
    <w:rsid w:val="006806EC"/>
    <w:rsid w:val="00680899"/>
    <w:rsid w:val="00687FA3"/>
    <w:rsid w:val="00691297"/>
    <w:rsid w:val="00693959"/>
    <w:rsid w:val="006951CC"/>
    <w:rsid w:val="00695746"/>
    <w:rsid w:val="0069610A"/>
    <w:rsid w:val="00697026"/>
    <w:rsid w:val="006978C6"/>
    <w:rsid w:val="006A1920"/>
    <w:rsid w:val="006A3349"/>
    <w:rsid w:val="006A6AD0"/>
    <w:rsid w:val="006B0482"/>
    <w:rsid w:val="006B1A3D"/>
    <w:rsid w:val="006B22E7"/>
    <w:rsid w:val="006C2D70"/>
    <w:rsid w:val="006C4AC8"/>
    <w:rsid w:val="006C740F"/>
    <w:rsid w:val="006C7425"/>
    <w:rsid w:val="006D20E2"/>
    <w:rsid w:val="006D4C22"/>
    <w:rsid w:val="006D5702"/>
    <w:rsid w:val="006E476B"/>
    <w:rsid w:val="006E58D2"/>
    <w:rsid w:val="006E7147"/>
    <w:rsid w:val="006F314C"/>
    <w:rsid w:val="006F3299"/>
    <w:rsid w:val="006F566D"/>
    <w:rsid w:val="006F7320"/>
    <w:rsid w:val="00701D95"/>
    <w:rsid w:val="00703DC7"/>
    <w:rsid w:val="00705AA2"/>
    <w:rsid w:val="00707305"/>
    <w:rsid w:val="00711976"/>
    <w:rsid w:val="00712297"/>
    <w:rsid w:val="0072072A"/>
    <w:rsid w:val="00722F37"/>
    <w:rsid w:val="007302A5"/>
    <w:rsid w:val="0073324A"/>
    <w:rsid w:val="00743D06"/>
    <w:rsid w:val="007445B8"/>
    <w:rsid w:val="00745DE1"/>
    <w:rsid w:val="00746443"/>
    <w:rsid w:val="00747B56"/>
    <w:rsid w:val="00752ECA"/>
    <w:rsid w:val="00755600"/>
    <w:rsid w:val="0075607F"/>
    <w:rsid w:val="007621ED"/>
    <w:rsid w:val="00766003"/>
    <w:rsid w:val="00766447"/>
    <w:rsid w:val="00767037"/>
    <w:rsid w:val="0076760B"/>
    <w:rsid w:val="00770840"/>
    <w:rsid w:val="007708E8"/>
    <w:rsid w:val="0077232C"/>
    <w:rsid w:val="007747BF"/>
    <w:rsid w:val="00781CE3"/>
    <w:rsid w:val="007821ED"/>
    <w:rsid w:val="00786A85"/>
    <w:rsid w:val="007906E6"/>
    <w:rsid w:val="00795A23"/>
    <w:rsid w:val="00795B0B"/>
    <w:rsid w:val="007A14D7"/>
    <w:rsid w:val="007A1DB0"/>
    <w:rsid w:val="007A3806"/>
    <w:rsid w:val="007A3E03"/>
    <w:rsid w:val="007A5174"/>
    <w:rsid w:val="007A6B2A"/>
    <w:rsid w:val="007A793D"/>
    <w:rsid w:val="007A7FB4"/>
    <w:rsid w:val="007B1895"/>
    <w:rsid w:val="007B4D8F"/>
    <w:rsid w:val="007B73EF"/>
    <w:rsid w:val="007C3C4C"/>
    <w:rsid w:val="007C5F5D"/>
    <w:rsid w:val="007C71D9"/>
    <w:rsid w:val="007D12FC"/>
    <w:rsid w:val="007D5B2E"/>
    <w:rsid w:val="007E3B7B"/>
    <w:rsid w:val="007E3C85"/>
    <w:rsid w:val="007E4EF7"/>
    <w:rsid w:val="007E7D51"/>
    <w:rsid w:val="007F026A"/>
    <w:rsid w:val="007F22F9"/>
    <w:rsid w:val="007F242D"/>
    <w:rsid w:val="007F7E13"/>
    <w:rsid w:val="0080082E"/>
    <w:rsid w:val="00800B17"/>
    <w:rsid w:val="008016CC"/>
    <w:rsid w:val="00802DF4"/>
    <w:rsid w:val="008123E9"/>
    <w:rsid w:val="00815394"/>
    <w:rsid w:val="00816A39"/>
    <w:rsid w:val="00822271"/>
    <w:rsid w:val="008241C6"/>
    <w:rsid w:val="0082666F"/>
    <w:rsid w:val="00827A4B"/>
    <w:rsid w:val="00827B39"/>
    <w:rsid w:val="00827E0A"/>
    <w:rsid w:val="00833400"/>
    <w:rsid w:val="00833633"/>
    <w:rsid w:val="00833A48"/>
    <w:rsid w:val="00835625"/>
    <w:rsid w:val="0083596D"/>
    <w:rsid w:val="00841620"/>
    <w:rsid w:val="00843EFB"/>
    <w:rsid w:val="00845D4C"/>
    <w:rsid w:val="008507A1"/>
    <w:rsid w:val="00850BDB"/>
    <w:rsid w:val="00851274"/>
    <w:rsid w:val="00853137"/>
    <w:rsid w:val="0085463D"/>
    <w:rsid w:val="008575A6"/>
    <w:rsid w:val="0086087D"/>
    <w:rsid w:val="0086109A"/>
    <w:rsid w:val="00861263"/>
    <w:rsid w:val="00861AAA"/>
    <w:rsid w:val="00861B71"/>
    <w:rsid w:val="00864D21"/>
    <w:rsid w:val="00867A8D"/>
    <w:rsid w:val="00873575"/>
    <w:rsid w:val="0087405A"/>
    <w:rsid w:val="00875368"/>
    <w:rsid w:val="008820FB"/>
    <w:rsid w:val="008837E5"/>
    <w:rsid w:val="00892191"/>
    <w:rsid w:val="00894F26"/>
    <w:rsid w:val="00895CA2"/>
    <w:rsid w:val="008A4AA6"/>
    <w:rsid w:val="008A66CA"/>
    <w:rsid w:val="008B560F"/>
    <w:rsid w:val="008B6262"/>
    <w:rsid w:val="008C2021"/>
    <w:rsid w:val="008C446D"/>
    <w:rsid w:val="008D0BD6"/>
    <w:rsid w:val="008D2F26"/>
    <w:rsid w:val="008D4B3B"/>
    <w:rsid w:val="008D4D2D"/>
    <w:rsid w:val="008D4EDC"/>
    <w:rsid w:val="008D5FE4"/>
    <w:rsid w:val="008E05DB"/>
    <w:rsid w:val="008E210C"/>
    <w:rsid w:val="008E24B1"/>
    <w:rsid w:val="008F2B79"/>
    <w:rsid w:val="008F5081"/>
    <w:rsid w:val="0090453B"/>
    <w:rsid w:val="009051E0"/>
    <w:rsid w:val="009061CB"/>
    <w:rsid w:val="00906223"/>
    <w:rsid w:val="00907014"/>
    <w:rsid w:val="0091029F"/>
    <w:rsid w:val="0091170D"/>
    <w:rsid w:val="0091182B"/>
    <w:rsid w:val="0091221E"/>
    <w:rsid w:val="0091489F"/>
    <w:rsid w:val="00914928"/>
    <w:rsid w:val="00922AC9"/>
    <w:rsid w:val="00924014"/>
    <w:rsid w:val="00926BAD"/>
    <w:rsid w:val="00926DF3"/>
    <w:rsid w:val="00926FF0"/>
    <w:rsid w:val="00933B61"/>
    <w:rsid w:val="009374D6"/>
    <w:rsid w:val="00940EE7"/>
    <w:rsid w:val="0094256B"/>
    <w:rsid w:val="00942B5B"/>
    <w:rsid w:val="00943161"/>
    <w:rsid w:val="00960994"/>
    <w:rsid w:val="00964F1D"/>
    <w:rsid w:val="009668B4"/>
    <w:rsid w:val="00967A16"/>
    <w:rsid w:val="00975EB5"/>
    <w:rsid w:val="00976A67"/>
    <w:rsid w:val="009772F3"/>
    <w:rsid w:val="00977514"/>
    <w:rsid w:val="00981A3D"/>
    <w:rsid w:val="00984081"/>
    <w:rsid w:val="009877A5"/>
    <w:rsid w:val="0099013B"/>
    <w:rsid w:val="0099094B"/>
    <w:rsid w:val="00993693"/>
    <w:rsid w:val="00993777"/>
    <w:rsid w:val="009938BE"/>
    <w:rsid w:val="0099675A"/>
    <w:rsid w:val="0099713F"/>
    <w:rsid w:val="009A410A"/>
    <w:rsid w:val="009B10D5"/>
    <w:rsid w:val="009B3F5E"/>
    <w:rsid w:val="009B4583"/>
    <w:rsid w:val="009B4689"/>
    <w:rsid w:val="009B4985"/>
    <w:rsid w:val="009B54DF"/>
    <w:rsid w:val="009B561F"/>
    <w:rsid w:val="009C63F6"/>
    <w:rsid w:val="009D2092"/>
    <w:rsid w:val="009D76EB"/>
    <w:rsid w:val="009E095A"/>
    <w:rsid w:val="009E0ABF"/>
    <w:rsid w:val="009E6B15"/>
    <w:rsid w:val="009E6EC6"/>
    <w:rsid w:val="009E7981"/>
    <w:rsid w:val="009F1BF8"/>
    <w:rsid w:val="009F2ED7"/>
    <w:rsid w:val="009F3E22"/>
    <w:rsid w:val="009F6A59"/>
    <w:rsid w:val="009F7771"/>
    <w:rsid w:val="00A005A2"/>
    <w:rsid w:val="00A03514"/>
    <w:rsid w:val="00A04024"/>
    <w:rsid w:val="00A0425B"/>
    <w:rsid w:val="00A05740"/>
    <w:rsid w:val="00A104A9"/>
    <w:rsid w:val="00A1143A"/>
    <w:rsid w:val="00A14E24"/>
    <w:rsid w:val="00A210E4"/>
    <w:rsid w:val="00A222A3"/>
    <w:rsid w:val="00A22C97"/>
    <w:rsid w:val="00A2363C"/>
    <w:rsid w:val="00A252DD"/>
    <w:rsid w:val="00A30CD0"/>
    <w:rsid w:val="00A334FB"/>
    <w:rsid w:val="00A355F6"/>
    <w:rsid w:val="00A46209"/>
    <w:rsid w:val="00A46E6E"/>
    <w:rsid w:val="00A51C06"/>
    <w:rsid w:val="00A52567"/>
    <w:rsid w:val="00A52A91"/>
    <w:rsid w:val="00A53575"/>
    <w:rsid w:val="00A55001"/>
    <w:rsid w:val="00A558FB"/>
    <w:rsid w:val="00A62A84"/>
    <w:rsid w:val="00A63639"/>
    <w:rsid w:val="00A651B0"/>
    <w:rsid w:val="00A7214C"/>
    <w:rsid w:val="00A75A66"/>
    <w:rsid w:val="00A846B4"/>
    <w:rsid w:val="00A864B8"/>
    <w:rsid w:val="00A86A65"/>
    <w:rsid w:val="00A86FDF"/>
    <w:rsid w:val="00A902C4"/>
    <w:rsid w:val="00A908FD"/>
    <w:rsid w:val="00A91BF7"/>
    <w:rsid w:val="00A92DD9"/>
    <w:rsid w:val="00A936C0"/>
    <w:rsid w:val="00A96122"/>
    <w:rsid w:val="00AA0CFA"/>
    <w:rsid w:val="00AA36CD"/>
    <w:rsid w:val="00AA5E78"/>
    <w:rsid w:val="00AA6885"/>
    <w:rsid w:val="00AB0834"/>
    <w:rsid w:val="00AB1510"/>
    <w:rsid w:val="00AB5D84"/>
    <w:rsid w:val="00AB66FB"/>
    <w:rsid w:val="00AC0974"/>
    <w:rsid w:val="00AC7515"/>
    <w:rsid w:val="00AD113F"/>
    <w:rsid w:val="00AE1737"/>
    <w:rsid w:val="00AE327F"/>
    <w:rsid w:val="00AE35A1"/>
    <w:rsid w:val="00AE4886"/>
    <w:rsid w:val="00AE4959"/>
    <w:rsid w:val="00AE4C6B"/>
    <w:rsid w:val="00AE6C8E"/>
    <w:rsid w:val="00AF26A9"/>
    <w:rsid w:val="00AF7525"/>
    <w:rsid w:val="00B03583"/>
    <w:rsid w:val="00B21319"/>
    <w:rsid w:val="00B214AA"/>
    <w:rsid w:val="00B221DD"/>
    <w:rsid w:val="00B24E9D"/>
    <w:rsid w:val="00B2529D"/>
    <w:rsid w:val="00B30F62"/>
    <w:rsid w:val="00B43902"/>
    <w:rsid w:val="00B66088"/>
    <w:rsid w:val="00B67006"/>
    <w:rsid w:val="00B70FD9"/>
    <w:rsid w:val="00B72436"/>
    <w:rsid w:val="00B75B88"/>
    <w:rsid w:val="00B7655B"/>
    <w:rsid w:val="00B906D6"/>
    <w:rsid w:val="00B907FB"/>
    <w:rsid w:val="00B92235"/>
    <w:rsid w:val="00BA30B5"/>
    <w:rsid w:val="00BB3FAD"/>
    <w:rsid w:val="00BB6B18"/>
    <w:rsid w:val="00BB6B4B"/>
    <w:rsid w:val="00BC4637"/>
    <w:rsid w:val="00BC6C6E"/>
    <w:rsid w:val="00BD00FC"/>
    <w:rsid w:val="00BD5B29"/>
    <w:rsid w:val="00BE2AD3"/>
    <w:rsid w:val="00BE6D81"/>
    <w:rsid w:val="00BE75C1"/>
    <w:rsid w:val="00C02B50"/>
    <w:rsid w:val="00C04224"/>
    <w:rsid w:val="00C10D89"/>
    <w:rsid w:val="00C122C6"/>
    <w:rsid w:val="00C15209"/>
    <w:rsid w:val="00C16F88"/>
    <w:rsid w:val="00C206DE"/>
    <w:rsid w:val="00C20F64"/>
    <w:rsid w:val="00C23186"/>
    <w:rsid w:val="00C309B4"/>
    <w:rsid w:val="00C3173E"/>
    <w:rsid w:val="00C32AF1"/>
    <w:rsid w:val="00C33087"/>
    <w:rsid w:val="00C3432B"/>
    <w:rsid w:val="00C373FC"/>
    <w:rsid w:val="00C41B6C"/>
    <w:rsid w:val="00C41D4F"/>
    <w:rsid w:val="00C41D73"/>
    <w:rsid w:val="00C45142"/>
    <w:rsid w:val="00C464DB"/>
    <w:rsid w:val="00C46B82"/>
    <w:rsid w:val="00C5156F"/>
    <w:rsid w:val="00C525EA"/>
    <w:rsid w:val="00C531F3"/>
    <w:rsid w:val="00C55F1E"/>
    <w:rsid w:val="00C56EB5"/>
    <w:rsid w:val="00C62B10"/>
    <w:rsid w:val="00C63EA6"/>
    <w:rsid w:val="00C64BA7"/>
    <w:rsid w:val="00C64FA7"/>
    <w:rsid w:val="00C664D4"/>
    <w:rsid w:val="00C715C3"/>
    <w:rsid w:val="00C73B37"/>
    <w:rsid w:val="00C77C9C"/>
    <w:rsid w:val="00C82A75"/>
    <w:rsid w:val="00C8604A"/>
    <w:rsid w:val="00C86343"/>
    <w:rsid w:val="00C9249D"/>
    <w:rsid w:val="00C924AB"/>
    <w:rsid w:val="00C93B6F"/>
    <w:rsid w:val="00C9690A"/>
    <w:rsid w:val="00C96BF5"/>
    <w:rsid w:val="00C97E71"/>
    <w:rsid w:val="00CA0DFC"/>
    <w:rsid w:val="00CA31E0"/>
    <w:rsid w:val="00CA71AF"/>
    <w:rsid w:val="00CA7729"/>
    <w:rsid w:val="00CB2881"/>
    <w:rsid w:val="00CB36D6"/>
    <w:rsid w:val="00CB5930"/>
    <w:rsid w:val="00CB7D1C"/>
    <w:rsid w:val="00CC1D98"/>
    <w:rsid w:val="00CC1FE4"/>
    <w:rsid w:val="00CC40E4"/>
    <w:rsid w:val="00CC5FE6"/>
    <w:rsid w:val="00CC617A"/>
    <w:rsid w:val="00CD2BC3"/>
    <w:rsid w:val="00CD3B96"/>
    <w:rsid w:val="00CD4FB0"/>
    <w:rsid w:val="00CD7144"/>
    <w:rsid w:val="00CD7D73"/>
    <w:rsid w:val="00CE3214"/>
    <w:rsid w:val="00CE4C3C"/>
    <w:rsid w:val="00CE5365"/>
    <w:rsid w:val="00CE62DB"/>
    <w:rsid w:val="00CE65AA"/>
    <w:rsid w:val="00CF3B16"/>
    <w:rsid w:val="00CF5421"/>
    <w:rsid w:val="00D01A41"/>
    <w:rsid w:val="00D0219E"/>
    <w:rsid w:val="00D04417"/>
    <w:rsid w:val="00D13F0D"/>
    <w:rsid w:val="00D146CF"/>
    <w:rsid w:val="00D16893"/>
    <w:rsid w:val="00D16CAA"/>
    <w:rsid w:val="00D175E4"/>
    <w:rsid w:val="00D2106E"/>
    <w:rsid w:val="00D21A84"/>
    <w:rsid w:val="00D21CDB"/>
    <w:rsid w:val="00D23B70"/>
    <w:rsid w:val="00D30409"/>
    <w:rsid w:val="00D3212B"/>
    <w:rsid w:val="00D33A9D"/>
    <w:rsid w:val="00D348B9"/>
    <w:rsid w:val="00D351C4"/>
    <w:rsid w:val="00D35D46"/>
    <w:rsid w:val="00D3714E"/>
    <w:rsid w:val="00D3789E"/>
    <w:rsid w:val="00D40213"/>
    <w:rsid w:val="00D41A80"/>
    <w:rsid w:val="00D430AA"/>
    <w:rsid w:val="00D43DF5"/>
    <w:rsid w:val="00D448C9"/>
    <w:rsid w:val="00D4609C"/>
    <w:rsid w:val="00D512D9"/>
    <w:rsid w:val="00D541E0"/>
    <w:rsid w:val="00D55143"/>
    <w:rsid w:val="00D561C6"/>
    <w:rsid w:val="00D60292"/>
    <w:rsid w:val="00D61886"/>
    <w:rsid w:val="00D63589"/>
    <w:rsid w:val="00D67623"/>
    <w:rsid w:val="00D712C2"/>
    <w:rsid w:val="00D72DDB"/>
    <w:rsid w:val="00D733DA"/>
    <w:rsid w:val="00D747CF"/>
    <w:rsid w:val="00D74E9D"/>
    <w:rsid w:val="00D76201"/>
    <w:rsid w:val="00D7654A"/>
    <w:rsid w:val="00D76E41"/>
    <w:rsid w:val="00D94B72"/>
    <w:rsid w:val="00DB1DB0"/>
    <w:rsid w:val="00DB223C"/>
    <w:rsid w:val="00DB24B8"/>
    <w:rsid w:val="00DC1274"/>
    <w:rsid w:val="00DC13E7"/>
    <w:rsid w:val="00DC1BAC"/>
    <w:rsid w:val="00DC2DE4"/>
    <w:rsid w:val="00DC59C5"/>
    <w:rsid w:val="00DD4A28"/>
    <w:rsid w:val="00DD653E"/>
    <w:rsid w:val="00DE16CC"/>
    <w:rsid w:val="00DE410B"/>
    <w:rsid w:val="00DF04C7"/>
    <w:rsid w:val="00DF04F7"/>
    <w:rsid w:val="00DF5868"/>
    <w:rsid w:val="00DF704C"/>
    <w:rsid w:val="00DF70B5"/>
    <w:rsid w:val="00DF736B"/>
    <w:rsid w:val="00E01763"/>
    <w:rsid w:val="00E04D22"/>
    <w:rsid w:val="00E04EE0"/>
    <w:rsid w:val="00E0563F"/>
    <w:rsid w:val="00E074AF"/>
    <w:rsid w:val="00E07E7F"/>
    <w:rsid w:val="00E14488"/>
    <w:rsid w:val="00E15908"/>
    <w:rsid w:val="00E16219"/>
    <w:rsid w:val="00E2245D"/>
    <w:rsid w:val="00E227CA"/>
    <w:rsid w:val="00E23F7B"/>
    <w:rsid w:val="00E24B49"/>
    <w:rsid w:val="00E26C44"/>
    <w:rsid w:val="00E32D70"/>
    <w:rsid w:val="00E365CC"/>
    <w:rsid w:val="00E403AC"/>
    <w:rsid w:val="00E42928"/>
    <w:rsid w:val="00E43408"/>
    <w:rsid w:val="00E44395"/>
    <w:rsid w:val="00E51A1B"/>
    <w:rsid w:val="00E51F18"/>
    <w:rsid w:val="00E530A4"/>
    <w:rsid w:val="00E540BB"/>
    <w:rsid w:val="00E55207"/>
    <w:rsid w:val="00E578CA"/>
    <w:rsid w:val="00E60F07"/>
    <w:rsid w:val="00E637C8"/>
    <w:rsid w:val="00E641A8"/>
    <w:rsid w:val="00E641E3"/>
    <w:rsid w:val="00E73E5A"/>
    <w:rsid w:val="00E80D6F"/>
    <w:rsid w:val="00E81F92"/>
    <w:rsid w:val="00E8312D"/>
    <w:rsid w:val="00E83A9A"/>
    <w:rsid w:val="00E862C2"/>
    <w:rsid w:val="00E916BA"/>
    <w:rsid w:val="00E9251D"/>
    <w:rsid w:val="00E92A98"/>
    <w:rsid w:val="00E92F83"/>
    <w:rsid w:val="00E9506C"/>
    <w:rsid w:val="00E97630"/>
    <w:rsid w:val="00EA0260"/>
    <w:rsid w:val="00EA26A5"/>
    <w:rsid w:val="00EA2EBC"/>
    <w:rsid w:val="00EA4852"/>
    <w:rsid w:val="00EA5D46"/>
    <w:rsid w:val="00EA6D06"/>
    <w:rsid w:val="00EB18D8"/>
    <w:rsid w:val="00EB1D65"/>
    <w:rsid w:val="00EC4A03"/>
    <w:rsid w:val="00EC58EA"/>
    <w:rsid w:val="00ED04EC"/>
    <w:rsid w:val="00ED1514"/>
    <w:rsid w:val="00ED471F"/>
    <w:rsid w:val="00ED4B18"/>
    <w:rsid w:val="00ED4D3F"/>
    <w:rsid w:val="00ED6E7B"/>
    <w:rsid w:val="00EE27A1"/>
    <w:rsid w:val="00EE32EA"/>
    <w:rsid w:val="00EE3FBC"/>
    <w:rsid w:val="00EF0EBE"/>
    <w:rsid w:val="00EF7B88"/>
    <w:rsid w:val="00F0057B"/>
    <w:rsid w:val="00F01A0F"/>
    <w:rsid w:val="00F05352"/>
    <w:rsid w:val="00F1241D"/>
    <w:rsid w:val="00F1331A"/>
    <w:rsid w:val="00F1422F"/>
    <w:rsid w:val="00F208ED"/>
    <w:rsid w:val="00F21F2B"/>
    <w:rsid w:val="00F2552C"/>
    <w:rsid w:val="00F2653B"/>
    <w:rsid w:val="00F30723"/>
    <w:rsid w:val="00F320BC"/>
    <w:rsid w:val="00F32C6F"/>
    <w:rsid w:val="00F35439"/>
    <w:rsid w:val="00F3623F"/>
    <w:rsid w:val="00F40B1C"/>
    <w:rsid w:val="00F46EF1"/>
    <w:rsid w:val="00F52119"/>
    <w:rsid w:val="00F6158B"/>
    <w:rsid w:val="00F64CB4"/>
    <w:rsid w:val="00F667DC"/>
    <w:rsid w:val="00F67C2D"/>
    <w:rsid w:val="00F73D95"/>
    <w:rsid w:val="00F73F56"/>
    <w:rsid w:val="00F76125"/>
    <w:rsid w:val="00F76D57"/>
    <w:rsid w:val="00F866AE"/>
    <w:rsid w:val="00F86D79"/>
    <w:rsid w:val="00F873B5"/>
    <w:rsid w:val="00F87A3B"/>
    <w:rsid w:val="00F969C5"/>
    <w:rsid w:val="00F97DC8"/>
    <w:rsid w:val="00FA0641"/>
    <w:rsid w:val="00FA1003"/>
    <w:rsid w:val="00FA38E8"/>
    <w:rsid w:val="00FA3FA7"/>
    <w:rsid w:val="00FA4125"/>
    <w:rsid w:val="00FA5C59"/>
    <w:rsid w:val="00FA6CFA"/>
    <w:rsid w:val="00FA7280"/>
    <w:rsid w:val="00FA7430"/>
    <w:rsid w:val="00FB17DD"/>
    <w:rsid w:val="00FB40B2"/>
    <w:rsid w:val="00FB46E0"/>
    <w:rsid w:val="00FC1A45"/>
    <w:rsid w:val="00FC40C3"/>
    <w:rsid w:val="00FC600A"/>
    <w:rsid w:val="00FC6399"/>
    <w:rsid w:val="00FC78A6"/>
    <w:rsid w:val="00FD6F3F"/>
    <w:rsid w:val="00FE1256"/>
    <w:rsid w:val="00FE2ECF"/>
    <w:rsid w:val="00FE456C"/>
    <w:rsid w:val="00FE7050"/>
    <w:rsid w:val="00FE755E"/>
    <w:rsid w:val="00FF3178"/>
    <w:rsid w:val="00FF3D55"/>
    <w:rsid w:val="00FF54D9"/>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character" w:styleId="Hyperlink">
    <w:name w:val="Hyperlink"/>
    <w:basedOn w:val="DefaultParagraphFont"/>
    <w:rsid w:val="00E24B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character" w:styleId="Hyperlink">
    <w:name w:val="Hyperlink"/>
    <w:basedOn w:val="DefaultParagraphFont"/>
    <w:rsid w:val="00E24B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4768">
      <w:bodyDiv w:val="1"/>
      <w:marLeft w:val="0"/>
      <w:marRight w:val="0"/>
      <w:marTop w:val="0"/>
      <w:marBottom w:val="0"/>
      <w:divBdr>
        <w:top w:val="none" w:sz="0" w:space="0" w:color="auto"/>
        <w:left w:val="none" w:sz="0" w:space="0" w:color="auto"/>
        <w:bottom w:val="none" w:sz="0" w:space="0" w:color="auto"/>
        <w:right w:val="none" w:sz="0" w:space="0" w:color="auto"/>
      </w:divBdr>
    </w:div>
    <w:div w:id="94254055">
      <w:bodyDiv w:val="1"/>
      <w:marLeft w:val="0"/>
      <w:marRight w:val="0"/>
      <w:marTop w:val="0"/>
      <w:marBottom w:val="0"/>
      <w:divBdr>
        <w:top w:val="none" w:sz="0" w:space="0" w:color="auto"/>
        <w:left w:val="none" w:sz="0" w:space="0" w:color="auto"/>
        <w:bottom w:val="none" w:sz="0" w:space="0" w:color="auto"/>
        <w:right w:val="none" w:sz="0" w:space="0" w:color="auto"/>
      </w:divBdr>
    </w:div>
    <w:div w:id="220604451">
      <w:bodyDiv w:val="1"/>
      <w:marLeft w:val="0"/>
      <w:marRight w:val="0"/>
      <w:marTop w:val="0"/>
      <w:marBottom w:val="0"/>
      <w:divBdr>
        <w:top w:val="none" w:sz="0" w:space="0" w:color="auto"/>
        <w:left w:val="none" w:sz="0" w:space="0" w:color="auto"/>
        <w:bottom w:val="none" w:sz="0" w:space="0" w:color="auto"/>
        <w:right w:val="none" w:sz="0" w:space="0" w:color="auto"/>
      </w:divBdr>
    </w:div>
    <w:div w:id="880745757">
      <w:bodyDiv w:val="1"/>
      <w:marLeft w:val="0"/>
      <w:marRight w:val="0"/>
      <w:marTop w:val="0"/>
      <w:marBottom w:val="0"/>
      <w:divBdr>
        <w:top w:val="none" w:sz="0" w:space="0" w:color="auto"/>
        <w:left w:val="none" w:sz="0" w:space="0" w:color="auto"/>
        <w:bottom w:val="none" w:sz="0" w:space="0" w:color="auto"/>
        <w:right w:val="none" w:sz="0" w:space="0" w:color="auto"/>
      </w:divBdr>
    </w:div>
    <w:div w:id="1156260791">
      <w:bodyDiv w:val="1"/>
      <w:marLeft w:val="0"/>
      <w:marRight w:val="0"/>
      <w:marTop w:val="0"/>
      <w:marBottom w:val="0"/>
      <w:divBdr>
        <w:top w:val="none" w:sz="0" w:space="0" w:color="auto"/>
        <w:left w:val="none" w:sz="0" w:space="0" w:color="auto"/>
        <w:bottom w:val="none" w:sz="0" w:space="0" w:color="auto"/>
        <w:right w:val="none" w:sz="0" w:space="0" w:color="auto"/>
      </w:divBdr>
    </w:div>
    <w:div w:id="1262030073">
      <w:bodyDiv w:val="1"/>
      <w:marLeft w:val="0"/>
      <w:marRight w:val="0"/>
      <w:marTop w:val="0"/>
      <w:marBottom w:val="0"/>
      <w:divBdr>
        <w:top w:val="none" w:sz="0" w:space="0" w:color="auto"/>
        <w:left w:val="none" w:sz="0" w:space="0" w:color="auto"/>
        <w:bottom w:val="none" w:sz="0" w:space="0" w:color="auto"/>
        <w:right w:val="none" w:sz="0" w:space="0" w:color="auto"/>
      </w:divBdr>
    </w:div>
    <w:div w:id="1459447079">
      <w:bodyDiv w:val="1"/>
      <w:marLeft w:val="0"/>
      <w:marRight w:val="0"/>
      <w:marTop w:val="0"/>
      <w:marBottom w:val="0"/>
      <w:divBdr>
        <w:top w:val="none" w:sz="0" w:space="0" w:color="auto"/>
        <w:left w:val="none" w:sz="0" w:space="0" w:color="auto"/>
        <w:bottom w:val="none" w:sz="0" w:space="0" w:color="auto"/>
        <w:right w:val="none" w:sz="0" w:space="0" w:color="auto"/>
      </w:divBdr>
    </w:div>
    <w:div w:id="1497846682">
      <w:bodyDiv w:val="1"/>
      <w:marLeft w:val="0"/>
      <w:marRight w:val="0"/>
      <w:marTop w:val="0"/>
      <w:marBottom w:val="0"/>
      <w:divBdr>
        <w:top w:val="none" w:sz="0" w:space="0" w:color="auto"/>
        <w:left w:val="none" w:sz="0" w:space="0" w:color="auto"/>
        <w:bottom w:val="none" w:sz="0" w:space="0" w:color="auto"/>
        <w:right w:val="none" w:sz="0" w:space="0" w:color="auto"/>
      </w:divBdr>
    </w:div>
    <w:div w:id="1571385362">
      <w:bodyDiv w:val="1"/>
      <w:marLeft w:val="0"/>
      <w:marRight w:val="0"/>
      <w:marTop w:val="0"/>
      <w:marBottom w:val="0"/>
      <w:divBdr>
        <w:top w:val="none" w:sz="0" w:space="0" w:color="auto"/>
        <w:left w:val="none" w:sz="0" w:space="0" w:color="auto"/>
        <w:bottom w:val="none" w:sz="0" w:space="0" w:color="auto"/>
        <w:right w:val="none" w:sz="0" w:space="0" w:color="auto"/>
      </w:divBdr>
    </w:div>
    <w:div w:id="192433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www.puc.pa.gov" TargetMode="Externa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1A05D-FDD4-4361-BDBC-B30B69CC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UGI UTILITIES, INC</vt:lpstr>
    </vt:vector>
  </TitlesOfParts>
  <Company>PA PUC</Company>
  <LinksUpToDate>false</LinksUpToDate>
  <CharactersWithSpaces>12517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UGI UTILITIES, INC</dc:title>
  <dc:creator>DSA</dc:creator>
  <cp:lastModifiedBy>Administrator</cp:lastModifiedBy>
  <cp:revision>8</cp:revision>
  <cp:lastPrinted>2015-04-22T15:49:00Z</cp:lastPrinted>
  <dcterms:created xsi:type="dcterms:W3CDTF">2017-01-19T13:18:00Z</dcterms:created>
  <dcterms:modified xsi:type="dcterms:W3CDTF">2017-03-06T19:44:00Z</dcterms:modified>
</cp:coreProperties>
</file>