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633" w:rsidRPr="00845633" w:rsidRDefault="00845633" w:rsidP="008257F3">
      <w:pPr>
        <w:tabs>
          <w:tab w:val="center" w:pos="4680"/>
        </w:tabs>
        <w:suppressAutoHyphens/>
        <w:spacing w:before="0" w:after="0" w:line="240" w:lineRule="auto"/>
        <w:jc w:val="center"/>
        <w:rPr>
          <w:b/>
          <w:sz w:val="26"/>
          <w:szCs w:val="26"/>
        </w:rPr>
      </w:pPr>
      <w:r w:rsidRPr="00845633">
        <w:rPr>
          <w:b/>
          <w:sz w:val="26"/>
          <w:szCs w:val="26"/>
        </w:rPr>
        <w:t>PENNSYLVANIA</w:t>
      </w:r>
    </w:p>
    <w:p w:rsidR="00845633" w:rsidRPr="00845633" w:rsidRDefault="00845633" w:rsidP="008257F3">
      <w:pPr>
        <w:tabs>
          <w:tab w:val="center" w:pos="4680"/>
        </w:tabs>
        <w:suppressAutoHyphens/>
        <w:spacing w:before="0" w:after="0" w:line="240" w:lineRule="auto"/>
        <w:jc w:val="center"/>
        <w:rPr>
          <w:sz w:val="26"/>
          <w:szCs w:val="26"/>
        </w:rPr>
      </w:pPr>
      <w:r w:rsidRPr="00845633">
        <w:rPr>
          <w:b/>
          <w:sz w:val="26"/>
          <w:szCs w:val="26"/>
        </w:rPr>
        <w:t>PUBLIC UTILITY COMMISSION</w:t>
      </w:r>
    </w:p>
    <w:p w:rsidR="00684ADF" w:rsidRDefault="00845633" w:rsidP="008257F3">
      <w:pPr>
        <w:tabs>
          <w:tab w:val="center" w:pos="4680"/>
        </w:tabs>
        <w:suppressAutoHyphens/>
        <w:spacing w:before="0" w:after="0" w:line="240" w:lineRule="auto"/>
        <w:jc w:val="center"/>
        <w:rPr>
          <w:sz w:val="26"/>
          <w:szCs w:val="26"/>
        </w:rPr>
      </w:pPr>
      <w:r w:rsidRPr="00845633">
        <w:rPr>
          <w:b/>
          <w:sz w:val="26"/>
          <w:szCs w:val="26"/>
        </w:rPr>
        <w:t>Harrisburg, PA 17105-3265</w:t>
      </w:r>
    </w:p>
    <w:p w:rsidR="00684ADF" w:rsidRPr="004801DF" w:rsidRDefault="00684ADF" w:rsidP="008257F3">
      <w:pPr>
        <w:tabs>
          <w:tab w:val="center" w:pos="4680"/>
        </w:tabs>
        <w:suppressAutoHyphens/>
        <w:spacing w:before="0" w:after="0" w:line="240" w:lineRule="auto"/>
        <w:jc w:val="center"/>
        <w:rPr>
          <w:sz w:val="26"/>
          <w:szCs w:val="26"/>
        </w:rPr>
      </w:pPr>
    </w:p>
    <w:p w:rsidR="00684ADF" w:rsidRPr="004801DF" w:rsidRDefault="00684ADF" w:rsidP="008257F3">
      <w:pPr>
        <w:spacing w:before="0" w:after="0" w:line="240" w:lineRule="auto"/>
        <w:rPr>
          <w:sz w:val="26"/>
          <w:szCs w:val="26"/>
        </w:rPr>
      </w:pPr>
      <w:r w:rsidRPr="004801DF">
        <w:rPr>
          <w:sz w:val="26"/>
          <w:szCs w:val="26"/>
        </w:rPr>
        <w:tab/>
      </w:r>
      <w:r w:rsidRPr="004801DF">
        <w:rPr>
          <w:sz w:val="26"/>
          <w:szCs w:val="26"/>
        </w:rPr>
        <w:tab/>
      </w:r>
      <w:bookmarkStart w:id="0" w:name="_GoBack"/>
      <w:bookmarkEnd w:id="0"/>
      <w:r w:rsidRPr="004801DF">
        <w:rPr>
          <w:sz w:val="26"/>
          <w:szCs w:val="26"/>
        </w:rPr>
        <w:tab/>
      </w:r>
      <w:r w:rsidRPr="004801DF">
        <w:rPr>
          <w:sz w:val="26"/>
          <w:szCs w:val="26"/>
        </w:rPr>
        <w:tab/>
      </w:r>
      <w:r w:rsidRPr="004801DF">
        <w:rPr>
          <w:sz w:val="26"/>
          <w:szCs w:val="26"/>
        </w:rPr>
        <w:tab/>
      </w:r>
      <w:r w:rsidRPr="004801DF">
        <w:rPr>
          <w:sz w:val="26"/>
          <w:szCs w:val="26"/>
        </w:rPr>
        <w:tab/>
      </w:r>
      <w:r>
        <w:rPr>
          <w:sz w:val="26"/>
          <w:szCs w:val="26"/>
        </w:rPr>
        <w:t xml:space="preserve">     </w:t>
      </w:r>
      <w:r w:rsidRPr="004801DF">
        <w:rPr>
          <w:sz w:val="26"/>
          <w:szCs w:val="26"/>
        </w:rPr>
        <w:t>Public Meeting held February 9, 2017</w:t>
      </w:r>
    </w:p>
    <w:p w:rsidR="00684ADF" w:rsidRPr="004801DF" w:rsidRDefault="00684ADF" w:rsidP="008257F3">
      <w:pPr>
        <w:spacing w:before="0" w:after="0" w:line="240" w:lineRule="auto"/>
        <w:rPr>
          <w:sz w:val="26"/>
          <w:szCs w:val="26"/>
        </w:rPr>
      </w:pPr>
    </w:p>
    <w:p w:rsidR="00684ADF" w:rsidRPr="004801DF" w:rsidRDefault="00684ADF" w:rsidP="008257F3">
      <w:pPr>
        <w:spacing w:before="0" w:after="0" w:line="240" w:lineRule="auto"/>
        <w:rPr>
          <w:sz w:val="26"/>
          <w:szCs w:val="26"/>
        </w:rPr>
      </w:pPr>
      <w:r w:rsidRPr="004801DF">
        <w:rPr>
          <w:sz w:val="26"/>
          <w:szCs w:val="26"/>
        </w:rPr>
        <w:t>Commissioners Present:</w:t>
      </w:r>
    </w:p>
    <w:p w:rsidR="00684ADF" w:rsidRDefault="00684ADF" w:rsidP="008257F3">
      <w:pPr>
        <w:tabs>
          <w:tab w:val="left" w:pos="705"/>
        </w:tabs>
        <w:spacing w:before="0" w:after="0" w:line="240" w:lineRule="auto"/>
        <w:ind w:firstLine="720"/>
        <w:rPr>
          <w:spacing w:val="-3"/>
          <w:sz w:val="26"/>
          <w:szCs w:val="26"/>
        </w:rPr>
      </w:pPr>
    </w:p>
    <w:p w:rsidR="00684ADF" w:rsidRPr="00836569" w:rsidRDefault="00684ADF" w:rsidP="008257F3">
      <w:pPr>
        <w:tabs>
          <w:tab w:val="left" w:pos="705"/>
        </w:tabs>
        <w:spacing w:before="0" w:after="0" w:line="240" w:lineRule="auto"/>
        <w:ind w:firstLine="720"/>
        <w:rPr>
          <w:spacing w:val="-3"/>
          <w:sz w:val="26"/>
          <w:szCs w:val="26"/>
        </w:rPr>
      </w:pPr>
      <w:r w:rsidRPr="00663476">
        <w:rPr>
          <w:spacing w:val="-3"/>
          <w:sz w:val="26"/>
          <w:szCs w:val="26"/>
        </w:rPr>
        <w:t>Gladys M. Brown, Chairman</w:t>
      </w:r>
      <w:r>
        <w:rPr>
          <w:sz w:val="26"/>
          <w:szCs w:val="26"/>
        </w:rPr>
        <w:t xml:space="preserve"> </w:t>
      </w:r>
    </w:p>
    <w:p w:rsidR="00684ADF" w:rsidRPr="004801DF" w:rsidRDefault="00684ADF" w:rsidP="008257F3">
      <w:pPr>
        <w:spacing w:before="0" w:after="0" w:line="240" w:lineRule="auto"/>
        <w:ind w:firstLine="720"/>
        <w:rPr>
          <w:bCs/>
          <w:sz w:val="26"/>
          <w:szCs w:val="26"/>
        </w:rPr>
      </w:pPr>
      <w:r w:rsidRPr="004801DF">
        <w:rPr>
          <w:bCs/>
          <w:sz w:val="26"/>
          <w:szCs w:val="26"/>
        </w:rPr>
        <w:t>Andrew G. Place, Vice Chairman</w:t>
      </w:r>
    </w:p>
    <w:p w:rsidR="00684ADF" w:rsidRPr="004801DF" w:rsidRDefault="00684ADF" w:rsidP="008257F3">
      <w:pPr>
        <w:spacing w:before="0" w:after="0" w:line="240" w:lineRule="auto"/>
        <w:ind w:firstLine="720"/>
        <w:rPr>
          <w:bCs/>
          <w:sz w:val="26"/>
          <w:szCs w:val="26"/>
        </w:rPr>
      </w:pPr>
      <w:r w:rsidRPr="004801DF">
        <w:rPr>
          <w:bCs/>
          <w:sz w:val="26"/>
          <w:szCs w:val="26"/>
        </w:rPr>
        <w:t>John F. Coleman, Jr.</w:t>
      </w:r>
      <w:r w:rsidR="00BA5DF9">
        <w:rPr>
          <w:bCs/>
          <w:sz w:val="26"/>
          <w:szCs w:val="26"/>
        </w:rPr>
        <w:t>, Joint Statement</w:t>
      </w:r>
      <w:r w:rsidR="00A17984">
        <w:rPr>
          <w:bCs/>
          <w:sz w:val="26"/>
          <w:szCs w:val="26"/>
        </w:rPr>
        <w:t>, dissenting</w:t>
      </w:r>
    </w:p>
    <w:p w:rsidR="00684ADF" w:rsidRPr="004801DF" w:rsidRDefault="00684ADF" w:rsidP="008257F3">
      <w:pPr>
        <w:spacing w:before="0" w:after="0" w:line="240" w:lineRule="auto"/>
        <w:ind w:firstLine="720"/>
        <w:rPr>
          <w:bCs/>
          <w:sz w:val="26"/>
          <w:szCs w:val="26"/>
        </w:rPr>
      </w:pPr>
      <w:r w:rsidRPr="004801DF">
        <w:rPr>
          <w:bCs/>
          <w:sz w:val="26"/>
          <w:szCs w:val="26"/>
        </w:rPr>
        <w:t>Robert F. Powelson</w:t>
      </w:r>
      <w:r w:rsidR="00BA5DF9">
        <w:rPr>
          <w:bCs/>
          <w:sz w:val="26"/>
          <w:szCs w:val="26"/>
        </w:rPr>
        <w:t>, Joint Statement</w:t>
      </w:r>
      <w:r w:rsidR="00A17984">
        <w:rPr>
          <w:bCs/>
          <w:sz w:val="26"/>
          <w:szCs w:val="26"/>
        </w:rPr>
        <w:t>, dissenting</w:t>
      </w:r>
    </w:p>
    <w:p w:rsidR="00684ADF" w:rsidRPr="004801DF" w:rsidRDefault="00684ADF" w:rsidP="008257F3">
      <w:pPr>
        <w:spacing w:before="0" w:after="0" w:line="240" w:lineRule="auto"/>
        <w:ind w:firstLine="720"/>
        <w:rPr>
          <w:bCs/>
          <w:sz w:val="26"/>
          <w:szCs w:val="26"/>
        </w:rPr>
      </w:pPr>
      <w:r w:rsidRPr="004801DF">
        <w:rPr>
          <w:bCs/>
          <w:sz w:val="26"/>
          <w:szCs w:val="26"/>
        </w:rPr>
        <w:t>David W. Sweet</w:t>
      </w:r>
    </w:p>
    <w:p w:rsidR="00684ADF" w:rsidRDefault="00684ADF" w:rsidP="008257F3">
      <w:pPr>
        <w:pStyle w:val="Default"/>
        <w:rPr>
          <w:color w:val="auto"/>
          <w:sz w:val="26"/>
          <w:szCs w:val="26"/>
        </w:rPr>
      </w:pPr>
    </w:p>
    <w:p w:rsidR="00684ADF" w:rsidRPr="004801DF" w:rsidRDefault="00684ADF" w:rsidP="008257F3">
      <w:pPr>
        <w:pStyle w:val="Default"/>
        <w:rPr>
          <w:sz w:val="26"/>
          <w:szCs w:val="26"/>
        </w:rPr>
      </w:pPr>
    </w:p>
    <w:p w:rsidR="00684ADF" w:rsidRPr="004801DF" w:rsidRDefault="00684ADF" w:rsidP="008257F3">
      <w:pPr>
        <w:pStyle w:val="Default"/>
        <w:tabs>
          <w:tab w:val="left" w:pos="5040"/>
          <w:tab w:val="left" w:pos="7200"/>
        </w:tabs>
        <w:rPr>
          <w:sz w:val="26"/>
          <w:szCs w:val="26"/>
        </w:rPr>
      </w:pPr>
      <w:r w:rsidRPr="004801DF">
        <w:rPr>
          <w:sz w:val="26"/>
          <w:szCs w:val="26"/>
        </w:rPr>
        <w:t xml:space="preserve">Kimekia Mayo </w:t>
      </w:r>
      <w:r w:rsidRPr="004801DF">
        <w:rPr>
          <w:sz w:val="26"/>
          <w:szCs w:val="26"/>
        </w:rPr>
        <w:tab/>
        <w:t xml:space="preserve"> </w:t>
      </w:r>
    </w:p>
    <w:p w:rsidR="00684ADF" w:rsidRPr="004801DF" w:rsidRDefault="00684ADF" w:rsidP="008257F3">
      <w:pPr>
        <w:pStyle w:val="Default"/>
        <w:tabs>
          <w:tab w:val="left" w:pos="5040"/>
          <w:tab w:val="left" w:pos="7200"/>
        </w:tabs>
        <w:rPr>
          <w:sz w:val="26"/>
          <w:szCs w:val="26"/>
        </w:rPr>
      </w:pPr>
      <w:r w:rsidRPr="004801DF">
        <w:rPr>
          <w:sz w:val="26"/>
          <w:szCs w:val="26"/>
        </w:rPr>
        <w:tab/>
        <w:t xml:space="preserve"> </w:t>
      </w:r>
    </w:p>
    <w:p w:rsidR="00684ADF" w:rsidRPr="004801DF" w:rsidRDefault="00684ADF" w:rsidP="008257F3">
      <w:pPr>
        <w:pStyle w:val="Default"/>
        <w:tabs>
          <w:tab w:val="left" w:pos="720"/>
          <w:tab w:val="left" w:pos="5040"/>
          <w:tab w:val="left" w:pos="7200"/>
        </w:tabs>
        <w:rPr>
          <w:sz w:val="26"/>
          <w:szCs w:val="26"/>
        </w:rPr>
      </w:pPr>
      <w:r w:rsidRPr="004801DF">
        <w:rPr>
          <w:sz w:val="26"/>
          <w:szCs w:val="26"/>
        </w:rPr>
        <w:tab/>
        <w:t xml:space="preserve">v. </w:t>
      </w:r>
      <w:r w:rsidRPr="004801DF">
        <w:rPr>
          <w:sz w:val="26"/>
          <w:szCs w:val="26"/>
        </w:rPr>
        <w:tab/>
        <w:t xml:space="preserve"> </w:t>
      </w:r>
      <w:r w:rsidRPr="004801DF">
        <w:rPr>
          <w:sz w:val="26"/>
          <w:szCs w:val="26"/>
        </w:rPr>
        <w:tab/>
        <w:t xml:space="preserve">C-2016-2562263 </w:t>
      </w:r>
    </w:p>
    <w:p w:rsidR="00684ADF" w:rsidRPr="004801DF" w:rsidRDefault="00684ADF" w:rsidP="008257F3">
      <w:pPr>
        <w:pStyle w:val="Default"/>
        <w:tabs>
          <w:tab w:val="left" w:pos="5040"/>
          <w:tab w:val="left" w:pos="7200"/>
        </w:tabs>
        <w:rPr>
          <w:sz w:val="26"/>
          <w:szCs w:val="26"/>
        </w:rPr>
      </w:pPr>
      <w:r w:rsidRPr="004801DF">
        <w:rPr>
          <w:sz w:val="26"/>
          <w:szCs w:val="26"/>
        </w:rPr>
        <w:tab/>
        <w:t xml:space="preserve"> </w:t>
      </w:r>
    </w:p>
    <w:p w:rsidR="00684ADF" w:rsidRPr="004801DF" w:rsidRDefault="00684ADF" w:rsidP="008257F3">
      <w:pPr>
        <w:tabs>
          <w:tab w:val="left" w:pos="5040"/>
          <w:tab w:val="left" w:pos="7200"/>
        </w:tabs>
        <w:spacing w:before="0" w:after="0"/>
        <w:rPr>
          <w:sz w:val="26"/>
          <w:szCs w:val="26"/>
        </w:rPr>
      </w:pPr>
      <w:r w:rsidRPr="004801DF">
        <w:rPr>
          <w:sz w:val="26"/>
          <w:szCs w:val="26"/>
        </w:rPr>
        <w:t xml:space="preserve">Philadelphia Gas Works </w:t>
      </w:r>
      <w:r w:rsidRPr="004801DF">
        <w:rPr>
          <w:sz w:val="26"/>
          <w:szCs w:val="26"/>
        </w:rPr>
        <w:tab/>
      </w:r>
    </w:p>
    <w:p w:rsidR="00684ADF" w:rsidRPr="004801DF" w:rsidRDefault="00684ADF" w:rsidP="008257F3">
      <w:pPr>
        <w:spacing w:before="0" w:after="0"/>
        <w:rPr>
          <w:sz w:val="26"/>
          <w:szCs w:val="26"/>
        </w:rPr>
      </w:pPr>
    </w:p>
    <w:p w:rsidR="00684ADF" w:rsidRPr="00684ADF" w:rsidRDefault="00684ADF" w:rsidP="008257F3">
      <w:pPr>
        <w:spacing w:before="0" w:after="0"/>
        <w:jc w:val="center"/>
        <w:rPr>
          <w:b/>
          <w:sz w:val="26"/>
          <w:szCs w:val="26"/>
        </w:rPr>
      </w:pPr>
      <w:r>
        <w:rPr>
          <w:b/>
          <w:sz w:val="26"/>
          <w:szCs w:val="26"/>
        </w:rPr>
        <w:t xml:space="preserve">OPINION AND </w:t>
      </w:r>
      <w:r w:rsidRPr="004801DF">
        <w:rPr>
          <w:b/>
          <w:sz w:val="26"/>
          <w:szCs w:val="26"/>
        </w:rPr>
        <w:t>ORDER</w:t>
      </w:r>
    </w:p>
    <w:p w:rsidR="008257F3" w:rsidRDefault="008257F3" w:rsidP="008257F3">
      <w:pPr>
        <w:spacing w:before="0" w:after="0"/>
        <w:rPr>
          <w:b/>
          <w:sz w:val="26"/>
          <w:szCs w:val="26"/>
        </w:rPr>
      </w:pPr>
    </w:p>
    <w:p w:rsidR="008257F3" w:rsidRDefault="00684ADF" w:rsidP="008257F3">
      <w:pPr>
        <w:spacing w:before="0" w:after="0"/>
        <w:rPr>
          <w:sz w:val="26"/>
          <w:szCs w:val="26"/>
        </w:rPr>
      </w:pPr>
      <w:r w:rsidRPr="004801DF">
        <w:rPr>
          <w:b/>
          <w:sz w:val="26"/>
          <w:szCs w:val="26"/>
        </w:rPr>
        <w:t>BY THE COMMISSION</w:t>
      </w:r>
      <w:r w:rsidR="008257F3">
        <w:rPr>
          <w:sz w:val="26"/>
          <w:szCs w:val="26"/>
        </w:rPr>
        <w:t>:</w:t>
      </w:r>
    </w:p>
    <w:p w:rsidR="007F05D7" w:rsidRDefault="007F05D7" w:rsidP="008257F3">
      <w:pPr>
        <w:spacing w:before="0" w:after="0"/>
        <w:rPr>
          <w:sz w:val="26"/>
          <w:szCs w:val="26"/>
        </w:rPr>
      </w:pPr>
    </w:p>
    <w:p w:rsidR="00684ADF" w:rsidRDefault="00684ADF" w:rsidP="008257F3">
      <w:pPr>
        <w:spacing w:before="0" w:after="0"/>
        <w:ind w:firstLine="1440"/>
        <w:rPr>
          <w:sz w:val="26"/>
          <w:szCs w:val="26"/>
        </w:rPr>
      </w:pPr>
      <w:r>
        <w:rPr>
          <w:sz w:val="26"/>
          <w:szCs w:val="26"/>
        </w:rPr>
        <w:t xml:space="preserve">Before the Pennsylvania Public Utility Commission (Commission) for consideration and disposition is the </w:t>
      </w:r>
      <w:r w:rsidRPr="004801DF">
        <w:rPr>
          <w:sz w:val="26"/>
          <w:szCs w:val="26"/>
        </w:rPr>
        <w:t>Initial Decision</w:t>
      </w:r>
      <w:r>
        <w:rPr>
          <w:sz w:val="26"/>
          <w:szCs w:val="26"/>
        </w:rPr>
        <w:t xml:space="preserve"> Sustaining Preliminary Objections and Dismissing Complaint</w:t>
      </w:r>
      <w:r w:rsidRPr="004801DF">
        <w:rPr>
          <w:sz w:val="26"/>
          <w:szCs w:val="26"/>
        </w:rPr>
        <w:t xml:space="preserve"> </w:t>
      </w:r>
      <w:r>
        <w:rPr>
          <w:sz w:val="26"/>
          <w:szCs w:val="26"/>
        </w:rPr>
        <w:t>(</w:t>
      </w:r>
      <w:r w:rsidR="007F05D7">
        <w:rPr>
          <w:sz w:val="26"/>
          <w:szCs w:val="26"/>
        </w:rPr>
        <w:t xml:space="preserve">Initial Decision or </w:t>
      </w:r>
      <w:r>
        <w:rPr>
          <w:sz w:val="26"/>
          <w:szCs w:val="26"/>
        </w:rPr>
        <w:t xml:space="preserve">I.D.) </w:t>
      </w:r>
      <w:r w:rsidRPr="004801DF">
        <w:rPr>
          <w:sz w:val="26"/>
          <w:szCs w:val="26"/>
        </w:rPr>
        <w:t xml:space="preserve">of Administrative Law Judge </w:t>
      </w:r>
      <w:r>
        <w:rPr>
          <w:sz w:val="26"/>
          <w:szCs w:val="26"/>
        </w:rPr>
        <w:t xml:space="preserve">(ALJ) </w:t>
      </w:r>
      <w:r w:rsidRPr="004801DF">
        <w:rPr>
          <w:sz w:val="26"/>
          <w:szCs w:val="26"/>
        </w:rPr>
        <w:t xml:space="preserve">David A. Salapa, </w:t>
      </w:r>
      <w:r w:rsidR="007F05D7">
        <w:rPr>
          <w:sz w:val="26"/>
          <w:szCs w:val="26"/>
        </w:rPr>
        <w:t>issued November 10</w:t>
      </w:r>
      <w:r w:rsidRPr="004801DF">
        <w:rPr>
          <w:sz w:val="26"/>
          <w:szCs w:val="26"/>
        </w:rPr>
        <w:t>, 2016</w:t>
      </w:r>
      <w:r>
        <w:rPr>
          <w:sz w:val="26"/>
          <w:szCs w:val="26"/>
        </w:rPr>
        <w:t xml:space="preserve">.  The </w:t>
      </w:r>
      <w:r w:rsidR="007F05D7">
        <w:rPr>
          <w:sz w:val="26"/>
          <w:szCs w:val="26"/>
        </w:rPr>
        <w:t>Initial Decision</w:t>
      </w:r>
      <w:r>
        <w:rPr>
          <w:sz w:val="26"/>
          <w:szCs w:val="26"/>
        </w:rPr>
        <w:t xml:space="preserve"> granted Preliminary Objections filed by Philadelphia Gas Works (PGW) requesting the summary dismissal of the formal complaint (Complaint) filed by Ms. Kimekia Mayo (</w:t>
      </w:r>
      <w:r w:rsidR="007F05D7">
        <w:rPr>
          <w:sz w:val="26"/>
          <w:szCs w:val="26"/>
        </w:rPr>
        <w:t xml:space="preserve">Ms. Mayo or </w:t>
      </w:r>
      <w:r>
        <w:rPr>
          <w:sz w:val="26"/>
          <w:szCs w:val="26"/>
        </w:rPr>
        <w:t xml:space="preserve">Complainant).  The presiding ALJ, as motions judge, granted the </w:t>
      </w:r>
      <w:r w:rsidR="007F05D7">
        <w:rPr>
          <w:sz w:val="26"/>
          <w:szCs w:val="26"/>
        </w:rPr>
        <w:t>P</w:t>
      </w:r>
      <w:r>
        <w:rPr>
          <w:sz w:val="26"/>
          <w:szCs w:val="26"/>
        </w:rPr>
        <w:t xml:space="preserve">reliminary </w:t>
      </w:r>
      <w:r w:rsidR="007F05D7">
        <w:rPr>
          <w:sz w:val="26"/>
          <w:szCs w:val="26"/>
        </w:rPr>
        <w:t>O</w:t>
      </w:r>
      <w:r>
        <w:rPr>
          <w:sz w:val="26"/>
          <w:szCs w:val="26"/>
        </w:rPr>
        <w:t xml:space="preserve">bjections on reaching the conclusion, </w:t>
      </w:r>
      <w:r>
        <w:rPr>
          <w:i/>
          <w:sz w:val="26"/>
          <w:szCs w:val="26"/>
        </w:rPr>
        <w:t>inter alia</w:t>
      </w:r>
      <w:r>
        <w:rPr>
          <w:sz w:val="26"/>
          <w:szCs w:val="26"/>
        </w:rPr>
        <w:t>, that the dispute raised in the Complaint was time-barred by the limitations of actions provisions in the Public Utility Code</w:t>
      </w:r>
      <w:r w:rsidR="007F05D7">
        <w:rPr>
          <w:sz w:val="26"/>
          <w:szCs w:val="26"/>
        </w:rPr>
        <w:t xml:space="preserve"> (Code)</w:t>
      </w:r>
      <w:r>
        <w:rPr>
          <w:sz w:val="26"/>
          <w:szCs w:val="26"/>
        </w:rPr>
        <w:t xml:space="preserve">, Section 3314, 66 Pa. C.S. § 3314.  </w:t>
      </w:r>
      <w:r w:rsidR="009F6C00">
        <w:rPr>
          <w:sz w:val="26"/>
          <w:szCs w:val="26"/>
        </w:rPr>
        <w:t xml:space="preserve">No Exceptions were filed.  However, we exercised our right to </w:t>
      </w:r>
      <w:r w:rsidR="009F6C00">
        <w:rPr>
          <w:sz w:val="26"/>
          <w:szCs w:val="26"/>
        </w:rPr>
        <w:lastRenderedPageBreak/>
        <w:t>review the Initial Decis</w:t>
      </w:r>
      <w:r w:rsidR="004971CF">
        <w:rPr>
          <w:sz w:val="26"/>
          <w:szCs w:val="26"/>
        </w:rPr>
        <w:t>ion</w:t>
      </w:r>
      <w:r w:rsidR="00C06C0A">
        <w:rPr>
          <w:sz w:val="26"/>
          <w:szCs w:val="26"/>
        </w:rPr>
        <w:t xml:space="preserve"> pursuant to Section 332(h) of the Code, 66 Pa. C.S. § 332(h).</w:t>
      </w:r>
      <w:r>
        <w:rPr>
          <w:sz w:val="26"/>
          <w:szCs w:val="26"/>
        </w:rPr>
        <w:t xml:space="preserve">  On consideration of the averments in the Complaint, we shall reverse the </w:t>
      </w:r>
      <w:r w:rsidR="009F6C00">
        <w:rPr>
          <w:sz w:val="26"/>
          <w:szCs w:val="26"/>
        </w:rPr>
        <w:t>Initial Decision</w:t>
      </w:r>
      <w:r>
        <w:rPr>
          <w:sz w:val="26"/>
          <w:szCs w:val="26"/>
        </w:rPr>
        <w:t xml:space="preserve"> and remand this matter to the Office of Administrative Law Judge for such further proceedings as may be necessary.   </w:t>
      </w:r>
    </w:p>
    <w:p w:rsidR="001457F4" w:rsidRDefault="001457F4" w:rsidP="008257F3">
      <w:pPr>
        <w:spacing w:before="0" w:after="0"/>
        <w:ind w:firstLine="1440"/>
        <w:rPr>
          <w:sz w:val="26"/>
          <w:szCs w:val="26"/>
        </w:rPr>
      </w:pPr>
    </w:p>
    <w:p w:rsidR="00684ADF" w:rsidRDefault="004971CF" w:rsidP="008257F3">
      <w:pPr>
        <w:spacing w:before="0" w:after="0"/>
        <w:jc w:val="center"/>
        <w:rPr>
          <w:sz w:val="26"/>
          <w:szCs w:val="26"/>
        </w:rPr>
      </w:pPr>
      <w:r>
        <w:rPr>
          <w:b/>
          <w:sz w:val="26"/>
          <w:szCs w:val="26"/>
        </w:rPr>
        <w:t>Procedural History</w:t>
      </w:r>
      <w:r w:rsidR="00684ADF">
        <w:rPr>
          <w:b/>
          <w:sz w:val="26"/>
          <w:szCs w:val="26"/>
        </w:rPr>
        <w:t xml:space="preserve"> </w:t>
      </w:r>
    </w:p>
    <w:p w:rsidR="008257F3" w:rsidRDefault="008257F3" w:rsidP="008257F3">
      <w:pPr>
        <w:spacing w:before="0" w:after="0"/>
        <w:ind w:firstLine="1440"/>
        <w:rPr>
          <w:sz w:val="26"/>
          <w:szCs w:val="26"/>
        </w:rPr>
      </w:pPr>
    </w:p>
    <w:p w:rsidR="008257F3" w:rsidRDefault="00684ADF" w:rsidP="008257F3">
      <w:pPr>
        <w:spacing w:before="0" w:after="0"/>
        <w:ind w:firstLine="1440"/>
        <w:rPr>
          <w:sz w:val="26"/>
          <w:szCs w:val="26"/>
        </w:rPr>
      </w:pPr>
      <w:r>
        <w:rPr>
          <w:sz w:val="26"/>
          <w:szCs w:val="26"/>
        </w:rPr>
        <w:t xml:space="preserve">On August 12, 2016, Ms. Mayo filed a formal complaint with the Commission naming PGW as Respondent.  </w:t>
      </w:r>
      <w:r w:rsidR="0073535A">
        <w:rPr>
          <w:sz w:val="26"/>
          <w:szCs w:val="26"/>
        </w:rPr>
        <w:t xml:space="preserve">The Complaint is an appeal of a Bureau of Consumer Services (BCS) informal complaint docketed at No. 3425795.  </w:t>
      </w:r>
      <w:r w:rsidR="0073535A">
        <w:rPr>
          <w:i/>
          <w:sz w:val="26"/>
          <w:szCs w:val="26"/>
        </w:rPr>
        <w:t xml:space="preserve">See </w:t>
      </w:r>
      <w:r w:rsidR="0073535A">
        <w:rPr>
          <w:sz w:val="26"/>
          <w:szCs w:val="26"/>
        </w:rPr>
        <w:t xml:space="preserve">PGW New Matter, </w:t>
      </w:r>
      <w:r w:rsidR="0073535A">
        <w:rPr>
          <w:i/>
          <w:sz w:val="26"/>
          <w:szCs w:val="26"/>
        </w:rPr>
        <w:t>infra</w:t>
      </w:r>
      <w:r w:rsidR="0073535A">
        <w:rPr>
          <w:sz w:val="26"/>
          <w:szCs w:val="26"/>
        </w:rPr>
        <w:t xml:space="preserve">, at ¶ 12.  </w:t>
      </w:r>
      <w:r>
        <w:rPr>
          <w:sz w:val="26"/>
          <w:szCs w:val="26"/>
        </w:rPr>
        <w:t xml:space="preserve">The Complaint disputed responsibility for charges for utility bills rendered by PGW for a period from 2004 until 2006.  Complainant avers that she was a ward of the state under the responsibility of the Department of Human Services (DHS) for the bulk of the period in which the charges accrued, and never signed an agreement to be responsible for the bills.  Complainant further states that during </w:t>
      </w:r>
      <w:r w:rsidR="001457F4">
        <w:rPr>
          <w:sz w:val="26"/>
          <w:szCs w:val="26"/>
        </w:rPr>
        <w:t xml:space="preserve">2004-2006 </w:t>
      </w:r>
      <w:r>
        <w:rPr>
          <w:sz w:val="26"/>
          <w:szCs w:val="26"/>
        </w:rPr>
        <w:t>she was in a program for adolescents and fully supported by the “government.”</w:t>
      </w:r>
      <w:r w:rsidR="008257F3">
        <w:rPr>
          <w:sz w:val="26"/>
          <w:szCs w:val="26"/>
        </w:rPr>
        <w:t xml:space="preserve">  Complaint at ¶ 4.  </w:t>
      </w:r>
      <w:r>
        <w:rPr>
          <w:sz w:val="26"/>
          <w:szCs w:val="26"/>
        </w:rPr>
        <w:t xml:space="preserve">  </w:t>
      </w:r>
    </w:p>
    <w:p w:rsidR="008257F3" w:rsidRDefault="008257F3" w:rsidP="008257F3">
      <w:pPr>
        <w:spacing w:before="0" w:after="0"/>
        <w:ind w:firstLine="1440"/>
        <w:rPr>
          <w:sz w:val="26"/>
          <w:szCs w:val="26"/>
        </w:rPr>
      </w:pPr>
    </w:p>
    <w:p w:rsidR="00684ADF" w:rsidRDefault="00684ADF" w:rsidP="008257F3">
      <w:pPr>
        <w:spacing w:before="0" w:after="0"/>
        <w:ind w:firstLine="1440"/>
        <w:rPr>
          <w:sz w:val="26"/>
          <w:szCs w:val="26"/>
        </w:rPr>
      </w:pPr>
      <w:r>
        <w:rPr>
          <w:sz w:val="26"/>
          <w:szCs w:val="26"/>
        </w:rPr>
        <w:t>Based on th</w:t>
      </w:r>
      <w:r w:rsidR="001457F4">
        <w:rPr>
          <w:sz w:val="26"/>
          <w:szCs w:val="26"/>
        </w:rPr>
        <w:t xml:space="preserve">e </w:t>
      </w:r>
      <w:r w:rsidR="008257F3">
        <w:rPr>
          <w:sz w:val="26"/>
          <w:szCs w:val="26"/>
        </w:rPr>
        <w:t xml:space="preserve">above cited </w:t>
      </w:r>
      <w:r w:rsidR="001457F4">
        <w:rPr>
          <w:sz w:val="26"/>
          <w:szCs w:val="26"/>
        </w:rPr>
        <w:t>facts</w:t>
      </w:r>
      <w:r>
        <w:rPr>
          <w:sz w:val="26"/>
          <w:szCs w:val="26"/>
        </w:rPr>
        <w:t>, Complainant expresse</w:t>
      </w:r>
      <w:r w:rsidR="008257F3">
        <w:rPr>
          <w:sz w:val="26"/>
          <w:szCs w:val="26"/>
        </w:rPr>
        <w:t>d</w:t>
      </w:r>
      <w:r>
        <w:rPr>
          <w:sz w:val="26"/>
          <w:szCs w:val="26"/>
        </w:rPr>
        <w:t xml:space="preserve"> her belief that she should not be responsible for the utility charges that accrued during such time as she was in the program </w:t>
      </w:r>
      <w:r w:rsidR="008257F3">
        <w:rPr>
          <w:sz w:val="26"/>
          <w:szCs w:val="26"/>
        </w:rPr>
        <w:t xml:space="preserve">pursuant to DHS </w:t>
      </w:r>
      <w:r w:rsidR="00CE3BFF">
        <w:rPr>
          <w:sz w:val="26"/>
          <w:szCs w:val="26"/>
        </w:rPr>
        <w:t xml:space="preserve">supervision and authority </w:t>
      </w:r>
      <w:r>
        <w:rPr>
          <w:sz w:val="26"/>
          <w:szCs w:val="26"/>
        </w:rPr>
        <w:t xml:space="preserve">and unable to take care of herself.  </w:t>
      </w:r>
      <w:r>
        <w:rPr>
          <w:i/>
          <w:sz w:val="26"/>
          <w:szCs w:val="26"/>
        </w:rPr>
        <w:t xml:space="preserve">See </w:t>
      </w:r>
      <w:r>
        <w:rPr>
          <w:sz w:val="26"/>
          <w:szCs w:val="26"/>
        </w:rPr>
        <w:t xml:space="preserve">Complaint at ¶ 4.  Complainant states that after she was no longer in the program (2006), she received a high bill for which she was never able to catch up in payments.  </w:t>
      </w:r>
      <w:r>
        <w:rPr>
          <w:i/>
          <w:sz w:val="26"/>
          <w:szCs w:val="26"/>
        </w:rPr>
        <w:t>Id</w:t>
      </w:r>
      <w:r>
        <w:rPr>
          <w:sz w:val="26"/>
          <w:szCs w:val="26"/>
        </w:rPr>
        <w:t>.</w:t>
      </w:r>
    </w:p>
    <w:p w:rsidR="008257F3" w:rsidRDefault="008257F3" w:rsidP="008257F3">
      <w:pPr>
        <w:spacing w:before="0" w:after="0"/>
        <w:ind w:firstLine="1440"/>
        <w:rPr>
          <w:sz w:val="26"/>
          <w:szCs w:val="26"/>
        </w:rPr>
      </w:pPr>
    </w:p>
    <w:p w:rsidR="00684ADF" w:rsidRDefault="00684ADF" w:rsidP="008257F3">
      <w:pPr>
        <w:spacing w:before="0" w:after="0"/>
        <w:ind w:firstLine="1440"/>
        <w:rPr>
          <w:sz w:val="26"/>
          <w:szCs w:val="26"/>
        </w:rPr>
      </w:pPr>
      <w:r>
        <w:rPr>
          <w:sz w:val="26"/>
          <w:szCs w:val="26"/>
        </w:rPr>
        <w:t>For relief, Complainant requested that her “case be reopened” and the charges from 2004-2006</w:t>
      </w:r>
      <w:r w:rsidR="00B46586">
        <w:rPr>
          <w:sz w:val="26"/>
          <w:szCs w:val="26"/>
        </w:rPr>
        <w:t xml:space="preserve"> be</w:t>
      </w:r>
      <w:r>
        <w:rPr>
          <w:sz w:val="26"/>
          <w:szCs w:val="26"/>
        </w:rPr>
        <w:t xml:space="preserve"> removed.  </w:t>
      </w:r>
      <w:r>
        <w:rPr>
          <w:i/>
          <w:sz w:val="26"/>
          <w:szCs w:val="26"/>
        </w:rPr>
        <w:t xml:space="preserve">See </w:t>
      </w:r>
      <w:r>
        <w:rPr>
          <w:sz w:val="26"/>
          <w:szCs w:val="26"/>
        </w:rPr>
        <w:t>Complaint at ¶ 5.</w:t>
      </w:r>
    </w:p>
    <w:p w:rsidR="00C363BD" w:rsidRDefault="00C363BD" w:rsidP="008257F3">
      <w:pPr>
        <w:spacing w:before="0" w:after="0"/>
        <w:ind w:firstLine="1440"/>
        <w:rPr>
          <w:sz w:val="26"/>
          <w:szCs w:val="26"/>
        </w:rPr>
      </w:pPr>
    </w:p>
    <w:p w:rsidR="00684ADF" w:rsidRDefault="00684ADF" w:rsidP="008257F3">
      <w:pPr>
        <w:spacing w:before="0" w:after="0"/>
        <w:ind w:firstLine="1440"/>
        <w:rPr>
          <w:sz w:val="26"/>
          <w:szCs w:val="26"/>
        </w:rPr>
      </w:pPr>
      <w:r>
        <w:rPr>
          <w:sz w:val="26"/>
          <w:szCs w:val="26"/>
        </w:rPr>
        <w:t xml:space="preserve">On September 7, 2016, PGW filed an Answer, New Matter and, under separate cover, Preliminary Objections </w:t>
      </w:r>
      <w:r w:rsidR="00A80E7C">
        <w:rPr>
          <w:sz w:val="26"/>
          <w:szCs w:val="26"/>
        </w:rPr>
        <w:t xml:space="preserve">endorsed </w:t>
      </w:r>
      <w:r>
        <w:rPr>
          <w:sz w:val="26"/>
          <w:szCs w:val="26"/>
        </w:rPr>
        <w:t xml:space="preserve">with a Notice to Plead.  </w:t>
      </w:r>
    </w:p>
    <w:p w:rsidR="00CE3BFF" w:rsidRDefault="00CE3BFF" w:rsidP="008257F3">
      <w:pPr>
        <w:spacing w:before="0" w:after="0"/>
        <w:ind w:firstLine="1440"/>
        <w:rPr>
          <w:sz w:val="26"/>
          <w:szCs w:val="26"/>
        </w:rPr>
      </w:pPr>
    </w:p>
    <w:p w:rsidR="00A84B13" w:rsidRDefault="00684ADF" w:rsidP="008257F3">
      <w:pPr>
        <w:spacing w:before="0" w:after="0"/>
        <w:ind w:firstLine="1440"/>
        <w:rPr>
          <w:sz w:val="26"/>
          <w:szCs w:val="26"/>
        </w:rPr>
      </w:pPr>
      <w:r>
        <w:rPr>
          <w:sz w:val="26"/>
          <w:szCs w:val="26"/>
        </w:rPr>
        <w:t xml:space="preserve">In its Answer, PGW admitted and denied the material averments in the Complaint.  PGW further provided factual reply to the Complaint which included a billing history of the service relationship between PGW and Complainant at various service account residences.  </w:t>
      </w:r>
    </w:p>
    <w:p w:rsidR="00A84B13" w:rsidRDefault="00A84B13" w:rsidP="008257F3">
      <w:pPr>
        <w:spacing w:before="0" w:after="0"/>
        <w:ind w:firstLine="1440"/>
        <w:rPr>
          <w:sz w:val="26"/>
          <w:szCs w:val="26"/>
        </w:rPr>
      </w:pPr>
    </w:p>
    <w:p w:rsidR="00A84B13" w:rsidRDefault="00684ADF" w:rsidP="00A84B13">
      <w:pPr>
        <w:spacing w:before="0" w:after="0"/>
        <w:ind w:firstLine="1440"/>
        <w:rPr>
          <w:sz w:val="26"/>
          <w:szCs w:val="26"/>
        </w:rPr>
      </w:pPr>
      <w:r>
        <w:rPr>
          <w:sz w:val="26"/>
          <w:szCs w:val="26"/>
        </w:rPr>
        <w:t>PGW answered that Complainant established service at the current service address, December 19, 2014.  PGW further respond</w:t>
      </w:r>
      <w:r w:rsidR="00A80E7C">
        <w:rPr>
          <w:sz w:val="26"/>
          <w:szCs w:val="26"/>
        </w:rPr>
        <w:t>ed</w:t>
      </w:r>
      <w:r>
        <w:rPr>
          <w:sz w:val="26"/>
          <w:szCs w:val="26"/>
        </w:rPr>
        <w:t xml:space="preserve"> that on August 10, 2016, Complainant requested that service to the address be terminated</w:t>
      </w:r>
      <w:r w:rsidR="00A84B13">
        <w:rPr>
          <w:sz w:val="26"/>
          <w:szCs w:val="26"/>
        </w:rPr>
        <w:t>, effective August 11, 2016.  Answer at ¶ 4.  It appears that the termination request was processed</w:t>
      </w:r>
      <w:r w:rsidR="00A80E7C">
        <w:rPr>
          <w:sz w:val="26"/>
          <w:szCs w:val="26"/>
        </w:rPr>
        <w:t xml:space="preserve"> on or about, August 15, 2016</w:t>
      </w:r>
      <w:r w:rsidR="00A84B13">
        <w:rPr>
          <w:sz w:val="26"/>
          <w:szCs w:val="26"/>
        </w:rPr>
        <w:t xml:space="preserve">.  Prior to this, PGW issued a termination notice for an </w:t>
      </w:r>
      <w:r w:rsidR="00A80E7C">
        <w:rPr>
          <w:sz w:val="26"/>
          <w:szCs w:val="26"/>
        </w:rPr>
        <w:t xml:space="preserve">unpaid </w:t>
      </w:r>
      <w:r w:rsidR="00A84B13">
        <w:rPr>
          <w:sz w:val="26"/>
          <w:szCs w:val="26"/>
        </w:rPr>
        <w:t xml:space="preserve">accumulated balance due, August 6, 2016, with a shut off date </w:t>
      </w:r>
      <w:r w:rsidR="00AE73E0">
        <w:rPr>
          <w:sz w:val="26"/>
          <w:szCs w:val="26"/>
        </w:rPr>
        <w:t>sixty</w:t>
      </w:r>
      <w:r w:rsidR="00A84B13">
        <w:rPr>
          <w:sz w:val="26"/>
          <w:szCs w:val="26"/>
        </w:rPr>
        <w:t xml:space="preserve"> days after August 22, 2016.</w:t>
      </w:r>
      <w:r w:rsidR="00A80E7C">
        <w:rPr>
          <w:sz w:val="26"/>
          <w:szCs w:val="26"/>
        </w:rPr>
        <w:t xml:space="preserve">  </w:t>
      </w:r>
      <w:r w:rsidR="00A84B13">
        <w:rPr>
          <w:sz w:val="26"/>
          <w:szCs w:val="26"/>
        </w:rPr>
        <w:t xml:space="preserve">During the interim, a payment on the account was tendered in the form of a check, but returned for insufficient funds.  </w:t>
      </w:r>
      <w:r w:rsidR="00A84B13">
        <w:rPr>
          <w:i/>
          <w:sz w:val="26"/>
          <w:szCs w:val="26"/>
        </w:rPr>
        <w:t>Id</w:t>
      </w:r>
      <w:r w:rsidR="00A84B13">
        <w:rPr>
          <w:sz w:val="26"/>
          <w:szCs w:val="26"/>
        </w:rPr>
        <w:t>.</w:t>
      </w:r>
    </w:p>
    <w:p w:rsidR="00A84B13" w:rsidRDefault="00A84B13" w:rsidP="00A84B13">
      <w:pPr>
        <w:spacing w:before="0" w:after="0"/>
        <w:ind w:firstLine="1440"/>
        <w:rPr>
          <w:sz w:val="26"/>
          <w:szCs w:val="26"/>
        </w:rPr>
      </w:pPr>
      <w:r>
        <w:rPr>
          <w:sz w:val="26"/>
          <w:szCs w:val="26"/>
        </w:rPr>
        <w:t xml:space="preserve"> </w:t>
      </w:r>
    </w:p>
    <w:p w:rsidR="00E86783" w:rsidRDefault="00A84B13" w:rsidP="008257F3">
      <w:pPr>
        <w:spacing w:before="0" w:after="0"/>
        <w:ind w:firstLine="1440"/>
        <w:rPr>
          <w:sz w:val="26"/>
          <w:szCs w:val="26"/>
        </w:rPr>
      </w:pPr>
      <w:r>
        <w:rPr>
          <w:sz w:val="26"/>
          <w:szCs w:val="26"/>
        </w:rPr>
        <w:t xml:space="preserve">In New Matter, </w:t>
      </w:r>
      <w:r w:rsidR="00D7391C">
        <w:rPr>
          <w:sz w:val="26"/>
          <w:szCs w:val="26"/>
        </w:rPr>
        <w:t xml:space="preserve">PGW lists six prior service account addresses under which it states Complainant received service.  PGW </w:t>
      </w:r>
      <w:r w:rsidR="006461F7">
        <w:rPr>
          <w:sz w:val="26"/>
          <w:szCs w:val="26"/>
        </w:rPr>
        <w:t xml:space="preserve">sets forth a general </w:t>
      </w:r>
      <w:r w:rsidR="00D7391C">
        <w:rPr>
          <w:sz w:val="26"/>
          <w:szCs w:val="26"/>
        </w:rPr>
        <w:t>account history</w:t>
      </w:r>
      <w:r w:rsidR="006461F7">
        <w:rPr>
          <w:sz w:val="26"/>
          <w:szCs w:val="26"/>
        </w:rPr>
        <w:t xml:space="preserve"> of these service account addresses</w:t>
      </w:r>
      <w:r w:rsidR="00D7391C">
        <w:rPr>
          <w:sz w:val="26"/>
          <w:szCs w:val="26"/>
        </w:rPr>
        <w:t xml:space="preserve">, including the Complainant’s filing of </w:t>
      </w:r>
      <w:r w:rsidR="00A80E7C">
        <w:rPr>
          <w:sz w:val="26"/>
          <w:szCs w:val="26"/>
        </w:rPr>
        <w:t xml:space="preserve">an </w:t>
      </w:r>
      <w:r w:rsidR="00D7391C">
        <w:rPr>
          <w:sz w:val="26"/>
          <w:szCs w:val="26"/>
        </w:rPr>
        <w:t xml:space="preserve">informal complaint with the Commission’s BCS, </w:t>
      </w:r>
      <w:r w:rsidR="006461F7">
        <w:rPr>
          <w:sz w:val="26"/>
          <w:szCs w:val="26"/>
        </w:rPr>
        <w:t>up to the period of</w:t>
      </w:r>
      <w:r w:rsidR="00D7391C">
        <w:rPr>
          <w:sz w:val="26"/>
          <w:szCs w:val="26"/>
        </w:rPr>
        <w:t xml:space="preserve"> the account in dispute in the present </w:t>
      </w:r>
      <w:r w:rsidR="00A80E7C">
        <w:rPr>
          <w:sz w:val="26"/>
          <w:szCs w:val="26"/>
        </w:rPr>
        <w:t>case</w:t>
      </w:r>
      <w:r w:rsidR="00D7391C">
        <w:rPr>
          <w:sz w:val="26"/>
          <w:szCs w:val="26"/>
        </w:rPr>
        <w:t>.  New Matter ¶¶ 9-14.</w:t>
      </w:r>
    </w:p>
    <w:p w:rsidR="00E86783" w:rsidRDefault="00E86783" w:rsidP="008257F3">
      <w:pPr>
        <w:spacing w:before="0" w:after="0"/>
        <w:ind w:firstLine="1440"/>
        <w:rPr>
          <w:sz w:val="26"/>
          <w:szCs w:val="26"/>
        </w:rPr>
      </w:pPr>
    </w:p>
    <w:p w:rsidR="00E86783" w:rsidRDefault="00E86783" w:rsidP="008257F3">
      <w:pPr>
        <w:spacing w:before="0" w:after="0"/>
        <w:ind w:firstLine="1440"/>
        <w:rPr>
          <w:sz w:val="26"/>
          <w:szCs w:val="26"/>
        </w:rPr>
      </w:pPr>
      <w:r>
        <w:rPr>
          <w:sz w:val="26"/>
          <w:szCs w:val="26"/>
        </w:rPr>
        <w:t>Finally, in New Matter, PGW takes the position that Complainant has lost her right to pursue litigation regarding the bill for gas service at her previous service addresses</w:t>
      </w:r>
      <w:r w:rsidR="00A80E7C">
        <w:rPr>
          <w:sz w:val="26"/>
          <w:szCs w:val="26"/>
        </w:rPr>
        <w:t>.  This is</w:t>
      </w:r>
      <w:r w:rsidR="00A23980">
        <w:rPr>
          <w:sz w:val="26"/>
          <w:szCs w:val="26"/>
        </w:rPr>
        <w:t xml:space="preserve"> so</w:t>
      </w:r>
      <w:r w:rsidR="00A80E7C">
        <w:rPr>
          <w:sz w:val="26"/>
          <w:szCs w:val="26"/>
        </w:rPr>
        <w:t>, asserts PGW,</w:t>
      </w:r>
      <w:r>
        <w:rPr>
          <w:sz w:val="26"/>
          <w:szCs w:val="26"/>
        </w:rPr>
        <w:t xml:space="preserve"> as any cause of action arising from those bills falls outside the statute of limitations.  PGW relies upon Section 3314 </w:t>
      </w:r>
      <w:r w:rsidR="00A23980">
        <w:rPr>
          <w:sz w:val="26"/>
          <w:szCs w:val="26"/>
        </w:rPr>
        <w:t>of the Code</w:t>
      </w:r>
      <w:r w:rsidR="006461F7">
        <w:rPr>
          <w:sz w:val="26"/>
          <w:szCs w:val="26"/>
        </w:rPr>
        <w:t>, 66 Pa. C.S. § 3314,</w:t>
      </w:r>
      <w:r w:rsidR="00A23980">
        <w:rPr>
          <w:sz w:val="26"/>
          <w:szCs w:val="26"/>
        </w:rPr>
        <w:t xml:space="preserve"> </w:t>
      </w:r>
      <w:r>
        <w:rPr>
          <w:sz w:val="26"/>
          <w:szCs w:val="26"/>
        </w:rPr>
        <w:t xml:space="preserve">for the proposition that no action for recovery of any penalties or forfeitures, or any prosecution may be maintained unless brought within three years of the date the liability arose.  New Matter </w:t>
      </w:r>
      <w:r w:rsidR="00A80E7C">
        <w:rPr>
          <w:sz w:val="26"/>
          <w:szCs w:val="26"/>
        </w:rPr>
        <w:t xml:space="preserve"> </w:t>
      </w:r>
      <w:r>
        <w:rPr>
          <w:sz w:val="26"/>
          <w:szCs w:val="26"/>
        </w:rPr>
        <w:t xml:space="preserve">¶ 15.  Based on the foregoing, PGW </w:t>
      </w:r>
      <w:r w:rsidR="00A80E7C">
        <w:rPr>
          <w:sz w:val="26"/>
          <w:szCs w:val="26"/>
        </w:rPr>
        <w:t>argued</w:t>
      </w:r>
      <w:r>
        <w:rPr>
          <w:sz w:val="26"/>
          <w:szCs w:val="26"/>
        </w:rPr>
        <w:t xml:space="preserve"> that the </w:t>
      </w:r>
      <w:r>
        <w:rPr>
          <w:sz w:val="26"/>
          <w:szCs w:val="26"/>
        </w:rPr>
        <w:lastRenderedPageBreak/>
        <w:t xml:space="preserve">Commission lacks jurisdiction to entertain an action for liability arising more than three years from the date the liability arose. </w:t>
      </w:r>
      <w:r w:rsidR="00A80E7C">
        <w:rPr>
          <w:sz w:val="26"/>
          <w:szCs w:val="26"/>
        </w:rPr>
        <w:t xml:space="preserve"> </w:t>
      </w:r>
      <w:r>
        <w:rPr>
          <w:sz w:val="26"/>
          <w:szCs w:val="26"/>
        </w:rPr>
        <w:t>New Matter ¶ 16.</w:t>
      </w:r>
    </w:p>
    <w:p w:rsidR="00E86783" w:rsidRDefault="00E86783" w:rsidP="008257F3">
      <w:pPr>
        <w:spacing w:before="0" w:after="0"/>
        <w:ind w:firstLine="1440"/>
        <w:rPr>
          <w:sz w:val="26"/>
          <w:szCs w:val="26"/>
        </w:rPr>
      </w:pPr>
    </w:p>
    <w:p w:rsidR="00C90E4B" w:rsidRDefault="001317B0" w:rsidP="008257F3">
      <w:pPr>
        <w:spacing w:before="0" w:after="0"/>
        <w:ind w:firstLine="1440"/>
        <w:rPr>
          <w:sz w:val="26"/>
          <w:szCs w:val="26"/>
        </w:rPr>
      </w:pPr>
      <w:r>
        <w:rPr>
          <w:sz w:val="26"/>
          <w:szCs w:val="26"/>
        </w:rPr>
        <w:t xml:space="preserve">In its Preliminary Objections, PGW </w:t>
      </w:r>
      <w:r w:rsidR="00A80E7C">
        <w:rPr>
          <w:sz w:val="26"/>
          <w:szCs w:val="26"/>
        </w:rPr>
        <w:t xml:space="preserve">additionally </w:t>
      </w:r>
      <w:r>
        <w:rPr>
          <w:sz w:val="26"/>
          <w:szCs w:val="26"/>
        </w:rPr>
        <w:t>relies upon Section 3314 of the Code and the Commission’s Rules of Practice and Procedure, 52 Pa. Code §</w:t>
      </w:r>
      <w:r w:rsidR="006B50AC">
        <w:rPr>
          <w:sz w:val="26"/>
          <w:szCs w:val="26"/>
        </w:rPr>
        <w:t> </w:t>
      </w:r>
      <w:r w:rsidR="00110E79">
        <w:rPr>
          <w:sz w:val="26"/>
          <w:szCs w:val="26"/>
        </w:rPr>
        <w:t xml:space="preserve">5.101(a)(2), to argue that </w:t>
      </w:r>
      <w:r w:rsidR="004B1179">
        <w:rPr>
          <w:sz w:val="26"/>
          <w:szCs w:val="26"/>
        </w:rPr>
        <w:t>due to the limitations of actions barring prosecution</w:t>
      </w:r>
      <w:r w:rsidR="006461F7">
        <w:rPr>
          <w:sz w:val="26"/>
          <w:szCs w:val="26"/>
        </w:rPr>
        <w:t>s</w:t>
      </w:r>
      <w:r w:rsidR="004B1179">
        <w:rPr>
          <w:sz w:val="26"/>
          <w:szCs w:val="26"/>
        </w:rPr>
        <w:t xml:space="preserve"> for liability arising more than three years from the date of the Complaint, such allegations are “impertinent” matter under the Commission’s Rules</w:t>
      </w:r>
      <w:r w:rsidR="00A80E7C">
        <w:rPr>
          <w:sz w:val="26"/>
          <w:szCs w:val="26"/>
        </w:rPr>
        <w:t>.  As impertinent matter, the allegations pertaining to those periods should</w:t>
      </w:r>
      <w:r w:rsidR="004B1179">
        <w:rPr>
          <w:sz w:val="26"/>
          <w:szCs w:val="26"/>
        </w:rPr>
        <w:t xml:space="preserve"> be stricken and the Complaint dismissed. </w:t>
      </w:r>
      <w:r>
        <w:rPr>
          <w:sz w:val="26"/>
          <w:szCs w:val="26"/>
        </w:rPr>
        <w:t xml:space="preserve">  </w:t>
      </w:r>
      <w:r w:rsidR="00E86783">
        <w:rPr>
          <w:sz w:val="26"/>
          <w:szCs w:val="26"/>
        </w:rPr>
        <w:t xml:space="preserve">        </w:t>
      </w:r>
      <w:r w:rsidR="00A84B13">
        <w:rPr>
          <w:sz w:val="26"/>
          <w:szCs w:val="26"/>
        </w:rPr>
        <w:t xml:space="preserve"> </w:t>
      </w:r>
      <w:r w:rsidR="00C90E4B">
        <w:rPr>
          <w:sz w:val="26"/>
          <w:szCs w:val="26"/>
        </w:rPr>
        <w:t xml:space="preserve">    </w:t>
      </w:r>
    </w:p>
    <w:p w:rsidR="00C363BD" w:rsidRDefault="00C363BD" w:rsidP="003A79BD">
      <w:pPr>
        <w:spacing w:before="0" w:after="0"/>
        <w:rPr>
          <w:sz w:val="26"/>
          <w:szCs w:val="26"/>
        </w:rPr>
      </w:pPr>
    </w:p>
    <w:p w:rsidR="00684ADF" w:rsidRDefault="00C90E4B" w:rsidP="008257F3">
      <w:pPr>
        <w:spacing w:before="0" w:after="0"/>
        <w:jc w:val="center"/>
        <w:rPr>
          <w:sz w:val="26"/>
          <w:szCs w:val="26"/>
        </w:rPr>
      </w:pPr>
      <w:r>
        <w:rPr>
          <w:b/>
          <w:sz w:val="26"/>
          <w:szCs w:val="26"/>
        </w:rPr>
        <w:t>D</w:t>
      </w:r>
      <w:r w:rsidR="00684ADF">
        <w:rPr>
          <w:b/>
          <w:sz w:val="26"/>
          <w:szCs w:val="26"/>
        </w:rPr>
        <w:t xml:space="preserve">iscussion </w:t>
      </w:r>
    </w:p>
    <w:p w:rsidR="00C363BD" w:rsidRDefault="00C363BD" w:rsidP="008257F3">
      <w:pPr>
        <w:spacing w:before="0" w:after="0"/>
        <w:ind w:firstLine="1440"/>
        <w:rPr>
          <w:sz w:val="26"/>
          <w:szCs w:val="26"/>
        </w:rPr>
      </w:pPr>
    </w:p>
    <w:p w:rsidR="00684ADF" w:rsidRDefault="00C90E4B" w:rsidP="008257F3">
      <w:pPr>
        <w:spacing w:before="0" w:after="0"/>
        <w:ind w:firstLine="1440"/>
        <w:rPr>
          <w:sz w:val="26"/>
          <w:szCs w:val="26"/>
        </w:rPr>
      </w:pPr>
      <w:r>
        <w:rPr>
          <w:sz w:val="26"/>
          <w:szCs w:val="26"/>
        </w:rPr>
        <w:t>A</w:t>
      </w:r>
      <w:r w:rsidR="00684ADF">
        <w:rPr>
          <w:sz w:val="26"/>
          <w:szCs w:val="26"/>
        </w:rPr>
        <w:t xml:space="preserve">LJ Salapa made </w:t>
      </w:r>
      <w:r w:rsidR="00235F59">
        <w:rPr>
          <w:sz w:val="26"/>
          <w:szCs w:val="26"/>
        </w:rPr>
        <w:t>six</w:t>
      </w:r>
      <w:r w:rsidR="00684ADF">
        <w:rPr>
          <w:sz w:val="26"/>
          <w:szCs w:val="26"/>
        </w:rPr>
        <w:t xml:space="preserve"> Findings of Fact and reached </w:t>
      </w:r>
      <w:r w:rsidR="00235F59">
        <w:rPr>
          <w:sz w:val="26"/>
          <w:szCs w:val="26"/>
        </w:rPr>
        <w:t>five</w:t>
      </w:r>
      <w:r w:rsidR="00684ADF">
        <w:rPr>
          <w:sz w:val="26"/>
          <w:szCs w:val="26"/>
        </w:rPr>
        <w:t xml:space="preserve"> Conclusions of Law.  </w:t>
      </w:r>
      <w:r w:rsidR="0087735E">
        <w:rPr>
          <w:sz w:val="26"/>
          <w:szCs w:val="26"/>
        </w:rPr>
        <w:t>The</w:t>
      </w:r>
      <w:r w:rsidR="00684ADF">
        <w:rPr>
          <w:sz w:val="26"/>
          <w:szCs w:val="26"/>
        </w:rPr>
        <w:t xml:space="preserve"> Findings of Fact</w:t>
      </w:r>
      <w:r w:rsidR="0073535A">
        <w:rPr>
          <w:sz w:val="26"/>
          <w:szCs w:val="26"/>
        </w:rPr>
        <w:t xml:space="preserve"> and </w:t>
      </w:r>
      <w:r w:rsidR="00684ADF">
        <w:rPr>
          <w:sz w:val="26"/>
          <w:szCs w:val="26"/>
        </w:rPr>
        <w:t>Conclusions of Law</w:t>
      </w:r>
      <w:r w:rsidR="0087735E">
        <w:rPr>
          <w:sz w:val="26"/>
          <w:szCs w:val="26"/>
        </w:rPr>
        <w:t xml:space="preserve"> are incorporated herein by reference and are adopted without comment </w:t>
      </w:r>
      <w:r w:rsidR="00684ADF">
        <w:rPr>
          <w:sz w:val="26"/>
          <w:szCs w:val="26"/>
        </w:rPr>
        <w:t>unless</w:t>
      </w:r>
      <w:r w:rsidR="0087735E">
        <w:rPr>
          <w:sz w:val="26"/>
          <w:szCs w:val="26"/>
        </w:rPr>
        <w:t xml:space="preserve"> they are either expressly or by necessary implication </w:t>
      </w:r>
      <w:r w:rsidR="00684ADF">
        <w:rPr>
          <w:sz w:val="26"/>
          <w:szCs w:val="26"/>
        </w:rPr>
        <w:t xml:space="preserve">rejected </w:t>
      </w:r>
      <w:r w:rsidR="0073535A">
        <w:rPr>
          <w:sz w:val="26"/>
          <w:szCs w:val="26"/>
        </w:rPr>
        <w:t xml:space="preserve">or </w:t>
      </w:r>
      <w:r w:rsidR="0087735E">
        <w:rPr>
          <w:sz w:val="26"/>
          <w:szCs w:val="26"/>
        </w:rPr>
        <w:t xml:space="preserve">modified </w:t>
      </w:r>
      <w:r w:rsidR="00684ADF">
        <w:rPr>
          <w:sz w:val="26"/>
          <w:szCs w:val="26"/>
        </w:rPr>
        <w:t xml:space="preserve">by </w:t>
      </w:r>
      <w:r w:rsidR="0073535A">
        <w:rPr>
          <w:sz w:val="26"/>
          <w:szCs w:val="26"/>
        </w:rPr>
        <w:t>this Opinion and Order</w:t>
      </w:r>
      <w:r w:rsidR="00684ADF">
        <w:rPr>
          <w:sz w:val="26"/>
          <w:szCs w:val="26"/>
        </w:rPr>
        <w:t>.</w:t>
      </w:r>
    </w:p>
    <w:p w:rsidR="00C363BD" w:rsidRDefault="00C363BD" w:rsidP="008257F3">
      <w:pPr>
        <w:spacing w:before="0" w:after="0"/>
        <w:ind w:firstLine="1440"/>
        <w:rPr>
          <w:sz w:val="26"/>
          <w:szCs w:val="26"/>
        </w:rPr>
      </w:pPr>
    </w:p>
    <w:p w:rsidR="00926975" w:rsidRDefault="00942524" w:rsidP="0006572C">
      <w:pPr>
        <w:pStyle w:val="Default"/>
        <w:spacing w:line="360" w:lineRule="auto"/>
        <w:ind w:firstLine="1440"/>
        <w:rPr>
          <w:sz w:val="26"/>
          <w:szCs w:val="26"/>
        </w:rPr>
      </w:pPr>
      <w:r>
        <w:rPr>
          <w:sz w:val="26"/>
          <w:szCs w:val="26"/>
        </w:rPr>
        <w:t xml:space="preserve">ALJ Salapa appropriately discussed </w:t>
      </w:r>
      <w:r w:rsidR="00926975">
        <w:rPr>
          <w:sz w:val="26"/>
          <w:szCs w:val="26"/>
        </w:rPr>
        <w:t>those consideration</w:t>
      </w:r>
      <w:r w:rsidR="001746DA">
        <w:rPr>
          <w:sz w:val="26"/>
          <w:szCs w:val="26"/>
        </w:rPr>
        <w:t>s</w:t>
      </w:r>
      <w:r w:rsidR="00926975">
        <w:rPr>
          <w:sz w:val="26"/>
          <w:szCs w:val="26"/>
        </w:rPr>
        <w:t xml:space="preserve"> pertaining to preliminary objection practice pursuant to the Commission’s Rules of Practice and Procedure.  I.D. at 4-5.</w:t>
      </w:r>
    </w:p>
    <w:p w:rsidR="00926975" w:rsidRDefault="00926975" w:rsidP="0006572C">
      <w:pPr>
        <w:pStyle w:val="Default"/>
        <w:spacing w:line="360" w:lineRule="auto"/>
        <w:ind w:firstLine="1440"/>
        <w:rPr>
          <w:sz w:val="26"/>
          <w:szCs w:val="26"/>
        </w:rPr>
      </w:pPr>
    </w:p>
    <w:p w:rsidR="007C28E3" w:rsidRPr="00F971E7" w:rsidRDefault="007C28E3" w:rsidP="007C28E3">
      <w:pPr>
        <w:tabs>
          <w:tab w:val="left" w:pos="0"/>
        </w:tabs>
        <w:ind w:firstLine="1440"/>
        <w:rPr>
          <w:sz w:val="26"/>
          <w:szCs w:val="26"/>
        </w:rPr>
      </w:pPr>
      <w:r w:rsidRPr="00F971E7">
        <w:rPr>
          <w:sz w:val="26"/>
          <w:szCs w:val="26"/>
        </w:rPr>
        <w:t xml:space="preserve">Section 5.101 of the Commission’s Regulations, 52 Pa. Code § 5.101, sets forth the grounds for granting preliminary objections.  That section provides as follows: </w:t>
      </w:r>
    </w:p>
    <w:p w:rsidR="007C28E3" w:rsidRPr="00F971E7" w:rsidRDefault="007C28E3" w:rsidP="007C28E3">
      <w:pPr>
        <w:ind w:left="1440" w:right="1440"/>
        <w:rPr>
          <w:b/>
          <w:sz w:val="26"/>
          <w:szCs w:val="26"/>
        </w:rPr>
      </w:pPr>
    </w:p>
    <w:p w:rsidR="007C28E3" w:rsidRPr="00F971E7" w:rsidRDefault="007C28E3" w:rsidP="007C28E3">
      <w:pPr>
        <w:ind w:left="1440" w:right="1440"/>
        <w:rPr>
          <w:b/>
          <w:sz w:val="26"/>
          <w:szCs w:val="26"/>
        </w:rPr>
      </w:pPr>
      <w:r w:rsidRPr="00F971E7">
        <w:rPr>
          <w:b/>
          <w:sz w:val="26"/>
          <w:szCs w:val="26"/>
        </w:rPr>
        <w:t>§ 5.101.  Preliminary objections.</w:t>
      </w:r>
    </w:p>
    <w:p w:rsidR="007C28E3" w:rsidRPr="00F971E7" w:rsidRDefault="007C28E3" w:rsidP="00F971E7">
      <w:pPr>
        <w:spacing w:line="240" w:lineRule="auto"/>
        <w:ind w:left="1440" w:right="1440"/>
        <w:contextualSpacing/>
        <w:rPr>
          <w:sz w:val="26"/>
          <w:szCs w:val="26"/>
        </w:rPr>
      </w:pPr>
      <w:r w:rsidRPr="00F971E7">
        <w:rPr>
          <w:sz w:val="26"/>
          <w:szCs w:val="26"/>
        </w:rPr>
        <w:t>(a)</w:t>
      </w:r>
      <w:r w:rsidRPr="00F971E7">
        <w:rPr>
          <w:sz w:val="26"/>
          <w:szCs w:val="26"/>
        </w:rPr>
        <w:tab/>
      </w:r>
      <w:r w:rsidRPr="00F971E7">
        <w:rPr>
          <w:i/>
          <w:sz w:val="26"/>
          <w:szCs w:val="26"/>
        </w:rPr>
        <w:t>Grounds.</w:t>
      </w:r>
      <w:r w:rsidRPr="00F971E7">
        <w:rPr>
          <w:sz w:val="26"/>
          <w:szCs w:val="26"/>
        </w:rPr>
        <w:t xml:space="preserve"> Preliminary objections are available to parties and may be filed in response to a pleading except motions and prior preliminary objections.  Preliminary objections must be accompanied by a notice to plead, must </w:t>
      </w:r>
      <w:r w:rsidRPr="00F971E7">
        <w:rPr>
          <w:sz w:val="26"/>
          <w:szCs w:val="26"/>
        </w:rPr>
        <w:lastRenderedPageBreak/>
        <w:t>state specifically the legal and factual grounds relied upon and be limited to the following:</w:t>
      </w:r>
    </w:p>
    <w:p w:rsidR="007C28E3" w:rsidRPr="005730D5" w:rsidRDefault="007C28E3" w:rsidP="007C28E3">
      <w:pPr>
        <w:pStyle w:val="NormalWeb"/>
        <w:ind w:left="1440" w:right="1440"/>
        <w:rPr>
          <w:sz w:val="26"/>
          <w:szCs w:val="26"/>
        </w:rPr>
      </w:pPr>
      <w:bookmarkStart w:id="1" w:name="5.101."/>
      <w:r w:rsidRPr="005730D5">
        <w:rPr>
          <w:sz w:val="26"/>
          <w:szCs w:val="26"/>
        </w:rPr>
        <w:t> </w:t>
      </w:r>
      <w:r w:rsidRPr="005730D5">
        <w:rPr>
          <w:sz w:val="26"/>
          <w:szCs w:val="26"/>
        </w:rPr>
        <w:tab/>
        <w:t>(1)</w:t>
      </w:r>
      <w:r w:rsidRPr="005730D5">
        <w:rPr>
          <w:sz w:val="26"/>
          <w:szCs w:val="26"/>
        </w:rPr>
        <w:tab/>
        <w:t xml:space="preserve">Lack of Commission jurisdiction or improper service of the pleading initiating the proceeding. </w:t>
      </w:r>
    </w:p>
    <w:p w:rsidR="007C28E3" w:rsidRPr="005730D5" w:rsidRDefault="007C28E3" w:rsidP="007C28E3">
      <w:pPr>
        <w:pStyle w:val="NormalWeb"/>
        <w:ind w:left="1440" w:right="1440"/>
        <w:rPr>
          <w:sz w:val="26"/>
          <w:szCs w:val="26"/>
        </w:rPr>
      </w:pPr>
      <w:r w:rsidRPr="005730D5">
        <w:rPr>
          <w:sz w:val="26"/>
          <w:szCs w:val="26"/>
        </w:rPr>
        <w:t>   </w:t>
      </w:r>
      <w:r w:rsidRPr="005730D5">
        <w:rPr>
          <w:sz w:val="26"/>
          <w:szCs w:val="26"/>
        </w:rPr>
        <w:tab/>
        <w:t>(2)</w:t>
      </w:r>
      <w:r w:rsidRPr="005730D5">
        <w:rPr>
          <w:sz w:val="26"/>
          <w:szCs w:val="26"/>
        </w:rPr>
        <w:tab/>
        <w:t xml:space="preserve">Failure of a pleading to conform to this chapter or the inclusion of scandalous or impertinent matter. </w:t>
      </w:r>
    </w:p>
    <w:p w:rsidR="007C28E3" w:rsidRPr="005730D5" w:rsidRDefault="007C28E3" w:rsidP="007C28E3">
      <w:pPr>
        <w:pStyle w:val="NormalWeb"/>
        <w:ind w:left="1440" w:right="1440"/>
        <w:rPr>
          <w:sz w:val="26"/>
          <w:szCs w:val="26"/>
        </w:rPr>
      </w:pPr>
      <w:r w:rsidRPr="005730D5">
        <w:rPr>
          <w:sz w:val="26"/>
          <w:szCs w:val="26"/>
        </w:rPr>
        <w:t>   </w:t>
      </w:r>
      <w:r w:rsidRPr="005730D5">
        <w:rPr>
          <w:sz w:val="26"/>
          <w:szCs w:val="26"/>
        </w:rPr>
        <w:tab/>
        <w:t>(3)</w:t>
      </w:r>
      <w:r w:rsidRPr="005730D5">
        <w:rPr>
          <w:sz w:val="26"/>
          <w:szCs w:val="26"/>
        </w:rPr>
        <w:tab/>
        <w:t xml:space="preserve">Insufficient specificity of a pleading. </w:t>
      </w:r>
    </w:p>
    <w:p w:rsidR="007C28E3" w:rsidRPr="005730D5" w:rsidRDefault="007C28E3" w:rsidP="007C28E3">
      <w:pPr>
        <w:pStyle w:val="NormalWeb"/>
        <w:ind w:left="1440" w:right="1440"/>
        <w:rPr>
          <w:sz w:val="26"/>
          <w:szCs w:val="26"/>
        </w:rPr>
      </w:pPr>
      <w:r w:rsidRPr="005730D5">
        <w:rPr>
          <w:sz w:val="26"/>
          <w:szCs w:val="26"/>
        </w:rPr>
        <w:t>   </w:t>
      </w:r>
      <w:r w:rsidRPr="005730D5">
        <w:rPr>
          <w:sz w:val="26"/>
          <w:szCs w:val="26"/>
        </w:rPr>
        <w:tab/>
        <w:t>(4)</w:t>
      </w:r>
      <w:r w:rsidRPr="005730D5">
        <w:rPr>
          <w:sz w:val="26"/>
          <w:szCs w:val="26"/>
        </w:rPr>
        <w:tab/>
        <w:t xml:space="preserve">Legal insufficiency of a pleading. </w:t>
      </w:r>
    </w:p>
    <w:p w:rsidR="007C28E3" w:rsidRPr="005730D5" w:rsidRDefault="007C28E3" w:rsidP="007C28E3">
      <w:pPr>
        <w:pStyle w:val="NormalWeb"/>
        <w:ind w:left="1440" w:right="1440"/>
        <w:rPr>
          <w:sz w:val="26"/>
          <w:szCs w:val="26"/>
        </w:rPr>
      </w:pPr>
      <w:r w:rsidRPr="005730D5">
        <w:rPr>
          <w:sz w:val="26"/>
          <w:szCs w:val="26"/>
        </w:rPr>
        <w:t>   </w:t>
      </w:r>
      <w:r w:rsidRPr="005730D5">
        <w:rPr>
          <w:sz w:val="26"/>
          <w:szCs w:val="26"/>
        </w:rPr>
        <w:tab/>
        <w:t>(5)</w:t>
      </w:r>
      <w:r w:rsidRPr="005730D5">
        <w:rPr>
          <w:sz w:val="26"/>
          <w:szCs w:val="26"/>
        </w:rPr>
        <w:tab/>
        <w:t xml:space="preserve">Lack of capacity to sue, nonjoinder of a necessary party or misjoinder of a cause of action. </w:t>
      </w:r>
    </w:p>
    <w:bookmarkEnd w:id="1"/>
    <w:p w:rsidR="007C28E3" w:rsidRPr="00F971E7" w:rsidRDefault="007C28E3" w:rsidP="00F971E7">
      <w:pPr>
        <w:spacing w:line="240" w:lineRule="auto"/>
        <w:ind w:left="1440" w:right="1440"/>
        <w:contextualSpacing/>
        <w:rPr>
          <w:sz w:val="26"/>
          <w:szCs w:val="26"/>
        </w:rPr>
      </w:pPr>
      <w:r w:rsidRPr="00F971E7">
        <w:rPr>
          <w:sz w:val="26"/>
          <w:szCs w:val="26"/>
        </w:rPr>
        <w:tab/>
        <w:t>(6)</w:t>
      </w:r>
      <w:r w:rsidRPr="00F971E7">
        <w:rPr>
          <w:sz w:val="26"/>
          <w:szCs w:val="26"/>
        </w:rPr>
        <w:tab/>
        <w:t>Pendency of a prior proceeding or agreement for alternative dispute resolution.</w:t>
      </w:r>
    </w:p>
    <w:p w:rsidR="007C28E3" w:rsidRPr="00F971E7" w:rsidRDefault="007C28E3" w:rsidP="00F971E7">
      <w:pPr>
        <w:spacing w:line="240" w:lineRule="auto"/>
        <w:ind w:left="1440" w:right="1440"/>
        <w:contextualSpacing/>
        <w:rPr>
          <w:sz w:val="26"/>
          <w:szCs w:val="26"/>
        </w:rPr>
      </w:pPr>
    </w:p>
    <w:p w:rsidR="007C28E3" w:rsidRPr="00F971E7" w:rsidRDefault="007C28E3" w:rsidP="00F971E7">
      <w:pPr>
        <w:spacing w:line="240" w:lineRule="auto"/>
        <w:ind w:left="1440" w:right="1440" w:firstLine="720"/>
        <w:contextualSpacing/>
        <w:rPr>
          <w:sz w:val="26"/>
          <w:szCs w:val="26"/>
        </w:rPr>
      </w:pPr>
      <w:r w:rsidRPr="00F971E7">
        <w:rPr>
          <w:sz w:val="26"/>
          <w:szCs w:val="26"/>
        </w:rPr>
        <w:t> (7)  </w:t>
      </w:r>
      <w:r w:rsidRPr="00F971E7">
        <w:rPr>
          <w:sz w:val="26"/>
          <w:szCs w:val="26"/>
        </w:rPr>
        <w:tab/>
        <w:t>Standing of a party to participate in the proceeding.</w:t>
      </w:r>
    </w:p>
    <w:p w:rsidR="007C28E3" w:rsidRPr="00F971E7" w:rsidRDefault="007C28E3" w:rsidP="007C28E3">
      <w:pPr>
        <w:ind w:left="1440" w:right="1440" w:hanging="1440"/>
        <w:contextualSpacing/>
        <w:rPr>
          <w:sz w:val="26"/>
          <w:szCs w:val="26"/>
        </w:rPr>
      </w:pPr>
    </w:p>
    <w:p w:rsidR="007C28E3" w:rsidRDefault="007C28E3" w:rsidP="007C28E3">
      <w:pPr>
        <w:ind w:left="1440" w:right="1440" w:hanging="1440"/>
        <w:contextualSpacing/>
        <w:rPr>
          <w:sz w:val="26"/>
          <w:szCs w:val="26"/>
        </w:rPr>
      </w:pPr>
      <w:r w:rsidRPr="00F971E7">
        <w:rPr>
          <w:sz w:val="26"/>
          <w:szCs w:val="26"/>
        </w:rPr>
        <w:t>52 Pa. Code § 5.101(a).</w:t>
      </w:r>
    </w:p>
    <w:p w:rsidR="007C28E3" w:rsidRPr="00F971E7" w:rsidRDefault="007C28E3" w:rsidP="007C28E3">
      <w:pPr>
        <w:ind w:left="1440" w:right="1440" w:hanging="1440"/>
        <w:contextualSpacing/>
        <w:rPr>
          <w:sz w:val="26"/>
          <w:szCs w:val="26"/>
        </w:rPr>
      </w:pPr>
    </w:p>
    <w:p w:rsidR="0058212D" w:rsidRDefault="00926975" w:rsidP="0058212D">
      <w:pPr>
        <w:spacing w:before="0" w:after="0"/>
        <w:ind w:firstLine="1440"/>
        <w:rPr>
          <w:sz w:val="26"/>
          <w:szCs w:val="26"/>
        </w:rPr>
      </w:pPr>
      <w:r w:rsidRPr="00BF4B11">
        <w:rPr>
          <w:sz w:val="26"/>
          <w:szCs w:val="26"/>
        </w:rPr>
        <w:t>Commission preliminary objection practice is analogous to Pennsylvania civil practice regarding preliminary objections.</w:t>
      </w:r>
      <w:r w:rsidR="007B6F1E">
        <w:rPr>
          <w:sz w:val="26"/>
          <w:szCs w:val="26"/>
        </w:rPr>
        <w:t xml:space="preserve">  I.D. at 4, citing</w:t>
      </w:r>
      <w:r w:rsidRPr="00BF4B11">
        <w:rPr>
          <w:sz w:val="26"/>
          <w:szCs w:val="26"/>
        </w:rPr>
        <w:t xml:space="preserve"> </w:t>
      </w:r>
      <w:r w:rsidRPr="007B6F1E">
        <w:rPr>
          <w:i/>
          <w:sz w:val="26"/>
          <w:szCs w:val="26"/>
        </w:rPr>
        <w:t>Equitable Small Transportation Intervenors v. Equitable Gas Company</w:t>
      </w:r>
      <w:r w:rsidRPr="00BF4B11">
        <w:rPr>
          <w:sz w:val="26"/>
          <w:szCs w:val="26"/>
        </w:rPr>
        <w:t>, 1994 Pa. PUC LEXIS 69, Docket No. C-00935435 (July 18, 1994) (</w:t>
      </w:r>
      <w:r w:rsidRPr="007B6F1E">
        <w:rPr>
          <w:i/>
          <w:sz w:val="26"/>
          <w:szCs w:val="26"/>
        </w:rPr>
        <w:t>Equitable</w:t>
      </w:r>
      <w:r w:rsidRPr="00BF4B11">
        <w:rPr>
          <w:sz w:val="26"/>
          <w:szCs w:val="26"/>
        </w:rPr>
        <w:t xml:space="preserve">). </w:t>
      </w:r>
      <w:r w:rsidR="007B6F1E">
        <w:rPr>
          <w:sz w:val="26"/>
          <w:szCs w:val="26"/>
        </w:rPr>
        <w:t xml:space="preserve"> </w:t>
      </w:r>
      <w:r w:rsidRPr="00BF4B11">
        <w:rPr>
          <w:sz w:val="26"/>
          <w:szCs w:val="26"/>
        </w:rPr>
        <w:t>A preliminary objection asserting lack of Commission jurisdiction, pursuant to the Commission’s Rules of Practice and Procedure, is analogous to preliminary objections allowed by Rule 1028 of the Pennsylvania Rules of Civil Procedure.</w:t>
      </w:r>
      <w:r w:rsidR="007B6F1E">
        <w:rPr>
          <w:sz w:val="26"/>
          <w:szCs w:val="26"/>
        </w:rPr>
        <w:t xml:space="preserve">  </w:t>
      </w:r>
      <w:r w:rsidR="007B6F1E">
        <w:rPr>
          <w:i/>
          <w:sz w:val="26"/>
          <w:szCs w:val="26"/>
        </w:rPr>
        <w:t>Id</w:t>
      </w:r>
      <w:r w:rsidR="007B6F1E">
        <w:rPr>
          <w:sz w:val="26"/>
          <w:szCs w:val="26"/>
        </w:rPr>
        <w:t>.</w:t>
      </w:r>
      <w:r w:rsidR="0058212D">
        <w:rPr>
          <w:sz w:val="26"/>
          <w:szCs w:val="26"/>
        </w:rPr>
        <w:t xml:space="preserve">  </w:t>
      </w:r>
    </w:p>
    <w:p w:rsidR="0058212D" w:rsidRDefault="0058212D" w:rsidP="0058212D">
      <w:pPr>
        <w:spacing w:before="0" w:after="0"/>
        <w:ind w:firstLine="1440"/>
        <w:rPr>
          <w:sz w:val="26"/>
          <w:szCs w:val="26"/>
        </w:rPr>
      </w:pPr>
    </w:p>
    <w:p w:rsidR="0058212D" w:rsidRPr="00984288" w:rsidRDefault="0058212D" w:rsidP="0058212D">
      <w:pPr>
        <w:spacing w:before="0" w:after="0"/>
        <w:ind w:firstLine="1440"/>
        <w:rPr>
          <w:sz w:val="26"/>
          <w:szCs w:val="26"/>
        </w:rPr>
      </w:pPr>
      <w:r w:rsidRPr="00984288">
        <w:rPr>
          <w:sz w:val="26"/>
          <w:szCs w:val="26"/>
        </w:rPr>
        <w:t>What is seldom, if ever, discussed</w:t>
      </w:r>
      <w:r>
        <w:rPr>
          <w:sz w:val="26"/>
          <w:szCs w:val="26"/>
        </w:rPr>
        <w:t>, however,</w:t>
      </w:r>
      <w:r w:rsidRPr="00984288">
        <w:rPr>
          <w:sz w:val="26"/>
          <w:szCs w:val="26"/>
        </w:rPr>
        <w:t xml:space="preserve"> in drawing the comparison to preliminary objection practice before the Commission and </w:t>
      </w:r>
      <w:r>
        <w:rPr>
          <w:sz w:val="26"/>
          <w:szCs w:val="26"/>
        </w:rPr>
        <w:t xml:space="preserve">Pennsylvania </w:t>
      </w:r>
      <w:r w:rsidRPr="00984288">
        <w:rPr>
          <w:sz w:val="26"/>
          <w:szCs w:val="26"/>
        </w:rPr>
        <w:t xml:space="preserve">civil practice, is that, according to Pa. Rule of Civ. Pro. 1028(c)-(e), leave to amend complaints is freely given.  Also, the rule authorizes </w:t>
      </w:r>
      <w:r>
        <w:rPr>
          <w:sz w:val="26"/>
          <w:szCs w:val="26"/>
        </w:rPr>
        <w:t>a</w:t>
      </w:r>
      <w:r w:rsidRPr="00984288">
        <w:rPr>
          <w:sz w:val="26"/>
          <w:szCs w:val="26"/>
        </w:rPr>
        <w:t xml:space="preserve"> court to decide facts which may bear on sustaining or </w:t>
      </w:r>
      <w:r w:rsidRPr="00984288">
        <w:rPr>
          <w:sz w:val="26"/>
          <w:szCs w:val="26"/>
        </w:rPr>
        <w:lastRenderedPageBreak/>
        <w:t xml:space="preserve">overruling preliminary objections by depositions or otherwise.  </w:t>
      </w:r>
      <w:r w:rsidRPr="00984288">
        <w:rPr>
          <w:bCs/>
          <w:i/>
          <w:sz w:val="26"/>
          <w:szCs w:val="26"/>
        </w:rPr>
        <w:t>American Housing Trust, III v. Jones</w:t>
      </w:r>
      <w:r w:rsidRPr="00984288">
        <w:rPr>
          <w:bCs/>
          <w:sz w:val="26"/>
          <w:szCs w:val="26"/>
        </w:rPr>
        <w:t>, 548 Pa. 311, 315</w:t>
      </w:r>
      <w:r w:rsidRPr="00984288">
        <w:rPr>
          <w:b/>
          <w:bCs/>
          <w:sz w:val="26"/>
          <w:szCs w:val="26"/>
        </w:rPr>
        <w:t xml:space="preserve">, </w:t>
      </w:r>
      <w:proofErr w:type="gramStart"/>
      <w:r w:rsidRPr="00984288">
        <w:rPr>
          <w:sz w:val="26"/>
          <w:szCs w:val="26"/>
        </w:rPr>
        <w:t>696 A.2d 1181,</w:t>
      </w:r>
      <w:proofErr w:type="gramEnd"/>
      <w:r w:rsidRPr="00984288">
        <w:rPr>
          <w:sz w:val="26"/>
          <w:szCs w:val="26"/>
        </w:rPr>
        <w:t xml:space="preserve"> 83-84 (1997).  </w:t>
      </w:r>
    </w:p>
    <w:p w:rsidR="00926975" w:rsidRPr="00BF4B11" w:rsidRDefault="00926975" w:rsidP="0058212D">
      <w:pPr>
        <w:pStyle w:val="Default"/>
        <w:spacing w:line="360" w:lineRule="auto"/>
        <w:rPr>
          <w:color w:val="auto"/>
          <w:sz w:val="26"/>
          <w:szCs w:val="26"/>
        </w:rPr>
      </w:pPr>
    </w:p>
    <w:p w:rsidR="00926975" w:rsidRDefault="00926975" w:rsidP="007B6F1E">
      <w:pPr>
        <w:pStyle w:val="Default"/>
        <w:spacing w:line="360" w:lineRule="auto"/>
        <w:ind w:firstLine="1440"/>
        <w:rPr>
          <w:color w:val="auto"/>
          <w:sz w:val="26"/>
          <w:szCs w:val="26"/>
        </w:rPr>
      </w:pPr>
      <w:r w:rsidRPr="00BF4B11">
        <w:rPr>
          <w:color w:val="auto"/>
          <w:sz w:val="26"/>
          <w:szCs w:val="26"/>
        </w:rPr>
        <w:t>Preliminary objections in civil practice requesting dismissal of a pleading will be granted only where the right to relief is clearly warranted and free from doubt.</w:t>
      </w:r>
      <w:r w:rsidR="001746DA">
        <w:rPr>
          <w:color w:val="auto"/>
          <w:sz w:val="26"/>
          <w:szCs w:val="26"/>
        </w:rPr>
        <w:t xml:space="preserve">  I.D. at 4, citing</w:t>
      </w:r>
      <w:r w:rsidRPr="00BF4B11">
        <w:rPr>
          <w:color w:val="auto"/>
          <w:sz w:val="26"/>
          <w:szCs w:val="26"/>
        </w:rPr>
        <w:t xml:space="preserve"> </w:t>
      </w:r>
      <w:r w:rsidRPr="001746DA">
        <w:rPr>
          <w:i/>
          <w:color w:val="auto"/>
          <w:sz w:val="26"/>
          <w:szCs w:val="26"/>
        </w:rPr>
        <w:t>Interstate Traveller Services, Inc. v. Pa. Dept. of Environment</w:t>
      </w:r>
      <w:r w:rsidR="007C28E3">
        <w:rPr>
          <w:i/>
          <w:color w:val="auto"/>
          <w:sz w:val="26"/>
          <w:szCs w:val="26"/>
        </w:rPr>
        <w:t>al</w:t>
      </w:r>
      <w:r w:rsidRPr="001746DA">
        <w:rPr>
          <w:i/>
          <w:color w:val="auto"/>
          <w:sz w:val="26"/>
          <w:szCs w:val="26"/>
        </w:rPr>
        <w:t xml:space="preserve"> Resources</w:t>
      </w:r>
      <w:r w:rsidRPr="00BF4B11">
        <w:rPr>
          <w:color w:val="auto"/>
          <w:sz w:val="26"/>
          <w:szCs w:val="26"/>
        </w:rPr>
        <w:t xml:space="preserve">, </w:t>
      </w:r>
      <w:r w:rsidR="00473013">
        <w:rPr>
          <w:color w:val="auto"/>
          <w:sz w:val="26"/>
          <w:szCs w:val="26"/>
        </w:rPr>
        <w:t xml:space="preserve">486 Pa. 536, </w:t>
      </w:r>
      <w:r w:rsidRPr="00BF4B11">
        <w:rPr>
          <w:color w:val="auto"/>
          <w:sz w:val="26"/>
          <w:szCs w:val="26"/>
        </w:rPr>
        <w:t xml:space="preserve">406 A.2d 1020 </w:t>
      </w:r>
      <w:r w:rsidR="001746DA">
        <w:rPr>
          <w:color w:val="auto"/>
          <w:sz w:val="26"/>
          <w:szCs w:val="26"/>
        </w:rPr>
        <w:t>(</w:t>
      </w:r>
      <w:r w:rsidRPr="00BF4B11">
        <w:rPr>
          <w:color w:val="auto"/>
          <w:sz w:val="26"/>
          <w:szCs w:val="26"/>
        </w:rPr>
        <w:t xml:space="preserve">1979); </w:t>
      </w:r>
      <w:r w:rsidRPr="001746DA">
        <w:rPr>
          <w:i/>
          <w:color w:val="auto"/>
          <w:sz w:val="26"/>
          <w:szCs w:val="26"/>
        </w:rPr>
        <w:t>Rivera v. Philadelphia Theological Seminary of St. Charles Borromeo, Inc</w:t>
      </w:r>
      <w:r w:rsidRPr="00BF4B11">
        <w:rPr>
          <w:color w:val="auto"/>
          <w:sz w:val="26"/>
          <w:szCs w:val="26"/>
        </w:rPr>
        <w:t>., 595 A.2d 172 (Pa.</w:t>
      </w:r>
      <w:r w:rsidR="00473013">
        <w:rPr>
          <w:color w:val="auto"/>
          <w:sz w:val="26"/>
          <w:szCs w:val="26"/>
        </w:rPr>
        <w:t xml:space="preserve"> </w:t>
      </w:r>
      <w:r w:rsidRPr="00BF4B11">
        <w:rPr>
          <w:color w:val="auto"/>
          <w:sz w:val="26"/>
          <w:szCs w:val="26"/>
        </w:rPr>
        <w:t>Super. 1991).</w:t>
      </w:r>
      <w:r w:rsidR="001746DA">
        <w:rPr>
          <w:color w:val="auto"/>
          <w:sz w:val="26"/>
          <w:szCs w:val="26"/>
        </w:rPr>
        <w:t xml:space="preserve"> </w:t>
      </w:r>
      <w:r w:rsidRPr="00BF4B11">
        <w:rPr>
          <w:color w:val="auto"/>
          <w:sz w:val="26"/>
          <w:szCs w:val="26"/>
        </w:rPr>
        <w:t xml:space="preserve"> The Commission follows this standard. </w:t>
      </w:r>
      <w:r w:rsidR="0072636E">
        <w:rPr>
          <w:color w:val="auto"/>
          <w:sz w:val="26"/>
          <w:szCs w:val="26"/>
        </w:rPr>
        <w:t xml:space="preserve"> </w:t>
      </w:r>
      <w:r w:rsidRPr="001746DA">
        <w:rPr>
          <w:i/>
          <w:color w:val="auto"/>
          <w:sz w:val="26"/>
          <w:szCs w:val="26"/>
        </w:rPr>
        <w:t>Montague v. Philadelphia Electric Company</w:t>
      </w:r>
      <w:r w:rsidRPr="00BF4B11">
        <w:rPr>
          <w:color w:val="auto"/>
          <w:sz w:val="26"/>
          <w:szCs w:val="26"/>
        </w:rPr>
        <w:t>, 66 Pa. P</w:t>
      </w:r>
      <w:r w:rsidR="001746DA">
        <w:rPr>
          <w:color w:val="auto"/>
          <w:sz w:val="26"/>
          <w:szCs w:val="26"/>
        </w:rPr>
        <w:t>.</w:t>
      </w:r>
      <w:r w:rsidRPr="00BF4B11">
        <w:rPr>
          <w:color w:val="auto"/>
          <w:sz w:val="26"/>
          <w:szCs w:val="26"/>
        </w:rPr>
        <w:t>U</w:t>
      </w:r>
      <w:r w:rsidR="001746DA">
        <w:rPr>
          <w:color w:val="auto"/>
          <w:sz w:val="26"/>
          <w:szCs w:val="26"/>
        </w:rPr>
        <w:t>.</w:t>
      </w:r>
      <w:r w:rsidRPr="00BF4B11">
        <w:rPr>
          <w:color w:val="auto"/>
          <w:sz w:val="26"/>
          <w:szCs w:val="26"/>
        </w:rPr>
        <w:t>C</w:t>
      </w:r>
      <w:r w:rsidR="001746DA">
        <w:rPr>
          <w:color w:val="auto"/>
          <w:sz w:val="26"/>
          <w:szCs w:val="26"/>
        </w:rPr>
        <w:t>.</w:t>
      </w:r>
      <w:r w:rsidRPr="00BF4B11">
        <w:rPr>
          <w:color w:val="auto"/>
          <w:sz w:val="26"/>
          <w:szCs w:val="26"/>
        </w:rPr>
        <w:t xml:space="preserve"> 24 (1988).</w:t>
      </w:r>
      <w:r w:rsidR="00473013">
        <w:rPr>
          <w:color w:val="auto"/>
          <w:sz w:val="26"/>
          <w:szCs w:val="26"/>
        </w:rPr>
        <w:t xml:space="preserve">  </w:t>
      </w:r>
      <w:r w:rsidR="00473013">
        <w:rPr>
          <w:i/>
          <w:color w:val="auto"/>
          <w:sz w:val="26"/>
          <w:szCs w:val="26"/>
        </w:rPr>
        <w:t>Id</w:t>
      </w:r>
      <w:r w:rsidR="00473013">
        <w:rPr>
          <w:color w:val="auto"/>
          <w:sz w:val="26"/>
          <w:szCs w:val="26"/>
        </w:rPr>
        <w:t>.</w:t>
      </w:r>
      <w:r w:rsidRPr="00BF4B11">
        <w:rPr>
          <w:color w:val="auto"/>
          <w:sz w:val="26"/>
          <w:szCs w:val="26"/>
        </w:rPr>
        <w:t xml:space="preserve"> </w:t>
      </w:r>
    </w:p>
    <w:p w:rsidR="001746DA" w:rsidRPr="00BF4B11" w:rsidRDefault="001746DA" w:rsidP="007B6F1E">
      <w:pPr>
        <w:pStyle w:val="Default"/>
        <w:spacing w:line="360" w:lineRule="auto"/>
        <w:ind w:firstLine="1440"/>
        <w:rPr>
          <w:color w:val="auto"/>
          <w:sz w:val="26"/>
          <w:szCs w:val="26"/>
        </w:rPr>
      </w:pPr>
    </w:p>
    <w:p w:rsidR="00C363BD" w:rsidRDefault="00926975" w:rsidP="0006572C">
      <w:pPr>
        <w:pStyle w:val="Default"/>
        <w:spacing w:line="360" w:lineRule="auto"/>
        <w:ind w:firstLine="1440"/>
        <w:rPr>
          <w:sz w:val="26"/>
          <w:szCs w:val="26"/>
        </w:rPr>
      </w:pPr>
      <w:r>
        <w:rPr>
          <w:sz w:val="26"/>
          <w:szCs w:val="26"/>
        </w:rPr>
        <w:t xml:space="preserve">   </w:t>
      </w:r>
      <w:r w:rsidR="00942524">
        <w:rPr>
          <w:sz w:val="26"/>
          <w:szCs w:val="26"/>
        </w:rPr>
        <w:t xml:space="preserve"> </w:t>
      </w:r>
      <w:r w:rsidR="00473013">
        <w:rPr>
          <w:sz w:val="26"/>
          <w:szCs w:val="26"/>
        </w:rPr>
        <w:t>Presiding ALJ Salapa, after a</w:t>
      </w:r>
      <w:r w:rsidR="00C363BD" w:rsidRPr="00307FD1">
        <w:rPr>
          <w:sz w:val="26"/>
          <w:szCs w:val="26"/>
        </w:rPr>
        <w:t xml:space="preserve">ccepting as true all the facts alleged in the </w:t>
      </w:r>
      <w:r w:rsidR="00473013">
        <w:rPr>
          <w:sz w:val="26"/>
          <w:szCs w:val="26"/>
        </w:rPr>
        <w:t>C</w:t>
      </w:r>
      <w:r w:rsidR="00C363BD" w:rsidRPr="00307FD1">
        <w:rPr>
          <w:sz w:val="26"/>
          <w:szCs w:val="26"/>
        </w:rPr>
        <w:t xml:space="preserve">omplaint, </w:t>
      </w:r>
      <w:r w:rsidR="00473013">
        <w:rPr>
          <w:sz w:val="26"/>
          <w:szCs w:val="26"/>
        </w:rPr>
        <w:t>concluded that</w:t>
      </w:r>
      <w:r w:rsidR="00C363BD" w:rsidRPr="00307FD1">
        <w:rPr>
          <w:sz w:val="26"/>
          <w:szCs w:val="26"/>
        </w:rPr>
        <w:t xml:space="preserve"> Complainant is not entitled to relief as a matter of law.</w:t>
      </w:r>
      <w:r w:rsidR="00473013">
        <w:rPr>
          <w:sz w:val="26"/>
          <w:szCs w:val="26"/>
        </w:rPr>
        <w:t xml:space="preserve"> </w:t>
      </w:r>
      <w:r w:rsidR="00C363BD" w:rsidRPr="00307FD1">
        <w:rPr>
          <w:sz w:val="26"/>
          <w:szCs w:val="26"/>
        </w:rPr>
        <w:t xml:space="preserve"> </w:t>
      </w:r>
      <w:r w:rsidR="00473013">
        <w:rPr>
          <w:sz w:val="26"/>
          <w:szCs w:val="26"/>
        </w:rPr>
        <w:t>I.D. at</w:t>
      </w:r>
      <w:r w:rsidR="006461F7">
        <w:rPr>
          <w:sz w:val="26"/>
          <w:szCs w:val="26"/>
        </w:rPr>
        <w:t xml:space="preserve"> </w:t>
      </w:r>
      <w:r w:rsidR="00473013">
        <w:rPr>
          <w:sz w:val="26"/>
          <w:szCs w:val="26"/>
        </w:rPr>
        <w:t>7.  He based his conclusion on the observation that t</w:t>
      </w:r>
      <w:r w:rsidR="00C363BD" w:rsidRPr="00307FD1">
        <w:rPr>
          <w:sz w:val="26"/>
          <w:szCs w:val="26"/>
        </w:rPr>
        <w:t xml:space="preserve">he dispute alleged in the </w:t>
      </w:r>
      <w:r w:rsidR="00473013">
        <w:rPr>
          <w:sz w:val="26"/>
          <w:szCs w:val="26"/>
        </w:rPr>
        <w:t>C</w:t>
      </w:r>
      <w:r w:rsidR="00C363BD" w:rsidRPr="00307FD1">
        <w:rPr>
          <w:sz w:val="26"/>
          <w:szCs w:val="26"/>
        </w:rPr>
        <w:t xml:space="preserve">omplaint arose prior to August 12, 2013. </w:t>
      </w:r>
      <w:r w:rsidR="006461F7">
        <w:rPr>
          <w:sz w:val="26"/>
          <w:szCs w:val="26"/>
        </w:rPr>
        <w:t xml:space="preserve"> </w:t>
      </w:r>
      <w:r w:rsidR="00C363BD" w:rsidRPr="00307FD1">
        <w:rPr>
          <w:sz w:val="26"/>
          <w:szCs w:val="26"/>
        </w:rPr>
        <w:t>The</w:t>
      </w:r>
      <w:r w:rsidR="00473013">
        <w:rPr>
          <w:sz w:val="26"/>
          <w:szCs w:val="26"/>
        </w:rPr>
        <w:t xml:space="preserve">refore, ALJ </w:t>
      </w:r>
      <w:r w:rsidR="006461F7">
        <w:rPr>
          <w:sz w:val="26"/>
          <w:szCs w:val="26"/>
        </w:rPr>
        <w:t xml:space="preserve">Salapa </w:t>
      </w:r>
      <w:r w:rsidR="00473013">
        <w:rPr>
          <w:sz w:val="26"/>
          <w:szCs w:val="26"/>
        </w:rPr>
        <w:t xml:space="preserve">agreed with the position of PGW that </w:t>
      </w:r>
      <w:r w:rsidR="00C363BD" w:rsidRPr="00307FD1">
        <w:rPr>
          <w:sz w:val="26"/>
          <w:szCs w:val="26"/>
        </w:rPr>
        <w:t xml:space="preserve">claims </w:t>
      </w:r>
      <w:r w:rsidR="00473013">
        <w:rPr>
          <w:sz w:val="26"/>
          <w:szCs w:val="26"/>
        </w:rPr>
        <w:t>prosecuted in the C</w:t>
      </w:r>
      <w:r w:rsidR="00C363BD" w:rsidRPr="00307FD1">
        <w:rPr>
          <w:sz w:val="26"/>
          <w:szCs w:val="26"/>
        </w:rPr>
        <w:t xml:space="preserve">omplaint </w:t>
      </w:r>
      <w:r w:rsidR="00473013">
        <w:rPr>
          <w:sz w:val="26"/>
          <w:szCs w:val="26"/>
        </w:rPr>
        <w:t>were</w:t>
      </w:r>
      <w:r w:rsidR="00C363BD" w:rsidRPr="00307FD1">
        <w:rPr>
          <w:sz w:val="26"/>
          <w:szCs w:val="26"/>
        </w:rPr>
        <w:t xml:space="preserve"> </w:t>
      </w:r>
      <w:r w:rsidR="006461F7">
        <w:rPr>
          <w:sz w:val="26"/>
          <w:szCs w:val="26"/>
        </w:rPr>
        <w:t>time-</w:t>
      </w:r>
      <w:r w:rsidR="00C363BD" w:rsidRPr="00307FD1">
        <w:rPr>
          <w:sz w:val="26"/>
          <w:szCs w:val="26"/>
        </w:rPr>
        <w:t>barred by the three</w:t>
      </w:r>
      <w:r w:rsidR="000F10AB">
        <w:rPr>
          <w:sz w:val="26"/>
          <w:szCs w:val="26"/>
        </w:rPr>
        <w:t>-</w:t>
      </w:r>
      <w:r w:rsidR="00C363BD" w:rsidRPr="00307FD1">
        <w:rPr>
          <w:sz w:val="26"/>
          <w:szCs w:val="26"/>
        </w:rPr>
        <w:t>year statute of limitations at 66 Pa.</w:t>
      </w:r>
      <w:r w:rsidR="00473013">
        <w:rPr>
          <w:sz w:val="26"/>
          <w:szCs w:val="26"/>
        </w:rPr>
        <w:t xml:space="preserve"> </w:t>
      </w:r>
      <w:r w:rsidR="00C363BD" w:rsidRPr="00307FD1">
        <w:rPr>
          <w:sz w:val="26"/>
          <w:szCs w:val="26"/>
        </w:rPr>
        <w:t>C.S. § 3314.</w:t>
      </w:r>
      <w:r w:rsidR="00473013">
        <w:rPr>
          <w:sz w:val="26"/>
          <w:szCs w:val="26"/>
        </w:rPr>
        <w:t xml:space="preserve">  </w:t>
      </w:r>
      <w:r w:rsidR="00473013">
        <w:rPr>
          <w:i/>
          <w:sz w:val="26"/>
          <w:szCs w:val="26"/>
        </w:rPr>
        <w:t>Id</w:t>
      </w:r>
      <w:r w:rsidR="00473013">
        <w:rPr>
          <w:sz w:val="26"/>
          <w:szCs w:val="26"/>
        </w:rPr>
        <w:t xml:space="preserve">., citing </w:t>
      </w:r>
      <w:r w:rsidR="00C363BD" w:rsidRPr="00473013">
        <w:rPr>
          <w:i/>
          <w:sz w:val="26"/>
          <w:szCs w:val="26"/>
        </w:rPr>
        <w:t>Counsel v</w:t>
      </w:r>
      <w:r w:rsidR="00FA7933">
        <w:rPr>
          <w:i/>
          <w:sz w:val="26"/>
          <w:szCs w:val="26"/>
        </w:rPr>
        <w:t>.</w:t>
      </w:r>
      <w:r w:rsidR="00C363BD" w:rsidRPr="00473013">
        <w:rPr>
          <w:i/>
          <w:sz w:val="26"/>
          <w:szCs w:val="26"/>
        </w:rPr>
        <w:t xml:space="preserve"> Philadelphia Gas Works</w:t>
      </w:r>
      <w:r w:rsidR="00C363BD" w:rsidRPr="00307FD1">
        <w:rPr>
          <w:sz w:val="26"/>
          <w:szCs w:val="26"/>
        </w:rPr>
        <w:t>, Docket No. C-2014-2438368 (Order entered November 19, 2015)</w:t>
      </w:r>
      <w:r w:rsidR="00473013">
        <w:rPr>
          <w:sz w:val="26"/>
          <w:szCs w:val="26"/>
        </w:rPr>
        <w:t xml:space="preserve"> and</w:t>
      </w:r>
      <w:r w:rsidR="00C363BD" w:rsidRPr="00307FD1">
        <w:rPr>
          <w:sz w:val="26"/>
          <w:szCs w:val="26"/>
        </w:rPr>
        <w:t xml:space="preserve"> </w:t>
      </w:r>
      <w:r w:rsidR="00C363BD" w:rsidRPr="00473013">
        <w:rPr>
          <w:i/>
          <w:sz w:val="26"/>
          <w:szCs w:val="26"/>
        </w:rPr>
        <w:t>Pearson v</w:t>
      </w:r>
      <w:r w:rsidR="00FA7933">
        <w:rPr>
          <w:i/>
          <w:sz w:val="26"/>
          <w:szCs w:val="26"/>
        </w:rPr>
        <w:t>.</w:t>
      </w:r>
      <w:r w:rsidR="00C363BD" w:rsidRPr="00473013">
        <w:rPr>
          <w:i/>
          <w:sz w:val="26"/>
          <w:szCs w:val="26"/>
        </w:rPr>
        <w:t xml:space="preserve"> Duquesne Light Company</w:t>
      </w:r>
      <w:r w:rsidR="00C363BD" w:rsidRPr="00307FD1">
        <w:rPr>
          <w:sz w:val="26"/>
          <w:szCs w:val="26"/>
        </w:rPr>
        <w:t>, Docket No.C-2015-2465168 (Final Order entered July 7, 2015).</w:t>
      </w:r>
    </w:p>
    <w:p w:rsidR="00473013" w:rsidRDefault="00473013" w:rsidP="0006572C">
      <w:pPr>
        <w:pStyle w:val="Default"/>
        <w:spacing w:line="360" w:lineRule="auto"/>
        <w:ind w:firstLine="1440"/>
        <w:rPr>
          <w:sz w:val="26"/>
          <w:szCs w:val="26"/>
        </w:rPr>
      </w:pPr>
    </w:p>
    <w:p w:rsidR="00473013" w:rsidRDefault="00473013" w:rsidP="006461F7">
      <w:pPr>
        <w:pStyle w:val="Default"/>
        <w:spacing w:line="360" w:lineRule="auto"/>
        <w:ind w:firstLine="1440"/>
        <w:rPr>
          <w:sz w:val="26"/>
          <w:szCs w:val="26"/>
        </w:rPr>
      </w:pPr>
      <w:r>
        <w:rPr>
          <w:sz w:val="26"/>
          <w:szCs w:val="26"/>
        </w:rPr>
        <w:t xml:space="preserve">ALJ Salapa further concluded that </w:t>
      </w:r>
      <w:r w:rsidR="006461F7">
        <w:rPr>
          <w:sz w:val="26"/>
          <w:szCs w:val="26"/>
        </w:rPr>
        <w:t xml:space="preserve">interposing the </w:t>
      </w:r>
      <w:r>
        <w:rPr>
          <w:sz w:val="26"/>
          <w:szCs w:val="26"/>
        </w:rPr>
        <w:t xml:space="preserve">defense of lack of Commission jurisdiction based on Section 3314 was properly </w:t>
      </w:r>
      <w:r w:rsidR="006461F7">
        <w:rPr>
          <w:sz w:val="26"/>
          <w:szCs w:val="26"/>
        </w:rPr>
        <w:t>raised</w:t>
      </w:r>
      <w:r>
        <w:rPr>
          <w:sz w:val="26"/>
          <w:szCs w:val="26"/>
        </w:rPr>
        <w:t xml:space="preserve"> by PGW in its Preliminary Objections and that the provisions of Section 3314 are “non-waivable.”  </w:t>
      </w:r>
      <w:r>
        <w:rPr>
          <w:i/>
          <w:sz w:val="26"/>
          <w:szCs w:val="26"/>
        </w:rPr>
        <w:t xml:space="preserve">See </w:t>
      </w:r>
      <w:r>
        <w:rPr>
          <w:sz w:val="26"/>
          <w:szCs w:val="26"/>
        </w:rPr>
        <w:t xml:space="preserve">I.D. at 6-7.   </w:t>
      </w:r>
    </w:p>
    <w:p w:rsidR="006461F7" w:rsidRDefault="006461F7" w:rsidP="006461F7">
      <w:pPr>
        <w:pStyle w:val="Default"/>
        <w:spacing w:line="360" w:lineRule="auto"/>
        <w:ind w:firstLine="1440"/>
        <w:rPr>
          <w:sz w:val="26"/>
          <w:szCs w:val="26"/>
        </w:rPr>
      </w:pPr>
    </w:p>
    <w:p w:rsidR="00D100D1" w:rsidRDefault="00D100D1" w:rsidP="006461F7">
      <w:pPr>
        <w:pStyle w:val="Default"/>
        <w:spacing w:line="360" w:lineRule="auto"/>
        <w:ind w:firstLine="1440"/>
        <w:rPr>
          <w:sz w:val="26"/>
          <w:szCs w:val="26"/>
        </w:rPr>
      </w:pPr>
    </w:p>
    <w:p w:rsidR="00D100D1" w:rsidRDefault="00D100D1" w:rsidP="006461F7">
      <w:pPr>
        <w:pStyle w:val="Default"/>
        <w:spacing w:line="360" w:lineRule="auto"/>
        <w:ind w:firstLine="1440"/>
        <w:rPr>
          <w:sz w:val="26"/>
          <w:szCs w:val="26"/>
        </w:rPr>
      </w:pPr>
    </w:p>
    <w:p w:rsidR="00D100D1" w:rsidRDefault="00D100D1" w:rsidP="006461F7">
      <w:pPr>
        <w:pStyle w:val="Default"/>
        <w:spacing w:line="360" w:lineRule="auto"/>
        <w:ind w:firstLine="1440"/>
        <w:rPr>
          <w:sz w:val="26"/>
          <w:szCs w:val="26"/>
        </w:rPr>
      </w:pPr>
    </w:p>
    <w:p w:rsidR="00D100D1" w:rsidRPr="006461F7" w:rsidRDefault="00D100D1" w:rsidP="006461F7">
      <w:pPr>
        <w:pStyle w:val="Default"/>
        <w:spacing w:line="360" w:lineRule="auto"/>
        <w:ind w:firstLine="1440"/>
        <w:rPr>
          <w:sz w:val="26"/>
          <w:szCs w:val="26"/>
        </w:rPr>
      </w:pPr>
    </w:p>
    <w:p w:rsidR="00473013" w:rsidRDefault="006461F7" w:rsidP="006461F7">
      <w:pPr>
        <w:spacing w:before="0" w:after="0"/>
        <w:ind w:firstLine="1440"/>
        <w:rPr>
          <w:b/>
          <w:sz w:val="26"/>
          <w:szCs w:val="26"/>
        </w:rPr>
      </w:pPr>
      <w:r>
        <w:rPr>
          <w:b/>
          <w:sz w:val="26"/>
          <w:szCs w:val="26"/>
        </w:rPr>
        <w:lastRenderedPageBreak/>
        <w:t>Disposition</w:t>
      </w:r>
    </w:p>
    <w:p w:rsidR="00FA7933" w:rsidRPr="006461F7" w:rsidRDefault="00FA7933" w:rsidP="006461F7">
      <w:pPr>
        <w:spacing w:before="0" w:after="0"/>
        <w:ind w:firstLine="1440"/>
        <w:rPr>
          <w:b/>
          <w:sz w:val="26"/>
          <w:szCs w:val="26"/>
        </w:rPr>
      </w:pPr>
    </w:p>
    <w:p w:rsidR="00473013" w:rsidRDefault="00E9145D" w:rsidP="00680381">
      <w:pPr>
        <w:ind w:firstLine="1440"/>
        <w:rPr>
          <w:sz w:val="26"/>
          <w:szCs w:val="26"/>
        </w:rPr>
      </w:pPr>
      <w:r w:rsidRPr="00E9145D">
        <w:rPr>
          <w:sz w:val="26"/>
          <w:szCs w:val="26"/>
        </w:rPr>
        <w:t xml:space="preserve">The Commission has generally expressed a preference that Administrative Law Judges refrain from dismissing complaints involving unrepresented complainants without first giving them the opportunity to be heard orally and develop a sufficient record.  </w:t>
      </w:r>
      <w:r w:rsidRPr="00E9145D">
        <w:rPr>
          <w:i/>
          <w:sz w:val="26"/>
          <w:szCs w:val="26"/>
        </w:rPr>
        <w:t>See</w:t>
      </w:r>
      <w:r w:rsidRPr="00E9145D">
        <w:rPr>
          <w:sz w:val="26"/>
          <w:szCs w:val="26"/>
        </w:rPr>
        <w:t xml:space="preserve">, </w:t>
      </w:r>
      <w:r w:rsidRPr="00E9145D">
        <w:rPr>
          <w:i/>
          <w:sz w:val="26"/>
          <w:szCs w:val="26"/>
        </w:rPr>
        <w:t>e.g</w:t>
      </w:r>
      <w:r w:rsidRPr="00E9145D">
        <w:rPr>
          <w:sz w:val="26"/>
          <w:szCs w:val="26"/>
        </w:rPr>
        <w:t xml:space="preserve">., </w:t>
      </w:r>
      <w:r w:rsidRPr="00E9145D">
        <w:rPr>
          <w:rStyle w:val="term1"/>
          <w:b w:val="0"/>
          <w:i/>
          <w:iCs/>
          <w:sz w:val="26"/>
          <w:szCs w:val="26"/>
        </w:rPr>
        <w:t>Richard Carlock</w:t>
      </w:r>
      <w:r w:rsidRPr="00E9145D">
        <w:rPr>
          <w:i/>
          <w:iCs/>
          <w:sz w:val="26"/>
          <w:szCs w:val="26"/>
        </w:rPr>
        <w:t xml:space="preserve"> v. The United Telephone Company of Pa.</w:t>
      </w:r>
      <w:r w:rsidRPr="00E9145D">
        <w:rPr>
          <w:sz w:val="26"/>
          <w:szCs w:val="26"/>
        </w:rPr>
        <w:t>, Docket No. F-00163617 (Order entered July 14, 1993) (</w:t>
      </w:r>
      <w:r w:rsidRPr="00E9145D">
        <w:rPr>
          <w:i/>
          <w:iCs/>
          <w:sz w:val="26"/>
          <w:szCs w:val="26"/>
        </w:rPr>
        <w:t>Carlock</w:t>
      </w:r>
      <w:r w:rsidRPr="00E9145D">
        <w:rPr>
          <w:sz w:val="26"/>
          <w:szCs w:val="26"/>
        </w:rPr>
        <w:t xml:space="preserve">).  </w:t>
      </w:r>
      <w:r w:rsidR="00473013">
        <w:rPr>
          <w:sz w:val="26"/>
          <w:szCs w:val="26"/>
        </w:rPr>
        <w:t>W</w:t>
      </w:r>
      <w:r w:rsidRPr="00E9145D">
        <w:rPr>
          <w:sz w:val="26"/>
          <w:szCs w:val="26"/>
        </w:rPr>
        <w:t xml:space="preserve">e have noted in </w:t>
      </w:r>
      <w:r w:rsidRPr="00E9145D">
        <w:rPr>
          <w:rStyle w:val="term1"/>
          <w:b w:val="0"/>
          <w:i/>
          <w:sz w:val="26"/>
          <w:szCs w:val="26"/>
        </w:rPr>
        <w:t>Wroblewski</w:t>
      </w:r>
      <w:r w:rsidRPr="00E9145D">
        <w:rPr>
          <w:b/>
          <w:i/>
          <w:sz w:val="26"/>
          <w:szCs w:val="26"/>
        </w:rPr>
        <w:t xml:space="preserve"> </w:t>
      </w:r>
      <w:r w:rsidRPr="00E9145D">
        <w:rPr>
          <w:i/>
          <w:sz w:val="26"/>
          <w:szCs w:val="26"/>
        </w:rPr>
        <w:t>v. Pennsylvania Electric Company</w:t>
      </w:r>
      <w:r w:rsidRPr="00E9145D">
        <w:rPr>
          <w:sz w:val="26"/>
          <w:szCs w:val="26"/>
        </w:rPr>
        <w:t>, Docket No. C-2008-2058385 (Order entered May 15, 2009) (</w:t>
      </w:r>
      <w:r w:rsidRPr="00E9145D">
        <w:rPr>
          <w:rStyle w:val="term1"/>
          <w:b w:val="0"/>
          <w:i/>
          <w:sz w:val="26"/>
          <w:szCs w:val="26"/>
        </w:rPr>
        <w:t>Wroblewski</w:t>
      </w:r>
      <w:r w:rsidRPr="00E9145D">
        <w:rPr>
          <w:sz w:val="26"/>
          <w:szCs w:val="26"/>
        </w:rPr>
        <w:t xml:space="preserve">), </w:t>
      </w:r>
      <w:r w:rsidR="00473013">
        <w:rPr>
          <w:sz w:val="26"/>
          <w:szCs w:val="26"/>
        </w:rPr>
        <w:t xml:space="preserve">however, </w:t>
      </w:r>
      <w:r w:rsidRPr="00E9145D">
        <w:rPr>
          <w:sz w:val="26"/>
          <w:szCs w:val="26"/>
        </w:rPr>
        <w:t>that</w:t>
      </w:r>
      <w:r w:rsidRPr="00E9145D">
        <w:rPr>
          <w:i/>
          <w:iCs/>
          <w:sz w:val="26"/>
          <w:szCs w:val="26"/>
        </w:rPr>
        <w:t xml:space="preserve"> Carlock</w:t>
      </w:r>
      <w:r w:rsidRPr="00E9145D">
        <w:rPr>
          <w:sz w:val="26"/>
          <w:szCs w:val="26"/>
        </w:rPr>
        <w:t xml:space="preserve"> did not absolutely preclude a disposition on the pleadings</w:t>
      </w:r>
      <w:r w:rsidR="00473013">
        <w:rPr>
          <w:sz w:val="26"/>
          <w:szCs w:val="26"/>
        </w:rPr>
        <w:t xml:space="preserve"> without a hearing</w:t>
      </w:r>
      <w:r w:rsidRPr="00E9145D">
        <w:rPr>
          <w:sz w:val="26"/>
          <w:szCs w:val="26"/>
        </w:rPr>
        <w:t xml:space="preserve">. </w:t>
      </w:r>
    </w:p>
    <w:p w:rsidR="006461F7" w:rsidRDefault="006461F7" w:rsidP="00680381">
      <w:pPr>
        <w:ind w:firstLine="1440"/>
        <w:rPr>
          <w:sz w:val="26"/>
          <w:szCs w:val="26"/>
        </w:rPr>
      </w:pPr>
    </w:p>
    <w:p w:rsidR="00473013" w:rsidRDefault="00680381" w:rsidP="00E9145D">
      <w:pPr>
        <w:ind w:firstLine="1440"/>
        <w:rPr>
          <w:sz w:val="26"/>
          <w:szCs w:val="26"/>
        </w:rPr>
      </w:pPr>
      <w:r>
        <w:rPr>
          <w:sz w:val="26"/>
          <w:szCs w:val="26"/>
        </w:rPr>
        <w:t>This case involves a decision that dismisses a Complaint filed by a consumer concerning the financial liability for an arrearage that arose, at least in part</w:t>
      </w:r>
      <w:r w:rsidR="006461F7">
        <w:rPr>
          <w:sz w:val="26"/>
          <w:szCs w:val="26"/>
        </w:rPr>
        <w:t>,</w:t>
      </w:r>
      <w:r>
        <w:rPr>
          <w:sz w:val="26"/>
          <w:szCs w:val="26"/>
        </w:rPr>
        <w:t xml:space="preserve"> </w:t>
      </w:r>
      <w:r w:rsidR="006461F7">
        <w:rPr>
          <w:sz w:val="26"/>
          <w:szCs w:val="26"/>
        </w:rPr>
        <w:t xml:space="preserve">based on </w:t>
      </w:r>
      <w:r>
        <w:rPr>
          <w:sz w:val="26"/>
          <w:szCs w:val="26"/>
        </w:rPr>
        <w:t xml:space="preserve">the pleadings, before the </w:t>
      </w:r>
      <w:r w:rsidR="00FA7933">
        <w:rPr>
          <w:sz w:val="26"/>
          <w:szCs w:val="26"/>
        </w:rPr>
        <w:t>three</w:t>
      </w:r>
      <w:r>
        <w:rPr>
          <w:sz w:val="26"/>
          <w:szCs w:val="26"/>
        </w:rPr>
        <w:t>-year period set forth in Section 3314(a) of the Code, 66 Pa. C.S. § 3314(a).  This provision states:</w:t>
      </w:r>
    </w:p>
    <w:p w:rsidR="00680381" w:rsidRPr="00680381" w:rsidRDefault="00680381" w:rsidP="00680381">
      <w:pPr>
        <w:spacing w:before="0" w:after="0" w:line="240" w:lineRule="auto"/>
        <w:ind w:left="1440" w:right="1440"/>
        <w:rPr>
          <w:sz w:val="26"/>
          <w:szCs w:val="26"/>
        </w:rPr>
      </w:pPr>
    </w:p>
    <w:p w:rsidR="00680381" w:rsidRPr="00680381" w:rsidRDefault="00680381" w:rsidP="00680381">
      <w:pPr>
        <w:spacing w:before="0" w:after="0" w:line="240" w:lineRule="auto"/>
        <w:ind w:left="1440" w:right="1440"/>
        <w:rPr>
          <w:sz w:val="26"/>
          <w:szCs w:val="26"/>
        </w:rPr>
      </w:pPr>
      <w:r w:rsidRPr="00680381">
        <w:rPr>
          <w:b/>
          <w:bCs/>
          <w:sz w:val="26"/>
          <w:szCs w:val="26"/>
        </w:rPr>
        <w:t xml:space="preserve">(a) </w:t>
      </w:r>
      <w:r w:rsidRPr="00680381">
        <w:rPr>
          <w:b/>
          <w:bCs/>
          <w:i/>
          <w:iCs/>
          <w:sz w:val="26"/>
          <w:szCs w:val="26"/>
        </w:rPr>
        <w:t xml:space="preserve">General rule. </w:t>
      </w:r>
      <w:r w:rsidRPr="00680381">
        <w:rPr>
          <w:b/>
          <w:bCs/>
          <w:sz w:val="26"/>
          <w:szCs w:val="26"/>
        </w:rPr>
        <w:t>--</w:t>
      </w:r>
      <w:r w:rsidRPr="00680381">
        <w:rPr>
          <w:sz w:val="26"/>
          <w:szCs w:val="26"/>
        </w:rPr>
        <w:br/>
      </w:r>
      <w:r w:rsidRPr="00680381">
        <w:rPr>
          <w:sz w:val="26"/>
          <w:szCs w:val="26"/>
        </w:rPr>
        <w:b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w:t>
      </w:r>
    </w:p>
    <w:p w:rsidR="00680381" w:rsidRDefault="00680381" w:rsidP="00E9145D">
      <w:pPr>
        <w:ind w:firstLine="1440"/>
        <w:rPr>
          <w:sz w:val="26"/>
          <w:szCs w:val="26"/>
        </w:rPr>
      </w:pPr>
    </w:p>
    <w:p w:rsidR="00FE2049" w:rsidRDefault="00680381" w:rsidP="006461F7">
      <w:pPr>
        <w:ind w:firstLine="1440"/>
        <w:rPr>
          <w:sz w:val="26"/>
          <w:szCs w:val="26"/>
        </w:rPr>
      </w:pPr>
      <w:r>
        <w:rPr>
          <w:sz w:val="26"/>
          <w:szCs w:val="26"/>
        </w:rPr>
        <w:t xml:space="preserve">Because the Complaint has been dismissed on consideration </w:t>
      </w:r>
      <w:r w:rsidR="006461F7">
        <w:rPr>
          <w:sz w:val="26"/>
          <w:szCs w:val="26"/>
        </w:rPr>
        <w:t xml:space="preserve">of, </w:t>
      </w:r>
      <w:r>
        <w:rPr>
          <w:sz w:val="26"/>
          <w:szCs w:val="26"/>
        </w:rPr>
        <w:t xml:space="preserve">and sustaining of PGW’s Preliminary Objections, facts which we believe are necessary to make a conclusive determination on this matter have not been entered into the record.  </w:t>
      </w:r>
      <w:r>
        <w:rPr>
          <w:i/>
          <w:sz w:val="26"/>
          <w:szCs w:val="26"/>
        </w:rPr>
        <w:t>See Douglas and Diane P. Evans v. PECO Energy Co.</w:t>
      </w:r>
      <w:r>
        <w:rPr>
          <w:sz w:val="26"/>
          <w:szCs w:val="26"/>
        </w:rPr>
        <w:t>, Docket No. C-2014-2368477 (Order entered December 19, 2013)</w:t>
      </w:r>
      <w:r w:rsidR="00182DBD">
        <w:rPr>
          <w:sz w:val="26"/>
          <w:szCs w:val="26"/>
        </w:rPr>
        <w:t xml:space="preserve"> (for purposes of disposing of a preliminary objection, </w:t>
      </w:r>
      <w:r w:rsidR="00182DBD">
        <w:rPr>
          <w:sz w:val="26"/>
          <w:szCs w:val="26"/>
        </w:rPr>
        <w:lastRenderedPageBreak/>
        <w:t>the Commission must accept as true all well-pleaded material facts of the nonmoving party, as well as every reasonable inference from those facts)</w:t>
      </w:r>
      <w:r>
        <w:rPr>
          <w:sz w:val="26"/>
          <w:szCs w:val="26"/>
        </w:rPr>
        <w:t xml:space="preserve">; </w:t>
      </w:r>
      <w:r w:rsidR="00182DBD" w:rsidRPr="00F971E7">
        <w:rPr>
          <w:i/>
          <w:sz w:val="26"/>
          <w:szCs w:val="26"/>
        </w:rPr>
        <w:t>see also,</w:t>
      </w:r>
      <w:r w:rsidR="00182DBD">
        <w:rPr>
          <w:sz w:val="26"/>
          <w:szCs w:val="26"/>
        </w:rPr>
        <w:t xml:space="preserve"> </w:t>
      </w:r>
      <w:r>
        <w:rPr>
          <w:i/>
          <w:sz w:val="26"/>
          <w:szCs w:val="26"/>
        </w:rPr>
        <w:t>County of Allegheny v. Comm. of Pa.</w:t>
      </w:r>
      <w:r>
        <w:rPr>
          <w:sz w:val="26"/>
          <w:szCs w:val="26"/>
        </w:rPr>
        <w:t xml:space="preserve">, 507 Pa. 360, 490 A.2d 402 (1985); </w:t>
      </w:r>
      <w:r>
        <w:rPr>
          <w:i/>
          <w:sz w:val="26"/>
          <w:szCs w:val="26"/>
        </w:rPr>
        <w:t>Comm. of Pa. v. Bell Telephone Co. of Pa.</w:t>
      </w:r>
      <w:r>
        <w:rPr>
          <w:sz w:val="26"/>
          <w:szCs w:val="26"/>
        </w:rPr>
        <w:t>, 551 A.2d 602 (Pa. Cmwlth. 1988).</w:t>
      </w:r>
      <w:r w:rsidR="006461F7">
        <w:rPr>
          <w:sz w:val="26"/>
          <w:szCs w:val="26"/>
        </w:rPr>
        <w:t xml:space="preserve">   </w:t>
      </w:r>
    </w:p>
    <w:p w:rsidR="006461F7" w:rsidRDefault="006461F7" w:rsidP="006461F7">
      <w:pPr>
        <w:ind w:firstLine="1440"/>
        <w:rPr>
          <w:sz w:val="26"/>
          <w:szCs w:val="26"/>
        </w:rPr>
      </w:pPr>
    </w:p>
    <w:p w:rsidR="00D100D1" w:rsidRPr="00984288" w:rsidRDefault="00FF3DC0" w:rsidP="00D100D1">
      <w:pPr>
        <w:spacing w:before="0" w:after="0"/>
        <w:ind w:firstLine="1440"/>
        <w:rPr>
          <w:sz w:val="26"/>
          <w:szCs w:val="26"/>
        </w:rPr>
      </w:pPr>
      <w:r>
        <w:rPr>
          <w:sz w:val="26"/>
          <w:szCs w:val="26"/>
        </w:rPr>
        <w:t>While the presiding ALJ read the Complaint to conclude that Complainant was seeking relief from amount</w:t>
      </w:r>
      <w:r w:rsidR="006461F7">
        <w:rPr>
          <w:sz w:val="26"/>
          <w:szCs w:val="26"/>
        </w:rPr>
        <w:t>s</w:t>
      </w:r>
      <w:r>
        <w:rPr>
          <w:sz w:val="26"/>
          <w:szCs w:val="26"/>
        </w:rPr>
        <w:t xml:space="preserve"> that accrued in 2004-2006, which period is clearly outside of the statutory period for our consideration, our reading of the Complaint and </w:t>
      </w:r>
      <w:r w:rsidR="006461F7">
        <w:rPr>
          <w:sz w:val="26"/>
          <w:szCs w:val="26"/>
        </w:rPr>
        <w:t xml:space="preserve">on </w:t>
      </w:r>
      <w:r>
        <w:rPr>
          <w:sz w:val="26"/>
          <w:szCs w:val="26"/>
        </w:rPr>
        <w:t xml:space="preserve">drawing every reasonable inference therefrom, is broader.  The Complaint also appears to be a request for a payment arrangement for arrears which may or may not be subject to the </w:t>
      </w:r>
      <w:r w:rsidR="00B27D04">
        <w:rPr>
          <w:sz w:val="26"/>
          <w:szCs w:val="26"/>
        </w:rPr>
        <w:t>three</w:t>
      </w:r>
      <w:r>
        <w:rPr>
          <w:sz w:val="26"/>
          <w:szCs w:val="26"/>
        </w:rPr>
        <w:t>-year statute of limitations.</w:t>
      </w:r>
      <w:r w:rsidR="002248E5">
        <w:rPr>
          <w:sz w:val="26"/>
          <w:szCs w:val="26"/>
        </w:rPr>
        <w:t xml:space="preserve">  </w:t>
      </w:r>
      <w:proofErr w:type="gramStart"/>
      <w:r w:rsidR="002248E5">
        <w:rPr>
          <w:i/>
          <w:sz w:val="26"/>
          <w:szCs w:val="26"/>
        </w:rPr>
        <w:t xml:space="preserve">See, e.g., </w:t>
      </w:r>
      <w:r w:rsidR="002248E5" w:rsidRPr="00E063B6">
        <w:rPr>
          <w:sz w:val="26"/>
          <w:szCs w:val="26"/>
        </w:rPr>
        <w:t>52 Pa. Code § 56.35</w:t>
      </w:r>
      <w:r w:rsidR="002248E5">
        <w:rPr>
          <w:sz w:val="26"/>
          <w:szCs w:val="26"/>
        </w:rPr>
        <w:t>.</w:t>
      </w:r>
      <w:proofErr w:type="gramEnd"/>
      <w:r w:rsidR="002248E5">
        <w:rPr>
          <w:sz w:val="26"/>
          <w:szCs w:val="26"/>
        </w:rPr>
        <w:t xml:space="preserve">  </w:t>
      </w:r>
      <w:r w:rsidR="006461F7">
        <w:rPr>
          <w:sz w:val="26"/>
          <w:szCs w:val="26"/>
        </w:rPr>
        <w:t>Without an evidentiary hearing, we are unable to ascertain if any amount is, in fact, eligible for a payment arrangement.</w:t>
      </w:r>
      <w:r w:rsidR="00D100D1">
        <w:rPr>
          <w:sz w:val="26"/>
          <w:szCs w:val="26"/>
        </w:rPr>
        <w:t xml:space="preserve">  </w:t>
      </w:r>
      <w:r w:rsidR="00D100D1">
        <w:rPr>
          <w:i/>
          <w:sz w:val="26"/>
          <w:szCs w:val="26"/>
        </w:rPr>
        <w:t>See</w:t>
      </w:r>
      <w:r w:rsidR="00D100D1">
        <w:rPr>
          <w:sz w:val="26"/>
          <w:szCs w:val="26"/>
        </w:rPr>
        <w:t xml:space="preserve"> </w:t>
      </w:r>
      <w:r w:rsidR="00D100D1" w:rsidRPr="00984288">
        <w:rPr>
          <w:bCs/>
          <w:i/>
          <w:sz w:val="26"/>
          <w:szCs w:val="26"/>
        </w:rPr>
        <w:t>American Housing Trust, III v. Jones</w:t>
      </w:r>
      <w:r w:rsidR="00D100D1" w:rsidRPr="00984288">
        <w:rPr>
          <w:bCs/>
          <w:sz w:val="26"/>
          <w:szCs w:val="26"/>
        </w:rPr>
        <w:t xml:space="preserve">, </w:t>
      </w:r>
      <w:r w:rsidR="00D100D1">
        <w:rPr>
          <w:bCs/>
          <w:i/>
          <w:sz w:val="26"/>
          <w:szCs w:val="26"/>
        </w:rPr>
        <w:t>supra</w:t>
      </w:r>
      <w:r w:rsidR="00D100D1" w:rsidRPr="00984288">
        <w:rPr>
          <w:sz w:val="26"/>
          <w:szCs w:val="26"/>
        </w:rPr>
        <w:t xml:space="preserve">.  </w:t>
      </w:r>
    </w:p>
    <w:p w:rsidR="006461F7" w:rsidRPr="00E9145D" w:rsidRDefault="00D100D1" w:rsidP="00D100D1">
      <w:pPr>
        <w:spacing w:before="0" w:after="0"/>
        <w:ind w:firstLine="1440"/>
        <w:rPr>
          <w:sz w:val="26"/>
          <w:szCs w:val="26"/>
        </w:rPr>
      </w:pPr>
      <w:r>
        <w:rPr>
          <w:sz w:val="26"/>
          <w:szCs w:val="26"/>
        </w:rPr>
        <w:t xml:space="preserve"> </w:t>
      </w:r>
    </w:p>
    <w:p w:rsidR="006172EA" w:rsidRDefault="006172EA" w:rsidP="006172EA">
      <w:pPr>
        <w:pStyle w:val="NoSpacing"/>
        <w:spacing w:line="360" w:lineRule="auto"/>
        <w:jc w:val="center"/>
        <w:rPr>
          <w:b/>
          <w:sz w:val="26"/>
          <w:szCs w:val="26"/>
        </w:rPr>
      </w:pPr>
      <w:r>
        <w:rPr>
          <w:b/>
          <w:sz w:val="26"/>
          <w:szCs w:val="26"/>
        </w:rPr>
        <w:t>Conclusion</w:t>
      </w:r>
    </w:p>
    <w:p w:rsidR="006172EA" w:rsidRDefault="006172EA" w:rsidP="006172EA">
      <w:pPr>
        <w:pStyle w:val="NoSpacing"/>
        <w:spacing w:line="360" w:lineRule="auto"/>
        <w:rPr>
          <w:sz w:val="26"/>
          <w:szCs w:val="26"/>
        </w:rPr>
      </w:pPr>
    </w:p>
    <w:p w:rsidR="006172EA" w:rsidRPr="00A27CCD" w:rsidRDefault="006172EA" w:rsidP="006172EA">
      <w:pPr>
        <w:pStyle w:val="NoSpacing"/>
        <w:spacing w:line="360" w:lineRule="auto"/>
        <w:ind w:firstLine="1440"/>
        <w:rPr>
          <w:sz w:val="26"/>
          <w:szCs w:val="26"/>
        </w:rPr>
      </w:pPr>
      <w:r>
        <w:rPr>
          <w:sz w:val="26"/>
          <w:szCs w:val="26"/>
        </w:rPr>
        <w:t>Based on our review</w:t>
      </w:r>
      <w:r w:rsidR="006461F7">
        <w:rPr>
          <w:sz w:val="26"/>
          <w:szCs w:val="26"/>
        </w:rPr>
        <w:t>,</w:t>
      </w:r>
      <w:r>
        <w:rPr>
          <w:sz w:val="26"/>
          <w:szCs w:val="26"/>
        </w:rPr>
        <w:t xml:space="preserve"> </w:t>
      </w:r>
      <w:r w:rsidR="006461F7">
        <w:rPr>
          <w:sz w:val="26"/>
          <w:szCs w:val="26"/>
        </w:rPr>
        <w:t xml:space="preserve">we shall reverse the </w:t>
      </w:r>
      <w:r>
        <w:rPr>
          <w:sz w:val="26"/>
          <w:szCs w:val="26"/>
        </w:rPr>
        <w:t xml:space="preserve">Initial Decision </w:t>
      </w:r>
      <w:r w:rsidR="006461F7">
        <w:rPr>
          <w:sz w:val="26"/>
          <w:szCs w:val="26"/>
        </w:rPr>
        <w:t>Sustaining Preliminary Objections</w:t>
      </w:r>
      <w:r w:rsidR="002248E5">
        <w:rPr>
          <w:sz w:val="26"/>
          <w:szCs w:val="26"/>
        </w:rPr>
        <w:t xml:space="preserve"> and Dismissing Complaint</w:t>
      </w:r>
      <w:r w:rsidR="006461F7">
        <w:rPr>
          <w:sz w:val="26"/>
          <w:szCs w:val="26"/>
        </w:rPr>
        <w:t xml:space="preserve">, consistent with this Opinion and Order, and remand this matter to the Office of Administrative Law Judge for such further proceedings as may be necessary; </w:t>
      </w:r>
      <w:r>
        <w:rPr>
          <w:sz w:val="26"/>
          <w:szCs w:val="26"/>
        </w:rPr>
        <w:t xml:space="preserve"> </w:t>
      </w:r>
      <w:r w:rsidRPr="00A27CCD">
        <w:rPr>
          <w:b/>
          <w:sz w:val="26"/>
          <w:szCs w:val="26"/>
        </w:rPr>
        <w:t>THEREFORE,</w:t>
      </w:r>
    </w:p>
    <w:p w:rsidR="006172EA" w:rsidRDefault="006172EA" w:rsidP="006172EA">
      <w:pPr>
        <w:pStyle w:val="NoSpacing"/>
        <w:spacing w:line="360" w:lineRule="auto"/>
        <w:rPr>
          <w:sz w:val="26"/>
          <w:szCs w:val="26"/>
        </w:rPr>
      </w:pPr>
    </w:p>
    <w:p w:rsidR="006172EA" w:rsidRPr="00A27CCD" w:rsidRDefault="006172EA" w:rsidP="006172EA">
      <w:pPr>
        <w:pStyle w:val="NoSpacing"/>
        <w:spacing w:line="360" w:lineRule="auto"/>
        <w:rPr>
          <w:b/>
          <w:sz w:val="26"/>
          <w:szCs w:val="26"/>
        </w:rPr>
      </w:pPr>
      <w:r w:rsidRPr="00F1595C">
        <w:rPr>
          <w:sz w:val="26"/>
          <w:szCs w:val="26"/>
        </w:rPr>
        <w:tab/>
      </w:r>
      <w:r w:rsidRPr="00F1595C">
        <w:rPr>
          <w:sz w:val="26"/>
          <w:szCs w:val="26"/>
        </w:rPr>
        <w:tab/>
      </w:r>
      <w:r w:rsidRPr="00A27CCD">
        <w:rPr>
          <w:b/>
          <w:sz w:val="26"/>
          <w:szCs w:val="26"/>
        </w:rPr>
        <w:t>IT IS ORDERED</w:t>
      </w:r>
      <w:r>
        <w:rPr>
          <w:b/>
          <w:sz w:val="26"/>
          <w:szCs w:val="26"/>
        </w:rPr>
        <w:t>:</w:t>
      </w:r>
    </w:p>
    <w:p w:rsidR="006172EA" w:rsidRPr="00F1595C" w:rsidRDefault="006172EA" w:rsidP="006172EA">
      <w:pPr>
        <w:pStyle w:val="NoSpacing"/>
        <w:spacing w:line="360" w:lineRule="auto"/>
        <w:rPr>
          <w:sz w:val="26"/>
          <w:szCs w:val="26"/>
        </w:rPr>
      </w:pPr>
    </w:p>
    <w:p w:rsidR="002248E5" w:rsidRDefault="006172EA" w:rsidP="002248E5">
      <w:pPr>
        <w:pStyle w:val="NoSpacing"/>
        <w:numPr>
          <w:ilvl w:val="0"/>
          <w:numId w:val="38"/>
        </w:numPr>
        <w:spacing w:line="360" w:lineRule="auto"/>
        <w:ind w:left="0" w:firstLine="1440"/>
        <w:rPr>
          <w:sz w:val="26"/>
          <w:szCs w:val="26"/>
        </w:rPr>
      </w:pPr>
      <w:r>
        <w:rPr>
          <w:sz w:val="26"/>
          <w:szCs w:val="26"/>
        </w:rPr>
        <w:t>T</w:t>
      </w:r>
      <w:r w:rsidRPr="00F1595C">
        <w:rPr>
          <w:sz w:val="26"/>
          <w:szCs w:val="26"/>
        </w:rPr>
        <w:t xml:space="preserve">hat the </w:t>
      </w:r>
      <w:r w:rsidR="002248E5">
        <w:rPr>
          <w:sz w:val="26"/>
          <w:szCs w:val="26"/>
        </w:rPr>
        <w:t>I</w:t>
      </w:r>
      <w:r w:rsidR="002248E5" w:rsidRPr="004801DF">
        <w:rPr>
          <w:sz w:val="26"/>
          <w:szCs w:val="26"/>
        </w:rPr>
        <w:t>nitial Decision</w:t>
      </w:r>
      <w:r w:rsidR="002248E5">
        <w:rPr>
          <w:sz w:val="26"/>
          <w:szCs w:val="26"/>
        </w:rPr>
        <w:t xml:space="preserve"> Sustaining Preliminary Objections and Dismissing Complaint</w:t>
      </w:r>
      <w:r w:rsidR="002248E5" w:rsidRPr="004801DF">
        <w:rPr>
          <w:sz w:val="26"/>
          <w:szCs w:val="26"/>
        </w:rPr>
        <w:t xml:space="preserve"> of Administrative Law Judge David A. Salapa, </w:t>
      </w:r>
      <w:r w:rsidR="003C7C10">
        <w:rPr>
          <w:sz w:val="26"/>
          <w:szCs w:val="26"/>
        </w:rPr>
        <w:t>issued November 10</w:t>
      </w:r>
      <w:r w:rsidR="002248E5" w:rsidRPr="004801DF">
        <w:rPr>
          <w:sz w:val="26"/>
          <w:szCs w:val="26"/>
        </w:rPr>
        <w:t>, 2016</w:t>
      </w:r>
      <w:r w:rsidR="002248E5">
        <w:rPr>
          <w:sz w:val="26"/>
          <w:szCs w:val="26"/>
        </w:rPr>
        <w:t>, is reversed, consistent with this Opinion and Order.</w:t>
      </w:r>
    </w:p>
    <w:p w:rsidR="006172EA" w:rsidRPr="00F1595C" w:rsidRDefault="006172EA" w:rsidP="006172EA">
      <w:pPr>
        <w:pStyle w:val="NoSpacing"/>
        <w:spacing w:line="360" w:lineRule="auto"/>
        <w:ind w:firstLine="1440"/>
        <w:rPr>
          <w:spacing w:val="-3"/>
          <w:sz w:val="26"/>
          <w:szCs w:val="26"/>
          <w:u w:val="single"/>
        </w:rPr>
      </w:pPr>
    </w:p>
    <w:p w:rsidR="002248E5" w:rsidRPr="002248E5" w:rsidRDefault="006172EA" w:rsidP="002248E5">
      <w:pPr>
        <w:pStyle w:val="ListParagraph"/>
      </w:pPr>
      <w:r w:rsidRPr="002248E5">
        <w:lastRenderedPageBreak/>
        <w:t xml:space="preserve">That </w:t>
      </w:r>
      <w:r w:rsidR="002248E5" w:rsidRPr="002248E5">
        <w:t xml:space="preserve">this matter </w:t>
      </w:r>
      <w:r w:rsidR="002248E5">
        <w:t xml:space="preserve">is remanded </w:t>
      </w:r>
      <w:r w:rsidR="002248E5" w:rsidRPr="002248E5">
        <w:t xml:space="preserve">to the Office of Administrative Law Judge for such further proceedings as may be necessary.   </w:t>
      </w:r>
    </w:p>
    <w:p w:rsidR="006172EA" w:rsidRDefault="006172EA" w:rsidP="002248E5">
      <w:pPr>
        <w:pStyle w:val="NoSpacing"/>
        <w:spacing w:line="360" w:lineRule="auto"/>
        <w:rPr>
          <w:bCs/>
          <w:sz w:val="26"/>
          <w:szCs w:val="26"/>
        </w:rPr>
      </w:pPr>
    </w:p>
    <w:p w:rsidR="006172EA" w:rsidRPr="006172EA" w:rsidRDefault="00BA5DF9" w:rsidP="006172EA">
      <w:pPr>
        <w:pStyle w:val="NoSpacing"/>
        <w:spacing w:line="360" w:lineRule="auto"/>
        <w:ind w:firstLine="1440"/>
        <w:rPr>
          <w:b/>
          <w:sz w:val="26"/>
          <w:szCs w:val="26"/>
        </w:rPr>
      </w:pPr>
      <w:r>
        <w:rPr>
          <w:noProof/>
        </w:rPr>
        <w:drawing>
          <wp:anchor distT="0" distB="0" distL="114300" distR="114300" simplePos="0" relativeHeight="251659264" behindDoc="1" locked="0" layoutInCell="1" allowOverlap="1" wp14:anchorId="768B64EF" wp14:editId="5CAC107F">
            <wp:simplePos x="0" y="0"/>
            <wp:positionH relativeFrom="column">
              <wp:posOffset>3352800</wp:posOffset>
            </wp:positionH>
            <wp:positionV relativeFrom="paragraph">
              <wp:posOffset>142240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172EA">
        <w:rPr>
          <w:bCs/>
          <w:sz w:val="26"/>
          <w:szCs w:val="26"/>
        </w:rPr>
        <w:t xml:space="preserve"> </w:t>
      </w:r>
      <w:r w:rsidR="006172EA">
        <w:rPr>
          <w:bCs/>
          <w:sz w:val="26"/>
          <w:szCs w:val="26"/>
        </w:rPr>
        <w:tab/>
      </w:r>
      <w:r w:rsidR="006172EA">
        <w:rPr>
          <w:bCs/>
          <w:sz w:val="26"/>
          <w:szCs w:val="26"/>
        </w:rPr>
        <w:tab/>
      </w:r>
      <w:r w:rsidR="006172EA">
        <w:rPr>
          <w:bCs/>
          <w:sz w:val="26"/>
          <w:szCs w:val="26"/>
        </w:rPr>
        <w:tab/>
      </w:r>
      <w:r w:rsidR="006172EA">
        <w:rPr>
          <w:bCs/>
          <w:sz w:val="26"/>
          <w:szCs w:val="26"/>
        </w:rPr>
        <w:tab/>
      </w:r>
      <w:r w:rsidR="006172EA" w:rsidRPr="006172EA">
        <w:rPr>
          <w:bCs/>
          <w:sz w:val="26"/>
          <w:szCs w:val="26"/>
        </w:rPr>
        <w:tab/>
      </w:r>
      <w:r w:rsidR="006172EA" w:rsidRPr="006172EA">
        <w:rPr>
          <w:b/>
          <w:sz w:val="26"/>
          <w:szCs w:val="26"/>
        </w:rPr>
        <w:t>BY THE COMMISSION</w:t>
      </w:r>
    </w:p>
    <w:p w:rsidR="00BA5DF9" w:rsidRDefault="00BA5DF9"/>
    <w:p w:rsidR="006172EA" w:rsidRPr="006172EA" w:rsidRDefault="006172EA" w:rsidP="002248E5">
      <w:pPr>
        <w:pStyle w:val="NoSpacing"/>
        <w:spacing w:line="360" w:lineRule="auto"/>
        <w:rPr>
          <w:bCs/>
          <w:sz w:val="26"/>
          <w:szCs w:val="26"/>
        </w:rPr>
      </w:pPr>
    </w:p>
    <w:p w:rsidR="006172EA" w:rsidRPr="006172EA" w:rsidRDefault="006172EA" w:rsidP="00F971E7">
      <w:pPr>
        <w:keepNext/>
        <w:keepLines/>
        <w:widowControl w:val="0"/>
        <w:tabs>
          <w:tab w:val="left" w:pos="-720"/>
        </w:tabs>
        <w:suppressAutoHyphens/>
        <w:spacing w:before="0" w:after="0" w:line="240" w:lineRule="auto"/>
        <w:rPr>
          <w:spacing w:val="-3"/>
          <w:sz w:val="26"/>
          <w:szCs w:val="26"/>
        </w:rPr>
      </w:pPr>
      <w:r w:rsidRPr="006172EA">
        <w:rPr>
          <w:spacing w:val="-3"/>
          <w:sz w:val="26"/>
          <w:szCs w:val="26"/>
        </w:rPr>
        <w:tab/>
      </w:r>
      <w:r w:rsidRPr="006172EA">
        <w:rPr>
          <w:spacing w:val="-3"/>
          <w:sz w:val="26"/>
          <w:szCs w:val="26"/>
        </w:rPr>
        <w:tab/>
      </w:r>
      <w:r w:rsidRPr="006172EA">
        <w:rPr>
          <w:spacing w:val="-3"/>
          <w:sz w:val="26"/>
          <w:szCs w:val="26"/>
        </w:rPr>
        <w:tab/>
      </w:r>
      <w:r w:rsidRPr="006172EA">
        <w:rPr>
          <w:spacing w:val="-3"/>
          <w:sz w:val="26"/>
          <w:szCs w:val="26"/>
        </w:rPr>
        <w:tab/>
      </w:r>
      <w:r w:rsidRPr="006172EA">
        <w:rPr>
          <w:spacing w:val="-3"/>
          <w:sz w:val="26"/>
          <w:szCs w:val="26"/>
        </w:rPr>
        <w:tab/>
      </w:r>
      <w:r w:rsidRPr="006172EA">
        <w:rPr>
          <w:spacing w:val="-3"/>
          <w:sz w:val="26"/>
          <w:szCs w:val="26"/>
        </w:rPr>
        <w:tab/>
        <w:t>Rosemary Chiavetta</w:t>
      </w:r>
    </w:p>
    <w:p w:rsidR="006172EA" w:rsidRPr="006172EA" w:rsidRDefault="006172EA" w:rsidP="00F971E7">
      <w:pPr>
        <w:keepNext/>
        <w:keepLines/>
        <w:widowControl w:val="0"/>
        <w:tabs>
          <w:tab w:val="left" w:pos="-720"/>
        </w:tabs>
        <w:suppressAutoHyphens/>
        <w:spacing w:before="0" w:after="0" w:line="240" w:lineRule="auto"/>
        <w:rPr>
          <w:spacing w:val="-3"/>
          <w:sz w:val="26"/>
          <w:szCs w:val="26"/>
        </w:rPr>
      </w:pPr>
      <w:r w:rsidRPr="006172EA">
        <w:rPr>
          <w:spacing w:val="-3"/>
          <w:sz w:val="26"/>
          <w:szCs w:val="26"/>
        </w:rPr>
        <w:tab/>
      </w:r>
      <w:r w:rsidRPr="006172EA">
        <w:rPr>
          <w:spacing w:val="-3"/>
          <w:sz w:val="26"/>
          <w:szCs w:val="26"/>
        </w:rPr>
        <w:tab/>
      </w:r>
      <w:r w:rsidRPr="006172EA">
        <w:rPr>
          <w:spacing w:val="-3"/>
          <w:sz w:val="26"/>
          <w:szCs w:val="26"/>
        </w:rPr>
        <w:tab/>
      </w:r>
      <w:r w:rsidRPr="006172EA">
        <w:rPr>
          <w:spacing w:val="-3"/>
          <w:sz w:val="26"/>
          <w:szCs w:val="26"/>
        </w:rPr>
        <w:tab/>
      </w:r>
      <w:r w:rsidRPr="006172EA">
        <w:rPr>
          <w:spacing w:val="-3"/>
          <w:sz w:val="26"/>
          <w:szCs w:val="26"/>
        </w:rPr>
        <w:tab/>
      </w:r>
      <w:r w:rsidRPr="006172EA">
        <w:rPr>
          <w:spacing w:val="-3"/>
          <w:sz w:val="26"/>
          <w:szCs w:val="26"/>
        </w:rPr>
        <w:tab/>
        <w:t>Secretary</w:t>
      </w:r>
    </w:p>
    <w:p w:rsidR="006172EA" w:rsidRPr="006172EA" w:rsidRDefault="006172EA" w:rsidP="006172EA">
      <w:pPr>
        <w:keepNext/>
        <w:keepLines/>
        <w:widowControl w:val="0"/>
        <w:tabs>
          <w:tab w:val="left" w:pos="-720"/>
        </w:tabs>
        <w:suppressAutoHyphens/>
        <w:rPr>
          <w:spacing w:val="-3"/>
          <w:sz w:val="26"/>
          <w:szCs w:val="26"/>
        </w:rPr>
      </w:pPr>
    </w:p>
    <w:p w:rsidR="006172EA" w:rsidRPr="006172EA" w:rsidRDefault="006172EA" w:rsidP="006172EA">
      <w:pPr>
        <w:pStyle w:val="BodyText3"/>
        <w:keepNext/>
        <w:keepLines/>
        <w:widowControl w:val="0"/>
        <w:tabs>
          <w:tab w:val="left" w:pos="-720"/>
        </w:tabs>
        <w:suppressAutoHyphens/>
        <w:rPr>
          <w:spacing w:val="-3"/>
          <w:sz w:val="26"/>
          <w:szCs w:val="26"/>
        </w:rPr>
      </w:pPr>
      <w:r w:rsidRPr="006172EA">
        <w:rPr>
          <w:spacing w:val="-3"/>
          <w:sz w:val="26"/>
          <w:szCs w:val="26"/>
        </w:rPr>
        <w:t>(SEAL)</w:t>
      </w:r>
    </w:p>
    <w:p w:rsidR="006172EA" w:rsidRPr="006172EA" w:rsidRDefault="006172EA" w:rsidP="006172EA">
      <w:pPr>
        <w:keepNext/>
        <w:keepLines/>
        <w:widowControl w:val="0"/>
        <w:tabs>
          <w:tab w:val="left" w:pos="-720"/>
        </w:tabs>
        <w:suppressAutoHyphens/>
        <w:rPr>
          <w:spacing w:val="-3"/>
          <w:sz w:val="26"/>
          <w:szCs w:val="26"/>
        </w:rPr>
      </w:pPr>
      <w:r w:rsidRPr="006172EA">
        <w:rPr>
          <w:spacing w:val="-3"/>
          <w:sz w:val="26"/>
          <w:szCs w:val="26"/>
        </w:rPr>
        <w:t xml:space="preserve">ORDER ADOPTED:   </w:t>
      </w:r>
      <w:r>
        <w:rPr>
          <w:spacing w:val="-3"/>
          <w:sz w:val="26"/>
          <w:szCs w:val="26"/>
        </w:rPr>
        <w:t>February</w:t>
      </w:r>
      <w:r w:rsidRPr="006172EA">
        <w:rPr>
          <w:spacing w:val="-3"/>
          <w:sz w:val="26"/>
          <w:szCs w:val="26"/>
        </w:rPr>
        <w:t xml:space="preserve"> 9, 2017 </w:t>
      </w:r>
    </w:p>
    <w:p w:rsidR="006172EA" w:rsidRPr="006172EA" w:rsidRDefault="006172EA" w:rsidP="006172EA">
      <w:pPr>
        <w:keepNext/>
        <w:keepLines/>
        <w:widowControl w:val="0"/>
        <w:tabs>
          <w:tab w:val="left" w:pos="-720"/>
        </w:tabs>
        <w:suppressAutoHyphens/>
        <w:rPr>
          <w:sz w:val="26"/>
          <w:szCs w:val="26"/>
        </w:rPr>
      </w:pPr>
      <w:r w:rsidRPr="006172EA">
        <w:rPr>
          <w:spacing w:val="-3"/>
          <w:sz w:val="26"/>
          <w:szCs w:val="26"/>
        </w:rPr>
        <w:t xml:space="preserve">ORDER ENTERED:   </w:t>
      </w:r>
      <w:r w:rsidR="00BA5DF9">
        <w:rPr>
          <w:spacing w:val="-3"/>
          <w:sz w:val="26"/>
          <w:szCs w:val="26"/>
        </w:rPr>
        <w:t>March 17, 2017</w:t>
      </w:r>
    </w:p>
    <w:p w:rsidR="006172EA" w:rsidRPr="006172EA" w:rsidRDefault="006172EA" w:rsidP="006172EA">
      <w:pPr>
        <w:pStyle w:val="NoSpacing"/>
        <w:spacing w:line="360" w:lineRule="auto"/>
        <w:ind w:firstLine="720"/>
        <w:rPr>
          <w:rStyle w:val="Hyperlink"/>
          <w:bCs/>
          <w:color w:val="auto"/>
          <w:sz w:val="26"/>
          <w:szCs w:val="26"/>
        </w:rPr>
      </w:pPr>
    </w:p>
    <w:p w:rsidR="00845633" w:rsidRPr="006172EA" w:rsidRDefault="00845633" w:rsidP="00F971E7">
      <w:pPr>
        <w:tabs>
          <w:tab w:val="clear" w:pos="1440"/>
        </w:tabs>
        <w:spacing w:before="0" w:after="0"/>
        <w:rPr>
          <w:sz w:val="26"/>
          <w:szCs w:val="26"/>
        </w:rPr>
      </w:pPr>
    </w:p>
    <w:sectPr w:rsidR="00845633" w:rsidRPr="006172EA" w:rsidSect="00B135F5">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BC4" w:rsidRDefault="00F00BC4" w:rsidP="00501945">
      <w:pPr>
        <w:spacing w:before="0" w:after="0" w:line="240" w:lineRule="auto"/>
      </w:pPr>
      <w:r>
        <w:separator/>
      </w:r>
    </w:p>
  </w:endnote>
  <w:endnote w:type="continuationSeparator" w:id="0">
    <w:p w:rsidR="00F00BC4" w:rsidRDefault="00F00BC4" w:rsidP="00501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103536"/>
      <w:docPartObj>
        <w:docPartGallery w:val="Page Numbers (Bottom of Page)"/>
        <w:docPartUnique/>
      </w:docPartObj>
    </w:sdtPr>
    <w:sdtEndPr>
      <w:rPr>
        <w:noProof/>
        <w:sz w:val="20"/>
      </w:rPr>
    </w:sdtEndPr>
    <w:sdtContent>
      <w:p w:rsidR="00A23980" w:rsidRPr="00171D2B" w:rsidRDefault="00A23980">
        <w:pPr>
          <w:pStyle w:val="Footer"/>
          <w:jc w:val="center"/>
          <w:rPr>
            <w:sz w:val="20"/>
          </w:rPr>
        </w:pPr>
        <w:r w:rsidRPr="00171D2B">
          <w:rPr>
            <w:sz w:val="20"/>
          </w:rPr>
          <w:fldChar w:fldCharType="begin"/>
        </w:r>
        <w:r w:rsidRPr="00171D2B">
          <w:rPr>
            <w:sz w:val="20"/>
          </w:rPr>
          <w:instrText xml:space="preserve"> PAGE   \* MERGEFORMAT </w:instrText>
        </w:r>
        <w:r w:rsidRPr="00171D2B">
          <w:rPr>
            <w:sz w:val="20"/>
          </w:rPr>
          <w:fldChar w:fldCharType="separate"/>
        </w:r>
        <w:r w:rsidR="00A17984">
          <w:rPr>
            <w:noProof/>
            <w:sz w:val="20"/>
          </w:rPr>
          <w:t>9</w:t>
        </w:r>
        <w:r w:rsidRPr="00171D2B">
          <w:rPr>
            <w:noProof/>
            <w:sz w:val="20"/>
          </w:rPr>
          <w:fldChar w:fldCharType="end"/>
        </w:r>
      </w:p>
    </w:sdtContent>
  </w:sdt>
  <w:p w:rsidR="00A23980" w:rsidRDefault="00A23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BC4" w:rsidRDefault="00F00BC4" w:rsidP="00501945">
      <w:pPr>
        <w:spacing w:before="0" w:after="0" w:line="240" w:lineRule="auto"/>
      </w:pPr>
      <w:r>
        <w:separator/>
      </w:r>
    </w:p>
  </w:footnote>
  <w:footnote w:type="continuationSeparator" w:id="0">
    <w:p w:rsidR="00F00BC4" w:rsidRDefault="00F00BC4" w:rsidP="0050194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00EA2C"/>
    <w:lvl w:ilvl="0">
      <w:start w:val="1"/>
      <w:numFmt w:val="decimal"/>
      <w:lvlText w:val="%1."/>
      <w:lvlJc w:val="left"/>
      <w:pPr>
        <w:tabs>
          <w:tab w:val="num" w:pos="1800"/>
        </w:tabs>
        <w:ind w:left="1800" w:hanging="360"/>
      </w:pPr>
    </w:lvl>
  </w:abstractNum>
  <w:abstractNum w:abstractNumId="1">
    <w:nsid w:val="FFFFFF7D"/>
    <w:multiLevelType w:val="singleLevel"/>
    <w:tmpl w:val="F8D4955C"/>
    <w:lvl w:ilvl="0">
      <w:start w:val="1"/>
      <w:numFmt w:val="decimal"/>
      <w:lvlText w:val="%1."/>
      <w:lvlJc w:val="left"/>
      <w:pPr>
        <w:tabs>
          <w:tab w:val="num" w:pos="1440"/>
        </w:tabs>
        <w:ind w:left="1440" w:hanging="360"/>
      </w:pPr>
    </w:lvl>
  </w:abstractNum>
  <w:abstractNum w:abstractNumId="2">
    <w:nsid w:val="FFFFFF7E"/>
    <w:multiLevelType w:val="singleLevel"/>
    <w:tmpl w:val="9C9A4810"/>
    <w:lvl w:ilvl="0">
      <w:start w:val="1"/>
      <w:numFmt w:val="decimal"/>
      <w:lvlText w:val="%1."/>
      <w:lvlJc w:val="left"/>
      <w:pPr>
        <w:tabs>
          <w:tab w:val="num" w:pos="1080"/>
        </w:tabs>
        <w:ind w:left="1080" w:hanging="360"/>
      </w:pPr>
    </w:lvl>
  </w:abstractNum>
  <w:abstractNum w:abstractNumId="3">
    <w:nsid w:val="FFFFFF7F"/>
    <w:multiLevelType w:val="singleLevel"/>
    <w:tmpl w:val="5D0ADCBC"/>
    <w:lvl w:ilvl="0">
      <w:start w:val="1"/>
      <w:numFmt w:val="decimal"/>
      <w:lvlText w:val="%1."/>
      <w:lvlJc w:val="left"/>
      <w:pPr>
        <w:tabs>
          <w:tab w:val="num" w:pos="720"/>
        </w:tabs>
        <w:ind w:left="720" w:hanging="360"/>
      </w:pPr>
    </w:lvl>
  </w:abstractNum>
  <w:abstractNum w:abstractNumId="4">
    <w:nsid w:val="FFFFFF80"/>
    <w:multiLevelType w:val="singleLevel"/>
    <w:tmpl w:val="202A36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2EA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CEA2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C653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8C0AFE"/>
    <w:lvl w:ilvl="0">
      <w:start w:val="1"/>
      <w:numFmt w:val="decimal"/>
      <w:lvlText w:val="%1."/>
      <w:lvlJc w:val="left"/>
      <w:pPr>
        <w:tabs>
          <w:tab w:val="num" w:pos="360"/>
        </w:tabs>
        <w:ind w:left="360" w:hanging="360"/>
      </w:pPr>
    </w:lvl>
  </w:abstractNum>
  <w:abstractNum w:abstractNumId="9">
    <w:nsid w:val="FFFFFF89"/>
    <w:multiLevelType w:val="singleLevel"/>
    <w:tmpl w:val="DD30F806"/>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610354"/>
    <w:multiLevelType w:val="hybridMultilevel"/>
    <w:tmpl w:val="EEE6B698"/>
    <w:lvl w:ilvl="0" w:tplc="5CA0E8D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31817E8"/>
    <w:multiLevelType w:val="hybridMultilevel"/>
    <w:tmpl w:val="B6CE8CA4"/>
    <w:lvl w:ilvl="0" w:tplc="0D2A8980">
      <w:start w:val="1"/>
      <w:numFmt w:val="decimal"/>
      <w:pStyle w:val="ListParagraph"/>
      <w:lvlText w:val="%1."/>
      <w:lvlJc w:val="left"/>
      <w:pPr>
        <w:ind w:left="3240" w:hanging="360"/>
      </w:pPr>
      <w:rPr>
        <w:rFonts w:ascii="Times New Roman" w:hAnsi="Times New Roman" w:cs="Times New Roman" w:hint="default"/>
        <w:color w:val="auto"/>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4642B4"/>
    <w:multiLevelType w:val="hybridMultilevel"/>
    <w:tmpl w:val="D31C99C8"/>
    <w:lvl w:ilvl="0" w:tplc="EA8EE6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25"/>
  </w:num>
  <w:num w:numId="3">
    <w:abstractNumId w:val="30"/>
  </w:num>
  <w:num w:numId="4">
    <w:abstractNumId w:val="34"/>
  </w:num>
  <w:num w:numId="5">
    <w:abstractNumId w:val="19"/>
  </w:num>
  <w:num w:numId="6">
    <w:abstractNumId w:val="17"/>
  </w:num>
  <w:num w:numId="7">
    <w:abstractNumId w:val="14"/>
  </w:num>
  <w:num w:numId="8">
    <w:abstractNumId w:val="33"/>
  </w:num>
  <w:num w:numId="9">
    <w:abstractNumId w:val="12"/>
  </w:num>
  <w:num w:numId="10">
    <w:abstractNumId w:val="27"/>
  </w:num>
  <w:num w:numId="11">
    <w:abstractNumId w:val="29"/>
  </w:num>
  <w:num w:numId="12">
    <w:abstractNumId w:val="22"/>
  </w:num>
  <w:num w:numId="13">
    <w:abstractNumId w:val="28"/>
  </w:num>
  <w:num w:numId="14">
    <w:abstractNumId w:val="31"/>
  </w:num>
  <w:num w:numId="15">
    <w:abstractNumId w:val="10"/>
  </w:num>
  <w:num w:numId="16">
    <w:abstractNumId w:val="26"/>
  </w:num>
  <w:num w:numId="17">
    <w:abstractNumId w:val="26"/>
  </w:num>
  <w:num w:numId="18">
    <w:abstractNumId w:val="18"/>
  </w:num>
  <w:num w:numId="19">
    <w:abstractNumId w:val="23"/>
  </w:num>
  <w:num w:numId="20">
    <w:abstractNumId w:val="35"/>
  </w:num>
  <w:num w:numId="21">
    <w:abstractNumId w:val="20"/>
  </w:num>
  <w:num w:numId="22">
    <w:abstractNumId w:val="13"/>
  </w:num>
  <w:num w:numId="23">
    <w:abstractNumId w:val="21"/>
  </w:num>
  <w:num w:numId="24">
    <w:abstractNumId w:val="36"/>
  </w:num>
  <w:num w:numId="25">
    <w:abstractNumId w:val="11"/>
  </w:num>
  <w:num w:numId="26">
    <w:abstractNumId w:val="1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C4"/>
    <w:rsid w:val="000041F6"/>
    <w:rsid w:val="00004C37"/>
    <w:rsid w:val="00006039"/>
    <w:rsid w:val="000313F3"/>
    <w:rsid w:val="00040425"/>
    <w:rsid w:val="00043707"/>
    <w:rsid w:val="00046B36"/>
    <w:rsid w:val="00046F9F"/>
    <w:rsid w:val="00055616"/>
    <w:rsid w:val="00055BA4"/>
    <w:rsid w:val="00055D0A"/>
    <w:rsid w:val="0006572C"/>
    <w:rsid w:val="0008602F"/>
    <w:rsid w:val="00087010"/>
    <w:rsid w:val="00095078"/>
    <w:rsid w:val="000966A4"/>
    <w:rsid w:val="000D158E"/>
    <w:rsid w:val="000D2B15"/>
    <w:rsid w:val="000D749A"/>
    <w:rsid w:val="000E28B1"/>
    <w:rsid w:val="000E3EDE"/>
    <w:rsid w:val="000E61A4"/>
    <w:rsid w:val="000F10AB"/>
    <w:rsid w:val="000F227E"/>
    <w:rsid w:val="000F53DF"/>
    <w:rsid w:val="000F5793"/>
    <w:rsid w:val="00110E79"/>
    <w:rsid w:val="00130EC9"/>
    <w:rsid w:val="001317B0"/>
    <w:rsid w:val="001457F4"/>
    <w:rsid w:val="00171D2B"/>
    <w:rsid w:val="001746DA"/>
    <w:rsid w:val="00176F7A"/>
    <w:rsid w:val="00182DBD"/>
    <w:rsid w:val="0019284B"/>
    <w:rsid w:val="001A21B6"/>
    <w:rsid w:val="001B1CBA"/>
    <w:rsid w:val="001C08A4"/>
    <w:rsid w:val="001C2279"/>
    <w:rsid w:val="001C261E"/>
    <w:rsid w:val="001C4633"/>
    <w:rsid w:val="001D016A"/>
    <w:rsid w:val="001D0C98"/>
    <w:rsid w:val="001D2AF7"/>
    <w:rsid w:val="001D47C1"/>
    <w:rsid w:val="00202AB8"/>
    <w:rsid w:val="002073F3"/>
    <w:rsid w:val="00213167"/>
    <w:rsid w:val="00217BFD"/>
    <w:rsid w:val="002248E5"/>
    <w:rsid w:val="00230AC1"/>
    <w:rsid w:val="002331B1"/>
    <w:rsid w:val="00234102"/>
    <w:rsid w:val="002342E9"/>
    <w:rsid w:val="0023585A"/>
    <w:rsid w:val="00235F59"/>
    <w:rsid w:val="00244C08"/>
    <w:rsid w:val="00247E64"/>
    <w:rsid w:val="002512F9"/>
    <w:rsid w:val="002538A2"/>
    <w:rsid w:val="00256B66"/>
    <w:rsid w:val="00256DBD"/>
    <w:rsid w:val="00257F07"/>
    <w:rsid w:val="002853D7"/>
    <w:rsid w:val="002A28D8"/>
    <w:rsid w:val="002A656E"/>
    <w:rsid w:val="002A6D0A"/>
    <w:rsid w:val="002C058D"/>
    <w:rsid w:val="002C22B2"/>
    <w:rsid w:val="002C4712"/>
    <w:rsid w:val="002F7612"/>
    <w:rsid w:val="00301EE1"/>
    <w:rsid w:val="00303356"/>
    <w:rsid w:val="00311822"/>
    <w:rsid w:val="00312392"/>
    <w:rsid w:val="003145FA"/>
    <w:rsid w:val="003217F0"/>
    <w:rsid w:val="0033724A"/>
    <w:rsid w:val="00337995"/>
    <w:rsid w:val="00347A59"/>
    <w:rsid w:val="00357C22"/>
    <w:rsid w:val="00357DCA"/>
    <w:rsid w:val="003666A9"/>
    <w:rsid w:val="00367A41"/>
    <w:rsid w:val="00370E6E"/>
    <w:rsid w:val="00393C92"/>
    <w:rsid w:val="003A005B"/>
    <w:rsid w:val="003A1256"/>
    <w:rsid w:val="003A79BD"/>
    <w:rsid w:val="003C7182"/>
    <w:rsid w:val="003C7C10"/>
    <w:rsid w:val="003D20BD"/>
    <w:rsid w:val="003D7302"/>
    <w:rsid w:val="003E0F70"/>
    <w:rsid w:val="003F33BE"/>
    <w:rsid w:val="0040354D"/>
    <w:rsid w:val="00415BA1"/>
    <w:rsid w:val="0044178B"/>
    <w:rsid w:val="00445DF9"/>
    <w:rsid w:val="00455227"/>
    <w:rsid w:val="00465711"/>
    <w:rsid w:val="00473013"/>
    <w:rsid w:val="004971CF"/>
    <w:rsid w:val="004A6F41"/>
    <w:rsid w:val="004B1179"/>
    <w:rsid w:val="004B37AD"/>
    <w:rsid w:val="004D189C"/>
    <w:rsid w:val="004D4DE9"/>
    <w:rsid w:val="004D523C"/>
    <w:rsid w:val="004D63B9"/>
    <w:rsid w:val="004F6B83"/>
    <w:rsid w:val="004F78EE"/>
    <w:rsid w:val="00501945"/>
    <w:rsid w:val="005049CA"/>
    <w:rsid w:val="005224FF"/>
    <w:rsid w:val="00524258"/>
    <w:rsid w:val="00532F89"/>
    <w:rsid w:val="005602C2"/>
    <w:rsid w:val="00564E84"/>
    <w:rsid w:val="005730D5"/>
    <w:rsid w:val="00577955"/>
    <w:rsid w:val="0058212D"/>
    <w:rsid w:val="00590ACA"/>
    <w:rsid w:val="00594866"/>
    <w:rsid w:val="005A1C17"/>
    <w:rsid w:val="005A2ABA"/>
    <w:rsid w:val="005B4E31"/>
    <w:rsid w:val="005B4EB3"/>
    <w:rsid w:val="005C0E3A"/>
    <w:rsid w:val="005D180A"/>
    <w:rsid w:val="005D2535"/>
    <w:rsid w:val="005E0EA5"/>
    <w:rsid w:val="005E4762"/>
    <w:rsid w:val="005E7B69"/>
    <w:rsid w:val="005F327C"/>
    <w:rsid w:val="005F49FC"/>
    <w:rsid w:val="005F5A90"/>
    <w:rsid w:val="0060079F"/>
    <w:rsid w:val="00600BBF"/>
    <w:rsid w:val="006143E0"/>
    <w:rsid w:val="006172EA"/>
    <w:rsid w:val="0061775F"/>
    <w:rsid w:val="006301F2"/>
    <w:rsid w:val="0063386A"/>
    <w:rsid w:val="006461F7"/>
    <w:rsid w:val="00675F89"/>
    <w:rsid w:val="00676927"/>
    <w:rsid w:val="00680381"/>
    <w:rsid w:val="006804ED"/>
    <w:rsid w:val="006812D9"/>
    <w:rsid w:val="00684ADF"/>
    <w:rsid w:val="00690AF3"/>
    <w:rsid w:val="00696068"/>
    <w:rsid w:val="00696C0D"/>
    <w:rsid w:val="006B50AC"/>
    <w:rsid w:val="006C0AC2"/>
    <w:rsid w:val="006C297F"/>
    <w:rsid w:val="006C4B3C"/>
    <w:rsid w:val="006E06A8"/>
    <w:rsid w:val="006E1766"/>
    <w:rsid w:val="006F0329"/>
    <w:rsid w:val="006F7EE4"/>
    <w:rsid w:val="00700807"/>
    <w:rsid w:val="0070099F"/>
    <w:rsid w:val="00712E58"/>
    <w:rsid w:val="00716678"/>
    <w:rsid w:val="00716E7F"/>
    <w:rsid w:val="0072636E"/>
    <w:rsid w:val="007267C0"/>
    <w:rsid w:val="0073535A"/>
    <w:rsid w:val="007438EC"/>
    <w:rsid w:val="007461DE"/>
    <w:rsid w:val="00764EE7"/>
    <w:rsid w:val="00765492"/>
    <w:rsid w:val="007826CA"/>
    <w:rsid w:val="00787402"/>
    <w:rsid w:val="00792796"/>
    <w:rsid w:val="00796A0F"/>
    <w:rsid w:val="007A0BB0"/>
    <w:rsid w:val="007B6F1E"/>
    <w:rsid w:val="007C28E3"/>
    <w:rsid w:val="007D7506"/>
    <w:rsid w:val="007E6779"/>
    <w:rsid w:val="007F05D7"/>
    <w:rsid w:val="007F0B1A"/>
    <w:rsid w:val="008173A8"/>
    <w:rsid w:val="00820B4C"/>
    <w:rsid w:val="008228F8"/>
    <w:rsid w:val="008257F3"/>
    <w:rsid w:val="00840DF8"/>
    <w:rsid w:val="00845633"/>
    <w:rsid w:val="00852039"/>
    <w:rsid w:val="008529D2"/>
    <w:rsid w:val="0087735E"/>
    <w:rsid w:val="00883955"/>
    <w:rsid w:val="00897665"/>
    <w:rsid w:val="008B10A6"/>
    <w:rsid w:val="008F31AE"/>
    <w:rsid w:val="008F3B62"/>
    <w:rsid w:val="00917DCA"/>
    <w:rsid w:val="00923351"/>
    <w:rsid w:val="00926975"/>
    <w:rsid w:val="009310E0"/>
    <w:rsid w:val="00942524"/>
    <w:rsid w:val="00944EF6"/>
    <w:rsid w:val="00953443"/>
    <w:rsid w:val="00956A66"/>
    <w:rsid w:val="00956E6A"/>
    <w:rsid w:val="0096060F"/>
    <w:rsid w:val="00970F60"/>
    <w:rsid w:val="00972DD4"/>
    <w:rsid w:val="00976E7A"/>
    <w:rsid w:val="00990212"/>
    <w:rsid w:val="00994913"/>
    <w:rsid w:val="009B462C"/>
    <w:rsid w:val="009C58DB"/>
    <w:rsid w:val="009C684D"/>
    <w:rsid w:val="009D1DCC"/>
    <w:rsid w:val="009D7A97"/>
    <w:rsid w:val="009E2C25"/>
    <w:rsid w:val="009F6C00"/>
    <w:rsid w:val="009F7FA5"/>
    <w:rsid w:val="00A10892"/>
    <w:rsid w:val="00A148F0"/>
    <w:rsid w:val="00A17984"/>
    <w:rsid w:val="00A23980"/>
    <w:rsid w:val="00A47096"/>
    <w:rsid w:val="00A545C3"/>
    <w:rsid w:val="00A72BA0"/>
    <w:rsid w:val="00A802D6"/>
    <w:rsid w:val="00A80E7C"/>
    <w:rsid w:val="00A84B13"/>
    <w:rsid w:val="00A859C4"/>
    <w:rsid w:val="00AA2EC5"/>
    <w:rsid w:val="00AA38BA"/>
    <w:rsid w:val="00AB16D1"/>
    <w:rsid w:val="00AB4C73"/>
    <w:rsid w:val="00AB5E6C"/>
    <w:rsid w:val="00AC0C28"/>
    <w:rsid w:val="00AC19CD"/>
    <w:rsid w:val="00AC63FB"/>
    <w:rsid w:val="00AD31D0"/>
    <w:rsid w:val="00AD753D"/>
    <w:rsid w:val="00AE6F47"/>
    <w:rsid w:val="00AE708C"/>
    <w:rsid w:val="00AE73E0"/>
    <w:rsid w:val="00AF636E"/>
    <w:rsid w:val="00B11065"/>
    <w:rsid w:val="00B135F5"/>
    <w:rsid w:val="00B234BC"/>
    <w:rsid w:val="00B27D04"/>
    <w:rsid w:val="00B317F5"/>
    <w:rsid w:val="00B4287A"/>
    <w:rsid w:val="00B46586"/>
    <w:rsid w:val="00B479C3"/>
    <w:rsid w:val="00B5325F"/>
    <w:rsid w:val="00B569C5"/>
    <w:rsid w:val="00B71DE2"/>
    <w:rsid w:val="00B84C6B"/>
    <w:rsid w:val="00B85ABC"/>
    <w:rsid w:val="00B902E6"/>
    <w:rsid w:val="00B91E47"/>
    <w:rsid w:val="00B9211B"/>
    <w:rsid w:val="00BA0E95"/>
    <w:rsid w:val="00BA1F57"/>
    <w:rsid w:val="00BA4121"/>
    <w:rsid w:val="00BA5DF9"/>
    <w:rsid w:val="00BB09AB"/>
    <w:rsid w:val="00BB2279"/>
    <w:rsid w:val="00BC32B3"/>
    <w:rsid w:val="00BC3A3E"/>
    <w:rsid w:val="00BC6B21"/>
    <w:rsid w:val="00BD2C60"/>
    <w:rsid w:val="00BD48F5"/>
    <w:rsid w:val="00BE24FD"/>
    <w:rsid w:val="00BE2744"/>
    <w:rsid w:val="00BE3F5E"/>
    <w:rsid w:val="00BF0377"/>
    <w:rsid w:val="00C02A29"/>
    <w:rsid w:val="00C06C0A"/>
    <w:rsid w:val="00C16B1D"/>
    <w:rsid w:val="00C16E66"/>
    <w:rsid w:val="00C363BD"/>
    <w:rsid w:val="00C56D27"/>
    <w:rsid w:val="00C60D62"/>
    <w:rsid w:val="00C64138"/>
    <w:rsid w:val="00C706C2"/>
    <w:rsid w:val="00C81546"/>
    <w:rsid w:val="00C85987"/>
    <w:rsid w:val="00C87E57"/>
    <w:rsid w:val="00C90E4B"/>
    <w:rsid w:val="00C95FD8"/>
    <w:rsid w:val="00CA01D9"/>
    <w:rsid w:val="00CB7A81"/>
    <w:rsid w:val="00CC08C4"/>
    <w:rsid w:val="00CC2D43"/>
    <w:rsid w:val="00CD54D9"/>
    <w:rsid w:val="00CD73B4"/>
    <w:rsid w:val="00CE275B"/>
    <w:rsid w:val="00CE3BFF"/>
    <w:rsid w:val="00CE63A2"/>
    <w:rsid w:val="00CF2B50"/>
    <w:rsid w:val="00D03461"/>
    <w:rsid w:val="00D05CAD"/>
    <w:rsid w:val="00D100D1"/>
    <w:rsid w:val="00D33120"/>
    <w:rsid w:val="00D331AF"/>
    <w:rsid w:val="00D35D87"/>
    <w:rsid w:val="00D37315"/>
    <w:rsid w:val="00D4119C"/>
    <w:rsid w:val="00D54D1D"/>
    <w:rsid w:val="00D64202"/>
    <w:rsid w:val="00D66CC8"/>
    <w:rsid w:val="00D7391C"/>
    <w:rsid w:val="00D7456A"/>
    <w:rsid w:val="00D74DA4"/>
    <w:rsid w:val="00D76331"/>
    <w:rsid w:val="00D77321"/>
    <w:rsid w:val="00D85EF7"/>
    <w:rsid w:val="00DA1376"/>
    <w:rsid w:val="00DA264A"/>
    <w:rsid w:val="00DA3ABA"/>
    <w:rsid w:val="00DB3AF1"/>
    <w:rsid w:val="00DC3B11"/>
    <w:rsid w:val="00DC56B9"/>
    <w:rsid w:val="00DC5FA4"/>
    <w:rsid w:val="00DD5C37"/>
    <w:rsid w:val="00DD7D42"/>
    <w:rsid w:val="00DE6275"/>
    <w:rsid w:val="00DF5909"/>
    <w:rsid w:val="00DF60BB"/>
    <w:rsid w:val="00E01921"/>
    <w:rsid w:val="00E057CD"/>
    <w:rsid w:val="00E14029"/>
    <w:rsid w:val="00E4239A"/>
    <w:rsid w:val="00E465BF"/>
    <w:rsid w:val="00E467B8"/>
    <w:rsid w:val="00E61891"/>
    <w:rsid w:val="00E71FF7"/>
    <w:rsid w:val="00E747FE"/>
    <w:rsid w:val="00E77051"/>
    <w:rsid w:val="00E77C8F"/>
    <w:rsid w:val="00E86783"/>
    <w:rsid w:val="00E9145D"/>
    <w:rsid w:val="00EA729B"/>
    <w:rsid w:val="00EB16E1"/>
    <w:rsid w:val="00EC1A7E"/>
    <w:rsid w:val="00EC1CBA"/>
    <w:rsid w:val="00EC3652"/>
    <w:rsid w:val="00ED2262"/>
    <w:rsid w:val="00ED6237"/>
    <w:rsid w:val="00ED7931"/>
    <w:rsid w:val="00EE7801"/>
    <w:rsid w:val="00F00BC4"/>
    <w:rsid w:val="00F07CBE"/>
    <w:rsid w:val="00F115B8"/>
    <w:rsid w:val="00F16554"/>
    <w:rsid w:val="00F17F3C"/>
    <w:rsid w:val="00F50017"/>
    <w:rsid w:val="00F513D8"/>
    <w:rsid w:val="00F544E1"/>
    <w:rsid w:val="00F84076"/>
    <w:rsid w:val="00F875FC"/>
    <w:rsid w:val="00F971E7"/>
    <w:rsid w:val="00FA0EDB"/>
    <w:rsid w:val="00FA6493"/>
    <w:rsid w:val="00FA7933"/>
    <w:rsid w:val="00FA7D91"/>
    <w:rsid w:val="00FB6D95"/>
    <w:rsid w:val="00FC21E2"/>
    <w:rsid w:val="00FC65BD"/>
    <w:rsid w:val="00FC7BBB"/>
    <w:rsid w:val="00FD1A23"/>
    <w:rsid w:val="00FD3600"/>
    <w:rsid w:val="00FD5C10"/>
    <w:rsid w:val="00FE0B16"/>
    <w:rsid w:val="00FE2049"/>
    <w:rsid w:val="00FF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248E5"/>
    <w:pPr>
      <w:numPr>
        <w:numId w:val="38"/>
      </w:numPr>
      <w:spacing w:before="0" w:after="0"/>
      <w:ind w:left="0" w:firstLine="1440"/>
    </w:pPr>
    <w:rPr>
      <w:sz w:val="26"/>
      <w:szCs w:val="2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autoRedefine/>
    <w:uiPriority w:val="99"/>
    <w:unhideWhenUsed/>
    <w:qFormat/>
    <w:rsid w:val="001C4633"/>
    <w:pPr>
      <w:spacing w:after="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1C4633"/>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aliases w:val="o,fr"/>
    <w:basedOn w:val="DefaultParagraphFont"/>
    <w:uiPriority w:val="99"/>
    <w:unhideWhenUsed/>
    <w:rsid w:val="00501945"/>
    <w:rPr>
      <w:vertAlign w:val="superscript"/>
    </w:rPr>
  </w:style>
  <w:style w:type="paragraph" w:styleId="Header">
    <w:name w:val="header"/>
    <w:basedOn w:val="Normal"/>
    <w:link w:val="HeaderChar"/>
    <w:uiPriority w:val="99"/>
    <w:unhideWhenUsed/>
    <w:rsid w:val="00B135F5"/>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B135F5"/>
    <w:rPr>
      <w:rFonts w:ascii="Times New Roman" w:hAnsi="Times New Roman" w:cs="Times New Roman"/>
      <w:sz w:val="24"/>
      <w:szCs w:val="20"/>
    </w:rPr>
  </w:style>
  <w:style w:type="paragraph" w:styleId="Footer">
    <w:name w:val="footer"/>
    <w:basedOn w:val="Normal"/>
    <w:link w:val="FooterChar"/>
    <w:uiPriority w:val="99"/>
    <w:unhideWhenUsed/>
    <w:rsid w:val="00B135F5"/>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B135F5"/>
    <w:rPr>
      <w:rFonts w:ascii="Times New Roman" w:hAnsi="Times New Roman" w:cs="Times New Roman"/>
      <w:sz w:val="24"/>
      <w:szCs w:val="20"/>
    </w:rPr>
  </w:style>
  <w:style w:type="table" w:styleId="TableGrid">
    <w:name w:val="Table Grid"/>
    <w:basedOn w:val="TableNormal"/>
    <w:uiPriority w:val="59"/>
    <w:rsid w:val="00845633"/>
    <w:pPr>
      <w:spacing w:after="0" w:line="240" w:lineRule="auto"/>
      <w:ind w:firstLine="72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A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rm1">
    <w:name w:val="term1"/>
    <w:basedOn w:val="DefaultParagraphFont"/>
    <w:rsid w:val="00E9145D"/>
    <w:rPr>
      <w:b/>
      <w:bCs/>
    </w:rPr>
  </w:style>
  <w:style w:type="character" w:styleId="Hyperlink">
    <w:name w:val="Hyperlink"/>
    <w:uiPriority w:val="99"/>
    <w:unhideWhenUsed/>
    <w:rsid w:val="006172EA"/>
    <w:rPr>
      <w:strike w:val="0"/>
      <w:dstrike w:val="0"/>
      <w:color w:val="004B91"/>
      <w:u w:val="none"/>
      <w:effect w:val="none"/>
    </w:rPr>
  </w:style>
  <w:style w:type="paragraph" w:styleId="BodyText3">
    <w:name w:val="Body Text 3"/>
    <w:basedOn w:val="Normal"/>
    <w:link w:val="BodyText3Char"/>
    <w:rsid w:val="006172EA"/>
    <w:pPr>
      <w:tabs>
        <w:tab w:val="clear" w:pos="1440"/>
      </w:tabs>
      <w:spacing w:before="0" w:line="240" w:lineRule="auto"/>
    </w:pPr>
    <w:rPr>
      <w:sz w:val="16"/>
      <w:szCs w:val="16"/>
    </w:rPr>
  </w:style>
  <w:style w:type="character" w:customStyle="1" w:styleId="BodyText3Char">
    <w:name w:val="Body Text 3 Char"/>
    <w:basedOn w:val="DefaultParagraphFont"/>
    <w:link w:val="BodyText3"/>
    <w:rsid w:val="006172EA"/>
    <w:rPr>
      <w:rFonts w:ascii="Times New Roman" w:hAnsi="Times New Roman" w:cs="Times New Roman"/>
      <w:sz w:val="16"/>
      <w:szCs w:val="16"/>
    </w:rPr>
  </w:style>
  <w:style w:type="paragraph" w:styleId="NoSpacing">
    <w:name w:val="No Spacing"/>
    <w:uiPriority w:val="1"/>
    <w:qFormat/>
    <w:rsid w:val="006172EA"/>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semiHidden/>
    <w:unhideWhenUsed/>
    <w:rsid w:val="007C28E3"/>
    <w:pPr>
      <w:tabs>
        <w:tab w:val="clear" w:pos="1440"/>
      </w:tabs>
      <w:spacing w:before="100" w:beforeAutospacing="1" w:after="100" w:afterAutospacing="1" w:line="240" w:lineRule="auto"/>
    </w:pPr>
    <w:rPr>
      <w:szCs w:val="24"/>
    </w:rPr>
  </w:style>
  <w:style w:type="character" w:styleId="CommentReference">
    <w:name w:val="annotation reference"/>
    <w:basedOn w:val="DefaultParagraphFont"/>
    <w:uiPriority w:val="99"/>
    <w:semiHidden/>
    <w:unhideWhenUsed/>
    <w:rsid w:val="005730D5"/>
    <w:rPr>
      <w:sz w:val="16"/>
      <w:szCs w:val="16"/>
    </w:rPr>
  </w:style>
  <w:style w:type="paragraph" w:styleId="CommentText">
    <w:name w:val="annotation text"/>
    <w:basedOn w:val="Normal"/>
    <w:link w:val="CommentTextChar"/>
    <w:uiPriority w:val="99"/>
    <w:semiHidden/>
    <w:unhideWhenUsed/>
    <w:rsid w:val="005730D5"/>
    <w:pPr>
      <w:spacing w:line="240" w:lineRule="auto"/>
    </w:pPr>
    <w:rPr>
      <w:sz w:val="20"/>
    </w:rPr>
  </w:style>
  <w:style w:type="character" w:customStyle="1" w:styleId="CommentTextChar">
    <w:name w:val="Comment Text Char"/>
    <w:basedOn w:val="DefaultParagraphFont"/>
    <w:link w:val="CommentText"/>
    <w:uiPriority w:val="99"/>
    <w:semiHidden/>
    <w:rsid w:val="005730D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0D5"/>
    <w:rPr>
      <w:b/>
      <w:bCs/>
    </w:rPr>
  </w:style>
  <w:style w:type="character" w:customStyle="1" w:styleId="CommentSubjectChar">
    <w:name w:val="Comment Subject Char"/>
    <w:basedOn w:val="CommentTextChar"/>
    <w:link w:val="CommentSubject"/>
    <w:uiPriority w:val="99"/>
    <w:semiHidden/>
    <w:rsid w:val="005730D5"/>
    <w:rPr>
      <w:rFonts w:ascii="Times New Roman" w:hAnsi="Times New Roman" w:cs="Times New Roman"/>
      <w:b/>
      <w:bCs/>
      <w:sz w:val="20"/>
      <w:szCs w:val="20"/>
    </w:rPr>
  </w:style>
  <w:style w:type="paragraph" w:styleId="Revision">
    <w:name w:val="Revision"/>
    <w:hidden/>
    <w:uiPriority w:val="99"/>
    <w:semiHidden/>
    <w:rsid w:val="005730D5"/>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730D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0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248E5"/>
    <w:pPr>
      <w:numPr>
        <w:numId w:val="38"/>
      </w:numPr>
      <w:spacing w:before="0" w:after="0"/>
      <w:ind w:left="0" w:firstLine="1440"/>
    </w:pPr>
    <w:rPr>
      <w:sz w:val="26"/>
      <w:szCs w:val="2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autoRedefine/>
    <w:uiPriority w:val="99"/>
    <w:unhideWhenUsed/>
    <w:qFormat/>
    <w:rsid w:val="001C4633"/>
    <w:pPr>
      <w:spacing w:after="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1C4633"/>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aliases w:val="o,fr"/>
    <w:basedOn w:val="DefaultParagraphFont"/>
    <w:uiPriority w:val="99"/>
    <w:unhideWhenUsed/>
    <w:rsid w:val="00501945"/>
    <w:rPr>
      <w:vertAlign w:val="superscript"/>
    </w:rPr>
  </w:style>
  <w:style w:type="paragraph" w:styleId="Header">
    <w:name w:val="header"/>
    <w:basedOn w:val="Normal"/>
    <w:link w:val="HeaderChar"/>
    <w:uiPriority w:val="99"/>
    <w:unhideWhenUsed/>
    <w:rsid w:val="00B135F5"/>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B135F5"/>
    <w:rPr>
      <w:rFonts w:ascii="Times New Roman" w:hAnsi="Times New Roman" w:cs="Times New Roman"/>
      <w:sz w:val="24"/>
      <w:szCs w:val="20"/>
    </w:rPr>
  </w:style>
  <w:style w:type="paragraph" w:styleId="Footer">
    <w:name w:val="footer"/>
    <w:basedOn w:val="Normal"/>
    <w:link w:val="FooterChar"/>
    <w:uiPriority w:val="99"/>
    <w:unhideWhenUsed/>
    <w:rsid w:val="00B135F5"/>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B135F5"/>
    <w:rPr>
      <w:rFonts w:ascii="Times New Roman" w:hAnsi="Times New Roman" w:cs="Times New Roman"/>
      <w:sz w:val="24"/>
      <w:szCs w:val="20"/>
    </w:rPr>
  </w:style>
  <w:style w:type="table" w:styleId="TableGrid">
    <w:name w:val="Table Grid"/>
    <w:basedOn w:val="TableNormal"/>
    <w:uiPriority w:val="59"/>
    <w:rsid w:val="00845633"/>
    <w:pPr>
      <w:spacing w:after="0" w:line="240" w:lineRule="auto"/>
      <w:ind w:firstLine="72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A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rm1">
    <w:name w:val="term1"/>
    <w:basedOn w:val="DefaultParagraphFont"/>
    <w:rsid w:val="00E9145D"/>
    <w:rPr>
      <w:b/>
      <w:bCs/>
    </w:rPr>
  </w:style>
  <w:style w:type="character" w:styleId="Hyperlink">
    <w:name w:val="Hyperlink"/>
    <w:uiPriority w:val="99"/>
    <w:unhideWhenUsed/>
    <w:rsid w:val="006172EA"/>
    <w:rPr>
      <w:strike w:val="0"/>
      <w:dstrike w:val="0"/>
      <w:color w:val="004B91"/>
      <w:u w:val="none"/>
      <w:effect w:val="none"/>
    </w:rPr>
  </w:style>
  <w:style w:type="paragraph" w:styleId="BodyText3">
    <w:name w:val="Body Text 3"/>
    <w:basedOn w:val="Normal"/>
    <w:link w:val="BodyText3Char"/>
    <w:rsid w:val="006172EA"/>
    <w:pPr>
      <w:tabs>
        <w:tab w:val="clear" w:pos="1440"/>
      </w:tabs>
      <w:spacing w:before="0" w:line="240" w:lineRule="auto"/>
    </w:pPr>
    <w:rPr>
      <w:sz w:val="16"/>
      <w:szCs w:val="16"/>
    </w:rPr>
  </w:style>
  <w:style w:type="character" w:customStyle="1" w:styleId="BodyText3Char">
    <w:name w:val="Body Text 3 Char"/>
    <w:basedOn w:val="DefaultParagraphFont"/>
    <w:link w:val="BodyText3"/>
    <w:rsid w:val="006172EA"/>
    <w:rPr>
      <w:rFonts w:ascii="Times New Roman" w:hAnsi="Times New Roman" w:cs="Times New Roman"/>
      <w:sz w:val="16"/>
      <w:szCs w:val="16"/>
    </w:rPr>
  </w:style>
  <w:style w:type="paragraph" w:styleId="NoSpacing">
    <w:name w:val="No Spacing"/>
    <w:uiPriority w:val="1"/>
    <w:qFormat/>
    <w:rsid w:val="006172EA"/>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semiHidden/>
    <w:unhideWhenUsed/>
    <w:rsid w:val="007C28E3"/>
    <w:pPr>
      <w:tabs>
        <w:tab w:val="clear" w:pos="1440"/>
      </w:tabs>
      <w:spacing w:before="100" w:beforeAutospacing="1" w:after="100" w:afterAutospacing="1" w:line="240" w:lineRule="auto"/>
    </w:pPr>
    <w:rPr>
      <w:szCs w:val="24"/>
    </w:rPr>
  </w:style>
  <w:style w:type="character" w:styleId="CommentReference">
    <w:name w:val="annotation reference"/>
    <w:basedOn w:val="DefaultParagraphFont"/>
    <w:uiPriority w:val="99"/>
    <w:semiHidden/>
    <w:unhideWhenUsed/>
    <w:rsid w:val="005730D5"/>
    <w:rPr>
      <w:sz w:val="16"/>
      <w:szCs w:val="16"/>
    </w:rPr>
  </w:style>
  <w:style w:type="paragraph" w:styleId="CommentText">
    <w:name w:val="annotation text"/>
    <w:basedOn w:val="Normal"/>
    <w:link w:val="CommentTextChar"/>
    <w:uiPriority w:val="99"/>
    <w:semiHidden/>
    <w:unhideWhenUsed/>
    <w:rsid w:val="005730D5"/>
    <w:pPr>
      <w:spacing w:line="240" w:lineRule="auto"/>
    </w:pPr>
    <w:rPr>
      <w:sz w:val="20"/>
    </w:rPr>
  </w:style>
  <w:style w:type="character" w:customStyle="1" w:styleId="CommentTextChar">
    <w:name w:val="Comment Text Char"/>
    <w:basedOn w:val="DefaultParagraphFont"/>
    <w:link w:val="CommentText"/>
    <w:uiPriority w:val="99"/>
    <w:semiHidden/>
    <w:rsid w:val="005730D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0D5"/>
    <w:rPr>
      <w:b/>
      <w:bCs/>
    </w:rPr>
  </w:style>
  <w:style w:type="character" w:customStyle="1" w:styleId="CommentSubjectChar">
    <w:name w:val="Comment Subject Char"/>
    <w:basedOn w:val="CommentTextChar"/>
    <w:link w:val="CommentSubject"/>
    <w:uiPriority w:val="99"/>
    <w:semiHidden/>
    <w:rsid w:val="005730D5"/>
    <w:rPr>
      <w:rFonts w:ascii="Times New Roman" w:hAnsi="Times New Roman" w:cs="Times New Roman"/>
      <w:b/>
      <w:bCs/>
      <w:sz w:val="20"/>
      <w:szCs w:val="20"/>
    </w:rPr>
  </w:style>
  <w:style w:type="paragraph" w:styleId="Revision">
    <w:name w:val="Revision"/>
    <w:hidden/>
    <w:uiPriority w:val="99"/>
    <w:semiHidden/>
    <w:rsid w:val="005730D5"/>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730D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0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9E1B-5C77-4470-833E-BE9B041E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Reynolds, Doris</cp:lastModifiedBy>
  <cp:revision>5</cp:revision>
  <cp:lastPrinted>2017-03-17T17:42:00Z</cp:lastPrinted>
  <dcterms:created xsi:type="dcterms:W3CDTF">2017-03-06T15:23:00Z</dcterms:created>
  <dcterms:modified xsi:type="dcterms:W3CDTF">2017-03-17T17:45:00Z</dcterms:modified>
</cp:coreProperties>
</file>