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Default="003F323C" w:rsidP="00056A23">
      <w:pPr>
        <w:tabs>
          <w:tab w:val="left" w:pos="0"/>
        </w:tabs>
        <w:spacing w:before="0" w:after="0" w:line="240" w:lineRule="auto"/>
        <w:jc w:val="both"/>
      </w:pPr>
    </w:p>
    <w:p w:rsidR="00B8594D" w:rsidRPr="00404E19" w:rsidRDefault="00B8594D" w:rsidP="00056A23">
      <w:pPr>
        <w:tabs>
          <w:tab w:val="left" w:pos="0"/>
        </w:tabs>
        <w:spacing w:before="0" w:after="0" w:line="240" w:lineRule="auto"/>
        <w:jc w:val="both"/>
      </w:pPr>
    </w:p>
    <w:p w:rsidR="003F323C" w:rsidRDefault="003F323C" w:rsidP="00056A23">
      <w:pPr>
        <w:spacing w:before="0" w:after="0" w:line="240" w:lineRule="auto"/>
      </w:pPr>
    </w:p>
    <w:p w:rsidR="003F323C" w:rsidRPr="00B7660F" w:rsidRDefault="00B7660F" w:rsidP="00056A23">
      <w:pPr>
        <w:spacing w:before="0" w:after="0" w:line="240" w:lineRule="auto"/>
        <w:jc w:val="center"/>
        <w:rPr>
          <w:b/>
          <w:u w:val="single"/>
        </w:rPr>
      </w:pPr>
      <w:r w:rsidRPr="00B7660F">
        <w:rPr>
          <w:b/>
          <w:u w:val="single"/>
        </w:rPr>
        <w:t>SIXTH</w:t>
      </w:r>
      <w:r w:rsidR="003F323C" w:rsidRPr="00B7660F">
        <w:rPr>
          <w:b/>
          <w:u w:val="single"/>
        </w:rPr>
        <w:t xml:space="preserve"> PREHEARING ORDER</w:t>
      </w:r>
    </w:p>
    <w:p w:rsidR="00B7660F" w:rsidRDefault="00B7660F" w:rsidP="00B8594D">
      <w:pPr>
        <w:spacing w:before="0" w:after="0" w:line="240" w:lineRule="auto"/>
        <w:rPr>
          <w:b/>
        </w:rPr>
      </w:pPr>
    </w:p>
    <w:p w:rsidR="00D02FCC" w:rsidRDefault="003F323C" w:rsidP="00B8594D">
      <w:pPr>
        <w:spacing w:before="0" w:after="0" w:line="240" w:lineRule="auto"/>
      </w:pPr>
      <w:r>
        <w:tab/>
      </w:r>
    </w:p>
    <w:p w:rsidR="003F323C" w:rsidRDefault="00D02FCC" w:rsidP="003F323C">
      <w:pPr>
        <w:spacing w:before="0" w:after="0"/>
      </w:pPr>
      <w:r>
        <w:tab/>
      </w:r>
      <w:r w:rsidR="003F323C">
        <w:t>On November 25, 2015, the Centre Park Historic District, Inc. (CPHD</w:t>
      </w:r>
      <w:proofErr w:type="gramStart"/>
      <w:r w:rsidR="003F323C">
        <w:t>),</w:t>
      </w:r>
      <w:proofErr w:type="gramEnd"/>
      <w:r w:rsidR="003F323C">
        <w:t xml:space="preserve"> filed a formal complaint which alleged that UGI Utilities, Inc. – Gas Division (UGI), violated the Commission’s regulation regarding the placement of meters in historic districts of Reading, Pennsylvania</w:t>
      </w:r>
      <w:r w:rsidR="003A5C3C">
        <w:t xml:space="preserve">. </w:t>
      </w:r>
      <w:r w:rsidR="003F323C">
        <w:t xml:space="preserve">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preliminary objections were denied.</w:t>
      </w:r>
      <w:r w:rsidR="003B6898">
        <w:t xml:space="preserve">  The complaints of CPHD and the City of Reading were consolidated by order entered March 30, 2016.</w:t>
      </w:r>
    </w:p>
    <w:p w:rsidR="003F323C" w:rsidRDefault="003F323C" w:rsidP="003F323C">
      <w:pPr>
        <w:spacing w:before="0" w:after="0"/>
      </w:pPr>
      <w:r>
        <w:lastRenderedPageBreak/>
        <w:tab/>
        <w:t>Prehearing conferences were held on February 11</w:t>
      </w:r>
      <w:r w:rsidR="001020F5">
        <w:t>, 2016, March 30, 2016 and July </w:t>
      </w:r>
      <w:r>
        <w:t>14, 2016.  At the July 14, 2016 prehearing conference</w:t>
      </w:r>
      <w:r w:rsidR="000E5E46">
        <w:t>,</w:t>
      </w:r>
      <w:r>
        <w:t xml:space="preserve"> a litigation schedule </w:t>
      </w:r>
      <w:r w:rsidR="003B6898">
        <w:t xml:space="preserve">was established </w:t>
      </w:r>
      <w:r>
        <w:t>which provided for a discovery deadline of September 9, 2016, a deadline for dispositive motions on September 30, 2016, and evidentiary hearing</w:t>
      </w:r>
      <w:r w:rsidR="003B6898">
        <w:t>s</w:t>
      </w:r>
      <w:r>
        <w:t xml:space="preserve"> to begin on November 15, 2016, in Harrisburg.</w:t>
      </w:r>
    </w:p>
    <w:p w:rsidR="003F323C" w:rsidRDefault="003F323C" w:rsidP="003F323C">
      <w:pPr>
        <w:spacing w:before="0" w:after="0"/>
      </w:pPr>
    </w:p>
    <w:p w:rsidR="003F323C" w:rsidRDefault="003F323C" w:rsidP="003F323C">
      <w:pPr>
        <w:spacing w:before="0" w:after="0"/>
      </w:pPr>
      <w:r>
        <w:tab/>
        <w:t>On September 1, 2016, UGI filed a petition for interlocutory review and answer to material questions to the Commission.  UGI and BIE</w:t>
      </w:r>
      <w:r w:rsidR="008D6BBB">
        <w:rPr>
          <w:rStyle w:val="FootnoteReference"/>
        </w:rPr>
        <w:footnoteReference w:id="1"/>
      </w:r>
      <w:r>
        <w:t xml:space="preserve"> also filed a joint motion to, among other </w:t>
      </w:r>
      <w:proofErr w:type="gramStart"/>
      <w:r w:rsidR="00056A23">
        <w:t>t</w:t>
      </w:r>
      <w:r>
        <w:t>hings,</w:t>
      </w:r>
      <w:proofErr w:type="gramEnd"/>
      <w:r>
        <w:t xml:space="preserve"> modify the deadlines established</w:t>
      </w:r>
      <w:r w:rsidR="00054061">
        <w:t xml:space="preserve"> </w:t>
      </w:r>
      <w:r>
        <w:t>a</w:t>
      </w:r>
      <w:r w:rsidR="00054061">
        <w:t>t</w:t>
      </w:r>
      <w:r>
        <w:t xml:space="preserve"> the July 14, 2016 prehearing conference.  The motion represented that the Complainants did not object to the request to modify the litigation schedule</w:t>
      </w:r>
      <w:r w:rsidR="001A4CC3">
        <w:t>.</w:t>
      </w:r>
      <w:r w:rsidR="0055222E">
        <w:t xml:space="preserve">  By order dated September 2, 2016, the litigation schedule was suspended pending the answer to the material question</w:t>
      </w:r>
      <w:r w:rsidR="001020F5">
        <w:t>s</w:t>
      </w:r>
      <w:r w:rsidR="0055222E">
        <w:t xml:space="preserve"> by the Commission.</w:t>
      </w:r>
    </w:p>
    <w:p w:rsidR="0055222E" w:rsidRDefault="0055222E" w:rsidP="003F323C">
      <w:pPr>
        <w:spacing w:before="0" w:after="0"/>
      </w:pPr>
    </w:p>
    <w:p w:rsidR="00AD407C" w:rsidRDefault="00B7660F" w:rsidP="00A243F4">
      <w:pPr>
        <w:spacing w:before="0" w:after="0"/>
      </w:pPr>
      <w:r>
        <w:tab/>
      </w:r>
      <w:r w:rsidR="00A243F4">
        <w:t>By Opinion and Order entered February 7, 2017, the Commission declined to answer the material questions and returned the matter to the Office of Administrative Law Judge for disposition.</w:t>
      </w:r>
      <w:r>
        <w:t xml:space="preserve">  The parties agreed to hold a further preheari</w:t>
      </w:r>
      <w:r w:rsidR="001020F5">
        <w:t>ng conference on Tuesday, March </w:t>
      </w:r>
      <w:r>
        <w:t>14, 2017.  By interim order dated February 22, 2017, the parties were directed to discuss outstanding discovery and agree to a litigation schedule.  That order further required the parties to file prehearing memoranda by March 13, 2017.</w:t>
      </w:r>
    </w:p>
    <w:p w:rsidR="00F6721D" w:rsidRDefault="00F6721D" w:rsidP="00A243F4">
      <w:pPr>
        <w:spacing w:before="0" w:after="0"/>
      </w:pPr>
      <w:r>
        <w:tab/>
      </w:r>
    </w:p>
    <w:p w:rsidR="00B7660F" w:rsidRDefault="00B7660F" w:rsidP="00A243F4">
      <w:pPr>
        <w:spacing w:before="0" w:after="0"/>
      </w:pPr>
      <w:r>
        <w:tab/>
        <w:t>The parties filed their prehearing memoranda as directed.  By agreement the prehearing conference was rescheduled for Thursday, March 16, 2017.  At my</w:t>
      </w:r>
      <w:r w:rsidR="0049692C">
        <w:t xml:space="preserve"> request, t</w:t>
      </w:r>
      <w:r>
        <w:t xml:space="preserve">he Complainants and UGI also filed supplemental prehearing memoranda </w:t>
      </w:r>
      <w:r w:rsidR="0049692C">
        <w:t xml:space="preserve">on March 16, 2017, </w:t>
      </w:r>
      <w:r>
        <w:t>which addressed specific discovery issues.</w:t>
      </w:r>
    </w:p>
    <w:p w:rsidR="00F6721D" w:rsidRDefault="00F6721D" w:rsidP="00A243F4">
      <w:pPr>
        <w:spacing w:before="0" w:after="0"/>
      </w:pPr>
    </w:p>
    <w:p w:rsidR="0049692C" w:rsidRDefault="0049692C" w:rsidP="00A243F4">
      <w:pPr>
        <w:spacing w:before="0" w:after="0"/>
      </w:pPr>
      <w:r>
        <w:tab/>
        <w:t xml:space="preserve">The prehearing conference convened on March 16, 2017.  Counsel for the Complainants, UGI and BIE appeared.  The bulk of the conference was devoted to the discussion of several outstanding discovery issues.  Those matters will be discussed by separate order.  </w:t>
      </w:r>
    </w:p>
    <w:p w:rsidR="00F6721D" w:rsidRDefault="00F6721D" w:rsidP="00A243F4">
      <w:pPr>
        <w:spacing w:before="0" w:after="0"/>
      </w:pPr>
    </w:p>
    <w:p w:rsidR="00F6721D" w:rsidRDefault="00F6721D" w:rsidP="00A243F4">
      <w:pPr>
        <w:spacing w:before="0" w:after="0"/>
      </w:pPr>
      <w:r>
        <w:lastRenderedPageBreak/>
        <w:tab/>
        <w:t>Following a discussion with the parties, further proceedings are ordered as set forth below.</w:t>
      </w:r>
    </w:p>
    <w:p w:rsidR="00122716" w:rsidRDefault="00056A23" w:rsidP="003F323C">
      <w:pPr>
        <w:spacing w:before="0" w:after="0"/>
      </w:pPr>
      <w:r>
        <w:tab/>
      </w:r>
    </w:p>
    <w:p w:rsidR="00583925" w:rsidRDefault="00122716"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r>
      <w:r w:rsidR="00F6721D">
        <w:t>That the Complainants will create a spreadsheet which includes a list of the contested meters in historic districts in a format substantially s</w:t>
      </w:r>
      <w:r w:rsidR="00122716">
        <w:t>imilar to the tables in Exhibit </w:t>
      </w:r>
      <w:r w:rsidR="00F6721D">
        <w:t>D which was attached to the City of Reading’s formal complaint.  In addition to the columns included in Exhibit D, the Complainants shall add columns to the table which include 1) the date a permit was issued, if one was issue</w:t>
      </w:r>
      <w:r w:rsidR="00122716">
        <w:t>d</w:t>
      </w:r>
      <w:r w:rsidR="00F6721D">
        <w:t xml:space="preserve">; and 2) the date the meter was relocated.  This spreadsheet shall be served on me and on the other parties on or before </w:t>
      </w:r>
      <w:r w:rsidR="00F6721D" w:rsidRPr="00F6721D">
        <w:rPr>
          <w:b/>
          <w:u w:val="single"/>
        </w:rPr>
        <w:t>April 20, 2017</w:t>
      </w:r>
      <w:r w:rsidR="00F6721D">
        <w:t>.</w:t>
      </w:r>
    </w:p>
    <w:p w:rsidR="00F679AD" w:rsidRDefault="00F679AD" w:rsidP="003F323C">
      <w:pPr>
        <w:spacing w:before="0" w:after="0"/>
      </w:pPr>
    </w:p>
    <w:p w:rsidR="00F6721D" w:rsidRDefault="00583925" w:rsidP="00F6721D">
      <w:pPr>
        <w:spacing w:before="0" w:after="0"/>
      </w:pPr>
      <w:r>
        <w:tab/>
        <w:t>2.</w:t>
      </w:r>
      <w:r>
        <w:tab/>
      </w:r>
      <w:r w:rsidR="00F6721D">
        <w:t>T</w:t>
      </w:r>
      <w:r w:rsidR="00122716">
        <w:t>hat t</w:t>
      </w:r>
      <w:r w:rsidR="00F6721D">
        <w:t>he Complainants shall create a spreadsheet which includes a list of the contested meters which are not located in historic districts in a format substantially similar to the tables in Exhibit D which was attached to the City of Reading’s formal complaint.  In addition to the columns included in Exhibit D, the Complainants shall add columns to the table which include 1) the date a permit was issued, if one was issue</w:t>
      </w:r>
      <w:r w:rsidR="00122716">
        <w:t>d</w:t>
      </w:r>
      <w:r w:rsidR="00F6721D">
        <w:t xml:space="preserve">; and 2) the date the meter was relocated.  </w:t>
      </w:r>
      <w:r w:rsidR="00D25306">
        <w:t xml:space="preserve">The contested meters shall be organized by neighborhood or proximity.  </w:t>
      </w:r>
      <w:r w:rsidR="00F6721D">
        <w:t xml:space="preserve">This spreadsheet shall be served on me and on the other parties on or before </w:t>
      </w:r>
      <w:r w:rsidR="00F6721D" w:rsidRPr="00F6721D">
        <w:rPr>
          <w:b/>
          <w:u w:val="single"/>
        </w:rPr>
        <w:t>April 20, 2017</w:t>
      </w:r>
      <w:r w:rsidR="00F6721D">
        <w:t>.</w:t>
      </w:r>
    </w:p>
    <w:p w:rsidR="00D25306" w:rsidRDefault="00D25306" w:rsidP="00F6721D">
      <w:pPr>
        <w:spacing w:before="0" w:after="0"/>
      </w:pPr>
    </w:p>
    <w:p w:rsidR="00D25306" w:rsidRDefault="00D25306" w:rsidP="00F6721D">
      <w:pPr>
        <w:spacing w:before="0" w:after="0"/>
      </w:pPr>
      <w:r>
        <w:tab/>
        <w:t>3.</w:t>
      </w:r>
      <w:r>
        <w:tab/>
      </w:r>
      <w:r w:rsidR="00122716">
        <w:t xml:space="preserve">That </w:t>
      </w:r>
      <w:r>
        <w:t xml:space="preserve">UGI shall respond </w:t>
      </w:r>
      <w:proofErr w:type="gramStart"/>
      <w:r>
        <w:t>by adding an additional column which includes either</w:t>
      </w:r>
      <w:proofErr w:type="gramEnd"/>
      <w:r>
        <w:t xml:space="preserve"> its stipulation to the data provided or by specific objection.  UGI’s stipulation shall not be construed as an admission that the meter relocation is in violation of the Public Utility Code, regulations or directives of the Commission.  UGI’s re</w:t>
      </w:r>
      <w:r w:rsidR="000D0E94">
        <w:t>s</w:t>
      </w:r>
      <w:r>
        <w:t xml:space="preserve">ponses shall be served on me and the other parties on or before </w:t>
      </w:r>
      <w:r w:rsidRPr="00D25306">
        <w:rPr>
          <w:b/>
          <w:u w:val="single"/>
        </w:rPr>
        <w:t>May 4, 2017</w:t>
      </w:r>
      <w:r>
        <w:t>.</w:t>
      </w:r>
      <w:r w:rsidR="000D0E94">
        <w:t xml:space="preserve"> </w:t>
      </w:r>
    </w:p>
    <w:p w:rsidR="000D0E94" w:rsidRDefault="000D0E94" w:rsidP="00F6721D">
      <w:pPr>
        <w:spacing w:before="0" w:after="0"/>
      </w:pPr>
    </w:p>
    <w:p w:rsidR="000D0E94" w:rsidRDefault="000D0E94" w:rsidP="00F6721D">
      <w:pPr>
        <w:spacing w:before="0" w:after="0"/>
      </w:pPr>
      <w:r>
        <w:tab/>
        <w:t>4.</w:t>
      </w:r>
      <w:r>
        <w:tab/>
        <w:t>T</w:t>
      </w:r>
      <w:r w:rsidR="00122716">
        <w:t>hat t</w:t>
      </w:r>
      <w:r>
        <w:t>he spreadsheets directed above shall be served in both hard</w:t>
      </w:r>
      <w:r w:rsidR="00122716">
        <w:t xml:space="preserve"> </w:t>
      </w:r>
      <w:r>
        <w:t>copy and electronic format.</w:t>
      </w:r>
    </w:p>
    <w:p w:rsidR="000D0E94" w:rsidRDefault="000D0E94" w:rsidP="00F6721D">
      <w:pPr>
        <w:spacing w:before="0" w:after="0"/>
      </w:pPr>
    </w:p>
    <w:p w:rsidR="000D0E94" w:rsidRDefault="000D0E94" w:rsidP="00F6721D">
      <w:pPr>
        <w:spacing w:before="0" w:after="0"/>
      </w:pPr>
      <w:r>
        <w:lastRenderedPageBreak/>
        <w:tab/>
        <w:t>5.</w:t>
      </w:r>
      <w:r>
        <w:tab/>
      </w:r>
      <w:bookmarkStart w:id="0" w:name="_GoBack"/>
      <w:bookmarkEnd w:id="0"/>
      <w:r>
        <w:t>T</w:t>
      </w:r>
      <w:r w:rsidR="00122716">
        <w:t>hat t</w:t>
      </w:r>
      <w:r>
        <w:t>he parties are urged to make significant efforts to reach other factual stipulations such as the maps, the locations and designations of the historic districts</w:t>
      </w:r>
      <w:r w:rsidR="00122716">
        <w:t>,</w:t>
      </w:r>
      <w:r>
        <w:t xml:space="preserve"> etc.</w:t>
      </w:r>
    </w:p>
    <w:p w:rsidR="000D0E94" w:rsidRDefault="000D0E94" w:rsidP="00F6721D">
      <w:pPr>
        <w:spacing w:before="0" w:after="0"/>
      </w:pPr>
    </w:p>
    <w:p w:rsidR="000D0E94" w:rsidRDefault="000D0E94" w:rsidP="00F6721D">
      <w:pPr>
        <w:spacing w:before="0" w:after="0"/>
      </w:pPr>
      <w:r>
        <w:tab/>
        <w:t>6.</w:t>
      </w:r>
      <w:r>
        <w:tab/>
      </w:r>
      <w:r w:rsidR="00122716">
        <w:t>That p</w:t>
      </w:r>
      <w:r>
        <w:t>rocedural rules related to motions to compel and answers thereto wi</w:t>
      </w:r>
      <w:r w:rsidR="00122716">
        <w:t>ll</w:t>
      </w:r>
      <w:r>
        <w:t xml:space="preserve"> be strictly construed.  Any motions or responses that fail to conform to all rules and directives will be denied or stricken.</w:t>
      </w:r>
    </w:p>
    <w:p w:rsidR="000D0E94" w:rsidRDefault="000D0E94" w:rsidP="00F6721D">
      <w:pPr>
        <w:spacing w:before="0" w:after="0"/>
      </w:pPr>
    </w:p>
    <w:p w:rsidR="000D0E94" w:rsidRDefault="000D0E94" w:rsidP="00F6721D">
      <w:pPr>
        <w:spacing w:before="0" w:after="0"/>
      </w:pPr>
      <w:r>
        <w:tab/>
        <w:t>7.</w:t>
      </w:r>
      <w:r>
        <w:tab/>
      </w:r>
      <w:r w:rsidR="00122716">
        <w:t>That a</w:t>
      </w:r>
      <w:r>
        <w:t xml:space="preserve">ll </w:t>
      </w:r>
      <w:proofErr w:type="gramStart"/>
      <w:r>
        <w:t>discovery</w:t>
      </w:r>
      <w:proofErr w:type="gramEnd"/>
      <w:r>
        <w:t xml:space="preserve">, including depositions, if any, shall be </w:t>
      </w:r>
      <w:r w:rsidRPr="000D0E94">
        <w:rPr>
          <w:b/>
        </w:rPr>
        <w:t>completed</w:t>
      </w:r>
      <w:r>
        <w:t xml:space="preserve"> by </w:t>
      </w:r>
      <w:r w:rsidR="0095697A">
        <w:rPr>
          <w:b/>
          <w:u w:val="single"/>
        </w:rPr>
        <w:t>May </w:t>
      </w:r>
      <w:r w:rsidRPr="000D0E94">
        <w:rPr>
          <w:b/>
          <w:u w:val="single"/>
        </w:rPr>
        <w:t>30, 2017</w:t>
      </w:r>
      <w:r w:rsidRPr="00122716">
        <w:rPr>
          <w:b/>
        </w:rPr>
        <w:t>.</w:t>
      </w:r>
    </w:p>
    <w:p w:rsidR="000D0E94" w:rsidRDefault="000D0E94" w:rsidP="00F6721D">
      <w:pPr>
        <w:spacing w:before="0" w:after="0"/>
      </w:pPr>
    </w:p>
    <w:p w:rsidR="00D959C5" w:rsidRDefault="000D0E94" w:rsidP="00F6721D">
      <w:pPr>
        <w:spacing w:before="0" w:after="0"/>
      </w:pPr>
      <w:r>
        <w:tab/>
        <w:t>8.</w:t>
      </w:r>
      <w:r>
        <w:tab/>
      </w:r>
      <w:r w:rsidR="00122716">
        <w:t>That a</w:t>
      </w:r>
      <w:r>
        <w:t xml:space="preserve"> further call-in prehearing conference is scheduled for Thursday, June 15, 2017 at 10:00 a.m.  </w:t>
      </w:r>
    </w:p>
    <w:p w:rsidR="00D35AB2" w:rsidRDefault="00D35AB2" w:rsidP="00F6721D">
      <w:pPr>
        <w:spacing w:before="0" w:after="0"/>
      </w:pP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95697A">
        <w:rPr>
          <w:u w:val="single"/>
        </w:rPr>
        <w:t>March 21</w:t>
      </w:r>
      <w:r w:rsidR="003D756C">
        <w:rPr>
          <w:u w:val="single"/>
        </w:rPr>
        <w:t>, 2017</w:t>
      </w:r>
      <w:r>
        <w:tab/>
      </w:r>
      <w:r>
        <w:tab/>
      </w:r>
      <w:r w:rsidR="00D35AB2">
        <w:tab/>
      </w:r>
      <w:r>
        <w:tab/>
        <w:t>__________________________</w:t>
      </w:r>
      <w:r w:rsidR="0095697A">
        <w:t>____</w:t>
      </w:r>
      <w:r>
        <w:t>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7D6205" w:rsidRDefault="007D6205">
      <w:pPr>
        <w:tabs>
          <w:tab w:val="clear" w:pos="1440"/>
        </w:tabs>
        <w:spacing w:before="0" w:after="200" w:line="276" w:lineRule="auto"/>
        <w:sectPr w:rsidR="007D6205" w:rsidSect="00FC56D9">
          <w:footerReference w:type="default" r:id="rId9"/>
          <w:pgSz w:w="12240" w:h="15840"/>
          <w:pgMar w:top="1440" w:right="1440" w:bottom="1440" w:left="1440" w:header="720" w:footer="720" w:gutter="0"/>
          <w:cols w:space="720"/>
          <w:titlePg/>
          <w:docGrid w:linePitch="360"/>
        </w:sectPr>
      </w:pPr>
    </w:p>
    <w:p w:rsidR="007D6205" w:rsidRDefault="007D6205">
      <w:pPr>
        <w:tabs>
          <w:tab w:val="clear" w:pos="1440"/>
        </w:tabs>
        <w:spacing w:before="0" w:after="200" w:line="276" w:lineRule="auto"/>
        <w:sectPr w:rsidR="007D6205" w:rsidSect="007D6205">
          <w:type w:val="continuous"/>
          <w:pgSz w:w="12240" w:h="15840"/>
          <w:pgMar w:top="1440" w:right="1440" w:bottom="1440" w:left="1440" w:header="720" w:footer="720" w:gutter="0"/>
          <w:cols w:space="720"/>
          <w:titlePg/>
          <w:docGrid w:linePitch="360"/>
        </w:sectPr>
      </w:pPr>
    </w:p>
    <w:p w:rsidR="006E6946" w:rsidRPr="0095697A" w:rsidRDefault="00056A23" w:rsidP="0095697A">
      <w:pPr>
        <w:tabs>
          <w:tab w:val="clear" w:pos="1440"/>
        </w:tabs>
        <w:spacing w:before="0" w:after="200" w:line="276" w:lineRule="auto"/>
        <w:sectPr w:rsidR="006E6946" w:rsidRPr="0095697A" w:rsidSect="007D6205">
          <w:type w:val="continuous"/>
          <w:pgSz w:w="12240" w:h="15840"/>
          <w:pgMar w:top="720" w:right="720" w:bottom="720" w:left="720" w:header="720" w:footer="720" w:gutter="0"/>
          <w:cols w:space="720"/>
          <w:titlePg/>
          <w:docGrid w:linePitch="360"/>
        </w:sectPr>
      </w:pPr>
      <w:r>
        <w:lastRenderedPageBreak/>
        <w:br w:type="page"/>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4"/>
          <w:u w:val="single"/>
        </w:rPr>
        <w:lastRenderedPageBreak/>
        <w:t>C-2015-2516051 - CENTRE PARK HISTORIC DISTRICT INC v. UGI UTILITIES INC</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2"/>
          <w:u w:val="single"/>
        </w:rPr>
        <w:t>C-2016-2530475  - CITY OF READING v. UGI UTILITIES, INC.</w:t>
      </w:r>
      <w:r w:rsidRPr="0095697A">
        <w:rPr>
          <w:rFonts w:ascii="Microsoft Sans Serif" w:eastAsiaTheme="minorEastAsia" w:hAnsiTheme="minorHAnsi" w:cstheme="minorBidi"/>
          <w:b/>
          <w:szCs w:val="22"/>
          <w:u w:val="single"/>
        </w:rPr>
        <w:cr/>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i/>
          <w:szCs w:val="24"/>
          <w:u w:val="single"/>
        </w:rPr>
      </w:pPr>
      <w:r w:rsidRPr="0095697A">
        <w:rPr>
          <w:rFonts w:ascii="Microsoft Sans Serif" w:eastAsiaTheme="minorEastAsia" w:hAnsiTheme="minorHAnsi" w:cstheme="minorBidi"/>
          <w:i/>
          <w:szCs w:val="24"/>
          <w:u w:val="single"/>
        </w:rPr>
        <w:t>Revised 3/20/17</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sectPr w:rsidR="0095697A" w:rsidRPr="0095697A" w:rsidSect="0095697A">
          <w:footerReference w:type="default" r:id="rId10"/>
          <w:type w:val="continuous"/>
          <w:pgSz w:w="12240" w:h="15840"/>
          <w:pgMar w:top="720" w:right="720" w:bottom="720" w:left="720" w:header="720" w:footer="720" w:gutter="0"/>
          <w:cols w:space="720"/>
          <w:docGrid w:linePitch="360"/>
        </w:sect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lastRenderedPageBreak/>
        <w:t>MARK C MORROW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DANIELLE JOUENNE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UGI UTILITIES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460 NORTH GULPH ROAD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KING OF PRUSSIA PA 19406-2807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610.768.3628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610.992.3203</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 xml:space="preserve">Representing UGI Utilities, Inc. </w:t>
      </w:r>
      <w:r w:rsidRPr="0095697A">
        <w:rPr>
          <w:rFonts w:ascii="Microsoft Sans Serif" w:eastAsiaTheme="minorEastAsia" w:hAnsiTheme="minorHAnsi" w:cstheme="minorBidi"/>
          <w:i/>
          <w:szCs w:val="24"/>
        </w:rPr>
        <w:t>–</w:t>
      </w:r>
      <w:r w:rsidRPr="0095697A">
        <w:rPr>
          <w:rFonts w:ascii="Microsoft Sans Serif" w:eastAsiaTheme="minorEastAsia" w:hAnsiTheme="minorHAnsi" w:cstheme="minorBidi"/>
          <w:i/>
          <w:szCs w:val="24"/>
        </w:rPr>
        <w:t xml:space="preserve"> Gas Division</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J SAVONA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E PETERS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ZACHARY A SIVERTSEN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T PIDGEON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EASTBURN AND GRAY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60 EAST COURT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 BOX 1389</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DOYLESTOWN PA 18901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215.345.7000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szCs w:val="24"/>
        </w:rPr>
        <w:t>*</w:t>
      </w: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Representing Centre Park Historic District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DAVID B MACGREGOR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FOUR PENN CENTER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1600 JOHN F KENNEDY BOULEVARD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PHILADELPHIA PA 19103-2808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215.587.1197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DEVIN T RYAN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CHRISTOPHER T WRIGHT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17 NORTH SECOND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12</w:t>
      </w:r>
      <w:r w:rsidRPr="0095697A">
        <w:rPr>
          <w:rFonts w:ascii="Microsoft Sans Serif" w:eastAsiaTheme="minorEastAsia" w:hAnsiTheme="minorHAnsi" w:cstheme="minorBidi"/>
          <w:szCs w:val="24"/>
          <w:vertAlign w:val="superscript"/>
        </w:rPr>
        <w:t>TH</w:t>
      </w:r>
      <w:r w:rsidRPr="0095697A">
        <w:rPr>
          <w:rFonts w:ascii="Microsoft Sans Serif" w:eastAsiaTheme="minorEastAsia" w:hAnsiTheme="minorHAnsi" w:cstheme="minorBidi"/>
          <w:szCs w:val="24"/>
        </w:rPr>
        <w:t xml:space="preserve"> FLOOR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HARRISBURG PA 17101-1601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717.731.1970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Theme="minorHAnsi" w:eastAsiaTheme="minorEastAsia" w:hAnsiTheme="minorHAnsi" w:cstheme="minorBidi"/>
          <w:sz w:val="22"/>
          <w:szCs w:val="22"/>
        </w:rPr>
      </w:pPr>
      <w:r w:rsidRPr="0095697A">
        <w:rPr>
          <w:rFonts w:ascii="Microsoft Sans Serif" w:eastAsiaTheme="minorEastAsia" w:hAnsiTheme="minorHAnsi" w:cstheme="minorBidi"/>
          <w:i/>
          <w:szCs w:val="24"/>
        </w:rPr>
        <w:t>Representing UGI Utilities, Inc.</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lastRenderedPageBreak/>
        <w:t>ADAM D YOUNG ESQUIRE</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 xml:space="preserve">PENNSYLVANIA PUBLIC UTILITY COMMISSION </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BUREAU OF INVESTIGATION AND ENFORCEMENT</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PO BOX 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HARRISBURG PA 17105-3265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b/>
          <w:szCs w:val="24"/>
        </w:rPr>
      </w:pPr>
      <w:r w:rsidRPr="0095697A">
        <w:rPr>
          <w:rFonts w:ascii="Microsoft Sans Serif" w:eastAsiaTheme="minorEastAsia" w:hAnsi="Microsoft Sans Serif" w:cs="Microsoft Sans Serif"/>
          <w:b/>
          <w:szCs w:val="24"/>
        </w:rPr>
        <w:t>717-787-5000</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i/>
          <w:szCs w:val="24"/>
        </w:rPr>
      </w:pPr>
      <w:r w:rsidRPr="0095697A">
        <w:rPr>
          <w:rFonts w:ascii="Microsoft Sans Serif" w:eastAsiaTheme="minorEastAsia" w:hAnsi="Microsoft Sans Serif" w:cs="Microsoft Sans Serif"/>
          <w:i/>
          <w:szCs w:val="24"/>
        </w:rPr>
        <w:t>Accepts E-service</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szCs w:val="24"/>
        </w:rPr>
      </w:pPr>
    </w:p>
    <w:p w:rsidR="00056A23" w:rsidRPr="00056A23" w:rsidRDefault="00056A23"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056A23" w:rsidRDefault="0095697A">
      <w:pPr>
        <w:tabs>
          <w:tab w:val="clear" w:pos="1440"/>
        </w:tabs>
        <w:spacing w:before="0" w:after="0" w:line="240" w:lineRule="auto"/>
        <w:contextualSpacing/>
        <w:rPr>
          <w:rFonts w:ascii="Microsoft Sans Serif" w:eastAsiaTheme="minorEastAsia" w:hAnsiTheme="minorHAnsi" w:cstheme="minorBidi"/>
          <w:b/>
          <w:szCs w:val="24"/>
          <w:u w:val="single"/>
        </w:rPr>
      </w:pPr>
    </w:p>
    <w:sectPr w:rsidR="0095697A" w:rsidRPr="00056A23" w:rsidSect="0095697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5C7" w:rsidRDefault="00EB25C7" w:rsidP="00CF6391">
      <w:pPr>
        <w:spacing w:before="0" w:after="0" w:line="240" w:lineRule="auto"/>
      </w:pPr>
      <w:r>
        <w:separator/>
      </w:r>
    </w:p>
  </w:endnote>
  <w:endnote w:type="continuationSeparator" w:id="0">
    <w:p w:rsidR="00EB25C7" w:rsidRDefault="00EB25C7"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90117"/>
      <w:docPartObj>
        <w:docPartGallery w:val="Page Numbers (Bottom of Page)"/>
        <w:docPartUnique/>
      </w:docPartObj>
    </w:sdtPr>
    <w:sdtEndPr>
      <w:rPr>
        <w:noProof/>
        <w:sz w:val="20"/>
      </w:rPr>
    </w:sdtEndPr>
    <w:sdtContent>
      <w:p w:rsidR="006E6946" w:rsidRPr="006E6946" w:rsidRDefault="006E6946">
        <w:pPr>
          <w:pStyle w:val="Footer"/>
          <w:jc w:val="center"/>
          <w:rPr>
            <w:sz w:val="20"/>
          </w:rPr>
        </w:pPr>
        <w:r w:rsidRPr="006E6946">
          <w:rPr>
            <w:sz w:val="20"/>
          </w:rPr>
          <w:fldChar w:fldCharType="begin"/>
        </w:r>
        <w:r w:rsidRPr="006E6946">
          <w:rPr>
            <w:sz w:val="20"/>
          </w:rPr>
          <w:instrText xml:space="preserve"> PAGE   \* MERGEFORMAT </w:instrText>
        </w:r>
        <w:r w:rsidRPr="006E6946">
          <w:rPr>
            <w:sz w:val="20"/>
          </w:rPr>
          <w:fldChar w:fldCharType="separate"/>
        </w:r>
        <w:r w:rsidR="003A5C3C">
          <w:rPr>
            <w:noProof/>
            <w:sz w:val="20"/>
          </w:rPr>
          <w:t>4</w:t>
        </w:r>
        <w:r w:rsidRPr="006E6946">
          <w:rPr>
            <w:noProof/>
            <w:sz w:val="20"/>
          </w:rPr>
          <w:fldChar w:fldCharType="end"/>
        </w:r>
      </w:p>
    </w:sdtContent>
  </w:sdt>
  <w:p w:rsidR="006E6946" w:rsidRDefault="006E6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7A" w:rsidRPr="006E6946" w:rsidRDefault="0095697A">
    <w:pPr>
      <w:pStyle w:val="Footer"/>
      <w:jc w:val="center"/>
      <w:rPr>
        <w:sz w:val="20"/>
      </w:rPr>
    </w:pPr>
  </w:p>
  <w:p w:rsidR="0095697A" w:rsidRDefault="0095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5C7" w:rsidRDefault="00EB25C7" w:rsidP="00CF6391">
      <w:pPr>
        <w:spacing w:before="0" w:after="0" w:line="240" w:lineRule="auto"/>
      </w:pPr>
      <w:r>
        <w:separator/>
      </w:r>
    </w:p>
  </w:footnote>
  <w:footnote w:type="continuationSeparator" w:id="0">
    <w:p w:rsidR="00EB25C7" w:rsidRDefault="00EB25C7" w:rsidP="00CF6391">
      <w:pPr>
        <w:spacing w:before="0" w:after="0" w:line="240" w:lineRule="auto"/>
      </w:pPr>
      <w:r>
        <w:continuationSeparator/>
      </w:r>
    </w:p>
  </w:footnote>
  <w:footnote w:id="1">
    <w:p w:rsidR="008D6BBB" w:rsidRPr="008D6BBB" w:rsidRDefault="008D6BBB">
      <w:pPr>
        <w:pStyle w:val="FootnoteText"/>
        <w:rPr>
          <w:sz w:val="20"/>
        </w:rPr>
      </w:pPr>
      <w:r>
        <w:rPr>
          <w:rStyle w:val="FootnoteReference"/>
        </w:rPr>
        <w:footnoteRef/>
      </w:r>
      <w:r>
        <w:t xml:space="preserve"> </w:t>
      </w:r>
      <w:r>
        <w:tab/>
      </w:r>
      <w:r w:rsidRPr="008D6BBB">
        <w:rPr>
          <w:sz w:val="20"/>
        </w:rPr>
        <w:t>The Commission’s Bureau of Investigation and Enforcement (BIE) entered its appearance on August 10,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54061"/>
    <w:rsid w:val="00056A23"/>
    <w:rsid w:val="000D0E94"/>
    <w:rsid w:val="000E3EDE"/>
    <w:rsid w:val="000E5E46"/>
    <w:rsid w:val="001020F5"/>
    <w:rsid w:val="00122716"/>
    <w:rsid w:val="00122EF6"/>
    <w:rsid w:val="00184821"/>
    <w:rsid w:val="001A21B6"/>
    <w:rsid w:val="001A4CC3"/>
    <w:rsid w:val="001B1CBA"/>
    <w:rsid w:val="001D2AF7"/>
    <w:rsid w:val="00207743"/>
    <w:rsid w:val="002114E5"/>
    <w:rsid w:val="00213167"/>
    <w:rsid w:val="002512F9"/>
    <w:rsid w:val="002A5DAA"/>
    <w:rsid w:val="002B6677"/>
    <w:rsid w:val="003117F3"/>
    <w:rsid w:val="003145FA"/>
    <w:rsid w:val="00367A41"/>
    <w:rsid w:val="00393C92"/>
    <w:rsid w:val="003A5C3C"/>
    <w:rsid w:val="003B6898"/>
    <w:rsid w:val="003D756C"/>
    <w:rsid w:val="003F3139"/>
    <w:rsid w:val="003F323C"/>
    <w:rsid w:val="0043267A"/>
    <w:rsid w:val="004343B0"/>
    <w:rsid w:val="0049692C"/>
    <w:rsid w:val="004D523C"/>
    <w:rsid w:val="00516B48"/>
    <w:rsid w:val="0055222E"/>
    <w:rsid w:val="00583925"/>
    <w:rsid w:val="005A0986"/>
    <w:rsid w:val="005A1C17"/>
    <w:rsid w:val="005A2ABA"/>
    <w:rsid w:val="005D180A"/>
    <w:rsid w:val="005E7B69"/>
    <w:rsid w:val="0061775F"/>
    <w:rsid w:val="0063153F"/>
    <w:rsid w:val="00696C0D"/>
    <w:rsid w:val="006B57E9"/>
    <w:rsid w:val="006E6946"/>
    <w:rsid w:val="006F0329"/>
    <w:rsid w:val="00700807"/>
    <w:rsid w:val="00712E58"/>
    <w:rsid w:val="00743183"/>
    <w:rsid w:val="007815BE"/>
    <w:rsid w:val="00792796"/>
    <w:rsid w:val="007D6205"/>
    <w:rsid w:val="007E6779"/>
    <w:rsid w:val="00820B4C"/>
    <w:rsid w:val="008529D2"/>
    <w:rsid w:val="008D6BBB"/>
    <w:rsid w:val="00917DCA"/>
    <w:rsid w:val="00917F08"/>
    <w:rsid w:val="0095697A"/>
    <w:rsid w:val="00987156"/>
    <w:rsid w:val="00A243F4"/>
    <w:rsid w:val="00A47096"/>
    <w:rsid w:val="00A54743"/>
    <w:rsid w:val="00A95ADE"/>
    <w:rsid w:val="00AA2EC5"/>
    <w:rsid w:val="00AA70A8"/>
    <w:rsid w:val="00AB4C73"/>
    <w:rsid w:val="00AC2D0A"/>
    <w:rsid w:val="00AD407C"/>
    <w:rsid w:val="00AE6F47"/>
    <w:rsid w:val="00B034C8"/>
    <w:rsid w:val="00B7660F"/>
    <w:rsid w:val="00B8594D"/>
    <w:rsid w:val="00B91E47"/>
    <w:rsid w:val="00BC6B21"/>
    <w:rsid w:val="00BC6F15"/>
    <w:rsid w:val="00C87E57"/>
    <w:rsid w:val="00CF6391"/>
    <w:rsid w:val="00D02FCC"/>
    <w:rsid w:val="00D25306"/>
    <w:rsid w:val="00D35AB2"/>
    <w:rsid w:val="00D871EF"/>
    <w:rsid w:val="00D959C5"/>
    <w:rsid w:val="00DD59D3"/>
    <w:rsid w:val="00DD5C37"/>
    <w:rsid w:val="00E4239A"/>
    <w:rsid w:val="00EB25C7"/>
    <w:rsid w:val="00EC1CBA"/>
    <w:rsid w:val="00EE7801"/>
    <w:rsid w:val="00F16554"/>
    <w:rsid w:val="00F544E1"/>
    <w:rsid w:val="00F6721D"/>
    <w:rsid w:val="00F679A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5332-7223-402A-9843-32DC9BCA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8</cp:revision>
  <cp:lastPrinted>2017-03-21T12:24:00Z</cp:lastPrinted>
  <dcterms:created xsi:type="dcterms:W3CDTF">2017-03-20T13:33:00Z</dcterms:created>
  <dcterms:modified xsi:type="dcterms:W3CDTF">2017-03-21T12:35:00Z</dcterms:modified>
</cp:coreProperties>
</file>