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23C" w:rsidRPr="00404E19" w:rsidRDefault="003F323C" w:rsidP="00056A23">
      <w:pPr>
        <w:tabs>
          <w:tab w:val="left" w:pos="0"/>
        </w:tabs>
        <w:spacing w:before="0" w:after="0" w:line="240" w:lineRule="auto"/>
        <w:jc w:val="center"/>
        <w:rPr>
          <w:b/>
        </w:rPr>
      </w:pPr>
      <w:r w:rsidRPr="00404E19">
        <w:rPr>
          <w:b/>
        </w:rPr>
        <w:t>BEFORE THE</w:t>
      </w:r>
    </w:p>
    <w:p w:rsidR="003F323C" w:rsidRDefault="003F323C" w:rsidP="00056A23">
      <w:pPr>
        <w:tabs>
          <w:tab w:val="left" w:pos="0"/>
        </w:tabs>
        <w:spacing w:before="0" w:after="0" w:line="240" w:lineRule="auto"/>
        <w:jc w:val="center"/>
        <w:rPr>
          <w:b/>
        </w:rPr>
      </w:pPr>
      <w:smartTag w:uri="urn:schemas-microsoft-com:office:smarttags" w:element="place">
        <w:smartTag w:uri="urn:schemas-microsoft-com:office:smarttags" w:element="State">
          <w:r w:rsidRPr="00404E19">
            <w:rPr>
              <w:b/>
            </w:rPr>
            <w:t>PENNSYLVANIA</w:t>
          </w:r>
        </w:smartTag>
      </w:smartTag>
      <w:r w:rsidRPr="00404E19">
        <w:rPr>
          <w:b/>
        </w:rPr>
        <w:t xml:space="preserve"> PUBLIC UTILITY COMMISSION</w:t>
      </w:r>
    </w:p>
    <w:p w:rsidR="003F323C" w:rsidRPr="00404E19" w:rsidRDefault="003F323C" w:rsidP="00056A23">
      <w:pPr>
        <w:tabs>
          <w:tab w:val="left" w:pos="0"/>
        </w:tabs>
        <w:spacing w:before="0" w:after="0" w:line="240" w:lineRule="auto"/>
        <w:jc w:val="center"/>
        <w:rPr>
          <w:b/>
        </w:rPr>
      </w:pPr>
    </w:p>
    <w:p w:rsidR="003F323C" w:rsidRPr="00404E19" w:rsidRDefault="003F323C" w:rsidP="00056A23">
      <w:pPr>
        <w:tabs>
          <w:tab w:val="left" w:pos="0"/>
        </w:tabs>
        <w:spacing w:before="0" w:after="0" w:line="240" w:lineRule="auto"/>
        <w:jc w:val="both"/>
        <w:rPr>
          <w:b/>
        </w:rPr>
      </w:pPr>
    </w:p>
    <w:p w:rsidR="003F323C" w:rsidRDefault="003F323C" w:rsidP="00056A23">
      <w:pPr>
        <w:tabs>
          <w:tab w:val="left" w:pos="0"/>
          <w:tab w:val="left" w:pos="5040"/>
        </w:tabs>
        <w:spacing w:before="0" w:after="0" w:line="240" w:lineRule="auto"/>
        <w:jc w:val="both"/>
      </w:pPr>
    </w:p>
    <w:p w:rsidR="003F323C" w:rsidRDefault="003F323C" w:rsidP="00056A23">
      <w:pPr>
        <w:tabs>
          <w:tab w:val="left" w:pos="0"/>
          <w:tab w:val="left" w:pos="5040"/>
        </w:tabs>
        <w:spacing w:before="0" w:after="0" w:line="240" w:lineRule="auto"/>
        <w:jc w:val="both"/>
        <w:rPr>
          <w:b/>
        </w:rPr>
      </w:pPr>
      <w:r>
        <w:t xml:space="preserve">Centre Park Historic District, Inc. </w:t>
      </w:r>
      <w:r>
        <w:tab/>
        <w:t>:</w:t>
      </w:r>
    </w:p>
    <w:p w:rsidR="003F323C" w:rsidRPr="00560DC5" w:rsidRDefault="003F323C" w:rsidP="00056A23">
      <w:pPr>
        <w:tabs>
          <w:tab w:val="left" w:pos="0"/>
        </w:tabs>
        <w:spacing w:before="0" w:after="0" w:line="240" w:lineRule="auto"/>
        <w:jc w:val="both"/>
      </w:pPr>
      <w:r>
        <w:rPr>
          <w:b/>
        </w:rPr>
        <w:tab/>
      </w:r>
      <w:r>
        <w:rPr>
          <w:b/>
        </w:rPr>
        <w:tab/>
      </w:r>
      <w:r>
        <w:rPr>
          <w:b/>
        </w:rPr>
        <w:tab/>
      </w:r>
      <w:r>
        <w:rPr>
          <w:b/>
        </w:rPr>
        <w:tab/>
      </w:r>
      <w:r>
        <w:rPr>
          <w:b/>
        </w:rPr>
        <w:tab/>
      </w:r>
      <w:r>
        <w:rPr>
          <w:b/>
        </w:rPr>
        <w:tab/>
      </w:r>
      <w:r w:rsidRPr="00560DC5">
        <w:t>:</w:t>
      </w:r>
    </w:p>
    <w:p w:rsidR="003F323C" w:rsidRPr="003B279A" w:rsidRDefault="003F323C" w:rsidP="00056A23">
      <w:pPr>
        <w:tabs>
          <w:tab w:val="left" w:pos="0"/>
          <w:tab w:val="left" w:pos="720"/>
        </w:tabs>
        <w:spacing w:before="0" w:after="0" w:line="240" w:lineRule="auto"/>
        <w:jc w:val="both"/>
      </w:pPr>
      <w:r>
        <w:tab/>
        <w:t>v.</w:t>
      </w:r>
      <w:r>
        <w:tab/>
      </w:r>
      <w:r>
        <w:tab/>
      </w:r>
      <w:r>
        <w:tab/>
      </w:r>
      <w:r>
        <w:tab/>
      </w:r>
      <w:r>
        <w:tab/>
      </w:r>
      <w:r>
        <w:tab/>
      </w:r>
      <w:r w:rsidRPr="00560DC5">
        <w:t>:</w:t>
      </w:r>
      <w:r>
        <w:rPr>
          <w:b/>
        </w:rPr>
        <w:tab/>
      </w:r>
      <w:r>
        <w:rPr>
          <w:b/>
        </w:rPr>
        <w:tab/>
      </w:r>
      <w:r>
        <w:t>C-2015-2516051</w:t>
      </w:r>
    </w:p>
    <w:p w:rsidR="003F323C" w:rsidRPr="00560DC5" w:rsidRDefault="003F323C" w:rsidP="00056A23">
      <w:pPr>
        <w:tabs>
          <w:tab w:val="left" w:pos="0"/>
        </w:tabs>
        <w:spacing w:before="0" w:after="0" w:line="240" w:lineRule="auto"/>
        <w:jc w:val="both"/>
      </w:pPr>
      <w:r>
        <w:tab/>
      </w:r>
      <w:r>
        <w:tab/>
      </w:r>
      <w:r>
        <w:tab/>
      </w:r>
      <w:r>
        <w:tab/>
      </w:r>
      <w:r>
        <w:tab/>
      </w:r>
      <w:r>
        <w:tab/>
      </w:r>
      <w:r w:rsidRPr="00560DC5">
        <w:t>:</w:t>
      </w:r>
    </w:p>
    <w:p w:rsidR="003F323C" w:rsidRDefault="003F323C" w:rsidP="00056A23">
      <w:pPr>
        <w:tabs>
          <w:tab w:val="left" w:pos="0"/>
        </w:tabs>
        <w:spacing w:before="0" w:after="0" w:line="240" w:lineRule="auto"/>
        <w:jc w:val="both"/>
      </w:pPr>
      <w:r>
        <w:t xml:space="preserve">UGI Utilities, </w:t>
      </w:r>
      <w:r>
        <w:tab/>
        <w:t>Inc. – Gas Division</w:t>
      </w:r>
      <w:r>
        <w:tab/>
      </w:r>
      <w:r>
        <w:tab/>
      </w:r>
      <w:r>
        <w:tab/>
      </w:r>
      <w:r w:rsidRPr="00560DC5">
        <w:t>:</w:t>
      </w:r>
    </w:p>
    <w:p w:rsidR="003F323C" w:rsidRDefault="003F323C" w:rsidP="00056A23">
      <w:pPr>
        <w:tabs>
          <w:tab w:val="left" w:pos="0"/>
        </w:tabs>
        <w:spacing w:before="0" w:after="0" w:line="240" w:lineRule="auto"/>
        <w:jc w:val="both"/>
        <w:rPr>
          <w:b/>
        </w:rPr>
      </w:pPr>
    </w:p>
    <w:p w:rsidR="003F323C" w:rsidRPr="00404E19" w:rsidRDefault="003F323C" w:rsidP="00056A23">
      <w:pPr>
        <w:tabs>
          <w:tab w:val="left" w:pos="0"/>
        </w:tabs>
        <w:spacing w:before="0" w:after="0" w:line="240" w:lineRule="auto"/>
        <w:jc w:val="both"/>
        <w:rPr>
          <w:b/>
        </w:rPr>
      </w:pPr>
    </w:p>
    <w:p w:rsidR="003F323C" w:rsidRPr="00404E19" w:rsidRDefault="003F323C" w:rsidP="00056A23">
      <w:pPr>
        <w:tabs>
          <w:tab w:val="left" w:pos="0"/>
          <w:tab w:val="left" w:pos="5040"/>
        </w:tabs>
        <w:spacing w:before="0" w:after="0" w:line="240" w:lineRule="auto"/>
        <w:jc w:val="both"/>
        <w:rPr>
          <w:b/>
        </w:rPr>
      </w:pPr>
      <w:r>
        <w:t>City of Reading</w:t>
      </w:r>
      <w:r w:rsidRPr="00404E19">
        <w:t xml:space="preserve"> </w:t>
      </w:r>
      <w:r w:rsidRPr="00404E19">
        <w:tab/>
        <w:t>:</w:t>
      </w:r>
    </w:p>
    <w:p w:rsidR="003F323C" w:rsidRPr="00404E19" w:rsidRDefault="003F323C" w:rsidP="00056A23">
      <w:pPr>
        <w:tabs>
          <w:tab w:val="left" w:pos="0"/>
        </w:tabs>
        <w:spacing w:before="0" w:after="0" w:line="240" w:lineRule="auto"/>
        <w:jc w:val="both"/>
      </w:pPr>
      <w:r w:rsidRPr="00404E19">
        <w:rPr>
          <w:b/>
        </w:rPr>
        <w:tab/>
      </w:r>
      <w:r w:rsidRPr="00404E19">
        <w:rPr>
          <w:b/>
        </w:rPr>
        <w:tab/>
      </w:r>
      <w:r w:rsidRPr="00404E19">
        <w:rPr>
          <w:b/>
        </w:rPr>
        <w:tab/>
      </w:r>
      <w:r w:rsidRPr="00404E19">
        <w:rPr>
          <w:b/>
        </w:rPr>
        <w:tab/>
      </w:r>
      <w:r w:rsidRPr="00404E19">
        <w:rPr>
          <w:b/>
        </w:rPr>
        <w:tab/>
      </w:r>
      <w:r w:rsidRPr="00404E19">
        <w:rPr>
          <w:b/>
        </w:rPr>
        <w:tab/>
      </w:r>
      <w:r w:rsidRPr="00404E19">
        <w:t>:</w:t>
      </w:r>
    </w:p>
    <w:p w:rsidR="003F323C" w:rsidRPr="00404E19" w:rsidRDefault="003F323C" w:rsidP="00056A23">
      <w:pPr>
        <w:tabs>
          <w:tab w:val="left" w:pos="0"/>
          <w:tab w:val="left" w:pos="720"/>
        </w:tabs>
        <w:spacing w:before="0" w:after="0" w:line="240" w:lineRule="auto"/>
        <w:jc w:val="both"/>
      </w:pPr>
      <w:r w:rsidRPr="00404E19">
        <w:tab/>
        <w:t>v.</w:t>
      </w:r>
      <w:r w:rsidRPr="00404E19">
        <w:tab/>
      </w:r>
      <w:r w:rsidRPr="00404E19">
        <w:tab/>
      </w:r>
      <w:r w:rsidRPr="00404E19">
        <w:tab/>
      </w:r>
      <w:r w:rsidRPr="00404E19">
        <w:tab/>
      </w:r>
      <w:r w:rsidRPr="00404E19">
        <w:tab/>
      </w:r>
      <w:r w:rsidRPr="00404E19">
        <w:tab/>
        <w:t>:</w:t>
      </w:r>
      <w:r w:rsidRPr="00404E19">
        <w:rPr>
          <w:b/>
        </w:rPr>
        <w:tab/>
      </w:r>
      <w:r w:rsidRPr="00404E19">
        <w:rPr>
          <w:b/>
        </w:rPr>
        <w:tab/>
      </w:r>
      <w:r w:rsidRPr="00404E19">
        <w:t>C-</w:t>
      </w:r>
      <w:r>
        <w:t>2016-2530475</w:t>
      </w:r>
    </w:p>
    <w:p w:rsidR="003F323C" w:rsidRPr="00404E19" w:rsidRDefault="003F323C" w:rsidP="00056A23">
      <w:pPr>
        <w:tabs>
          <w:tab w:val="left" w:pos="0"/>
        </w:tabs>
        <w:spacing w:before="0" w:after="0" w:line="240" w:lineRule="auto"/>
        <w:jc w:val="both"/>
      </w:pPr>
      <w:r w:rsidRPr="00404E19">
        <w:tab/>
      </w:r>
      <w:r w:rsidRPr="00404E19">
        <w:tab/>
      </w:r>
      <w:r w:rsidRPr="00404E19">
        <w:tab/>
      </w:r>
      <w:r w:rsidRPr="00404E19">
        <w:tab/>
      </w:r>
      <w:r w:rsidRPr="00404E19">
        <w:tab/>
      </w:r>
      <w:r w:rsidRPr="00404E19">
        <w:tab/>
        <w:t>:</w:t>
      </w:r>
    </w:p>
    <w:p w:rsidR="003F323C" w:rsidRPr="00404E19" w:rsidRDefault="003F323C" w:rsidP="00056A23">
      <w:pPr>
        <w:tabs>
          <w:tab w:val="left" w:pos="0"/>
        </w:tabs>
        <w:spacing w:before="0" w:after="0" w:line="240" w:lineRule="auto"/>
        <w:jc w:val="both"/>
      </w:pPr>
      <w:r w:rsidRPr="00404E19">
        <w:t xml:space="preserve">UGI Utilities, </w:t>
      </w:r>
      <w:r w:rsidRPr="00404E19">
        <w:tab/>
        <w:t>Inc.</w:t>
      </w:r>
      <w:r>
        <w:tab/>
      </w:r>
      <w:r>
        <w:tab/>
      </w:r>
      <w:r w:rsidRPr="00404E19">
        <w:tab/>
      </w:r>
      <w:r w:rsidRPr="00404E19">
        <w:tab/>
      </w:r>
      <w:r w:rsidRPr="00404E19">
        <w:tab/>
        <w:t>:</w:t>
      </w:r>
    </w:p>
    <w:p w:rsidR="003F323C" w:rsidRPr="00404E19" w:rsidRDefault="003F323C" w:rsidP="00056A23">
      <w:pPr>
        <w:tabs>
          <w:tab w:val="left" w:pos="0"/>
        </w:tabs>
        <w:spacing w:before="0" w:after="0" w:line="240" w:lineRule="auto"/>
        <w:jc w:val="both"/>
      </w:pPr>
    </w:p>
    <w:p w:rsidR="003F323C" w:rsidRDefault="003F323C" w:rsidP="00056A23">
      <w:pPr>
        <w:spacing w:before="0" w:after="0" w:line="240" w:lineRule="auto"/>
      </w:pPr>
    </w:p>
    <w:p w:rsidR="001006B9" w:rsidRDefault="001006B9" w:rsidP="00056A23">
      <w:pPr>
        <w:spacing w:before="0" w:after="0" w:line="240" w:lineRule="auto"/>
      </w:pPr>
    </w:p>
    <w:p w:rsidR="003F323C" w:rsidRPr="00100705" w:rsidRDefault="00100705" w:rsidP="00056A23">
      <w:pPr>
        <w:spacing w:before="0" w:after="0" w:line="240" w:lineRule="auto"/>
        <w:jc w:val="center"/>
        <w:rPr>
          <w:b/>
        </w:rPr>
      </w:pPr>
      <w:r w:rsidRPr="00100705">
        <w:rPr>
          <w:b/>
        </w:rPr>
        <w:t>INTERIM ORDER</w:t>
      </w:r>
    </w:p>
    <w:p w:rsidR="00100705" w:rsidRPr="00B7660F" w:rsidRDefault="00100705" w:rsidP="00056A23">
      <w:pPr>
        <w:spacing w:before="0" w:after="0" w:line="240" w:lineRule="auto"/>
        <w:jc w:val="center"/>
        <w:rPr>
          <w:b/>
          <w:u w:val="single"/>
        </w:rPr>
      </w:pPr>
      <w:r>
        <w:rPr>
          <w:b/>
          <w:u w:val="single"/>
        </w:rPr>
        <w:t>ON MOTION</w:t>
      </w:r>
      <w:r w:rsidR="009B4EC6">
        <w:rPr>
          <w:b/>
          <w:u w:val="single"/>
        </w:rPr>
        <w:t xml:space="preserve"> </w:t>
      </w:r>
      <w:r w:rsidR="001006B9">
        <w:rPr>
          <w:b/>
          <w:u w:val="single"/>
        </w:rPr>
        <w:t>TO</w:t>
      </w:r>
      <w:r w:rsidR="009B4EC6">
        <w:rPr>
          <w:b/>
          <w:u w:val="single"/>
        </w:rPr>
        <w:t xml:space="preserve"> COMPEL</w:t>
      </w:r>
    </w:p>
    <w:p w:rsidR="00D02FCC" w:rsidRDefault="00D02FCC" w:rsidP="00056A23">
      <w:pPr>
        <w:spacing w:before="0" w:after="0" w:line="240" w:lineRule="auto"/>
      </w:pPr>
    </w:p>
    <w:p w:rsidR="00056A23" w:rsidRDefault="00056A23" w:rsidP="00056A23">
      <w:pPr>
        <w:spacing w:before="0" w:after="0" w:line="240" w:lineRule="auto"/>
      </w:pPr>
    </w:p>
    <w:p w:rsidR="009B4EC6" w:rsidRDefault="00D02FCC" w:rsidP="009B4EC6">
      <w:pPr>
        <w:spacing w:before="0" w:after="0"/>
      </w:pPr>
      <w:r>
        <w:tab/>
      </w:r>
      <w:r w:rsidR="009B4EC6">
        <w:t>The</w:t>
      </w:r>
      <w:r w:rsidR="003F323C">
        <w:t xml:space="preserve"> Centre Park Historic District, Inc. (CPHD)</w:t>
      </w:r>
      <w:r w:rsidR="009B4EC6">
        <w:t xml:space="preserve">, and the City of Reading </w:t>
      </w:r>
      <w:r w:rsidR="00614989">
        <w:t xml:space="preserve">(collectively, Complainants) </w:t>
      </w:r>
      <w:r w:rsidR="009B4EC6">
        <w:t xml:space="preserve">have filed </w:t>
      </w:r>
      <w:r w:rsidR="003F323C">
        <w:t>formal complaint</w:t>
      </w:r>
      <w:r w:rsidR="009B4EC6">
        <w:t>s</w:t>
      </w:r>
      <w:r w:rsidR="003F323C">
        <w:t xml:space="preserve"> which alleged that UGI Utilities, Inc. – Gas Division (UGI), violated the Commission’s regulation regarding the placement of meters in historic districts of Reading, Pennsylvania, </w:t>
      </w:r>
      <w:r w:rsidR="009B4EC6">
        <w:t xml:space="preserve">and that the outside placement of  other meters </w:t>
      </w:r>
      <w:r w:rsidR="006F2AD2">
        <w:t xml:space="preserve">are </w:t>
      </w:r>
      <w:r w:rsidR="009B4EC6">
        <w:t>in unsafe locations in other districts of the city.  UGI has denied that any of the meter relocations violate the Public Utility Code or the Commission’s regulation.</w:t>
      </w:r>
      <w:r w:rsidR="009B4EC6">
        <w:rPr>
          <w:rStyle w:val="FootnoteReference"/>
        </w:rPr>
        <w:footnoteReference w:id="2"/>
      </w:r>
    </w:p>
    <w:p w:rsidR="009B4EC6" w:rsidRDefault="009B4EC6" w:rsidP="009B4EC6">
      <w:pPr>
        <w:spacing w:before="0" w:after="0"/>
      </w:pPr>
    </w:p>
    <w:p w:rsidR="001006B9" w:rsidRDefault="009B4EC6" w:rsidP="009B4EC6">
      <w:pPr>
        <w:spacing w:before="0" w:after="0"/>
      </w:pPr>
      <w:r>
        <w:tab/>
      </w:r>
      <w:r w:rsidR="00614989">
        <w:t>On September 8, 2016, the Complainants</w:t>
      </w:r>
      <w:r>
        <w:t xml:space="preserve"> </w:t>
      </w:r>
      <w:r w:rsidR="00614989">
        <w:t xml:space="preserve">filed a motion to compel answers to interrogatories and production of documents.  UGI filed an answer to the motion on </w:t>
      </w:r>
    </w:p>
    <w:p w:rsidR="00583925" w:rsidRDefault="00614989" w:rsidP="009B4EC6">
      <w:pPr>
        <w:spacing w:before="0" w:after="0"/>
      </w:pPr>
      <w:r>
        <w:t>September 13, 2016.</w:t>
      </w:r>
      <w:r>
        <w:rPr>
          <w:rStyle w:val="FootnoteReference"/>
        </w:rPr>
        <w:footnoteReference w:id="3"/>
      </w:r>
      <w:r w:rsidR="00032399">
        <w:t xml:space="preserve"> </w:t>
      </w:r>
    </w:p>
    <w:p w:rsidR="00032399" w:rsidRDefault="00032399" w:rsidP="009B4EC6">
      <w:pPr>
        <w:spacing w:before="0" w:after="0"/>
      </w:pPr>
      <w:r>
        <w:lastRenderedPageBreak/>
        <w:tab/>
      </w:r>
      <w:r w:rsidR="00BA45CD">
        <w:t>On March 8, 2017, UGI also filed a motion to compel answers to interrogatories</w:t>
      </w:r>
      <w:r w:rsidR="008552DB">
        <w:t xml:space="preserve">.  </w:t>
      </w:r>
      <w:r w:rsidR="00BA45CD">
        <w:t>The Complainants filed an answer on March 13, 2017.</w:t>
      </w:r>
    </w:p>
    <w:p w:rsidR="00BA45CD" w:rsidRDefault="00BA45CD" w:rsidP="009B4EC6">
      <w:pPr>
        <w:spacing w:before="0" w:after="0"/>
      </w:pPr>
    </w:p>
    <w:p w:rsidR="00BA45CD" w:rsidRDefault="00BA45CD" w:rsidP="009B4EC6">
      <w:pPr>
        <w:spacing w:before="0" w:after="0"/>
      </w:pPr>
      <w:r>
        <w:tab/>
        <w:t>The parties worked diligently to resolve their discovery disputes.  A prehearing conference was held on March 16, 2017, in order to discuss the unresolved discovery issues, among other things.</w:t>
      </w:r>
      <w:r w:rsidR="009B227C">
        <w:rPr>
          <w:rStyle w:val="FootnoteReference"/>
        </w:rPr>
        <w:footnoteReference w:id="4"/>
      </w:r>
      <w:r>
        <w:t xml:space="preserve">  UGI reported that the Complainants had filed supplemental discovery responses which the Complainants contend w</w:t>
      </w:r>
      <w:r w:rsidR="00BB595C">
        <w:t>ere</w:t>
      </w:r>
      <w:r>
        <w:t xml:space="preserve"> responsive to the matters raised by UGI in its motion to compel.  Accordingly, UGI withdrew its motion to compel while reserving the right to file additional discovery once its review of the Complainant’s supplemental discovery responses w</w:t>
      </w:r>
      <w:r w:rsidR="00BB595C">
        <w:t>ere</w:t>
      </w:r>
      <w:r>
        <w:t xml:space="preserve"> complete.</w:t>
      </w:r>
    </w:p>
    <w:p w:rsidR="00BA45CD" w:rsidRDefault="00BA45CD" w:rsidP="009B4EC6">
      <w:pPr>
        <w:spacing w:before="0" w:after="0"/>
      </w:pPr>
    </w:p>
    <w:p w:rsidR="00BA45CD" w:rsidRDefault="00BA45CD" w:rsidP="009B4EC6">
      <w:pPr>
        <w:spacing w:before="0" w:after="0"/>
      </w:pPr>
      <w:r>
        <w:tab/>
        <w:t xml:space="preserve">Of the Complainant’s outstanding discovery, only two issues remained unresolved.  </w:t>
      </w:r>
      <w:r w:rsidR="009B227C">
        <w:t>This order memorializ</w:t>
      </w:r>
      <w:r w:rsidR="00BB595C">
        <w:t>es</w:t>
      </w:r>
      <w:r w:rsidR="009B227C">
        <w:t xml:space="preserve"> my ruling made at the prehearing conference regarding the provision of a privilege log, and grants the Complainants motion to compel.</w:t>
      </w:r>
    </w:p>
    <w:p w:rsidR="00BA45CD" w:rsidRDefault="00BA45CD" w:rsidP="009B4EC6">
      <w:pPr>
        <w:spacing w:before="0" w:after="0"/>
      </w:pPr>
    </w:p>
    <w:p w:rsidR="00BA45CD" w:rsidRDefault="00BA45CD" w:rsidP="009B4EC6">
      <w:pPr>
        <w:spacing w:before="0" w:after="0"/>
      </w:pPr>
      <w:r w:rsidRPr="00BA45CD">
        <w:rPr>
          <w:u w:val="single"/>
        </w:rPr>
        <w:t>Complainant’s Document Production Request No. 7</w:t>
      </w:r>
      <w:r>
        <w:rPr>
          <w:u w:val="single"/>
        </w:rPr>
        <w:t xml:space="preserve"> </w:t>
      </w:r>
    </w:p>
    <w:p w:rsidR="00BA45CD" w:rsidRDefault="00BA45CD" w:rsidP="009B4EC6">
      <w:pPr>
        <w:spacing w:before="0" w:after="0"/>
      </w:pPr>
      <w:r>
        <w:tab/>
      </w:r>
    </w:p>
    <w:p w:rsidR="00046699" w:rsidRDefault="00046699" w:rsidP="009B4EC6">
      <w:pPr>
        <w:spacing w:before="0" w:after="0"/>
      </w:pPr>
      <w:r>
        <w:tab/>
        <w:t>The Complainants requested production of “all notes, reports, or other documents that were prepared during, or as a result of, any investigation conducted in relation to the Formal Complaint and/or Answer.”  UGI objected to the request on the ground that some of the materials may reveal the mental impressions of UGI’s representatives or attorneys respecting the value or merits of UGI’s claims or defenses.  However, some documents were provided.  The Complainants requested a privilege log for documents which were withheld.  UGI took the position that “privilege logs generally are not provided or used in Commission proceedings.”</w:t>
      </w:r>
      <w:r>
        <w:rPr>
          <w:rStyle w:val="FootnoteReference"/>
        </w:rPr>
        <w:footnoteReference w:id="5"/>
      </w:r>
    </w:p>
    <w:p w:rsidR="007203C7" w:rsidRDefault="00BA45CD" w:rsidP="009B4EC6">
      <w:pPr>
        <w:spacing w:before="0" w:after="0"/>
      </w:pPr>
      <w:r>
        <w:tab/>
      </w:r>
    </w:p>
    <w:p w:rsidR="00046699" w:rsidRDefault="00BA45CD" w:rsidP="00046699">
      <w:pPr>
        <w:spacing w:before="0" w:after="0"/>
      </w:pPr>
      <w:r>
        <w:lastRenderedPageBreak/>
        <w:tab/>
        <w:t xml:space="preserve">The Complainant’s request for a privilege log which inventories the documents which were not produced in response to this request is </w:t>
      </w:r>
      <w:r w:rsidR="009B227C">
        <w:t>neither</w:t>
      </w:r>
      <w:r w:rsidR="00046699">
        <w:t xml:space="preserve"> unusual </w:t>
      </w:r>
      <w:r w:rsidR="009B227C">
        <w:t>n</w:t>
      </w:r>
      <w:r w:rsidR="00046699">
        <w:t>or</w:t>
      </w:r>
      <w:r>
        <w:t xml:space="preserve"> unreasonable.  </w:t>
      </w:r>
      <w:r w:rsidR="00046699">
        <w:t>As directed at the conference, UGI shall produce a privilege log which sets forth the title of any document which was not produced in response to Complainant’s Document Request No. 7; the date it was created; the author of the document; the pages, lines, attachments or appendices which were not produced and the basis for the asserted privilege.</w:t>
      </w:r>
    </w:p>
    <w:p w:rsidR="008552DB" w:rsidRDefault="008552DB" w:rsidP="00046699">
      <w:pPr>
        <w:spacing w:before="0" w:after="0"/>
      </w:pPr>
    </w:p>
    <w:p w:rsidR="00BB7428" w:rsidRPr="00AC2D1B" w:rsidRDefault="00BB7428" w:rsidP="009B4EC6">
      <w:pPr>
        <w:spacing w:before="0" w:after="0"/>
        <w:rPr>
          <w:u w:val="single"/>
        </w:rPr>
      </w:pPr>
      <w:r w:rsidRPr="00AC2D1B">
        <w:rPr>
          <w:u w:val="single"/>
        </w:rPr>
        <w:t>Complainant’s Interrogatory No. 34 and Document Request No. 31</w:t>
      </w:r>
    </w:p>
    <w:p w:rsidR="00BB7428" w:rsidRDefault="00BB7428" w:rsidP="009B4EC6">
      <w:pPr>
        <w:spacing w:before="0" w:after="0"/>
      </w:pPr>
    </w:p>
    <w:p w:rsidR="00BB7428" w:rsidRDefault="00BB7428" w:rsidP="009B4EC6">
      <w:pPr>
        <w:spacing w:before="0" w:after="0"/>
      </w:pPr>
      <w:r>
        <w:tab/>
        <w:t xml:space="preserve">The Complainant’s </w:t>
      </w:r>
      <w:r w:rsidR="00DF3266">
        <w:t>Interrogatory</w:t>
      </w:r>
      <w:r>
        <w:t xml:space="preserve"> No. 34 and Documents Request No. 31, relate to drafts of UGI’s Meter and Regulator Placement Guidelines:</w:t>
      </w:r>
    </w:p>
    <w:p w:rsidR="00BB7428" w:rsidRDefault="00BB7428" w:rsidP="009B4EC6">
      <w:pPr>
        <w:spacing w:before="0" w:after="0"/>
      </w:pPr>
    </w:p>
    <w:p w:rsidR="00BB7428" w:rsidRDefault="00BB7428" w:rsidP="00BB7428">
      <w:pPr>
        <w:spacing w:before="0" w:after="0" w:line="240" w:lineRule="auto"/>
        <w:ind w:left="1440" w:right="1440"/>
      </w:pPr>
      <w:r w:rsidRPr="00535ED6">
        <w:rPr>
          <w:b/>
        </w:rPr>
        <w:t>Interrogatory No. 34</w:t>
      </w:r>
      <w:r>
        <w:t>.</w:t>
      </w:r>
      <w:r w:rsidR="00ED2E0E">
        <w:t xml:space="preserve">  </w:t>
      </w:r>
      <w:r>
        <w:t xml:space="preserve">Describe in detail the procedure UGI followed in </w:t>
      </w:r>
      <w:r w:rsidR="00DF3266">
        <w:t>formulating</w:t>
      </w:r>
      <w:r>
        <w:t xml:space="preserve">, drafting, and adopting the Meter and Regulator Placement Guidelines, including, but not limited to, identifying all individuals who participated in drafting and editing of the guidelines, and the information used to </w:t>
      </w:r>
      <w:r w:rsidR="00DF3266">
        <w:t>produce</w:t>
      </w:r>
      <w:r>
        <w:t xml:space="preserve"> the guidelines.  Please also consider this a request to produce any documents, notes, memoranda, correspondence, writing, </w:t>
      </w:r>
      <w:r w:rsidR="00BB595C">
        <w:t>et</w:t>
      </w:r>
      <w:r>
        <w:t>c</w:t>
      </w:r>
      <w:proofErr w:type="gramStart"/>
      <w:r>
        <w:t xml:space="preserve">. </w:t>
      </w:r>
      <w:proofErr w:type="gramEnd"/>
      <w:r>
        <w:t xml:space="preserve">Related to the same, including but not limited to, the final adopted version of the Meter and Regulator Placement </w:t>
      </w:r>
      <w:r w:rsidR="00DF3266">
        <w:t>Guidelines</w:t>
      </w:r>
      <w:r>
        <w:t xml:space="preserve"> and all drafts.</w:t>
      </w:r>
    </w:p>
    <w:p w:rsidR="00BB7428" w:rsidRDefault="00BB7428" w:rsidP="00BB7428">
      <w:pPr>
        <w:spacing w:before="0" w:after="0" w:line="240" w:lineRule="auto"/>
        <w:ind w:left="1440" w:right="1440"/>
      </w:pPr>
    </w:p>
    <w:p w:rsidR="00BB7428" w:rsidRDefault="00BB7428" w:rsidP="00BB7428">
      <w:pPr>
        <w:spacing w:before="0" w:after="0" w:line="240" w:lineRule="auto"/>
        <w:ind w:left="1440" w:right="1440"/>
      </w:pPr>
      <w:r w:rsidRPr="00535ED6">
        <w:rPr>
          <w:b/>
        </w:rPr>
        <w:t>Request for Production of Documents No. 31.</w:t>
      </w:r>
      <w:r>
        <w:t xml:space="preserve">  The final adopted Meter and Regulator Placement Guidelines and all drafts created prior to adoption.</w:t>
      </w:r>
    </w:p>
    <w:p w:rsidR="00504C01" w:rsidRDefault="00504C01" w:rsidP="00504C01"/>
    <w:p w:rsidR="00BB7428" w:rsidRDefault="00504C01" w:rsidP="00824C44">
      <w:pPr>
        <w:spacing w:before="0" w:after="0"/>
      </w:pPr>
      <w:r>
        <w:tab/>
        <w:t>UGI has provided the Complainants with the final version of the guidelines and a revised final version of the guidelines.  However, UGI objects to producing the drafts because it intends to use</w:t>
      </w:r>
      <w:r w:rsidR="00F00787">
        <w:t xml:space="preserve"> the final versions as hearing exhibits.  In UGI’s view, the drafts are protected by </w:t>
      </w:r>
      <w:r w:rsidR="00AC2D1B">
        <w:t>the Commission’s rule regarding hearing preparation material</w:t>
      </w:r>
      <w:r w:rsidR="005B6F61">
        <w:t xml:space="preserve"> because the guidelines will be presented as an exhibit at hearing.  </w:t>
      </w:r>
    </w:p>
    <w:p w:rsidR="00824C44" w:rsidRDefault="00824C44" w:rsidP="00824C44">
      <w:pPr>
        <w:spacing w:before="0" w:after="0"/>
      </w:pPr>
    </w:p>
    <w:p w:rsidR="00AC2D1B" w:rsidRDefault="00AC2D1B" w:rsidP="008552DB">
      <w:pPr>
        <w:spacing w:before="0" w:after="0"/>
      </w:pPr>
      <w:r>
        <w:tab/>
        <w:t xml:space="preserve">The Commission’s regulation describing discoverable material is very broad.  It permits a propounding party to seek information “regarding any matter, not privileged, which is </w:t>
      </w:r>
      <w:r>
        <w:lastRenderedPageBreak/>
        <w:t>relevant to the subject matter involved in the pending action . . .”</w:t>
      </w:r>
      <w:r>
        <w:rPr>
          <w:rStyle w:val="FootnoteReference"/>
        </w:rPr>
        <w:footnoteReference w:id="6"/>
      </w:r>
      <w:r>
        <w:t xml:space="preserve">  This may include information which, even if not admissible at the hearing, may lead to the discovery of admissible evidence.</w:t>
      </w:r>
      <w:r>
        <w:rPr>
          <w:rStyle w:val="FootnoteReference"/>
        </w:rPr>
        <w:footnoteReference w:id="7"/>
      </w:r>
      <w:r w:rsidR="008552DB">
        <w:t xml:space="preserve">  </w:t>
      </w:r>
      <w:r>
        <w:t>When considering a motion to compel, the burden is on the objector to demonstrate that the information sought is not discoverable.</w:t>
      </w:r>
      <w:r>
        <w:rPr>
          <w:rStyle w:val="FootnoteReference"/>
        </w:rPr>
        <w:footnoteReference w:id="8"/>
      </w:r>
      <w:r>
        <w:t xml:space="preserve">  All doubts are resolved in favor of permitting discovery.</w:t>
      </w:r>
      <w:r>
        <w:rPr>
          <w:rStyle w:val="FootnoteReference"/>
        </w:rPr>
        <w:footnoteReference w:id="9"/>
      </w:r>
    </w:p>
    <w:p w:rsidR="008552DB" w:rsidRDefault="008552DB" w:rsidP="008552DB">
      <w:pPr>
        <w:spacing w:before="0" w:after="0"/>
      </w:pPr>
    </w:p>
    <w:p w:rsidR="005B6F61" w:rsidRDefault="005B6F61" w:rsidP="008552DB">
      <w:pPr>
        <w:spacing w:before="0" w:after="0"/>
      </w:pPr>
      <w:r>
        <w:tab/>
        <w:t>Like the Pennsylvania Rules of Civil Procedure, the Commission’s discovery rules permit the discovery of documents even though they are prepared in preparation of the hearing:</w:t>
      </w:r>
    </w:p>
    <w:p w:rsidR="008552DB" w:rsidRDefault="008552DB" w:rsidP="008552DB">
      <w:pPr>
        <w:spacing w:before="0" w:after="0"/>
      </w:pPr>
    </w:p>
    <w:p w:rsidR="005B6F61" w:rsidRPr="00AC2D1B" w:rsidRDefault="005B6F61" w:rsidP="005B6F61">
      <w:pPr>
        <w:spacing w:line="240" w:lineRule="auto"/>
        <w:ind w:left="1440" w:right="1440"/>
      </w:pPr>
      <w:bookmarkStart w:id="0" w:name="5.323."/>
      <w:r w:rsidRPr="00AC2D1B">
        <w:t>§ 5.323.</w:t>
      </w:r>
      <w:r w:rsidR="008552DB">
        <w:t xml:space="preserve"> </w:t>
      </w:r>
      <w:r w:rsidRPr="00AC2D1B">
        <w:rPr>
          <w:sz w:val="27"/>
          <w:szCs w:val="27"/>
        </w:rPr>
        <w:t> </w:t>
      </w:r>
      <w:r w:rsidRPr="00AC2D1B">
        <w:t>Hearing preparation material.</w:t>
      </w:r>
    </w:p>
    <w:p w:rsidR="005B6F61" w:rsidRDefault="005B6F61" w:rsidP="005B6F61">
      <w:pPr>
        <w:spacing w:line="240" w:lineRule="auto"/>
        <w:ind w:left="1440" w:right="1440"/>
      </w:pPr>
      <w:r w:rsidRPr="00AC2D1B">
        <w:t> (a)  </w:t>
      </w:r>
      <w:r w:rsidRPr="00AC2D1B">
        <w:rPr>
          <w:i/>
          <w:iCs/>
        </w:rPr>
        <w:t>Generally</w:t>
      </w:r>
      <w:r w:rsidR="008552DB" w:rsidRPr="00AC2D1B">
        <w:t xml:space="preserve">.  </w:t>
      </w:r>
      <w:r w:rsidRPr="00AC2D1B">
        <w:t>Subject to this subchapter and consistent with Pa. R.C.P. 4003.3 (relating to scope of discovery trial preparation material generally), a party may obtain discovery of any matter discoverable under §</w:t>
      </w:r>
      <w:r w:rsidR="008552DB" w:rsidRPr="00AC2D1B">
        <w:t> 5.321</w:t>
      </w:r>
      <w:r w:rsidRPr="00AC2D1B">
        <w:t>(b) (relating to scope) even though prepared in anticipation of litigation or hearing by or for another party or by or for that other party’s representative, including his attorney, consultant, surety, indemnitor, insurer or agent</w:t>
      </w:r>
      <w:r w:rsidR="008552DB" w:rsidRPr="00AC2D1B">
        <w:t xml:space="preserve">.  </w:t>
      </w:r>
      <w:r w:rsidRPr="00AC2D1B">
        <w:t>The discovery may not include disclosure of the mental impressions of a party’s attorney or his conclusions, opinions, memoranda, notes, summaries, legal research or legal theories</w:t>
      </w:r>
      <w:r w:rsidR="008552DB" w:rsidRPr="00AC2D1B">
        <w:t xml:space="preserve">.  </w:t>
      </w:r>
      <w:r w:rsidRPr="00AC2D1B">
        <w:t>With respect to the representative of a party other than the party’s attorney, discovery may not include disclosure of his mental impressions, conclusions or opinions respecting the value or merit of a claim or defense or respecting strategy, tactics or preliminary or draft versions of written testimony or exhibits, whether or not final versions of the testimony or exhibits are offered into evidence.</w:t>
      </w:r>
      <w:r>
        <w:rPr>
          <w:rStyle w:val="FootnoteReference"/>
        </w:rPr>
        <w:footnoteReference w:id="10"/>
      </w:r>
      <w:r w:rsidRPr="00AC2D1B">
        <w:t xml:space="preserve"> </w:t>
      </w:r>
    </w:p>
    <w:p w:rsidR="00F9031D" w:rsidRPr="00F9031D" w:rsidRDefault="00F9031D" w:rsidP="005B6F61">
      <w:pPr>
        <w:spacing w:line="240" w:lineRule="auto"/>
        <w:ind w:left="1440" w:right="1440"/>
      </w:pPr>
    </w:p>
    <w:bookmarkEnd w:id="0"/>
    <w:p w:rsidR="00E91846" w:rsidRDefault="00E91846" w:rsidP="008552DB">
      <w:pPr>
        <w:spacing w:before="0" w:after="0"/>
      </w:pPr>
      <w:r>
        <w:tab/>
        <w:t xml:space="preserve">The Complainants assert that the drafts of the meter placement guidelines were prepared in the ordinary course of the UGI’s business and are not hearing preparation materials </w:t>
      </w:r>
      <w:r>
        <w:lastRenderedPageBreak/>
        <w:t>within the meaning of the rule</w:t>
      </w:r>
      <w:r w:rsidR="008552DB">
        <w:t xml:space="preserve">.  </w:t>
      </w:r>
      <w:r>
        <w:t xml:space="preserve">UGI, in contrast, states that the drafts are protected from discovery by the rule because the </w:t>
      </w:r>
      <w:r w:rsidR="002C453F">
        <w:t xml:space="preserve">final </w:t>
      </w:r>
      <w:r>
        <w:t>guidelines will likely be used as hearing exhibits.  The rule provides that “draft version of written testimony or exhibits” are not discoverable</w:t>
      </w:r>
      <w:r w:rsidR="008552DB">
        <w:t xml:space="preserve">.  </w:t>
      </w:r>
      <w:r>
        <w:t>UGI also contends that the drafts are not relevant as to whether UGI violated the Commission’s regulations or orders.</w:t>
      </w:r>
    </w:p>
    <w:p w:rsidR="008552DB" w:rsidRDefault="008552DB" w:rsidP="008552DB">
      <w:pPr>
        <w:spacing w:before="0" w:after="0"/>
      </w:pPr>
    </w:p>
    <w:p w:rsidR="00ED6DD9" w:rsidRDefault="00ED6DD9" w:rsidP="008552DB">
      <w:pPr>
        <w:spacing w:before="0" w:after="0"/>
      </w:pPr>
      <w:r>
        <w:tab/>
      </w:r>
      <w:r w:rsidR="002C453F">
        <w:t xml:space="preserve">UGI’s argument that the drafts are not relevant and should be protected from discovery is not persuasive.  </w:t>
      </w:r>
      <w:r w:rsidR="00D50172">
        <w:t>It</w:t>
      </w:r>
      <w:r>
        <w:t xml:space="preserve"> is important to keep in mind the broad scope of permissible discover</w:t>
      </w:r>
      <w:r w:rsidR="00D50172">
        <w:t xml:space="preserve">y when resolving this dispute.  Admissibility of a document at hearing is not the standard.  Therefore, even if the draft </w:t>
      </w:r>
      <w:r w:rsidR="002C453F">
        <w:t xml:space="preserve">meter </w:t>
      </w:r>
      <w:r w:rsidR="00D50172">
        <w:t xml:space="preserve">placement guidelines are not relevant at </w:t>
      </w:r>
      <w:r w:rsidR="00BB595C">
        <w:t xml:space="preserve">a </w:t>
      </w:r>
      <w:r w:rsidR="00D50172">
        <w:t>hearing to prove what UGI ultimately did in regard to placement of the meters, the draft meter placement guidelines are relevant to the subject</w:t>
      </w:r>
      <w:r w:rsidR="00BB595C">
        <w:t xml:space="preserve"> </w:t>
      </w:r>
      <w:r w:rsidR="00D50172">
        <w:t xml:space="preserve">matter of the dispute and may lead to the discovery of evidence which is admissible at </w:t>
      </w:r>
      <w:r w:rsidR="00BB595C">
        <w:t xml:space="preserve">a </w:t>
      </w:r>
      <w:r w:rsidR="00D50172">
        <w:t>hearing.</w:t>
      </w:r>
    </w:p>
    <w:p w:rsidR="008552DB" w:rsidRDefault="008552DB" w:rsidP="008552DB">
      <w:pPr>
        <w:spacing w:before="0" w:after="0"/>
      </w:pPr>
    </w:p>
    <w:p w:rsidR="002814D4" w:rsidRDefault="002814D4" w:rsidP="008552DB">
      <w:pPr>
        <w:spacing w:before="0" w:after="0"/>
      </w:pPr>
      <w:r>
        <w:tab/>
        <w:t>The next question is whether the draft guidelines are “hearing preparation material.”</w:t>
      </w:r>
      <w:r w:rsidR="0064087F">
        <w:t xml:space="preserve">  I conclude that they are not and are therefore discoverable.  The decisions cited by the parties on their supplemental memoranda and oral argument</w:t>
      </w:r>
      <w:r w:rsidR="00BB595C">
        <w:t>s</w:t>
      </w:r>
      <w:r w:rsidR="0064087F">
        <w:t xml:space="preserve"> are helpful in reaching this conclusion.</w:t>
      </w:r>
    </w:p>
    <w:p w:rsidR="008552DB" w:rsidRDefault="008552DB" w:rsidP="008552DB">
      <w:pPr>
        <w:spacing w:before="0" w:after="0"/>
      </w:pPr>
      <w:bookmarkStart w:id="1" w:name="_GoBack"/>
      <w:bookmarkEnd w:id="1"/>
    </w:p>
    <w:p w:rsidR="00A7289A" w:rsidRDefault="00A7289A" w:rsidP="008552DB">
      <w:pPr>
        <w:spacing w:before="0" w:after="0"/>
      </w:pPr>
      <w:r>
        <w:tab/>
        <w:t xml:space="preserve">Although there are very few Commission decisions interpreting Section 5.323(a) of the Commission’s regulations, the decisions that the parties cite support the view that the rule </w:t>
      </w:r>
      <w:r w:rsidR="002C453F">
        <w:t>must be</w:t>
      </w:r>
      <w:r>
        <w:t xml:space="preserve"> read to liberally permit discovery of hearing preparation material, subject to narrow exceptions which are meant to protect a party or witnesses mental impressions, work product or material subject to attorney-client privilege.</w:t>
      </w:r>
      <w:r>
        <w:rPr>
          <w:rStyle w:val="FootnoteReference"/>
        </w:rPr>
        <w:footnoteReference w:id="11"/>
      </w:r>
      <w:r w:rsidR="008552DB">
        <w:t xml:space="preserve">  </w:t>
      </w:r>
      <w:r w:rsidR="009042B2">
        <w:t xml:space="preserve">In the </w:t>
      </w:r>
      <w:r w:rsidR="00DF3266">
        <w:rPr>
          <w:i/>
        </w:rPr>
        <w:t>Breeze</w:t>
      </w:r>
      <w:r w:rsidR="00DF3266" w:rsidRPr="009042B2">
        <w:rPr>
          <w:i/>
        </w:rPr>
        <w:t>wood</w:t>
      </w:r>
      <w:r w:rsidR="009042B2" w:rsidRPr="009042B2">
        <w:rPr>
          <w:i/>
        </w:rPr>
        <w:t xml:space="preserve"> Telephone</w:t>
      </w:r>
      <w:r w:rsidR="009042B2">
        <w:t xml:space="preserve"> decision the Commission permitted discovery of proposals to consult or testify which were </w:t>
      </w:r>
      <w:r w:rsidR="002C453F">
        <w:t xml:space="preserve">sent by a party to </w:t>
      </w:r>
      <w:r w:rsidR="008552DB">
        <w:t>its</w:t>
      </w:r>
      <w:r w:rsidR="009042B2">
        <w:t xml:space="preserve"> consultants.</w:t>
      </w:r>
      <w:r w:rsidR="002C453F">
        <w:t xml:space="preserve">  The Commission held that the materials were discoverable.</w:t>
      </w:r>
      <w:r w:rsidR="009042B2">
        <w:t xml:space="preserve">  However, the Commission permitted the answer to redact any language which might indicate work product or mental impressions.</w:t>
      </w:r>
      <w:r w:rsidR="009042B2">
        <w:rPr>
          <w:rStyle w:val="FootnoteReference"/>
        </w:rPr>
        <w:footnoteReference w:id="12"/>
      </w:r>
      <w:r w:rsidR="009042B2">
        <w:t xml:space="preserve"> </w:t>
      </w:r>
    </w:p>
    <w:p w:rsidR="0064087F" w:rsidRDefault="0064087F" w:rsidP="00824C44">
      <w:pPr>
        <w:spacing w:before="0" w:after="0"/>
      </w:pPr>
      <w:r>
        <w:lastRenderedPageBreak/>
        <w:tab/>
        <w:t xml:space="preserve">In </w:t>
      </w:r>
      <w:r>
        <w:rPr>
          <w:i/>
        </w:rPr>
        <w:t>Public Utility Commission v. Pennsylvania American Water Co.</w:t>
      </w:r>
      <w:r>
        <w:t>,</w:t>
      </w:r>
      <w:r w:rsidR="002C453F">
        <w:rPr>
          <w:rStyle w:val="FootnoteReference"/>
        </w:rPr>
        <w:footnoteReference w:id="13"/>
      </w:r>
      <w:r>
        <w:t xml:space="preserve"> a recent rate case before the Commission, the presiding ALJs resolved a motion to compel an answer to an interrogatory which requested that the utility provide “budgets or forecasts that indicate when the utility’s next rate case is anticipated. . . .</w:t>
      </w:r>
      <w:r w:rsidR="008552DB">
        <w:t xml:space="preserve">”  </w:t>
      </w:r>
      <w:r>
        <w:t xml:space="preserve">Pennsylvania American objected to the request on the grounds that the answer would reveal the utility’s assessment of the likelihood of the success of a particular litigation position.  OCA, the requestor, countered that budgets and forecasts are prepared </w:t>
      </w:r>
      <w:r w:rsidR="002C453F">
        <w:t xml:space="preserve">in order </w:t>
      </w:r>
      <w:r>
        <w:t>to manage a corporation and not as trial preparation material.  Further, the material may have been relied upon by Pennsylvania American to prepare the rate request under consideration.</w:t>
      </w:r>
      <w:r w:rsidR="00C53E30">
        <w:t xml:space="preserve">  </w:t>
      </w:r>
      <w:r w:rsidR="00820E81">
        <w:t xml:space="preserve">Although the ALJs </w:t>
      </w:r>
      <w:r w:rsidR="001C548C">
        <w:t>did not explicitly analyze whether the requested material was properly characterized as “hearing preparation material” or was prepared as part of the utility’s normal business, t</w:t>
      </w:r>
      <w:r w:rsidR="00C53E30">
        <w:t>he ALJs dismissed the objection and directed the utility to answer the interrogatory.</w:t>
      </w:r>
      <w:r w:rsidR="00C53E30">
        <w:rPr>
          <w:rStyle w:val="FootnoteReference"/>
        </w:rPr>
        <w:footnoteReference w:id="14"/>
      </w:r>
    </w:p>
    <w:p w:rsidR="00824C44" w:rsidRDefault="00824C44" w:rsidP="00824C44">
      <w:pPr>
        <w:spacing w:before="0" w:after="0"/>
      </w:pPr>
    </w:p>
    <w:p w:rsidR="00BA45CD" w:rsidRDefault="00F9031D" w:rsidP="00824C44">
      <w:pPr>
        <w:spacing w:before="0" w:after="0"/>
      </w:pPr>
      <w:r>
        <w:tab/>
        <w:t>I will grant the Complainants’ motion to compel and dismiss UGI’s objections.  The drafts of the meter placement policy are not “hearing preparation material” within the meaning of Section 5.323 and are therefore discoverable.  The mere fact that the policy may have been revised after the commencement of the litigation or that the final policy and revised final policy will be used as an exhibit do not transform the document as one prepared for the purpose of the hearing.</w:t>
      </w:r>
      <w:r w:rsidR="00627DEC">
        <w:rPr>
          <w:rStyle w:val="FootnoteReference"/>
        </w:rPr>
        <w:footnoteReference w:id="15"/>
      </w:r>
      <w:r>
        <w:t xml:space="preserve">  To the extent that the drafts may contain privileged material, the remedy is to redact privileged material and provide </w:t>
      </w:r>
      <w:r w:rsidR="002C453F">
        <w:t xml:space="preserve">the redacted draft along with </w:t>
      </w:r>
      <w:r>
        <w:t>a privilege log as directed in connection to the Complainants’ Interrogatory No. 7.</w:t>
      </w:r>
    </w:p>
    <w:p w:rsidR="00BA45CD" w:rsidRDefault="00BA45CD" w:rsidP="009B4EC6">
      <w:pPr>
        <w:spacing w:before="0" w:after="0"/>
      </w:pPr>
    </w:p>
    <w:p w:rsidR="00C3689B" w:rsidRDefault="00C3689B" w:rsidP="009B4EC6">
      <w:pPr>
        <w:spacing w:before="0" w:after="0"/>
      </w:pPr>
    </w:p>
    <w:p w:rsidR="00C3689B" w:rsidRDefault="00C3689B" w:rsidP="009B4EC6">
      <w:pPr>
        <w:spacing w:before="0" w:after="0"/>
      </w:pPr>
    </w:p>
    <w:p w:rsidR="00C3689B" w:rsidRPr="00BA45CD" w:rsidRDefault="00C3689B" w:rsidP="009B4EC6">
      <w:pPr>
        <w:spacing w:before="0" w:after="0"/>
      </w:pPr>
    </w:p>
    <w:p w:rsidR="00583925" w:rsidRDefault="00056A23" w:rsidP="003F323C">
      <w:pPr>
        <w:spacing w:before="0" w:after="0"/>
      </w:pPr>
      <w:r>
        <w:lastRenderedPageBreak/>
        <w:tab/>
      </w:r>
      <w:r w:rsidR="00583925">
        <w:t>THEREFORE,</w:t>
      </w:r>
    </w:p>
    <w:p w:rsidR="00583925" w:rsidRDefault="00583925" w:rsidP="003F323C">
      <w:pPr>
        <w:spacing w:before="0" w:after="0"/>
      </w:pPr>
    </w:p>
    <w:p w:rsidR="00583925" w:rsidRDefault="00056A23" w:rsidP="003F323C">
      <w:pPr>
        <w:spacing w:before="0" w:after="0"/>
      </w:pPr>
      <w:r>
        <w:tab/>
      </w:r>
      <w:r w:rsidR="00583925">
        <w:t>IT IS ORDERED:</w:t>
      </w:r>
    </w:p>
    <w:p w:rsidR="00583925" w:rsidRDefault="00583925" w:rsidP="003F323C">
      <w:pPr>
        <w:spacing w:before="0" w:after="0"/>
      </w:pPr>
    </w:p>
    <w:p w:rsidR="00D35AB2" w:rsidRDefault="00D067DB" w:rsidP="00D067DB">
      <w:pPr>
        <w:spacing w:before="0" w:after="0"/>
      </w:pPr>
      <w:r>
        <w:tab/>
      </w:r>
      <w:r w:rsidR="00BA45CD">
        <w:t>1.</w:t>
      </w:r>
      <w:r w:rsidR="00BA45CD">
        <w:tab/>
        <w:t xml:space="preserve">That on or before March 27, 2017, </w:t>
      </w:r>
      <w:r>
        <w:t xml:space="preserve">UGI Utilities, Inc. </w:t>
      </w:r>
      <w:r w:rsidR="00BA45CD">
        <w:t>shall produce a privilege log which sets forth the title of any document which was not produced in response to Complainant’s Document Request No. 7; the date it was created; the author of the document; the pages, lines, attachments or appendices which were not produced and the basis for the asserted privilege.</w:t>
      </w:r>
      <w:r w:rsidR="00824C44">
        <w:br/>
      </w:r>
    </w:p>
    <w:p w:rsidR="008654E7" w:rsidRDefault="008654E7" w:rsidP="00D067DB">
      <w:pPr>
        <w:spacing w:before="0" w:after="0"/>
      </w:pPr>
      <w:r>
        <w:tab/>
        <w:t>2.</w:t>
      </w:r>
      <w:r>
        <w:tab/>
      </w:r>
      <w:r w:rsidR="00A32D29">
        <w:t xml:space="preserve">That the objections </w:t>
      </w:r>
      <w:r w:rsidR="003D64E6">
        <w:t>of</w:t>
      </w:r>
      <w:r w:rsidR="00A32D29">
        <w:t xml:space="preserve"> UGI Utilities, Inc. to the Complainants; </w:t>
      </w:r>
      <w:r w:rsidR="00DF3266">
        <w:t>Interrogatory</w:t>
      </w:r>
      <w:r w:rsidR="00A32D29">
        <w:t xml:space="preserve"> No. 34 and Document Request No. 31 is dismissed and the Complainants’ motion to compel is granted.  UGI shall provide full and complete responses </w:t>
      </w:r>
      <w:r w:rsidR="002C453F">
        <w:t xml:space="preserve">consistent with the discussion above </w:t>
      </w:r>
      <w:r w:rsidR="00A32D29">
        <w:t>within ten days of this order.</w:t>
      </w:r>
    </w:p>
    <w:p w:rsidR="00056A23" w:rsidRDefault="00056A23" w:rsidP="003F323C">
      <w:pPr>
        <w:spacing w:before="0" w:after="0"/>
      </w:pPr>
    </w:p>
    <w:p w:rsidR="00056A23" w:rsidRDefault="00056A23" w:rsidP="003F323C">
      <w:pPr>
        <w:spacing w:before="0" w:after="0"/>
      </w:pPr>
    </w:p>
    <w:p w:rsidR="00D871EF" w:rsidRDefault="00D871EF" w:rsidP="00D871EF">
      <w:pPr>
        <w:spacing w:before="0" w:after="0" w:line="276" w:lineRule="auto"/>
      </w:pPr>
    </w:p>
    <w:p w:rsidR="00056A23" w:rsidRDefault="00056A23" w:rsidP="00056A23">
      <w:pPr>
        <w:spacing w:before="0" w:after="0" w:line="240" w:lineRule="auto"/>
      </w:pPr>
      <w:r>
        <w:t xml:space="preserve">Date:  </w:t>
      </w:r>
      <w:r w:rsidR="00C3689B">
        <w:rPr>
          <w:u w:val="single"/>
        </w:rPr>
        <w:t>March 21</w:t>
      </w:r>
      <w:r w:rsidR="003D756C">
        <w:rPr>
          <w:u w:val="single"/>
        </w:rPr>
        <w:t>, 2017</w:t>
      </w:r>
      <w:r>
        <w:tab/>
      </w:r>
      <w:r w:rsidR="00D35AB2">
        <w:tab/>
      </w:r>
      <w:r>
        <w:tab/>
      </w:r>
      <w:r>
        <w:tab/>
        <w:t>__________________________</w:t>
      </w:r>
      <w:r w:rsidR="00C3689B" w:rsidRPr="00C3689B">
        <w:t>________</w:t>
      </w:r>
    </w:p>
    <w:p w:rsidR="00056A23" w:rsidRDefault="00056A23" w:rsidP="00056A23">
      <w:pPr>
        <w:spacing w:before="0" w:after="0" w:line="240" w:lineRule="auto"/>
      </w:pPr>
      <w:r>
        <w:tab/>
      </w:r>
      <w:r>
        <w:tab/>
      </w:r>
      <w:r>
        <w:tab/>
      </w:r>
      <w:r>
        <w:tab/>
      </w:r>
      <w:r>
        <w:tab/>
      </w:r>
      <w:r>
        <w:tab/>
        <w:t>Mary D. Long</w:t>
      </w:r>
    </w:p>
    <w:p w:rsidR="00056A23" w:rsidRDefault="00056A23" w:rsidP="00056A23">
      <w:pPr>
        <w:spacing w:before="0" w:after="0" w:line="240" w:lineRule="auto"/>
      </w:pPr>
      <w:r>
        <w:tab/>
      </w:r>
      <w:r>
        <w:tab/>
      </w:r>
      <w:r>
        <w:tab/>
      </w:r>
      <w:r>
        <w:tab/>
      </w:r>
      <w:r>
        <w:tab/>
      </w:r>
      <w:r>
        <w:tab/>
        <w:t>Administrative Law Judge</w:t>
      </w:r>
    </w:p>
    <w:p w:rsidR="00C3689B" w:rsidRDefault="00C3689B" w:rsidP="00056A23">
      <w:pPr>
        <w:spacing w:before="0" w:after="0" w:line="240" w:lineRule="auto"/>
      </w:pPr>
    </w:p>
    <w:p w:rsidR="00C3689B" w:rsidRDefault="00C3689B">
      <w:pPr>
        <w:tabs>
          <w:tab w:val="clear" w:pos="1440"/>
        </w:tabs>
        <w:spacing w:before="0" w:after="200" w:line="276" w:lineRule="auto"/>
      </w:pPr>
      <w:r>
        <w:br w:type="page"/>
      </w:r>
    </w:p>
    <w:p w:rsidR="00C3689B" w:rsidRDefault="00C3689B" w:rsidP="00056A23">
      <w:pPr>
        <w:spacing w:before="0" w:after="0" w:line="240" w:lineRule="auto"/>
        <w:sectPr w:rsidR="00C3689B" w:rsidSect="00021F4B">
          <w:footerReference w:type="default" r:id="rId9"/>
          <w:pgSz w:w="12240" w:h="15840"/>
          <w:pgMar w:top="1440" w:right="1440" w:bottom="1440" w:left="1440" w:header="720" w:footer="720" w:gutter="0"/>
          <w:cols w:space="720"/>
          <w:titlePg/>
          <w:docGrid w:linePitch="360"/>
        </w:sectPr>
      </w:pP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b/>
          <w:szCs w:val="24"/>
          <w:u w:val="single"/>
        </w:rPr>
      </w:pPr>
      <w:r w:rsidRPr="00C3689B">
        <w:rPr>
          <w:rFonts w:ascii="Microsoft Sans Serif" w:eastAsiaTheme="minorEastAsia" w:hAnsiTheme="minorHAnsi" w:cstheme="minorBidi"/>
          <w:b/>
          <w:szCs w:val="24"/>
          <w:u w:val="single"/>
        </w:rPr>
        <w:lastRenderedPageBreak/>
        <w:t xml:space="preserve">C-2015-2516051 - CENTRE PARK HISTORIC DISTRICT </w:t>
      </w:r>
      <w:proofErr w:type="spellStart"/>
      <w:r w:rsidRPr="00C3689B">
        <w:rPr>
          <w:rFonts w:ascii="Microsoft Sans Serif" w:eastAsiaTheme="minorEastAsia" w:hAnsiTheme="minorHAnsi" w:cstheme="minorBidi"/>
          <w:b/>
          <w:szCs w:val="24"/>
          <w:u w:val="single"/>
        </w:rPr>
        <w:t>INC</w:t>
      </w:r>
      <w:proofErr w:type="spellEnd"/>
      <w:r w:rsidRPr="00C3689B">
        <w:rPr>
          <w:rFonts w:ascii="Microsoft Sans Serif" w:eastAsiaTheme="minorEastAsia" w:hAnsiTheme="minorHAnsi" w:cstheme="minorBidi"/>
          <w:b/>
          <w:szCs w:val="24"/>
          <w:u w:val="single"/>
        </w:rPr>
        <w:t xml:space="preserve"> v. UGI UTILITIES </w:t>
      </w:r>
      <w:proofErr w:type="spellStart"/>
      <w:r w:rsidRPr="00C3689B">
        <w:rPr>
          <w:rFonts w:ascii="Microsoft Sans Serif" w:eastAsiaTheme="minorEastAsia" w:hAnsiTheme="minorHAnsi" w:cstheme="minorBidi"/>
          <w:b/>
          <w:szCs w:val="24"/>
          <w:u w:val="single"/>
        </w:rPr>
        <w:t>INC</w:t>
      </w:r>
      <w:proofErr w:type="spellEnd"/>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b/>
          <w:szCs w:val="24"/>
          <w:u w:val="single"/>
        </w:rPr>
      </w:pP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b/>
          <w:szCs w:val="24"/>
          <w:u w:val="single"/>
        </w:rPr>
      </w:pPr>
      <w:r w:rsidRPr="00C3689B">
        <w:rPr>
          <w:rFonts w:ascii="Microsoft Sans Serif" w:eastAsiaTheme="minorEastAsia" w:hAnsiTheme="minorHAnsi" w:cstheme="minorBidi"/>
          <w:b/>
          <w:szCs w:val="22"/>
          <w:u w:val="single"/>
        </w:rPr>
        <w:t>C-2016-</w:t>
      </w:r>
      <w:proofErr w:type="gramStart"/>
      <w:r w:rsidRPr="00C3689B">
        <w:rPr>
          <w:rFonts w:ascii="Microsoft Sans Serif" w:eastAsiaTheme="minorEastAsia" w:hAnsiTheme="minorHAnsi" w:cstheme="minorBidi"/>
          <w:b/>
          <w:szCs w:val="22"/>
          <w:u w:val="single"/>
        </w:rPr>
        <w:t>2530475  -</w:t>
      </w:r>
      <w:proofErr w:type="gramEnd"/>
      <w:r w:rsidRPr="00C3689B">
        <w:rPr>
          <w:rFonts w:ascii="Microsoft Sans Serif" w:eastAsiaTheme="minorEastAsia" w:hAnsiTheme="minorHAnsi" w:cstheme="minorBidi"/>
          <w:b/>
          <w:szCs w:val="22"/>
          <w:u w:val="single"/>
        </w:rPr>
        <w:t xml:space="preserve"> CITY OF READING v. UGI UTILITIES, INC.</w:t>
      </w:r>
      <w:r w:rsidRPr="00C3689B">
        <w:rPr>
          <w:rFonts w:ascii="Microsoft Sans Serif" w:eastAsiaTheme="minorEastAsia" w:hAnsiTheme="minorHAnsi" w:cstheme="minorBidi"/>
          <w:b/>
          <w:szCs w:val="22"/>
          <w:u w:val="single"/>
        </w:rPr>
        <w:cr/>
      </w: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i/>
          <w:szCs w:val="24"/>
          <w:u w:val="single"/>
        </w:rPr>
      </w:pPr>
      <w:r w:rsidRPr="00C3689B">
        <w:rPr>
          <w:rFonts w:ascii="Microsoft Sans Serif" w:eastAsiaTheme="minorEastAsia" w:hAnsiTheme="minorHAnsi" w:cstheme="minorBidi"/>
          <w:i/>
          <w:szCs w:val="24"/>
          <w:u w:val="single"/>
        </w:rPr>
        <w:t>Revised 3/20/17</w:t>
      </w: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szCs w:val="24"/>
        </w:rPr>
      </w:pP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szCs w:val="24"/>
        </w:rPr>
        <w:sectPr w:rsidR="00C3689B" w:rsidRPr="00C3689B" w:rsidSect="0022482F">
          <w:footerReference w:type="default" r:id="rId10"/>
          <w:type w:val="continuous"/>
          <w:pgSz w:w="12240" w:h="15840"/>
          <w:pgMar w:top="720" w:right="720" w:bottom="720" w:left="720" w:header="720" w:footer="720" w:gutter="0"/>
          <w:cols w:space="720"/>
          <w:docGrid w:linePitch="360"/>
        </w:sectPr>
      </w:pPr>
    </w:p>
    <w:p w:rsidR="00C3689B" w:rsidRPr="00C3689B" w:rsidRDefault="00C3689B" w:rsidP="00C3689B">
      <w:pPr>
        <w:tabs>
          <w:tab w:val="clear" w:pos="1440"/>
        </w:tabs>
        <w:spacing w:before="0" w:after="0" w:line="240"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lastRenderedPageBreak/>
        <w:t>MARK C MORROW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DANIELLE </w:t>
      </w:r>
      <w:proofErr w:type="spellStart"/>
      <w:r w:rsidRPr="00C3689B">
        <w:rPr>
          <w:rFonts w:ascii="Microsoft Sans Serif" w:eastAsiaTheme="minorEastAsia" w:hAnsiTheme="minorHAnsi" w:cstheme="minorBidi"/>
          <w:szCs w:val="24"/>
        </w:rPr>
        <w:t>JOUENNE</w:t>
      </w:r>
      <w:proofErr w:type="spellEnd"/>
      <w:r w:rsidRPr="00C3689B">
        <w:rPr>
          <w:rFonts w:ascii="Microsoft Sans Serif" w:eastAsiaTheme="minorEastAsia" w:hAnsiTheme="minorHAnsi" w:cstheme="minorBidi"/>
          <w:szCs w:val="24"/>
        </w:rPr>
        <w:t xml:space="preserve">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UGI UTILITIES </w:t>
      </w:r>
      <w:proofErr w:type="spellStart"/>
      <w:r w:rsidRPr="00C3689B">
        <w:rPr>
          <w:rFonts w:ascii="Microsoft Sans Serif" w:eastAsiaTheme="minorEastAsia" w:hAnsiTheme="minorHAnsi" w:cstheme="minorBidi"/>
          <w:szCs w:val="24"/>
        </w:rPr>
        <w:t>INC</w:t>
      </w:r>
      <w:proofErr w:type="spellEnd"/>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460 NORTH </w:t>
      </w:r>
      <w:proofErr w:type="spellStart"/>
      <w:r w:rsidRPr="00C3689B">
        <w:rPr>
          <w:rFonts w:ascii="Microsoft Sans Serif" w:eastAsiaTheme="minorEastAsia" w:hAnsiTheme="minorHAnsi" w:cstheme="minorBidi"/>
          <w:szCs w:val="24"/>
        </w:rPr>
        <w:t>GULPH</w:t>
      </w:r>
      <w:proofErr w:type="spellEnd"/>
      <w:r w:rsidRPr="00C3689B">
        <w:rPr>
          <w:rFonts w:ascii="Microsoft Sans Serif" w:eastAsiaTheme="minorEastAsia" w:hAnsiTheme="minorHAnsi" w:cstheme="minorBidi"/>
          <w:szCs w:val="24"/>
        </w:rPr>
        <w:t xml:space="preserve"> ROAD</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KING OF PRUSSIA PA 19406-2807</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b/>
          <w:szCs w:val="24"/>
        </w:rPr>
      </w:pPr>
      <w:r w:rsidRPr="00C3689B">
        <w:rPr>
          <w:rFonts w:ascii="Microsoft Sans Serif" w:eastAsiaTheme="minorEastAsia" w:hAnsiTheme="minorHAnsi" w:cstheme="minorBidi"/>
          <w:b/>
          <w:szCs w:val="24"/>
        </w:rPr>
        <w:t>610.768.3628</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b/>
          <w:szCs w:val="24"/>
        </w:rPr>
      </w:pPr>
      <w:r w:rsidRPr="00C3689B">
        <w:rPr>
          <w:rFonts w:ascii="Microsoft Sans Serif" w:eastAsiaTheme="minorEastAsia" w:hAnsiTheme="minorHAnsi" w:cstheme="minorBidi"/>
          <w:b/>
          <w:szCs w:val="24"/>
        </w:rPr>
        <w:t>610.992.3203</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r w:rsidRPr="00C3689B">
        <w:rPr>
          <w:rFonts w:ascii="Microsoft Sans Serif" w:eastAsiaTheme="minorEastAsia" w:hAnsiTheme="minorHAnsi" w:cstheme="minorBidi"/>
          <w:i/>
          <w:szCs w:val="24"/>
        </w:rPr>
        <w:t>Accepts E-service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r w:rsidRPr="00C3689B">
        <w:rPr>
          <w:rFonts w:ascii="Microsoft Sans Serif" w:eastAsiaTheme="minorEastAsia" w:hAnsiTheme="minorHAnsi" w:cstheme="minorBidi"/>
          <w:i/>
          <w:szCs w:val="24"/>
        </w:rPr>
        <w:t xml:space="preserve">Representing UGI Utilities, Inc. </w:t>
      </w:r>
      <w:r w:rsidRPr="00C3689B">
        <w:rPr>
          <w:rFonts w:ascii="Microsoft Sans Serif" w:eastAsiaTheme="minorEastAsia" w:hAnsiTheme="minorHAnsi" w:cstheme="minorBidi"/>
          <w:i/>
          <w:szCs w:val="24"/>
        </w:rPr>
        <w:t>–</w:t>
      </w:r>
      <w:r w:rsidRPr="00C3689B">
        <w:rPr>
          <w:rFonts w:ascii="Microsoft Sans Serif" w:eastAsiaTheme="minorEastAsia" w:hAnsiTheme="minorHAnsi" w:cstheme="minorBidi"/>
          <w:i/>
          <w:szCs w:val="24"/>
        </w:rPr>
        <w:t xml:space="preserve"> Gas Division</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MICHAEL J SAVONA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*MICHAEL E PETERS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ZACHARY A </w:t>
      </w:r>
      <w:proofErr w:type="spellStart"/>
      <w:r w:rsidRPr="00C3689B">
        <w:rPr>
          <w:rFonts w:ascii="Microsoft Sans Serif" w:eastAsiaTheme="minorEastAsia" w:hAnsiTheme="minorHAnsi" w:cstheme="minorBidi"/>
          <w:szCs w:val="24"/>
        </w:rPr>
        <w:t>SIVERTSEN</w:t>
      </w:r>
      <w:proofErr w:type="spellEnd"/>
      <w:r w:rsidRPr="00C3689B">
        <w:rPr>
          <w:rFonts w:ascii="Microsoft Sans Serif" w:eastAsiaTheme="minorEastAsia" w:hAnsiTheme="minorHAnsi" w:cstheme="minorBidi"/>
          <w:szCs w:val="24"/>
        </w:rPr>
        <w:t xml:space="preserve">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MICHAEL T PIDGEON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proofErr w:type="spellStart"/>
      <w:r w:rsidRPr="00C3689B">
        <w:rPr>
          <w:rFonts w:ascii="Microsoft Sans Serif" w:eastAsiaTheme="minorEastAsia" w:hAnsiTheme="minorHAnsi" w:cstheme="minorBidi"/>
          <w:szCs w:val="24"/>
        </w:rPr>
        <w:t>EASTBURN</w:t>
      </w:r>
      <w:proofErr w:type="spellEnd"/>
      <w:r w:rsidRPr="00C3689B">
        <w:rPr>
          <w:rFonts w:ascii="Microsoft Sans Serif" w:eastAsiaTheme="minorEastAsia" w:hAnsiTheme="minorHAnsi" w:cstheme="minorBidi"/>
          <w:szCs w:val="24"/>
        </w:rPr>
        <w:t xml:space="preserve"> AND GRAY PC</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60 EAST COURT </w:t>
      </w:r>
      <w:proofErr w:type="gramStart"/>
      <w:r w:rsidRPr="00C3689B">
        <w:rPr>
          <w:rFonts w:ascii="Microsoft Sans Serif" w:eastAsiaTheme="minorEastAsia" w:hAnsiTheme="minorHAnsi" w:cstheme="minorBidi"/>
          <w:szCs w:val="24"/>
        </w:rPr>
        <w:t>STREET</w:t>
      </w:r>
      <w:proofErr w:type="gramEnd"/>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PO BOX 1389</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DOYLESTOWN PA 18901</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b/>
          <w:szCs w:val="24"/>
        </w:rPr>
      </w:pPr>
      <w:r w:rsidRPr="00C3689B">
        <w:rPr>
          <w:rFonts w:ascii="Microsoft Sans Serif" w:eastAsiaTheme="minorEastAsia" w:hAnsiTheme="minorHAnsi" w:cstheme="minorBidi"/>
          <w:b/>
          <w:szCs w:val="24"/>
        </w:rPr>
        <w:t>215.345.7000</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r w:rsidRPr="00C3689B">
        <w:rPr>
          <w:rFonts w:ascii="Microsoft Sans Serif" w:eastAsiaTheme="minorEastAsia" w:hAnsiTheme="minorHAnsi" w:cstheme="minorBidi"/>
          <w:szCs w:val="24"/>
        </w:rPr>
        <w:t>*</w:t>
      </w:r>
      <w:r w:rsidRPr="00C3689B">
        <w:rPr>
          <w:rFonts w:ascii="Microsoft Sans Serif" w:eastAsiaTheme="minorEastAsia" w:hAnsiTheme="minorHAnsi" w:cstheme="minorBidi"/>
          <w:i/>
          <w:szCs w:val="24"/>
        </w:rPr>
        <w:t>Accepts E-service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r w:rsidRPr="00C3689B">
        <w:rPr>
          <w:rFonts w:ascii="Microsoft Sans Serif" w:eastAsiaTheme="minorEastAsia" w:hAnsiTheme="minorHAnsi" w:cstheme="minorBidi"/>
          <w:i/>
          <w:szCs w:val="24"/>
        </w:rPr>
        <w:t>Representing Centre Park Historic District, Inc.</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DAVID B MACGREGOR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POST &amp; SHELL PC</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FOUR PENN CENTER</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1600 JOHN F KENNEDY BOULEVARD</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PHILADELPHIA PA 19103-2808</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b/>
          <w:szCs w:val="24"/>
        </w:rPr>
      </w:pPr>
      <w:r w:rsidRPr="00C3689B">
        <w:rPr>
          <w:rFonts w:ascii="Microsoft Sans Serif" w:eastAsiaTheme="minorEastAsia" w:hAnsiTheme="minorHAnsi" w:cstheme="minorBidi"/>
          <w:b/>
          <w:szCs w:val="24"/>
        </w:rPr>
        <w:t>215.587.1197</w:t>
      </w:r>
    </w:p>
    <w:p w:rsidR="00C3689B" w:rsidRPr="00C3689B" w:rsidRDefault="00C3689B" w:rsidP="00C3689B">
      <w:pPr>
        <w:tabs>
          <w:tab w:val="clear" w:pos="1440"/>
        </w:tabs>
        <w:spacing w:before="0" w:after="0" w:line="276" w:lineRule="auto"/>
        <w:contextualSpacing/>
        <w:rPr>
          <w:rFonts w:asciiTheme="minorHAnsi" w:eastAsiaTheme="minorEastAsia" w:hAnsiTheme="minorHAnsi" w:cstheme="minorBidi"/>
          <w:sz w:val="22"/>
          <w:szCs w:val="22"/>
        </w:rPr>
      </w:pPr>
      <w:r w:rsidRPr="00C3689B">
        <w:rPr>
          <w:rFonts w:ascii="Microsoft Sans Serif" w:eastAsiaTheme="minorEastAsia" w:hAnsiTheme="minorHAnsi" w:cstheme="minorBidi"/>
          <w:i/>
          <w:szCs w:val="24"/>
        </w:rPr>
        <w:t>Representing UGI Utilities, Inc.</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DEVIN T RYAN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CHRISTOPHER T WRIGHT ESQUIRE</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POST &amp; SHELL PC</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 xml:space="preserve">17 NORTH SECOND </w:t>
      </w:r>
      <w:proofErr w:type="gramStart"/>
      <w:r w:rsidRPr="00C3689B">
        <w:rPr>
          <w:rFonts w:ascii="Microsoft Sans Serif" w:eastAsiaTheme="minorEastAsia" w:hAnsiTheme="minorHAnsi" w:cstheme="minorBidi"/>
          <w:szCs w:val="24"/>
        </w:rPr>
        <w:t>STREET</w:t>
      </w:r>
      <w:proofErr w:type="gramEnd"/>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12</w:t>
      </w:r>
      <w:r w:rsidRPr="00C3689B">
        <w:rPr>
          <w:rFonts w:ascii="Microsoft Sans Serif" w:eastAsiaTheme="minorEastAsia" w:hAnsiTheme="minorHAnsi" w:cstheme="minorBidi"/>
          <w:szCs w:val="24"/>
          <w:vertAlign w:val="superscript"/>
        </w:rPr>
        <w:t>TH</w:t>
      </w:r>
      <w:r w:rsidRPr="00C3689B">
        <w:rPr>
          <w:rFonts w:ascii="Microsoft Sans Serif" w:eastAsiaTheme="minorEastAsia" w:hAnsiTheme="minorHAnsi" w:cstheme="minorBidi"/>
          <w:szCs w:val="24"/>
        </w:rPr>
        <w:t xml:space="preserve"> FLOOR</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szCs w:val="24"/>
        </w:rPr>
      </w:pPr>
      <w:r w:rsidRPr="00C3689B">
        <w:rPr>
          <w:rFonts w:ascii="Microsoft Sans Serif" w:eastAsiaTheme="minorEastAsia" w:hAnsiTheme="minorHAnsi" w:cstheme="minorBidi"/>
          <w:szCs w:val="24"/>
        </w:rPr>
        <w:t>HARRISBURG PA 17101-1601</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b/>
          <w:szCs w:val="24"/>
        </w:rPr>
      </w:pPr>
      <w:r w:rsidRPr="00C3689B">
        <w:rPr>
          <w:rFonts w:ascii="Microsoft Sans Serif" w:eastAsiaTheme="minorEastAsia" w:hAnsiTheme="minorHAnsi" w:cstheme="minorBidi"/>
          <w:b/>
          <w:szCs w:val="24"/>
        </w:rPr>
        <w:t>717.731.1970</w:t>
      </w:r>
    </w:p>
    <w:p w:rsidR="00C3689B" w:rsidRPr="00C3689B" w:rsidRDefault="00C3689B" w:rsidP="00C3689B">
      <w:pPr>
        <w:tabs>
          <w:tab w:val="clear" w:pos="1440"/>
        </w:tabs>
        <w:spacing w:before="0" w:after="0" w:line="276" w:lineRule="auto"/>
        <w:contextualSpacing/>
        <w:rPr>
          <w:rFonts w:ascii="Microsoft Sans Serif" w:eastAsiaTheme="minorEastAsia" w:hAnsiTheme="minorHAnsi" w:cstheme="minorBidi"/>
          <w:i/>
          <w:szCs w:val="24"/>
        </w:rPr>
      </w:pPr>
      <w:r w:rsidRPr="00C3689B">
        <w:rPr>
          <w:rFonts w:ascii="Microsoft Sans Serif" w:eastAsiaTheme="minorEastAsia" w:hAnsiTheme="minorHAnsi" w:cstheme="minorBidi"/>
          <w:i/>
          <w:szCs w:val="24"/>
        </w:rPr>
        <w:t>Accepts E-service</w:t>
      </w:r>
    </w:p>
    <w:p w:rsidR="00C3689B" w:rsidRPr="00C3689B" w:rsidRDefault="00C3689B" w:rsidP="00C3689B">
      <w:pPr>
        <w:tabs>
          <w:tab w:val="clear" w:pos="1440"/>
        </w:tabs>
        <w:spacing w:before="0" w:after="0" w:line="276" w:lineRule="auto"/>
        <w:contextualSpacing/>
        <w:rPr>
          <w:rFonts w:asciiTheme="minorHAnsi" w:eastAsiaTheme="minorEastAsia" w:hAnsiTheme="minorHAnsi" w:cstheme="minorBidi"/>
          <w:sz w:val="22"/>
          <w:szCs w:val="22"/>
        </w:rPr>
      </w:pPr>
      <w:r w:rsidRPr="00C3689B">
        <w:rPr>
          <w:rFonts w:ascii="Microsoft Sans Serif" w:eastAsiaTheme="minorEastAsia" w:hAnsiTheme="minorHAnsi" w:cstheme="minorBidi"/>
          <w:i/>
          <w:szCs w:val="24"/>
        </w:rPr>
        <w:t>Representing UGI Utilities, Inc.</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szCs w:val="24"/>
        </w:rPr>
      </w:pPr>
      <w:r w:rsidRPr="00C3689B">
        <w:rPr>
          <w:rFonts w:ascii="Microsoft Sans Serif" w:eastAsiaTheme="minorEastAsia" w:hAnsi="Microsoft Sans Serif" w:cs="Microsoft Sans Serif"/>
          <w:szCs w:val="24"/>
        </w:rPr>
        <w:lastRenderedPageBreak/>
        <w:t>ADAM D YOUNG ESQUIRE</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szCs w:val="24"/>
        </w:rPr>
      </w:pPr>
      <w:r w:rsidRPr="00C3689B">
        <w:rPr>
          <w:rFonts w:ascii="Microsoft Sans Serif" w:eastAsiaTheme="minorEastAsia" w:hAnsi="Microsoft Sans Serif" w:cs="Microsoft Sans Serif"/>
          <w:szCs w:val="24"/>
        </w:rPr>
        <w:t xml:space="preserve">PENNSYLVANIA PUBLIC UTILITY COMMISSION </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szCs w:val="24"/>
        </w:rPr>
      </w:pPr>
      <w:r w:rsidRPr="00C3689B">
        <w:rPr>
          <w:rFonts w:ascii="Microsoft Sans Serif" w:eastAsiaTheme="minorEastAsia" w:hAnsi="Microsoft Sans Serif" w:cs="Microsoft Sans Serif"/>
          <w:szCs w:val="24"/>
        </w:rPr>
        <w:t>BUREAU OF INVESTIGATION AND ENFORCEMENT</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szCs w:val="24"/>
        </w:rPr>
      </w:pPr>
      <w:r w:rsidRPr="00C3689B">
        <w:rPr>
          <w:rFonts w:ascii="Microsoft Sans Serif" w:eastAsiaTheme="minorEastAsia" w:hAnsi="Microsoft Sans Serif" w:cs="Microsoft Sans Serif"/>
          <w:szCs w:val="24"/>
        </w:rPr>
        <w:t>PO BOX 3265</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szCs w:val="24"/>
        </w:rPr>
      </w:pPr>
      <w:r w:rsidRPr="00C3689B">
        <w:rPr>
          <w:rFonts w:ascii="Microsoft Sans Serif" w:eastAsiaTheme="minorEastAsia" w:hAnsi="Microsoft Sans Serif" w:cs="Microsoft Sans Serif"/>
          <w:szCs w:val="24"/>
        </w:rPr>
        <w:t>HARRISBURG PA 17105-3265</w:t>
      </w:r>
    </w:p>
    <w:p w:rsidR="00C3689B" w:rsidRPr="00C3689B" w:rsidRDefault="00C3689B" w:rsidP="00C3689B">
      <w:pPr>
        <w:tabs>
          <w:tab w:val="clear" w:pos="1440"/>
        </w:tabs>
        <w:spacing w:before="0" w:after="0" w:line="240" w:lineRule="auto"/>
        <w:rPr>
          <w:rFonts w:ascii="Microsoft Sans Serif" w:eastAsiaTheme="minorEastAsia" w:hAnsi="Microsoft Sans Serif" w:cs="Microsoft Sans Serif"/>
          <w:b/>
          <w:szCs w:val="24"/>
        </w:rPr>
      </w:pPr>
      <w:r w:rsidRPr="00C3689B">
        <w:rPr>
          <w:rFonts w:ascii="Microsoft Sans Serif" w:eastAsiaTheme="minorEastAsia" w:hAnsi="Microsoft Sans Serif" w:cs="Microsoft Sans Serif"/>
          <w:b/>
          <w:szCs w:val="24"/>
        </w:rPr>
        <w:t>717-787-5000</w:t>
      </w:r>
    </w:p>
    <w:p w:rsidR="00C3689B" w:rsidRPr="00C3689B" w:rsidRDefault="00C3689B" w:rsidP="00C3689B">
      <w:pPr>
        <w:tabs>
          <w:tab w:val="clear" w:pos="1440"/>
        </w:tabs>
        <w:spacing w:before="0" w:after="200" w:line="276" w:lineRule="auto"/>
        <w:rPr>
          <w:rFonts w:ascii="Microsoft Sans Serif" w:eastAsiaTheme="minorEastAsia" w:hAnsi="Microsoft Sans Serif" w:cs="Microsoft Sans Serif"/>
          <w:i/>
          <w:szCs w:val="24"/>
        </w:rPr>
      </w:pPr>
      <w:r w:rsidRPr="00C3689B">
        <w:rPr>
          <w:rFonts w:ascii="Microsoft Sans Serif" w:eastAsiaTheme="minorEastAsia" w:hAnsi="Microsoft Sans Serif" w:cs="Microsoft Sans Serif"/>
          <w:i/>
          <w:szCs w:val="24"/>
        </w:rPr>
        <w:t>Accepts E-service</w:t>
      </w:r>
    </w:p>
    <w:p w:rsidR="00C3689B" w:rsidRPr="00C3689B" w:rsidRDefault="00C3689B" w:rsidP="00C3689B">
      <w:pPr>
        <w:tabs>
          <w:tab w:val="clear" w:pos="1440"/>
        </w:tabs>
        <w:spacing w:before="0" w:after="200" w:line="276" w:lineRule="auto"/>
        <w:rPr>
          <w:rFonts w:ascii="Microsoft Sans Serif" w:eastAsiaTheme="minorEastAsia" w:hAnsi="Microsoft Sans Serif" w:cs="Microsoft Sans Serif"/>
          <w:szCs w:val="24"/>
        </w:rPr>
      </w:pPr>
    </w:p>
    <w:p w:rsidR="00C3689B" w:rsidRDefault="00C3689B" w:rsidP="00056A23">
      <w:pPr>
        <w:spacing w:before="0" w:after="0" w:line="240" w:lineRule="auto"/>
      </w:pPr>
    </w:p>
    <w:sectPr w:rsidR="00C3689B" w:rsidSect="0022482F">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D79" w:rsidRDefault="00257D79" w:rsidP="00CF6391">
      <w:pPr>
        <w:spacing w:before="0" w:after="0" w:line="240" w:lineRule="auto"/>
      </w:pPr>
      <w:r>
        <w:separator/>
      </w:r>
    </w:p>
  </w:endnote>
  <w:endnote w:type="continuationSeparator" w:id="0">
    <w:p w:rsidR="00257D79" w:rsidRDefault="00257D79" w:rsidP="00CF639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73020"/>
      <w:docPartObj>
        <w:docPartGallery w:val="Page Numbers (Bottom of Page)"/>
        <w:docPartUnique/>
      </w:docPartObj>
    </w:sdtPr>
    <w:sdtEndPr>
      <w:rPr>
        <w:noProof/>
        <w:sz w:val="20"/>
      </w:rPr>
    </w:sdtEndPr>
    <w:sdtContent>
      <w:p w:rsidR="00C3689B" w:rsidRPr="00C3689B" w:rsidRDefault="00C3689B">
        <w:pPr>
          <w:pStyle w:val="Footer"/>
          <w:jc w:val="center"/>
          <w:rPr>
            <w:sz w:val="20"/>
          </w:rPr>
        </w:pPr>
        <w:r w:rsidRPr="00C3689B">
          <w:rPr>
            <w:sz w:val="20"/>
          </w:rPr>
          <w:fldChar w:fldCharType="begin"/>
        </w:r>
        <w:r w:rsidRPr="00C3689B">
          <w:rPr>
            <w:sz w:val="20"/>
          </w:rPr>
          <w:instrText xml:space="preserve"> PAGE   \* MERGEFORMAT </w:instrText>
        </w:r>
        <w:r w:rsidRPr="00C3689B">
          <w:rPr>
            <w:sz w:val="20"/>
          </w:rPr>
          <w:fldChar w:fldCharType="separate"/>
        </w:r>
        <w:r w:rsidR="00BB595C">
          <w:rPr>
            <w:noProof/>
            <w:sz w:val="20"/>
          </w:rPr>
          <w:t>2</w:t>
        </w:r>
        <w:r w:rsidRPr="00C3689B">
          <w:rPr>
            <w:noProof/>
            <w:sz w:val="20"/>
          </w:rPr>
          <w:fldChar w:fldCharType="end"/>
        </w:r>
      </w:p>
    </w:sdtContent>
  </w:sdt>
  <w:p w:rsidR="00C3689B" w:rsidRDefault="00C368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89B" w:rsidRPr="00C3689B" w:rsidRDefault="00C3689B">
    <w:pPr>
      <w:pStyle w:val="Footer"/>
      <w:jc w:val="center"/>
      <w:rPr>
        <w:sz w:val="20"/>
      </w:rPr>
    </w:pPr>
  </w:p>
  <w:p w:rsidR="00C3689B" w:rsidRDefault="00C368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D79" w:rsidRDefault="00257D79" w:rsidP="00CF6391">
      <w:pPr>
        <w:spacing w:before="0" w:after="0" w:line="240" w:lineRule="auto"/>
      </w:pPr>
      <w:r>
        <w:separator/>
      </w:r>
    </w:p>
  </w:footnote>
  <w:footnote w:type="continuationSeparator" w:id="0">
    <w:p w:rsidR="00257D79" w:rsidRDefault="00257D79" w:rsidP="00CF6391">
      <w:pPr>
        <w:spacing w:before="0" w:after="0" w:line="240" w:lineRule="auto"/>
      </w:pPr>
      <w:r>
        <w:continuationSeparator/>
      </w:r>
    </w:p>
  </w:footnote>
  <w:footnote w:type="continuationNotice" w:id="1">
    <w:p w:rsidR="00257D79" w:rsidRDefault="00257D79">
      <w:pPr>
        <w:spacing w:before="0" w:after="0" w:line="240" w:lineRule="auto"/>
      </w:pPr>
    </w:p>
  </w:footnote>
  <w:footnote w:id="2">
    <w:p w:rsidR="009B4EC6" w:rsidRDefault="009B4EC6" w:rsidP="007203C7">
      <w:pPr>
        <w:pStyle w:val="FootnoteText"/>
      </w:pPr>
      <w:r>
        <w:rPr>
          <w:rStyle w:val="FootnoteReference"/>
        </w:rPr>
        <w:footnoteRef/>
      </w:r>
      <w:r>
        <w:t xml:space="preserve"> </w:t>
      </w:r>
      <w:r>
        <w:tab/>
        <w:t>For a detailed description of the procedural events in these complaints, the reader is directed to the Sixth Prehearing Order</w:t>
      </w:r>
      <w:r w:rsidR="006F2AD2">
        <w:t>, issued on March 21, 2017</w:t>
      </w:r>
      <w:r>
        <w:t xml:space="preserve">.  </w:t>
      </w:r>
    </w:p>
    <w:p w:rsidR="001006B9" w:rsidRDefault="001006B9" w:rsidP="007203C7">
      <w:pPr>
        <w:pStyle w:val="FootnoteText"/>
      </w:pPr>
    </w:p>
  </w:footnote>
  <w:footnote w:id="3">
    <w:p w:rsidR="00614989" w:rsidRDefault="00614989" w:rsidP="00BA45CD">
      <w:pPr>
        <w:tabs>
          <w:tab w:val="clear" w:pos="1440"/>
          <w:tab w:val="left" w:pos="720"/>
        </w:tabs>
        <w:spacing w:before="0" w:after="0" w:line="240" w:lineRule="auto"/>
        <w:rPr>
          <w:rStyle w:val="FootnoteTextChar"/>
        </w:rPr>
      </w:pPr>
      <w:r>
        <w:rPr>
          <w:rStyle w:val="FootnoteReference"/>
        </w:rPr>
        <w:footnoteRef/>
      </w:r>
      <w:r>
        <w:t xml:space="preserve">  </w:t>
      </w:r>
      <w:r w:rsidRPr="00614989">
        <w:rPr>
          <w:rStyle w:val="FootnoteTextChar"/>
        </w:rPr>
        <w:t xml:space="preserve"> </w:t>
      </w:r>
      <w:r>
        <w:rPr>
          <w:rStyle w:val="FootnoteTextChar"/>
        </w:rPr>
        <w:tab/>
      </w:r>
      <w:r w:rsidRPr="00614989">
        <w:rPr>
          <w:rStyle w:val="FootnoteTextChar"/>
        </w:rPr>
        <w:t>No ruling was previously rendered on this motion because UGI filed a petition for interlocutory review and answer to material questions to the Commission</w:t>
      </w:r>
      <w:r w:rsidR="006F2AD2">
        <w:rPr>
          <w:rStyle w:val="FootnoteTextChar"/>
        </w:rPr>
        <w:t xml:space="preserve"> regarding the scope of the proceedings</w:t>
      </w:r>
      <w:proofErr w:type="gramStart"/>
      <w:r w:rsidR="001006B9">
        <w:rPr>
          <w:rStyle w:val="FootnoteTextChar"/>
        </w:rPr>
        <w:t xml:space="preserve">. </w:t>
      </w:r>
      <w:proofErr w:type="gramEnd"/>
      <w:r w:rsidR="001006B9">
        <w:rPr>
          <w:rStyle w:val="FootnoteTextChar"/>
        </w:rPr>
        <w:t>By order dated September </w:t>
      </w:r>
      <w:r w:rsidRPr="00614989">
        <w:rPr>
          <w:rStyle w:val="FootnoteTextChar"/>
        </w:rPr>
        <w:t xml:space="preserve">2, 2016, the litigation schedule was suspended pending the answer to the material question by the Commission.  By Opinion and Order entered February </w:t>
      </w:r>
      <w:r w:rsidR="00BB595C">
        <w:rPr>
          <w:rStyle w:val="FootnoteTextChar"/>
        </w:rPr>
        <w:t>9</w:t>
      </w:r>
      <w:r w:rsidRPr="00614989">
        <w:rPr>
          <w:rStyle w:val="FootnoteTextChar"/>
        </w:rPr>
        <w:t xml:space="preserve">, 2017, the Commission declined to answer the material questions and returned the matter to the Office of Administrative Law Judge for disposition.  </w:t>
      </w:r>
    </w:p>
    <w:p w:rsidR="001006B9" w:rsidRDefault="001006B9" w:rsidP="00BA45CD">
      <w:pPr>
        <w:tabs>
          <w:tab w:val="clear" w:pos="1440"/>
          <w:tab w:val="left" w:pos="720"/>
        </w:tabs>
        <w:spacing w:before="0" w:after="0" w:line="240" w:lineRule="auto"/>
      </w:pPr>
    </w:p>
  </w:footnote>
  <w:footnote w:id="4">
    <w:p w:rsidR="009B227C" w:rsidRDefault="009B227C" w:rsidP="007203C7">
      <w:pPr>
        <w:pStyle w:val="FootnoteText"/>
      </w:pPr>
      <w:r>
        <w:rPr>
          <w:rStyle w:val="FootnoteReference"/>
        </w:rPr>
        <w:footnoteRef/>
      </w:r>
      <w:r>
        <w:t xml:space="preserve">  </w:t>
      </w:r>
      <w:r>
        <w:tab/>
        <w:t xml:space="preserve">At my </w:t>
      </w:r>
      <w:proofErr w:type="gramStart"/>
      <w:r>
        <w:t>request</w:t>
      </w:r>
      <w:proofErr w:type="gramEnd"/>
      <w:r>
        <w:t xml:space="preserve"> UGI and the Complainants each filed supplemental prehearing memoranda to address directed questions regarding their respective legal positions on discovery.</w:t>
      </w:r>
    </w:p>
    <w:p w:rsidR="001006B9" w:rsidRDefault="001006B9" w:rsidP="007203C7">
      <w:pPr>
        <w:pStyle w:val="FootnoteText"/>
      </w:pPr>
    </w:p>
  </w:footnote>
  <w:footnote w:id="5">
    <w:p w:rsidR="00046699" w:rsidRDefault="00046699" w:rsidP="007203C7">
      <w:pPr>
        <w:pStyle w:val="FootnoteText"/>
      </w:pPr>
      <w:r>
        <w:rPr>
          <w:rStyle w:val="FootnoteReference"/>
        </w:rPr>
        <w:footnoteRef/>
      </w:r>
      <w:r>
        <w:t xml:space="preserve">  </w:t>
      </w:r>
      <w:r>
        <w:tab/>
        <w:t>UGI Addendum to the Prehearing Conference Memorandum at p. 5-6.</w:t>
      </w:r>
    </w:p>
  </w:footnote>
  <w:footnote w:id="6">
    <w:p w:rsidR="00AC2D1B" w:rsidRPr="00824C44" w:rsidRDefault="00AC2D1B" w:rsidP="007203C7">
      <w:pPr>
        <w:pStyle w:val="FootnoteText"/>
      </w:pPr>
      <w:r>
        <w:rPr>
          <w:rStyle w:val="FootnoteReference"/>
        </w:rPr>
        <w:footnoteRef/>
      </w:r>
      <w:r>
        <w:t xml:space="preserve">  </w:t>
      </w:r>
      <w:r>
        <w:tab/>
      </w:r>
      <w:r w:rsidRPr="00824C44">
        <w:t xml:space="preserve">52 </w:t>
      </w:r>
      <w:proofErr w:type="spellStart"/>
      <w:r w:rsidRPr="00824C44">
        <w:t>Pa.Code</w:t>
      </w:r>
      <w:proofErr w:type="spellEnd"/>
      <w:r w:rsidRPr="00824C44">
        <w:t xml:space="preserve"> § 5.321(c).</w:t>
      </w:r>
    </w:p>
    <w:p w:rsidR="00824C44" w:rsidRDefault="00824C44" w:rsidP="007203C7">
      <w:pPr>
        <w:pStyle w:val="FootnoteText"/>
      </w:pPr>
    </w:p>
  </w:footnote>
  <w:footnote w:id="7">
    <w:p w:rsidR="00AC2D1B" w:rsidRDefault="00AC2D1B" w:rsidP="007203C7">
      <w:pPr>
        <w:pStyle w:val="FootnoteText"/>
      </w:pPr>
      <w:r>
        <w:rPr>
          <w:rStyle w:val="FootnoteReference"/>
        </w:rPr>
        <w:footnoteRef/>
      </w:r>
      <w:r>
        <w:t xml:space="preserve">  </w:t>
      </w:r>
      <w:r>
        <w:tab/>
      </w:r>
      <w:r>
        <w:rPr>
          <w:i/>
        </w:rPr>
        <w:t xml:space="preserve">See George v. </w:t>
      </w:r>
      <w:proofErr w:type="spellStart"/>
      <w:r>
        <w:rPr>
          <w:i/>
        </w:rPr>
        <w:t>Schirra</w:t>
      </w:r>
      <w:proofErr w:type="spellEnd"/>
      <w:r>
        <w:rPr>
          <w:i/>
        </w:rPr>
        <w:t>,</w:t>
      </w:r>
      <w:r>
        <w:t xml:space="preserve"> </w:t>
      </w:r>
      <w:proofErr w:type="gramStart"/>
      <w:r>
        <w:t>814 A.2d 202, 205</w:t>
      </w:r>
      <w:proofErr w:type="gramEnd"/>
      <w:r>
        <w:t xml:space="preserve"> (</w:t>
      </w:r>
      <w:proofErr w:type="spellStart"/>
      <w:r>
        <w:t>Pa.Super</w:t>
      </w:r>
      <w:proofErr w:type="spellEnd"/>
      <w:r>
        <w:t>. 2002).</w:t>
      </w:r>
    </w:p>
    <w:p w:rsidR="008552DB" w:rsidRPr="00D32257" w:rsidRDefault="008552DB" w:rsidP="007203C7">
      <w:pPr>
        <w:pStyle w:val="FootnoteText"/>
      </w:pPr>
    </w:p>
  </w:footnote>
  <w:footnote w:id="8">
    <w:p w:rsidR="00AC2D1B" w:rsidRDefault="00AC2D1B" w:rsidP="007203C7">
      <w:pPr>
        <w:pStyle w:val="FootnoteText"/>
      </w:pPr>
      <w:r>
        <w:rPr>
          <w:rStyle w:val="FootnoteReference"/>
        </w:rPr>
        <w:footnoteRef/>
      </w:r>
      <w:r>
        <w:t xml:space="preserve">  </w:t>
      </w:r>
      <w:r>
        <w:tab/>
      </w:r>
      <w:proofErr w:type="spellStart"/>
      <w:r w:rsidRPr="00884BF5">
        <w:rPr>
          <w:i/>
        </w:rPr>
        <w:t>Koken</w:t>
      </w:r>
      <w:proofErr w:type="spellEnd"/>
      <w:r w:rsidRPr="00884BF5">
        <w:rPr>
          <w:i/>
        </w:rPr>
        <w:t xml:space="preserve"> v</w:t>
      </w:r>
      <w:proofErr w:type="gramStart"/>
      <w:r w:rsidRPr="00884BF5">
        <w:rPr>
          <w:i/>
        </w:rPr>
        <w:t xml:space="preserve">. </w:t>
      </w:r>
      <w:proofErr w:type="gramEnd"/>
      <w:r w:rsidRPr="00884BF5">
        <w:rPr>
          <w:i/>
        </w:rPr>
        <w:t>One Beacon Ins. Co</w:t>
      </w:r>
      <w:r w:rsidRPr="00884BF5">
        <w:t xml:space="preserve">., 911 A.2d 1021, 1025 (Pa </w:t>
      </w:r>
      <w:proofErr w:type="spellStart"/>
      <w:r>
        <w:t>Cmwlth</w:t>
      </w:r>
      <w:proofErr w:type="spellEnd"/>
      <w:r>
        <w:t>.</w:t>
      </w:r>
      <w:r w:rsidRPr="00884BF5">
        <w:t xml:space="preserve"> 2006)</w:t>
      </w:r>
    </w:p>
    <w:p w:rsidR="00824C44" w:rsidRDefault="00824C44" w:rsidP="007203C7">
      <w:pPr>
        <w:pStyle w:val="FootnoteText"/>
      </w:pPr>
    </w:p>
  </w:footnote>
  <w:footnote w:id="9">
    <w:p w:rsidR="00AC2D1B" w:rsidRDefault="00AC2D1B" w:rsidP="007203C7">
      <w:pPr>
        <w:pStyle w:val="FootnoteText"/>
      </w:pPr>
      <w:r>
        <w:rPr>
          <w:rStyle w:val="FootnoteReference"/>
        </w:rPr>
        <w:footnoteRef/>
      </w:r>
      <w:r>
        <w:t xml:space="preserve">  </w:t>
      </w:r>
      <w:r>
        <w:tab/>
        <w:t>Id.</w:t>
      </w:r>
    </w:p>
    <w:p w:rsidR="00824C44" w:rsidRPr="00E74E3E" w:rsidRDefault="00824C44" w:rsidP="007203C7">
      <w:pPr>
        <w:pStyle w:val="FootnoteText"/>
      </w:pPr>
    </w:p>
  </w:footnote>
  <w:footnote w:id="10">
    <w:p w:rsidR="005B6F61" w:rsidRDefault="005B6F61" w:rsidP="007203C7">
      <w:pPr>
        <w:pStyle w:val="FootnoteText"/>
      </w:pPr>
      <w:r>
        <w:rPr>
          <w:rStyle w:val="FootnoteReference"/>
        </w:rPr>
        <w:footnoteRef/>
      </w:r>
      <w:r>
        <w:t xml:space="preserve">  </w:t>
      </w:r>
      <w:r>
        <w:tab/>
        <w:t xml:space="preserve">52 </w:t>
      </w:r>
      <w:proofErr w:type="spellStart"/>
      <w:r>
        <w:t>Pa.Code</w:t>
      </w:r>
      <w:proofErr w:type="spellEnd"/>
      <w:r>
        <w:t xml:space="preserve"> § 5.323(a).</w:t>
      </w:r>
    </w:p>
  </w:footnote>
  <w:footnote w:id="11">
    <w:p w:rsidR="00A7289A" w:rsidRDefault="00A7289A" w:rsidP="007203C7">
      <w:pPr>
        <w:pStyle w:val="FootnoteText"/>
      </w:pPr>
      <w:r>
        <w:rPr>
          <w:rStyle w:val="FootnoteReference"/>
        </w:rPr>
        <w:footnoteRef/>
      </w:r>
      <w:r>
        <w:t xml:space="preserve">  </w:t>
      </w:r>
      <w:r>
        <w:tab/>
      </w:r>
      <w:r w:rsidRPr="00BB595C">
        <w:rPr>
          <w:i/>
        </w:rPr>
        <w:t xml:space="preserve">Public Utility Commission v. </w:t>
      </w:r>
      <w:proofErr w:type="spellStart"/>
      <w:r w:rsidRPr="00BB595C">
        <w:rPr>
          <w:i/>
        </w:rPr>
        <w:t>Breezewood</w:t>
      </w:r>
      <w:proofErr w:type="spellEnd"/>
      <w:r w:rsidRPr="00BB595C">
        <w:rPr>
          <w:i/>
        </w:rPr>
        <w:t xml:space="preserve"> Telephone Co</w:t>
      </w:r>
      <w:r w:rsidR="009042B2" w:rsidRPr="00BB595C">
        <w:rPr>
          <w:i/>
        </w:rPr>
        <w:t>.</w:t>
      </w:r>
      <w:r w:rsidR="009042B2">
        <w:t xml:space="preserve">, </w:t>
      </w:r>
      <w:r>
        <w:t>74 PUC 431 (1991).</w:t>
      </w:r>
    </w:p>
    <w:p w:rsidR="00824C44" w:rsidRDefault="00824C44" w:rsidP="007203C7">
      <w:pPr>
        <w:pStyle w:val="FootnoteText"/>
      </w:pPr>
    </w:p>
  </w:footnote>
  <w:footnote w:id="12">
    <w:p w:rsidR="009042B2" w:rsidRDefault="009042B2" w:rsidP="007203C7">
      <w:pPr>
        <w:pStyle w:val="FootnoteText"/>
      </w:pPr>
      <w:r>
        <w:rPr>
          <w:rStyle w:val="FootnoteReference"/>
        </w:rPr>
        <w:footnoteRef/>
      </w:r>
      <w:r>
        <w:t xml:space="preserve">  </w:t>
      </w:r>
      <w:r>
        <w:tab/>
        <w:t>74 PUC at p. 516.</w:t>
      </w:r>
    </w:p>
    <w:p w:rsidR="00824C44" w:rsidRDefault="00824C44" w:rsidP="007203C7">
      <w:pPr>
        <w:pStyle w:val="FootnoteText"/>
      </w:pPr>
    </w:p>
  </w:footnote>
  <w:footnote w:id="13">
    <w:p w:rsidR="002C453F" w:rsidRDefault="002C453F" w:rsidP="007203C7">
      <w:pPr>
        <w:pStyle w:val="FootnoteText"/>
      </w:pPr>
      <w:r>
        <w:rPr>
          <w:rStyle w:val="FootnoteReference"/>
        </w:rPr>
        <w:footnoteRef/>
      </w:r>
      <w:r>
        <w:t xml:space="preserve">  </w:t>
      </w:r>
      <w:r>
        <w:tab/>
        <w:t>Docket No</w:t>
      </w:r>
      <w:proofErr w:type="gramStart"/>
      <w:r>
        <w:t xml:space="preserve">. </w:t>
      </w:r>
      <w:proofErr w:type="gramEnd"/>
      <w:r>
        <w:t>R-2011-2232243.</w:t>
      </w:r>
    </w:p>
    <w:p w:rsidR="008552DB" w:rsidRDefault="008552DB" w:rsidP="007203C7">
      <w:pPr>
        <w:pStyle w:val="FootnoteText"/>
      </w:pPr>
    </w:p>
  </w:footnote>
  <w:footnote w:id="14">
    <w:p w:rsidR="00C53E30" w:rsidRDefault="00C53E30" w:rsidP="007203C7">
      <w:pPr>
        <w:pStyle w:val="FootnoteText"/>
      </w:pPr>
      <w:r>
        <w:rPr>
          <w:rStyle w:val="FootnoteReference"/>
        </w:rPr>
        <w:footnoteRef/>
      </w:r>
      <w:r>
        <w:t xml:space="preserve">   </w:t>
      </w:r>
      <w:r w:rsidR="00A7289A">
        <w:tab/>
      </w:r>
      <w:r>
        <w:t>Docket R-2011-2232243 (Order on Motion to Compel dated July 21, 2011).</w:t>
      </w:r>
    </w:p>
    <w:p w:rsidR="00824C44" w:rsidRDefault="00824C44" w:rsidP="007203C7">
      <w:pPr>
        <w:pStyle w:val="FootnoteText"/>
      </w:pPr>
    </w:p>
  </w:footnote>
  <w:footnote w:id="15">
    <w:p w:rsidR="00627DEC" w:rsidRPr="00627DEC" w:rsidRDefault="00627DEC" w:rsidP="007203C7">
      <w:pPr>
        <w:pStyle w:val="FootnoteText"/>
      </w:pPr>
      <w:r>
        <w:rPr>
          <w:rStyle w:val="FootnoteReference"/>
        </w:rPr>
        <w:footnoteRef/>
      </w:r>
      <w:r>
        <w:t xml:space="preserve">  </w:t>
      </w:r>
      <w:r>
        <w:tab/>
      </w:r>
      <w:r w:rsidR="00D97E0F">
        <w:rPr>
          <w:i/>
        </w:rPr>
        <w:t xml:space="preserve">Cf. </w:t>
      </w:r>
      <w:r>
        <w:rPr>
          <w:i/>
        </w:rPr>
        <w:t xml:space="preserve"> Holmes v. Pension Plan of Bethlehem Steel Corp.</w:t>
      </w:r>
      <w:r>
        <w:t>, 213 F.3d 124, 137 (</w:t>
      </w:r>
      <w:r w:rsidR="00D97E0F">
        <w:t>3d Cir.</w:t>
      </w:r>
      <w:r>
        <w:t xml:space="preserve"> 2000)(“The mere fact that the memorandum was prepared “in connection with” [the Plaintiff’s] administrative claim to interest on his delayed benefits hardly establishes that it was prepared in anticipation of litigation.”)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610354"/>
    <w:multiLevelType w:val="hybridMultilevel"/>
    <w:tmpl w:val="2F64736E"/>
    <w:lvl w:ilvl="0" w:tplc="ACCA5A5A">
      <w:start w:val="1"/>
      <w:numFmt w:val="decimal"/>
      <w:pStyle w:val="List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13"/>
  </w:num>
  <w:num w:numId="3">
    <w:abstractNumId w:val="18"/>
  </w:num>
  <w:num w:numId="4">
    <w:abstractNumId w:val="22"/>
  </w:num>
  <w:num w:numId="5">
    <w:abstractNumId w:val="8"/>
  </w:num>
  <w:num w:numId="6">
    <w:abstractNumId w:val="6"/>
  </w:num>
  <w:num w:numId="7">
    <w:abstractNumId w:val="4"/>
  </w:num>
  <w:num w:numId="8">
    <w:abstractNumId w:val="21"/>
  </w:num>
  <w:num w:numId="9">
    <w:abstractNumId w:val="2"/>
  </w:num>
  <w:num w:numId="10">
    <w:abstractNumId w:val="15"/>
  </w:num>
  <w:num w:numId="11">
    <w:abstractNumId w:val="17"/>
  </w:num>
  <w:num w:numId="12">
    <w:abstractNumId w:val="11"/>
  </w:num>
  <w:num w:numId="13">
    <w:abstractNumId w:val="16"/>
  </w:num>
  <w:num w:numId="14">
    <w:abstractNumId w:val="19"/>
  </w:num>
  <w:num w:numId="15">
    <w:abstractNumId w:val="0"/>
  </w:num>
  <w:num w:numId="16">
    <w:abstractNumId w:val="14"/>
  </w:num>
  <w:num w:numId="17">
    <w:abstractNumId w:val="14"/>
  </w:num>
  <w:num w:numId="18">
    <w:abstractNumId w:val="7"/>
  </w:num>
  <w:num w:numId="19">
    <w:abstractNumId w:val="12"/>
  </w:num>
  <w:num w:numId="20">
    <w:abstractNumId w:val="23"/>
  </w:num>
  <w:num w:numId="21">
    <w:abstractNumId w:val="9"/>
  </w:num>
  <w:num w:numId="22">
    <w:abstractNumId w:val="3"/>
  </w:num>
  <w:num w:numId="23">
    <w:abstractNumId w:val="10"/>
  </w:num>
  <w:num w:numId="24">
    <w:abstractNumId w:val="24"/>
  </w:num>
  <w:num w:numId="25">
    <w:abstractNumId w:val="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23C"/>
    <w:rsid w:val="00004C37"/>
    <w:rsid w:val="00021F4B"/>
    <w:rsid w:val="00032399"/>
    <w:rsid w:val="00046699"/>
    <w:rsid w:val="00054061"/>
    <w:rsid w:val="00056A23"/>
    <w:rsid w:val="000D0E94"/>
    <w:rsid w:val="000D530D"/>
    <w:rsid w:val="000E3EDE"/>
    <w:rsid w:val="000E5E46"/>
    <w:rsid w:val="001006B9"/>
    <w:rsid w:val="00100705"/>
    <w:rsid w:val="00122EF6"/>
    <w:rsid w:val="001A21B6"/>
    <w:rsid w:val="001A4CC3"/>
    <w:rsid w:val="001B1CBA"/>
    <w:rsid w:val="001C548C"/>
    <w:rsid w:val="001D2AF7"/>
    <w:rsid w:val="00207743"/>
    <w:rsid w:val="002114E5"/>
    <w:rsid w:val="00213167"/>
    <w:rsid w:val="002512F9"/>
    <w:rsid w:val="00257D79"/>
    <w:rsid w:val="002814D4"/>
    <w:rsid w:val="002A5DAA"/>
    <w:rsid w:val="002B6677"/>
    <w:rsid w:val="002C453F"/>
    <w:rsid w:val="003117F3"/>
    <w:rsid w:val="003145FA"/>
    <w:rsid w:val="00367A41"/>
    <w:rsid w:val="00393C92"/>
    <w:rsid w:val="003B6898"/>
    <w:rsid w:val="003D3188"/>
    <w:rsid w:val="003D64E6"/>
    <w:rsid w:val="003D756C"/>
    <w:rsid w:val="003F3139"/>
    <w:rsid w:val="003F323C"/>
    <w:rsid w:val="00400978"/>
    <w:rsid w:val="00415D93"/>
    <w:rsid w:val="004343B0"/>
    <w:rsid w:val="0049692C"/>
    <w:rsid w:val="004D523C"/>
    <w:rsid w:val="00504C01"/>
    <w:rsid w:val="00516B48"/>
    <w:rsid w:val="00535ED6"/>
    <w:rsid w:val="0055222E"/>
    <w:rsid w:val="00583925"/>
    <w:rsid w:val="005A1C17"/>
    <w:rsid w:val="005A2ABA"/>
    <w:rsid w:val="005B6F61"/>
    <w:rsid w:val="005D180A"/>
    <w:rsid w:val="005E7B69"/>
    <w:rsid w:val="00614989"/>
    <w:rsid w:val="0061775F"/>
    <w:rsid w:val="00627DEC"/>
    <w:rsid w:val="0063153F"/>
    <w:rsid w:val="0064087F"/>
    <w:rsid w:val="00696C0D"/>
    <w:rsid w:val="006E6946"/>
    <w:rsid w:val="006F0329"/>
    <w:rsid w:val="006F2AD2"/>
    <w:rsid w:val="00700807"/>
    <w:rsid w:val="00712E58"/>
    <w:rsid w:val="007203C7"/>
    <w:rsid w:val="00743183"/>
    <w:rsid w:val="007815BE"/>
    <w:rsid w:val="00792796"/>
    <w:rsid w:val="007D6205"/>
    <w:rsid w:val="007E6779"/>
    <w:rsid w:val="007F094E"/>
    <w:rsid w:val="007F6159"/>
    <w:rsid w:val="00820B4C"/>
    <w:rsid w:val="00820E81"/>
    <w:rsid w:val="00824C44"/>
    <w:rsid w:val="00846853"/>
    <w:rsid w:val="008529D2"/>
    <w:rsid w:val="008552DB"/>
    <w:rsid w:val="008654E7"/>
    <w:rsid w:val="009042B2"/>
    <w:rsid w:val="00917DCA"/>
    <w:rsid w:val="00917F08"/>
    <w:rsid w:val="00987156"/>
    <w:rsid w:val="009B227C"/>
    <w:rsid w:val="009B36E4"/>
    <w:rsid w:val="009B3B0F"/>
    <w:rsid w:val="009B4EC6"/>
    <w:rsid w:val="009D64D6"/>
    <w:rsid w:val="00A243F4"/>
    <w:rsid w:val="00A32D29"/>
    <w:rsid w:val="00A47096"/>
    <w:rsid w:val="00A54743"/>
    <w:rsid w:val="00A7289A"/>
    <w:rsid w:val="00A94252"/>
    <w:rsid w:val="00AA2EC5"/>
    <w:rsid w:val="00AA70A8"/>
    <w:rsid w:val="00AB4C73"/>
    <w:rsid w:val="00AC2D0A"/>
    <w:rsid w:val="00AC2D1B"/>
    <w:rsid w:val="00AD407C"/>
    <w:rsid w:val="00AE6F47"/>
    <w:rsid w:val="00B7660F"/>
    <w:rsid w:val="00B91E47"/>
    <w:rsid w:val="00BA45CD"/>
    <w:rsid w:val="00BB595C"/>
    <w:rsid w:val="00BB7428"/>
    <w:rsid w:val="00BC6B21"/>
    <w:rsid w:val="00C3689B"/>
    <w:rsid w:val="00C53E30"/>
    <w:rsid w:val="00C87E57"/>
    <w:rsid w:val="00CB5C64"/>
    <w:rsid w:val="00CF6391"/>
    <w:rsid w:val="00D02FCC"/>
    <w:rsid w:val="00D067DB"/>
    <w:rsid w:val="00D1235F"/>
    <w:rsid w:val="00D25306"/>
    <w:rsid w:val="00D35AB2"/>
    <w:rsid w:val="00D50172"/>
    <w:rsid w:val="00D871EF"/>
    <w:rsid w:val="00D9314F"/>
    <w:rsid w:val="00D959C5"/>
    <w:rsid w:val="00D97E0F"/>
    <w:rsid w:val="00DD59D3"/>
    <w:rsid w:val="00DD5C37"/>
    <w:rsid w:val="00DE76C2"/>
    <w:rsid w:val="00DF3266"/>
    <w:rsid w:val="00E4239A"/>
    <w:rsid w:val="00E72851"/>
    <w:rsid w:val="00E768DE"/>
    <w:rsid w:val="00E91846"/>
    <w:rsid w:val="00EC1CBA"/>
    <w:rsid w:val="00ED2E0E"/>
    <w:rsid w:val="00ED6DD9"/>
    <w:rsid w:val="00EE7801"/>
    <w:rsid w:val="00F00787"/>
    <w:rsid w:val="00F16554"/>
    <w:rsid w:val="00F544E1"/>
    <w:rsid w:val="00F6721D"/>
    <w:rsid w:val="00F679AD"/>
    <w:rsid w:val="00F9031D"/>
    <w:rsid w:val="00FC56D9"/>
    <w:rsid w:val="00FD5C10"/>
    <w:rsid w:val="00FF2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unhideWhenUsed/>
    <w:rsid w:val="007203C7"/>
    <w:pPr>
      <w:tabs>
        <w:tab w:val="left" w:pos="720"/>
      </w:tabs>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203C7"/>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1007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E47"/>
    <w:pPr>
      <w:tabs>
        <w:tab w:val="left" w:pos="1440"/>
      </w:tabs>
      <w:spacing w:before="120"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207743"/>
    <w:pPr>
      <w:numPr>
        <w:numId w:val="26"/>
      </w:numPr>
    </w:pPr>
  </w:style>
  <w:style w:type="paragraph" w:styleId="FootnoteText">
    <w:name w:val="footnote text"/>
    <w:link w:val="FootnoteTextChar"/>
    <w:autoRedefine/>
    <w:uiPriority w:val="99"/>
    <w:unhideWhenUsed/>
    <w:rsid w:val="007203C7"/>
    <w:pPr>
      <w:tabs>
        <w:tab w:val="left" w:pos="720"/>
      </w:tabs>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203C7"/>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696C0D"/>
    <w:pPr>
      <w:ind w:firstLine="720"/>
    </w:pPr>
  </w:style>
  <w:style w:type="paragraph" w:styleId="Header">
    <w:name w:val="header"/>
    <w:basedOn w:val="Normal"/>
    <w:link w:val="HeaderChar"/>
    <w:uiPriority w:val="99"/>
    <w:unhideWhenUsed/>
    <w:rsid w:val="00CF6391"/>
    <w:pPr>
      <w:tabs>
        <w:tab w:val="clear" w:pos="1440"/>
        <w:tab w:val="center" w:pos="4680"/>
        <w:tab w:val="right" w:pos="9360"/>
      </w:tabs>
      <w:spacing w:before="0" w:after="0" w:line="240" w:lineRule="auto"/>
    </w:pPr>
  </w:style>
  <w:style w:type="character" w:customStyle="1" w:styleId="HeaderChar">
    <w:name w:val="Header Char"/>
    <w:basedOn w:val="DefaultParagraphFont"/>
    <w:link w:val="Header"/>
    <w:uiPriority w:val="99"/>
    <w:rsid w:val="00CF6391"/>
    <w:rPr>
      <w:rFonts w:ascii="Times New Roman" w:hAnsi="Times New Roman" w:cs="Times New Roman"/>
      <w:sz w:val="24"/>
      <w:szCs w:val="20"/>
    </w:rPr>
  </w:style>
  <w:style w:type="paragraph" w:styleId="Footer">
    <w:name w:val="footer"/>
    <w:basedOn w:val="Normal"/>
    <w:link w:val="FooterChar"/>
    <w:uiPriority w:val="99"/>
    <w:unhideWhenUsed/>
    <w:rsid w:val="00CF6391"/>
    <w:pPr>
      <w:tabs>
        <w:tab w:val="clear" w:pos="1440"/>
        <w:tab w:val="center" w:pos="4680"/>
        <w:tab w:val="right" w:pos="9360"/>
      </w:tabs>
      <w:spacing w:before="0" w:after="0" w:line="240" w:lineRule="auto"/>
    </w:pPr>
  </w:style>
  <w:style w:type="character" w:customStyle="1" w:styleId="FooterChar">
    <w:name w:val="Footer Char"/>
    <w:basedOn w:val="DefaultParagraphFont"/>
    <w:link w:val="Footer"/>
    <w:uiPriority w:val="99"/>
    <w:rsid w:val="00CF6391"/>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7815B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5BE"/>
    <w:rPr>
      <w:rFonts w:ascii="Tahoma" w:hAnsi="Tahoma" w:cs="Tahoma"/>
      <w:sz w:val="16"/>
      <w:szCs w:val="16"/>
    </w:rPr>
  </w:style>
  <w:style w:type="character" w:styleId="FootnoteReference">
    <w:name w:val="footnote reference"/>
    <w:basedOn w:val="DefaultParagraphFont"/>
    <w:uiPriority w:val="99"/>
    <w:semiHidden/>
    <w:unhideWhenUsed/>
    <w:rsid w:val="001007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19596">
      <w:bodyDiv w:val="1"/>
      <w:marLeft w:val="0"/>
      <w:marRight w:val="0"/>
      <w:marTop w:val="0"/>
      <w:marBottom w:val="0"/>
      <w:divBdr>
        <w:top w:val="none" w:sz="0" w:space="0" w:color="auto"/>
        <w:left w:val="none" w:sz="0" w:space="0" w:color="auto"/>
        <w:bottom w:val="none" w:sz="0" w:space="0" w:color="auto"/>
        <w:right w:val="none" w:sz="0" w:space="0" w:color="auto"/>
      </w:divBdr>
      <w:divsChild>
        <w:div w:id="587740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62E1-BFBE-4DF3-B0D1-7E1114CB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Pallas, Dan</cp:lastModifiedBy>
  <cp:revision>4</cp:revision>
  <cp:lastPrinted>2017-03-22T14:20:00Z</cp:lastPrinted>
  <dcterms:created xsi:type="dcterms:W3CDTF">2017-03-22T11:48:00Z</dcterms:created>
  <dcterms:modified xsi:type="dcterms:W3CDTF">2017-03-22T15:30:00Z</dcterms:modified>
</cp:coreProperties>
</file>