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06"/>
        <w:tblW w:w="10890" w:type="dxa"/>
        <w:tblLayout w:type="fixed"/>
        <w:tblLook w:val="0000" w:firstRow="0" w:lastRow="0" w:firstColumn="0" w:lastColumn="0" w:noHBand="0" w:noVBand="0"/>
      </w:tblPr>
      <w:tblGrid>
        <w:gridCol w:w="1363"/>
        <w:gridCol w:w="8075"/>
        <w:gridCol w:w="1452"/>
      </w:tblGrid>
      <w:tr w:rsidR="00370BC1" w:rsidRPr="00F076EC" w:rsidTr="00370BC1">
        <w:tc>
          <w:tcPr>
            <w:tcW w:w="1363" w:type="dxa"/>
          </w:tcPr>
          <w:p w:rsidR="00370BC1" w:rsidRPr="00F076EC" w:rsidRDefault="00370BC1" w:rsidP="00370BC1">
            <w:pPr>
              <w:rPr>
                <w:sz w:val="24"/>
              </w:rPr>
            </w:pPr>
            <w:r w:rsidRPr="00F076EC">
              <w:rPr>
                <w:noProof/>
                <w:spacing w:val="-2"/>
              </w:rPr>
              <w:drawing>
                <wp:inline distT="0" distB="0" distL="0" distR="0" wp14:anchorId="3D962979" wp14:editId="44C1CF5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370BC1" w:rsidRPr="00F076EC" w:rsidRDefault="00370BC1" w:rsidP="00370BC1">
            <w:pPr>
              <w:suppressAutoHyphens/>
              <w:spacing w:line="204" w:lineRule="auto"/>
              <w:jc w:val="center"/>
              <w:rPr>
                <w:spacing w:val="-3"/>
                <w:sz w:val="26"/>
              </w:rPr>
            </w:pPr>
            <w:r w:rsidRPr="00F076EC">
              <w:rPr>
                <w:spacing w:val="-3"/>
                <w:sz w:val="26"/>
              </w:rPr>
              <w:t>COMMONWEALTH OF PENNSYLVANIA</w:t>
            </w:r>
          </w:p>
          <w:p w:rsidR="00370BC1" w:rsidRPr="00F076EC" w:rsidRDefault="00370BC1" w:rsidP="00370BC1">
            <w:pPr>
              <w:suppressAutoHyphens/>
              <w:spacing w:line="204" w:lineRule="auto"/>
              <w:jc w:val="center"/>
              <w:rPr>
                <w:spacing w:val="-3"/>
                <w:sz w:val="26"/>
              </w:rPr>
            </w:pPr>
            <w:r w:rsidRPr="00F076EC">
              <w:rPr>
                <w:spacing w:val="-3"/>
                <w:sz w:val="26"/>
              </w:rPr>
              <w:t>PENNSYLVANIA PUBLIC UTILITY COMMISSION</w:t>
            </w:r>
          </w:p>
          <w:p w:rsidR="00370BC1" w:rsidRPr="00F076EC" w:rsidRDefault="00370BC1" w:rsidP="00370BC1">
            <w:pPr>
              <w:jc w:val="center"/>
              <w:rPr>
                <w:sz w:val="12"/>
              </w:rPr>
            </w:pPr>
            <w:r w:rsidRPr="00F076EC">
              <w:rPr>
                <w:spacing w:val="-3"/>
                <w:sz w:val="26"/>
              </w:rPr>
              <w:t>400 NORTH STREET, HARRISBURG, PA 17120</w:t>
            </w:r>
          </w:p>
        </w:tc>
        <w:tc>
          <w:tcPr>
            <w:tcW w:w="1452" w:type="dxa"/>
          </w:tcPr>
          <w:p w:rsidR="00370BC1" w:rsidRPr="00F076EC" w:rsidRDefault="00370BC1" w:rsidP="00370BC1">
            <w:pPr>
              <w:rPr>
                <w:sz w:val="12"/>
              </w:rPr>
            </w:pPr>
          </w:p>
          <w:p w:rsidR="00370BC1" w:rsidRPr="00F076EC" w:rsidRDefault="00370BC1" w:rsidP="00370BC1">
            <w:pPr>
              <w:rPr>
                <w:sz w:val="12"/>
              </w:rPr>
            </w:pPr>
          </w:p>
          <w:p w:rsidR="00370BC1" w:rsidRPr="00F076EC" w:rsidRDefault="00370BC1" w:rsidP="00370BC1">
            <w:pPr>
              <w:rPr>
                <w:sz w:val="12"/>
              </w:rPr>
            </w:pPr>
          </w:p>
          <w:p w:rsidR="00370BC1" w:rsidRPr="00F076EC" w:rsidRDefault="00370BC1" w:rsidP="00370BC1">
            <w:pPr>
              <w:rPr>
                <w:sz w:val="12"/>
              </w:rPr>
            </w:pPr>
          </w:p>
          <w:p w:rsidR="00370BC1" w:rsidRPr="00F076EC" w:rsidRDefault="00370BC1" w:rsidP="00370BC1">
            <w:pPr>
              <w:rPr>
                <w:sz w:val="12"/>
              </w:rPr>
            </w:pPr>
          </w:p>
          <w:p w:rsidR="00370BC1" w:rsidRPr="00F076EC" w:rsidRDefault="00370BC1" w:rsidP="00370BC1">
            <w:pPr>
              <w:rPr>
                <w:sz w:val="12"/>
              </w:rPr>
            </w:pPr>
          </w:p>
          <w:p w:rsidR="00370BC1" w:rsidRPr="00F076EC" w:rsidRDefault="00370BC1" w:rsidP="00370BC1">
            <w:pPr>
              <w:jc w:val="right"/>
              <w:rPr>
                <w:sz w:val="12"/>
              </w:rPr>
            </w:pPr>
            <w:r w:rsidRPr="00F076EC">
              <w:rPr>
                <w:b/>
                <w:spacing w:val="-1"/>
                <w:sz w:val="12"/>
              </w:rPr>
              <w:t>IN REPLY PLEASE REFER TO OUR FILE</w:t>
            </w:r>
          </w:p>
        </w:tc>
      </w:tr>
    </w:tbl>
    <w:p w:rsidR="00370BC1" w:rsidRDefault="000D0B35" w:rsidP="000D0B35">
      <w:pPr>
        <w:jc w:val="center"/>
        <w:rPr>
          <w:sz w:val="24"/>
        </w:rPr>
      </w:pPr>
      <w:r>
        <w:rPr>
          <w:sz w:val="24"/>
        </w:rPr>
        <w:t>March 22, 2017</w:t>
      </w:r>
    </w:p>
    <w:p w:rsidR="00370BC1" w:rsidRDefault="00370BC1" w:rsidP="003C303B">
      <w:pPr>
        <w:jc w:val="right"/>
        <w:rPr>
          <w:sz w:val="24"/>
        </w:rPr>
      </w:pPr>
    </w:p>
    <w:p w:rsidR="00370BC1" w:rsidRDefault="00370BC1" w:rsidP="003C303B">
      <w:pPr>
        <w:jc w:val="right"/>
        <w:rPr>
          <w:sz w:val="24"/>
        </w:rPr>
      </w:pPr>
    </w:p>
    <w:p w:rsidR="003C303B" w:rsidRPr="005A2E8F" w:rsidRDefault="003C303B" w:rsidP="003C303B">
      <w:pPr>
        <w:jc w:val="right"/>
        <w:rPr>
          <w:sz w:val="24"/>
        </w:rPr>
      </w:pPr>
      <w:r>
        <w:rPr>
          <w:sz w:val="24"/>
        </w:rPr>
        <w:t xml:space="preserve">Docket </w:t>
      </w:r>
      <w:r w:rsidRPr="005A2E8F">
        <w:rPr>
          <w:sz w:val="24"/>
        </w:rPr>
        <w:t xml:space="preserve">No: </w:t>
      </w:r>
      <w:r w:rsidR="007178D3">
        <w:rPr>
          <w:sz w:val="24"/>
        </w:rPr>
        <w:t>A-</w:t>
      </w:r>
      <w:r w:rsidR="001A2F10">
        <w:rPr>
          <w:sz w:val="24"/>
        </w:rPr>
        <w:t>2012-2387060</w:t>
      </w:r>
    </w:p>
    <w:p w:rsidR="003C303B" w:rsidRPr="005A2E8F" w:rsidRDefault="003C303B" w:rsidP="003C303B">
      <w:pPr>
        <w:jc w:val="right"/>
        <w:rPr>
          <w:sz w:val="24"/>
        </w:rPr>
      </w:pPr>
      <w:r w:rsidRPr="005A2E8F">
        <w:rPr>
          <w:sz w:val="24"/>
        </w:rPr>
        <w:t xml:space="preserve">Utility Code: </w:t>
      </w:r>
      <w:r w:rsidR="001A2F10">
        <w:rPr>
          <w:sz w:val="24"/>
        </w:rPr>
        <w:t>1116051</w:t>
      </w:r>
    </w:p>
    <w:p w:rsidR="003C303B" w:rsidRPr="005A2E8F" w:rsidRDefault="003C303B" w:rsidP="000D0692">
      <w:pPr>
        <w:rPr>
          <w:b/>
          <w:sz w:val="24"/>
          <w:u w:val="single"/>
        </w:rPr>
      </w:pPr>
    </w:p>
    <w:p w:rsidR="00F076EC" w:rsidRPr="005A2E8F" w:rsidRDefault="000A2278" w:rsidP="000D0692">
      <w:pPr>
        <w:rPr>
          <w:b/>
          <w:sz w:val="24"/>
        </w:rPr>
      </w:pPr>
      <w:r w:rsidRPr="005A2E8F">
        <w:rPr>
          <w:b/>
          <w:sz w:val="24"/>
          <w:u w:val="single"/>
        </w:rPr>
        <w:t>CERTIFIED</w:t>
      </w:r>
      <w:r w:rsidRPr="005A2E8F">
        <w:rPr>
          <w:b/>
          <w:sz w:val="24"/>
        </w:rPr>
        <w:tab/>
      </w:r>
    </w:p>
    <w:p w:rsidR="003C303B" w:rsidRPr="005A2E8F" w:rsidRDefault="003C303B" w:rsidP="000D0692">
      <w:pPr>
        <w:rPr>
          <w:b/>
          <w:sz w:val="24"/>
        </w:rPr>
      </w:pPr>
    </w:p>
    <w:p w:rsidR="00305091" w:rsidRPr="00305091" w:rsidRDefault="001A2F10" w:rsidP="003C303B">
      <w:pPr>
        <w:rPr>
          <w:sz w:val="24"/>
          <w:szCs w:val="24"/>
        </w:rPr>
      </w:pPr>
      <w:r>
        <w:rPr>
          <w:sz w:val="24"/>
          <w:szCs w:val="24"/>
        </w:rPr>
        <w:t>FRONTIER UTILITIES NORTHEAST LLC</w:t>
      </w:r>
    </w:p>
    <w:p w:rsidR="003C303B" w:rsidRPr="00305091" w:rsidRDefault="001A2F10" w:rsidP="003C303B">
      <w:pPr>
        <w:rPr>
          <w:sz w:val="24"/>
          <w:szCs w:val="24"/>
        </w:rPr>
      </w:pPr>
      <w:r>
        <w:rPr>
          <w:sz w:val="24"/>
          <w:szCs w:val="24"/>
        </w:rPr>
        <w:t>5161 SAN FELIPE STE 320</w:t>
      </w:r>
    </w:p>
    <w:p w:rsidR="003C303B" w:rsidRDefault="001A2F10" w:rsidP="003C303B">
      <w:pPr>
        <w:rPr>
          <w:sz w:val="24"/>
          <w:szCs w:val="24"/>
        </w:rPr>
      </w:pPr>
      <w:r>
        <w:rPr>
          <w:sz w:val="24"/>
          <w:szCs w:val="24"/>
        </w:rPr>
        <w:t>HOUSTON TX 77056</w:t>
      </w:r>
    </w:p>
    <w:p w:rsidR="00370BC1" w:rsidRPr="005A2E8F" w:rsidRDefault="00370BC1" w:rsidP="003C303B">
      <w:pPr>
        <w:rPr>
          <w:sz w:val="24"/>
          <w:szCs w:val="24"/>
        </w:rPr>
      </w:pP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5F536A" w:rsidP="00F076EC">
      <w:pPr>
        <w:ind w:firstLine="360"/>
        <w:rPr>
          <w:b/>
          <w:sz w:val="24"/>
          <w:szCs w:val="24"/>
        </w:rPr>
      </w:pPr>
      <w:r>
        <w:rPr>
          <w:sz w:val="24"/>
          <w:szCs w:val="24"/>
        </w:rPr>
        <w:tab/>
      </w:r>
      <w:r w:rsidR="00F076EC" w:rsidRPr="00F076EC">
        <w:rPr>
          <w:sz w:val="24"/>
          <w:szCs w:val="24"/>
        </w:rPr>
        <w:t xml:space="preserve">Please be advised that </w:t>
      </w:r>
      <w:r w:rsidR="00F076EC" w:rsidRPr="00F076EC">
        <w:rPr>
          <w:b/>
          <w:sz w:val="24"/>
          <w:szCs w:val="24"/>
          <w:u w:val="single"/>
        </w:rPr>
        <w:t>within 30 days of the date of this letter</w:t>
      </w:r>
      <w:r w:rsidR="00F076EC" w:rsidRPr="00F076EC">
        <w:rPr>
          <w:sz w:val="24"/>
          <w:szCs w:val="24"/>
        </w:rPr>
        <w:t xml:space="preserve">, </w:t>
      </w:r>
      <w:r w:rsidR="00FE0DB4">
        <w:rPr>
          <w:sz w:val="24"/>
          <w:szCs w:val="24"/>
        </w:rPr>
        <w:t>you</w:t>
      </w:r>
      <w:r w:rsidR="00F076EC" w:rsidRPr="00F076EC">
        <w:rPr>
          <w:sz w:val="24"/>
          <w:szCs w:val="24"/>
        </w:rPr>
        <w:t xml:space="preserve"> </w:t>
      </w:r>
      <w:r w:rsidR="00F076EC" w:rsidRPr="00F076EC">
        <w:rPr>
          <w:b/>
          <w:sz w:val="24"/>
          <w:szCs w:val="24"/>
          <w:u w:val="single"/>
        </w:rPr>
        <w:t>MUST</w:t>
      </w:r>
      <w:r w:rsidR="00F076EC" w:rsidRPr="00F076EC">
        <w:rPr>
          <w:b/>
          <w:sz w:val="24"/>
          <w:szCs w:val="24"/>
        </w:rPr>
        <w:t xml:space="preserve"> </w:t>
      </w:r>
      <w:r w:rsidR="00F076EC" w:rsidRPr="00F076EC">
        <w:rPr>
          <w:sz w:val="24"/>
          <w:szCs w:val="24"/>
        </w:rPr>
        <w:t xml:space="preserve">file with the Commission an </w:t>
      </w:r>
      <w:r w:rsidR="00F076EC" w:rsidRPr="00F076EC">
        <w:rPr>
          <w:b/>
          <w:sz w:val="24"/>
          <w:szCs w:val="24"/>
          <w:u w:val="single"/>
        </w:rPr>
        <w:t>ORIGINAL</w:t>
      </w:r>
      <w:r w:rsidR="00F076EC" w:rsidRPr="00F076EC">
        <w:rPr>
          <w:sz w:val="24"/>
          <w:szCs w:val="24"/>
        </w:rPr>
        <w:t xml:space="preserve"> amendment or rider.  </w:t>
      </w:r>
      <w:r w:rsidR="00F076EC"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Default="005F536A" w:rsidP="005F536A">
      <w:pPr>
        <w:ind w:firstLine="360"/>
        <w:rPr>
          <w:sz w:val="24"/>
          <w:szCs w:val="24"/>
        </w:rPr>
      </w:pPr>
      <w:r>
        <w:rPr>
          <w:sz w:val="24"/>
          <w:szCs w:val="24"/>
        </w:rPr>
        <w:tab/>
      </w:r>
      <w:r w:rsidR="0028110C"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5F536A" w:rsidRPr="009021DB" w:rsidRDefault="005F536A" w:rsidP="005F536A">
      <w:pPr>
        <w:ind w:firstLine="360"/>
        <w:rPr>
          <w:sz w:val="24"/>
          <w:szCs w:val="24"/>
        </w:rPr>
      </w:pPr>
    </w:p>
    <w:p w:rsidR="0028110C" w:rsidRPr="009021DB" w:rsidRDefault="005F536A" w:rsidP="009021DB">
      <w:pPr>
        <w:ind w:firstLine="360"/>
        <w:rPr>
          <w:sz w:val="24"/>
          <w:szCs w:val="24"/>
        </w:rPr>
      </w:pPr>
      <w:r>
        <w:rPr>
          <w:rFonts w:eastAsiaTheme="minorHAnsi"/>
          <w:sz w:val="24"/>
          <w:szCs w:val="24"/>
        </w:rPr>
        <w:tab/>
      </w:r>
      <w:r w:rsidR="0028110C" w:rsidRPr="009021DB">
        <w:rPr>
          <w:rFonts w:eastAsiaTheme="minorHAnsi"/>
          <w:sz w:val="24"/>
          <w:szCs w:val="24"/>
        </w:rPr>
        <w:t xml:space="preserve">The name of the principal on the original financial instrument must </w:t>
      </w:r>
      <w:r w:rsidR="0028110C" w:rsidRPr="009021DB">
        <w:rPr>
          <w:rFonts w:eastAsiaTheme="minorHAnsi"/>
          <w:b/>
          <w:sz w:val="24"/>
          <w:szCs w:val="24"/>
          <w:u w:val="single"/>
        </w:rPr>
        <w:t>match exactly</w:t>
      </w:r>
      <w:r w:rsidR="0028110C"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0028110C" w:rsidRPr="009021DB">
        <w:rPr>
          <w:rFonts w:eastAsiaTheme="minorHAnsi"/>
          <w:sz w:val="24"/>
          <w:szCs w:val="24"/>
        </w:rPr>
        <w:t xml:space="preserve">by the Commission.  If you are not sure of the correct name on your PUC license, you may review it </w:t>
      </w:r>
      <w:r w:rsidR="0028110C" w:rsidRPr="009021DB">
        <w:rPr>
          <w:rFonts w:eastAsiaTheme="minorHAnsi"/>
          <w:sz w:val="24"/>
          <w:szCs w:val="24"/>
        </w:rPr>
        <w:lastRenderedPageBreak/>
        <w:t xml:space="preserve">online </w:t>
      </w:r>
      <w:r w:rsidR="000563F5" w:rsidRPr="009021DB">
        <w:rPr>
          <w:rFonts w:eastAsiaTheme="minorHAnsi"/>
          <w:sz w:val="24"/>
          <w:szCs w:val="24"/>
        </w:rPr>
        <w:t>at</w:t>
      </w:r>
      <w:r w:rsidR="0028110C"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0028110C"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0028110C"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5F536A" w:rsidP="009021DB">
      <w:pPr>
        <w:tabs>
          <w:tab w:val="left" w:pos="360"/>
        </w:tabs>
        <w:rPr>
          <w:sz w:val="24"/>
          <w:szCs w:val="24"/>
        </w:rPr>
      </w:pPr>
      <w:r>
        <w:rPr>
          <w:sz w:val="24"/>
          <w:szCs w:val="24"/>
        </w:rPr>
        <w:tab/>
      </w:r>
      <w:r w:rsidR="009021DB" w:rsidRPr="009021DB">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009021DB"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5F536A"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370BC1" w:rsidP="00370BC1">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Rosemary Chiavetta, Secretary</w:t>
      </w:r>
    </w:p>
    <w:p w:rsidR="000563F5" w:rsidRPr="009021DB" w:rsidRDefault="00370BC1" w:rsidP="00370BC1">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Pennsylvania Public Utility Commission</w:t>
      </w:r>
    </w:p>
    <w:p w:rsidR="000563F5" w:rsidRPr="009021DB" w:rsidRDefault="00370BC1" w:rsidP="00370BC1">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400 North Street</w:t>
      </w:r>
    </w:p>
    <w:p w:rsidR="000563F5" w:rsidRPr="009021DB" w:rsidRDefault="00370BC1" w:rsidP="00370BC1">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Harrisburg, Pennsylvania 17120</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0D0B35"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569539ED" wp14:editId="35DC0DB1">
            <wp:simplePos x="0" y="0"/>
            <wp:positionH relativeFrom="column">
              <wp:posOffset>3552825</wp:posOffset>
            </wp:positionH>
            <wp:positionV relativeFrom="paragraph">
              <wp:posOffset>57785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bookmarkStart w:id="0" w:name="_GoBack"/>
      <w:bookmarkEnd w:id="0"/>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370BC1" w:rsidRDefault="00370BC1">
      <w:pPr>
        <w:rPr>
          <w:sz w:val="24"/>
          <w:szCs w:val="24"/>
        </w:rPr>
      </w:pPr>
      <w:r>
        <w:rPr>
          <w:sz w:val="24"/>
          <w:szCs w:val="24"/>
        </w:rPr>
        <w:br w:type="page"/>
      </w:r>
    </w:p>
    <w:p w:rsidR="00370BC1" w:rsidRDefault="00370BC1" w:rsidP="000D0692">
      <w:pPr>
        <w:tabs>
          <w:tab w:val="left" w:pos="720"/>
          <w:tab w:val="left" w:pos="5040"/>
        </w:tabs>
        <w:rPr>
          <w:sz w:val="24"/>
          <w:szCs w:val="24"/>
        </w:rPr>
        <w:sectPr w:rsidR="00370BC1" w:rsidSect="00370BC1">
          <w:footerReference w:type="default" r:id="rId13"/>
          <w:type w:val="continuous"/>
          <w:pgSz w:w="12240" w:h="15840" w:code="1"/>
          <w:pgMar w:top="1440" w:right="1440" w:bottom="1440" w:left="1440" w:header="0" w:footer="432" w:gutter="0"/>
          <w:pgNumType w:start="1"/>
          <w:cols w:space="720"/>
          <w:docGrid w:linePitch="326"/>
        </w:sect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370BC1">
          <w:pgSz w:w="12240" w:h="15840" w:code="1"/>
          <w:pgMar w:top="1440" w:right="1440" w:bottom="1440" w:left="144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w:t>
      </w:r>
      <w:r w:rsidRPr="005A2E8F">
        <w:rPr>
          <w:sz w:val="24"/>
          <w:szCs w:val="24"/>
          <w:highlight w:val="yellow"/>
        </w:rPr>
        <w:t>fulfill its payment of the annual fees, adhere to the requirements of the Alternative Energy Portfolio Standards Act,</w:t>
      </w:r>
      <w:r w:rsidRPr="009021DB">
        <w:rPr>
          <w:sz w:val="24"/>
          <w:szCs w:val="24"/>
        </w:rPr>
        <w:t xml:space="preserve">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370BC1" w:rsidRDefault="009021DB" w:rsidP="009021DB">
      <w:pPr>
        <w:tabs>
          <w:tab w:val="left" w:pos="7650"/>
        </w:tabs>
        <w:rPr>
          <w:b/>
          <w:sz w:val="24"/>
          <w:szCs w:val="24"/>
        </w:rPr>
        <w:sectPr w:rsidR="00370BC1"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370BC1">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370BC1" w:rsidRDefault="00370BC1"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2A" w:rsidRDefault="00A35B2A">
      <w:r>
        <w:separator/>
      </w:r>
    </w:p>
  </w:endnote>
  <w:endnote w:type="continuationSeparator" w:id="0">
    <w:p w:rsidR="00A35B2A" w:rsidRDefault="00A3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0D0B35">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0D0B35">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D0B35">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2A" w:rsidRDefault="00A35B2A">
      <w:r>
        <w:separator/>
      </w:r>
    </w:p>
  </w:footnote>
  <w:footnote w:type="continuationSeparator" w:id="0">
    <w:p w:rsidR="00A35B2A" w:rsidRDefault="00A35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D0B35"/>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2F10"/>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091"/>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0BC1"/>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4826"/>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A2E8F"/>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36A"/>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756E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178D3"/>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35B2A"/>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0894"/>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F45"/>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C34-2903-40E4-8D18-C069210F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16384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2016-09-27T18:01:00Z</cp:lastPrinted>
  <dcterms:created xsi:type="dcterms:W3CDTF">2017-03-17T14:58:00Z</dcterms:created>
  <dcterms:modified xsi:type="dcterms:W3CDTF">2017-03-22T17:56:00Z</dcterms:modified>
</cp:coreProperties>
</file>