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7B18B3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91656" w:rsidRPr="00C91656" w:rsidRDefault="00C91656" w:rsidP="002A0F4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:rsidR="00C91656" w:rsidRDefault="000378ED" w:rsidP="000378E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23, 2017</w:t>
      </w:r>
    </w:p>
    <w:p w:rsidR="000378ED" w:rsidRDefault="000378ED" w:rsidP="000378ED">
      <w:pPr>
        <w:suppressAutoHyphens/>
        <w:jc w:val="center"/>
        <w:rPr>
          <w:rFonts w:ascii="Arial" w:hAnsi="Arial" w:cs="Arial"/>
          <w:b/>
          <w:szCs w:val="24"/>
        </w:rPr>
      </w:pPr>
    </w:p>
    <w:p w:rsidR="000378ED" w:rsidRDefault="000378ED" w:rsidP="000378ED">
      <w:pPr>
        <w:suppressAutoHyphens/>
        <w:jc w:val="center"/>
        <w:rPr>
          <w:rFonts w:ascii="Arial" w:hAnsi="Arial" w:cs="Arial"/>
          <w:b/>
          <w:szCs w:val="24"/>
        </w:rPr>
      </w:pPr>
    </w:p>
    <w:p w:rsidR="00ED37BB" w:rsidRPr="00FF56B8" w:rsidRDefault="000F01D3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 xml:space="preserve">MR </w:t>
      </w:r>
      <w:r w:rsidR="00BB5428" w:rsidRPr="00FF56B8">
        <w:rPr>
          <w:rFonts w:ascii="Arial" w:hAnsi="Arial" w:cs="Arial"/>
          <w:b/>
          <w:szCs w:val="24"/>
        </w:rPr>
        <w:t>JOHN COX</w:t>
      </w:r>
    </w:p>
    <w:p w:rsidR="00ED37BB" w:rsidRPr="00FF56B8" w:rsidRDefault="009970E4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</w:t>
      </w:r>
      <w:r w:rsidR="0050509E" w:rsidRPr="00FF56B8">
        <w:rPr>
          <w:rFonts w:ascii="Arial" w:hAnsi="Arial" w:cs="Arial"/>
          <w:b/>
          <w:szCs w:val="24"/>
        </w:rPr>
        <w:t xml:space="preserve"> OF RATES AND REGULATIONS</w:t>
      </w:r>
    </w:p>
    <w:p w:rsidR="0050509E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PENNSYLVANIA AMERICAN WATER COMPANY</w:t>
      </w:r>
    </w:p>
    <w:p w:rsidR="00ED37BB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800 WEST HERSHEY PARK DRIVE</w:t>
      </w:r>
    </w:p>
    <w:p w:rsidR="003D4173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HERSHEY PA 17033</w:t>
      </w:r>
    </w:p>
    <w:p w:rsidR="003D4173" w:rsidRPr="000C0345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50509E" w:rsidRPr="0050509E">
        <w:rPr>
          <w:rFonts w:ascii="Arial" w:hAnsi="Arial" w:cs="Arial"/>
          <w:b/>
          <w:szCs w:val="24"/>
        </w:rPr>
        <w:t>Pennsylvania American Water Company</w:t>
      </w:r>
      <w:r w:rsidR="00050320">
        <w:rPr>
          <w:rFonts w:ascii="Arial" w:hAnsi="Arial" w:cs="Arial"/>
          <w:b/>
          <w:szCs w:val="24"/>
        </w:rPr>
        <w:t xml:space="preserve"> – </w:t>
      </w:r>
      <w:r w:rsidR="00D84210">
        <w:rPr>
          <w:rFonts w:ascii="Arial" w:hAnsi="Arial" w:cs="Arial"/>
          <w:b/>
          <w:szCs w:val="24"/>
        </w:rPr>
        <w:t>Waste</w:t>
      </w:r>
      <w:r w:rsidR="00AE1316">
        <w:rPr>
          <w:rFonts w:ascii="Arial" w:hAnsi="Arial" w:cs="Arial"/>
          <w:b/>
          <w:szCs w:val="24"/>
        </w:rPr>
        <w:t>w</w:t>
      </w:r>
      <w:r w:rsidR="00D84210">
        <w:rPr>
          <w:rFonts w:ascii="Arial" w:hAnsi="Arial" w:cs="Arial"/>
          <w:b/>
          <w:szCs w:val="24"/>
        </w:rPr>
        <w:t>ater Division</w:t>
      </w:r>
    </w:p>
    <w:p w:rsidR="003D41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716633">
        <w:rPr>
          <w:rFonts w:ascii="Arial" w:hAnsi="Arial" w:cs="Arial"/>
          <w:b/>
          <w:szCs w:val="24"/>
        </w:rPr>
        <w:t>April</w:t>
      </w:r>
      <w:r w:rsidR="00C91656">
        <w:rPr>
          <w:rFonts w:ascii="Arial" w:hAnsi="Arial" w:cs="Arial"/>
          <w:b/>
          <w:szCs w:val="24"/>
        </w:rPr>
        <w:t xml:space="preserve"> </w:t>
      </w:r>
      <w:r w:rsidR="00732EFD">
        <w:rPr>
          <w:rFonts w:ascii="Arial" w:hAnsi="Arial" w:cs="Arial"/>
          <w:b/>
          <w:szCs w:val="24"/>
        </w:rPr>
        <w:t>1, 201</w:t>
      </w:r>
      <w:r w:rsidR="00C91656">
        <w:rPr>
          <w:rFonts w:ascii="Arial" w:hAnsi="Arial" w:cs="Arial"/>
          <w:b/>
          <w:szCs w:val="24"/>
        </w:rPr>
        <w:t>7</w:t>
      </w:r>
    </w:p>
    <w:p w:rsidR="00ED37BB" w:rsidRPr="008336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833673">
        <w:rPr>
          <w:rFonts w:ascii="Arial" w:hAnsi="Arial" w:cs="Arial"/>
          <w:b/>
          <w:szCs w:val="24"/>
        </w:rPr>
        <w:t>M-201</w:t>
      </w:r>
      <w:r w:rsidR="00716633">
        <w:rPr>
          <w:rFonts w:ascii="Arial" w:hAnsi="Arial" w:cs="Arial"/>
          <w:b/>
          <w:szCs w:val="24"/>
        </w:rPr>
        <w:t>7</w:t>
      </w:r>
      <w:r w:rsidRPr="00833673">
        <w:rPr>
          <w:rFonts w:ascii="Arial" w:hAnsi="Arial" w:cs="Arial"/>
          <w:b/>
          <w:szCs w:val="24"/>
        </w:rPr>
        <w:t>-</w:t>
      </w:r>
      <w:r w:rsidR="00E81558">
        <w:rPr>
          <w:rFonts w:ascii="Arial" w:hAnsi="Arial" w:cs="Arial"/>
          <w:b/>
          <w:szCs w:val="24"/>
        </w:rPr>
        <w:t>25</w:t>
      </w:r>
      <w:r w:rsidR="00716633">
        <w:rPr>
          <w:rFonts w:ascii="Arial" w:hAnsi="Arial" w:cs="Arial"/>
          <w:b/>
          <w:szCs w:val="24"/>
        </w:rPr>
        <w:t>94482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F01D3">
        <w:rPr>
          <w:rFonts w:ascii="Arial" w:hAnsi="Arial" w:cs="Arial"/>
          <w:szCs w:val="24"/>
        </w:rPr>
        <w:t>Mr.</w:t>
      </w:r>
      <w:r w:rsidR="0050509E">
        <w:rPr>
          <w:rFonts w:ascii="Arial" w:hAnsi="Arial" w:cs="Arial"/>
          <w:szCs w:val="24"/>
        </w:rPr>
        <w:t xml:space="preserve"> </w:t>
      </w:r>
      <w:r w:rsidR="00BB5428">
        <w:rPr>
          <w:rFonts w:ascii="Arial" w:hAnsi="Arial" w:cs="Arial"/>
          <w:szCs w:val="24"/>
        </w:rPr>
        <w:t>Cox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9D6426">
        <w:rPr>
          <w:rFonts w:ascii="Arial" w:hAnsi="Arial" w:cs="Arial"/>
          <w:szCs w:val="24"/>
        </w:rPr>
        <w:t>the quarterly Distribution System Improvement Charge (DSIC)</w:t>
      </w:r>
      <w:r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filing </w:t>
      </w:r>
      <w:r w:rsidR="00137E7C">
        <w:rPr>
          <w:rFonts w:ascii="Arial" w:hAnsi="Arial" w:cs="Arial"/>
          <w:szCs w:val="24"/>
        </w:rPr>
        <w:t>submitted on</w:t>
      </w:r>
      <w:r w:rsidR="00C91656">
        <w:rPr>
          <w:rFonts w:ascii="Arial" w:hAnsi="Arial" w:cs="Arial"/>
          <w:szCs w:val="24"/>
        </w:rPr>
        <w:t xml:space="preserve"> </w:t>
      </w:r>
      <w:r w:rsidR="00716633">
        <w:rPr>
          <w:rFonts w:ascii="Arial" w:hAnsi="Arial" w:cs="Arial"/>
          <w:szCs w:val="24"/>
        </w:rPr>
        <w:t>March 20, 2017</w:t>
      </w:r>
      <w:r w:rsidR="009D6426">
        <w:rPr>
          <w:rFonts w:ascii="Arial" w:hAnsi="Arial" w:cs="Arial"/>
          <w:szCs w:val="24"/>
        </w:rPr>
        <w:t xml:space="preserve">. </w:t>
      </w:r>
      <w:r w:rsidR="00B31B83"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In the filing, the Company is not proposing to </w:t>
      </w:r>
      <w:r w:rsidR="00B31B83">
        <w:rPr>
          <w:rFonts w:ascii="Arial" w:hAnsi="Arial" w:cs="Arial"/>
          <w:szCs w:val="24"/>
        </w:rPr>
        <w:t>revise its current DSIC rate</w:t>
      </w:r>
      <w:r w:rsidR="006D6ECC">
        <w:rPr>
          <w:rFonts w:ascii="Arial" w:hAnsi="Arial" w:cs="Arial"/>
          <w:szCs w:val="24"/>
        </w:rPr>
        <w:t xml:space="preserve"> of 5.00%</w:t>
      </w:r>
      <w:r w:rsidR="0069269D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E31D1D" w:rsidRDefault="00A74111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</w:p>
    <w:p w:rsidR="00B713EA" w:rsidRDefault="00940497" w:rsidP="00E31D1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th</w:t>
      </w:r>
      <w:r w:rsidR="00E31D1D">
        <w:rPr>
          <w:rFonts w:ascii="Arial" w:hAnsi="Arial" w:cs="Arial"/>
          <w:szCs w:val="24"/>
        </w:rPr>
        <w:t>ree-</w:t>
      </w:r>
      <w:r w:rsidR="00B713EA" w:rsidRPr="0025518D">
        <w:rPr>
          <w:rFonts w:ascii="Arial" w:hAnsi="Arial" w:cs="Arial"/>
          <w:szCs w:val="24"/>
        </w:rPr>
        <w:t>month</w:t>
      </w:r>
      <w:proofErr w:type="gramEnd"/>
      <w:r w:rsidR="00B713EA" w:rsidRPr="0025518D">
        <w:rPr>
          <w:rFonts w:ascii="Arial" w:hAnsi="Arial" w:cs="Arial"/>
          <w:szCs w:val="24"/>
        </w:rPr>
        <w:t xml:space="preserve"> period of </w:t>
      </w:r>
      <w:r w:rsidR="00716633">
        <w:rPr>
          <w:rFonts w:ascii="Arial" w:hAnsi="Arial" w:cs="Arial"/>
          <w:szCs w:val="24"/>
        </w:rPr>
        <w:t>April</w:t>
      </w:r>
      <w:r w:rsidR="00C916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1, 201</w:t>
      </w:r>
      <w:r w:rsidR="00C9165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through </w:t>
      </w:r>
      <w:r w:rsidR="00716633">
        <w:rPr>
          <w:rFonts w:ascii="Arial" w:hAnsi="Arial" w:cs="Arial"/>
          <w:szCs w:val="24"/>
        </w:rPr>
        <w:t xml:space="preserve">June </w:t>
      </w:r>
      <w:r w:rsidR="00732EFD">
        <w:rPr>
          <w:rFonts w:ascii="Arial" w:hAnsi="Arial" w:cs="Arial"/>
          <w:szCs w:val="24"/>
        </w:rPr>
        <w:t>3</w:t>
      </w:r>
      <w:r w:rsidR="00716633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, </w:t>
      </w:r>
      <w:r w:rsidRPr="00833673">
        <w:rPr>
          <w:rFonts w:ascii="Arial" w:hAnsi="Arial" w:cs="Arial"/>
          <w:szCs w:val="24"/>
        </w:rPr>
        <w:t>201</w:t>
      </w:r>
      <w:r w:rsidR="00C91656">
        <w:rPr>
          <w:rFonts w:ascii="Arial" w:hAnsi="Arial" w:cs="Arial"/>
          <w:szCs w:val="24"/>
        </w:rPr>
        <w:t>7</w:t>
      </w:r>
      <w:r w:rsidR="00A74111"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A74111">
        <w:rPr>
          <w:rFonts w:ascii="Arial" w:hAnsi="Arial" w:cs="Arial"/>
          <w:szCs w:val="24"/>
        </w:rPr>
        <w:t xml:space="preserve"> consistent with the tariff and, accordingly, </w:t>
      </w:r>
      <w:r w:rsidR="00B60AF5">
        <w:rPr>
          <w:rFonts w:ascii="Arial" w:hAnsi="Arial" w:cs="Arial"/>
          <w:szCs w:val="24"/>
        </w:rPr>
        <w:t>is</w:t>
      </w:r>
      <w:r w:rsidR="00A74111"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940497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9970E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proofErr w:type="gramStart"/>
      <w:r w:rsidR="00940497">
        <w:rPr>
          <w:rFonts w:ascii="Arial" w:hAnsi="Arial" w:cs="Arial"/>
          <w:szCs w:val="24"/>
        </w:rPr>
        <w:t>M-201</w:t>
      </w:r>
      <w:r w:rsidR="00716633">
        <w:rPr>
          <w:rFonts w:ascii="Arial" w:hAnsi="Arial" w:cs="Arial"/>
          <w:szCs w:val="24"/>
        </w:rPr>
        <w:t>7</w:t>
      </w:r>
      <w:r w:rsidR="00940497">
        <w:rPr>
          <w:rFonts w:ascii="Arial" w:hAnsi="Arial" w:cs="Arial"/>
          <w:szCs w:val="24"/>
        </w:rPr>
        <w:t>-</w:t>
      </w:r>
      <w:r w:rsidR="00E81558">
        <w:rPr>
          <w:rFonts w:ascii="Arial" w:hAnsi="Arial" w:cs="Arial"/>
          <w:szCs w:val="24"/>
        </w:rPr>
        <w:t>25</w:t>
      </w:r>
      <w:r w:rsidR="00716633">
        <w:rPr>
          <w:rFonts w:ascii="Arial" w:hAnsi="Arial" w:cs="Arial"/>
          <w:szCs w:val="24"/>
        </w:rPr>
        <w:t>94482</w:t>
      </w:r>
      <w:r w:rsidR="00BB5428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FF56B8" w:rsidRDefault="000378ED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29FA85" wp14:editId="257C8C85">
            <wp:simplePos x="0" y="0"/>
            <wp:positionH relativeFrom="column">
              <wp:posOffset>2845435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00199B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432C8E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716633">
        <w:rPr>
          <w:rFonts w:ascii="Arial" w:hAnsi="Arial" w:cs="Arial"/>
          <w:szCs w:val="24"/>
        </w:rPr>
        <w:t>Jacob Fultz</w:t>
      </w:r>
    </w:p>
    <w:p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940497" w:rsidRPr="00833673">
        <w:rPr>
          <w:rFonts w:ascii="Arial" w:hAnsi="Arial" w:cs="Arial"/>
          <w:szCs w:val="24"/>
        </w:rPr>
        <w:t>717-</w:t>
      </w:r>
      <w:r w:rsidR="00431D44">
        <w:rPr>
          <w:rFonts w:ascii="Arial" w:hAnsi="Arial" w:cs="Arial"/>
          <w:szCs w:val="24"/>
        </w:rPr>
        <w:t>772-</w:t>
      </w:r>
      <w:r w:rsidR="00716633">
        <w:rPr>
          <w:rFonts w:ascii="Arial" w:hAnsi="Arial" w:cs="Arial"/>
          <w:szCs w:val="24"/>
        </w:rPr>
        <w:t>0314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378ED"/>
    <w:rsid w:val="00040568"/>
    <w:rsid w:val="00043A77"/>
    <w:rsid w:val="00050320"/>
    <w:rsid w:val="00083E52"/>
    <w:rsid w:val="00087F98"/>
    <w:rsid w:val="000A62DE"/>
    <w:rsid w:val="000B4778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60E6F"/>
    <w:rsid w:val="00663400"/>
    <w:rsid w:val="006649CC"/>
    <w:rsid w:val="00680870"/>
    <w:rsid w:val="0069269D"/>
    <w:rsid w:val="006D4A74"/>
    <w:rsid w:val="006D6572"/>
    <w:rsid w:val="006D6ECC"/>
    <w:rsid w:val="006D75BA"/>
    <w:rsid w:val="006E0AD8"/>
    <w:rsid w:val="006E66FD"/>
    <w:rsid w:val="006F23ED"/>
    <w:rsid w:val="006F4039"/>
    <w:rsid w:val="00700D9C"/>
    <w:rsid w:val="007037FC"/>
    <w:rsid w:val="00706E8C"/>
    <w:rsid w:val="00712BC4"/>
    <w:rsid w:val="00716633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8F5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970E4"/>
    <w:rsid w:val="009A1FC4"/>
    <w:rsid w:val="009A5B90"/>
    <w:rsid w:val="009A79BE"/>
    <w:rsid w:val="009B1636"/>
    <w:rsid w:val="009B30D9"/>
    <w:rsid w:val="009B70E7"/>
    <w:rsid w:val="009D6426"/>
    <w:rsid w:val="009F1E30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31B83"/>
    <w:rsid w:val="00B34235"/>
    <w:rsid w:val="00B53410"/>
    <w:rsid w:val="00B6091C"/>
    <w:rsid w:val="00B60AF5"/>
    <w:rsid w:val="00B655D7"/>
    <w:rsid w:val="00B713EA"/>
    <w:rsid w:val="00B83769"/>
    <w:rsid w:val="00B87CD7"/>
    <w:rsid w:val="00B9560F"/>
    <w:rsid w:val="00B96F68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31D1D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11</cp:revision>
  <cp:lastPrinted>2017-03-23T17:27:00Z</cp:lastPrinted>
  <dcterms:created xsi:type="dcterms:W3CDTF">2016-12-15T19:27:00Z</dcterms:created>
  <dcterms:modified xsi:type="dcterms:W3CDTF">2017-03-23T17:27:00Z</dcterms:modified>
</cp:coreProperties>
</file>