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CC7" w:rsidRDefault="005E7CC7" w:rsidP="005E7CC7">
      <w:pPr>
        <w:pStyle w:val="Title"/>
        <w:tabs>
          <w:tab w:val="clear" w:pos="360"/>
          <w:tab w:val="left" w:pos="0"/>
        </w:tabs>
      </w:pPr>
      <w:r>
        <w:t>BEFORE THE</w:t>
      </w:r>
    </w:p>
    <w:p w:rsidR="005E7CC7" w:rsidRDefault="005E7CC7" w:rsidP="005E7CC7">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5E7CC7" w:rsidRDefault="005E7CC7" w:rsidP="005E7CC7">
      <w:pPr>
        <w:tabs>
          <w:tab w:val="left" w:pos="0"/>
        </w:tabs>
        <w:spacing w:line="233" w:lineRule="auto"/>
        <w:jc w:val="both"/>
        <w:rPr>
          <w:b/>
          <w:sz w:val="24"/>
        </w:rPr>
      </w:pPr>
    </w:p>
    <w:p w:rsidR="005E7CC7" w:rsidRDefault="005E7CC7" w:rsidP="005E7CC7">
      <w:pPr>
        <w:tabs>
          <w:tab w:val="left" w:pos="0"/>
        </w:tabs>
        <w:spacing w:line="233" w:lineRule="auto"/>
        <w:jc w:val="both"/>
        <w:rPr>
          <w:b/>
          <w:sz w:val="24"/>
        </w:rPr>
      </w:pPr>
    </w:p>
    <w:p w:rsidR="00614219" w:rsidRDefault="00614219" w:rsidP="005E7CC7">
      <w:pPr>
        <w:tabs>
          <w:tab w:val="left" w:pos="0"/>
        </w:tabs>
        <w:spacing w:line="233" w:lineRule="auto"/>
        <w:jc w:val="both"/>
        <w:rPr>
          <w:sz w:val="24"/>
        </w:rPr>
      </w:pPr>
    </w:p>
    <w:p w:rsidR="005E7CC7" w:rsidRDefault="00F20704" w:rsidP="005E7CC7">
      <w:pPr>
        <w:tabs>
          <w:tab w:val="left" w:pos="0"/>
        </w:tabs>
        <w:spacing w:line="233" w:lineRule="auto"/>
        <w:jc w:val="both"/>
        <w:rPr>
          <w:sz w:val="24"/>
        </w:rPr>
      </w:pPr>
      <w:r>
        <w:rPr>
          <w:sz w:val="24"/>
        </w:rPr>
        <w:t xml:space="preserve">Wade De </w:t>
      </w:r>
      <w:proofErr w:type="spellStart"/>
      <w:r>
        <w:rPr>
          <w:sz w:val="24"/>
        </w:rPr>
        <w:t>Loe</w:t>
      </w:r>
      <w:proofErr w:type="spellEnd"/>
      <w:r>
        <w:rPr>
          <w:sz w:val="24"/>
        </w:rPr>
        <w:tab/>
      </w:r>
      <w:r w:rsidR="005E7CC7">
        <w:rPr>
          <w:sz w:val="24"/>
        </w:rPr>
        <w:tab/>
      </w:r>
      <w:r w:rsidR="005E7CC7">
        <w:rPr>
          <w:sz w:val="24"/>
        </w:rPr>
        <w:tab/>
      </w:r>
      <w:r w:rsidR="005E7CC7">
        <w:rPr>
          <w:sz w:val="24"/>
        </w:rPr>
        <w:tab/>
      </w:r>
      <w:r w:rsidR="005E7CC7">
        <w:rPr>
          <w:sz w:val="24"/>
        </w:rPr>
        <w:tab/>
      </w:r>
      <w:r w:rsidR="005E7CC7">
        <w:rPr>
          <w:sz w:val="24"/>
        </w:rPr>
        <w:tab/>
        <w:t>:</w:t>
      </w:r>
      <w:r w:rsidR="005E7CC7">
        <w:rPr>
          <w:sz w:val="24"/>
        </w:rPr>
        <w:tab/>
      </w:r>
      <w:r w:rsidR="005E7CC7">
        <w:rPr>
          <w:sz w:val="24"/>
        </w:rPr>
        <w:tab/>
      </w:r>
    </w:p>
    <w:p w:rsidR="005E7CC7" w:rsidRPr="00560DC5" w:rsidRDefault="005E7CC7" w:rsidP="005E7CC7">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rsidR="005E7CC7" w:rsidRPr="00560DC5" w:rsidRDefault="005E7CC7" w:rsidP="005E7CC7">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F20704">
        <w:rPr>
          <w:sz w:val="24"/>
        </w:rPr>
        <w:t>F-2016-2581905</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5E7CC7" w:rsidRDefault="00F20704" w:rsidP="005E7CC7">
      <w:pPr>
        <w:tabs>
          <w:tab w:val="left" w:pos="0"/>
        </w:tabs>
        <w:spacing w:line="233" w:lineRule="auto"/>
        <w:jc w:val="both"/>
        <w:rPr>
          <w:sz w:val="24"/>
        </w:rPr>
      </w:pPr>
      <w:r>
        <w:rPr>
          <w:sz w:val="24"/>
        </w:rPr>
        <w:t>PECO Energy</w:t>
      </w:r>
      <w:r w:rsidR="005E7CC7">
        <w:rPr>
          <w:sz w:val="24"/>
        </w:rPr>
        <w:t xml:space="preserve"> Company</w:t>
      </w:r>
      <w:r w:rsidR="005E7CC7">
        <w:rPr>
          <w:sz w:val="24"/>
        </w:rPr>
        <w:tab/>
      </w:r>
      <w:r w:rsidR="005E7CC7">
        <w:rPr>
          <w:sz w:val="24"/>
        </w:rPr>
        <w:tab/>
      </w:r>
      <w:r w:rsidR="005E7CC7">
        <w:rPr>
          <w:sz w:val="24"/>
        </w:rPr>
        <w:tab/>
      </w:r>
      <w:r w:rsidR="005E7CC7">
        <w:rPr>
          <w:sz w:val="24"/>
        </w:rPr>
        <w:tab/>
      </w:r>
      <w:r w:rsidR="005E7CC7" w:rsidRPr="00560DC5">
        <w:rPr>
          <w:sz w:val="24"/>
        </w:rPr>
        <w:t>:</w:t>
      </w:r>
    </w:p>
    <w:p w:rsidR="005E7CC7" w:rsidRDefault="005E7CC7" w:rsidP="005E7CC7">
      <w:pPr>
        <w:tabs>
          <w:tab w:val="left" w:pos="0"/>
        </w:tabs>
        <w:spacing w:line="233" w:lineRule="auto"/>
        <w:jc w:val="both"/>
        <w:rPr>
          <w:sz w:val="24"/>
        </w:rPr>
      </w:pPr>
      <w:r>
        <w:rPr>
          <w:sz w:val="24"/>
        </w:rPr>
        <w:tab/>
      </w:r>
    </w:p>
    <w:p w:rsidR="005E7CC7" w:rsidRDefault="005E7CC7" w:rsidP="005E7CC7">
      <w:pPr>
        <w:tabs>
          <w:tab w:val="left" w:pos="0"/>
        </w:tabs>
        <w:spacing w:line="233" w:lineRule="auto"/>
        <w:jc w:val="center"/>
        <w:rPr>
          <w:b/>
          <w:sz w:val="24"/>
          <w:u w:val="single"/>
        </w:rPr>
      </w:pPr>
    </w:p>
    <w:p w:rsidR="005E7CC7" w:rsidRPr="00286C99" w:rsidRDefault="005E7CC7" w:rsidP="005E7CC7">
      <w:pPr>
        <w:spacing w:line="233" w:lineRule="auto"/>
        <w:jc w:val="both"/>
        <w:rPr>
          <w:b/>
          <w:sz w:val="24"/>
          <w:szCs w:val="24"/>
        </w:rPr>
      </w:pPr>
    </w:p>
    <w:p w:rsidR="005E7CC7" w:rsidRPr="00286C99" w:rsidRDefault="00F20704" w:rsidP="005E7CC7">
      <w:pPr>
        <w:spacing w:line="233" w:lineRule="auto"/>
        <w:jc w:val="center"/>
        <w:outlineLvl w:val="0"/>
        <w:rPr>
          <w:b/>
          <w:sz w:val="24"/>
          <w:szCs w:val="24"/>
          <w:u w:val="single"/>
        </w:rPr>
      </w:pPr>
      <w:r>
        <w:rPr>
          <w:b/>
          <w:sz w:val="24"/>
          <w:szCs w:val="24"/>
          <w:u w:val="single"/>
        </w:rPr>
        <w:t>FIRST</w:t>
      </w:r>
      <w:r w:rsidR="005E7CC7" w:rsidRPr="00286C99">
        <w:rPr>
          <w:b/>
          <w:sz w:val="24"/>
          <w:szCs w:val="24"/>
          <w:u w:val="single"/>
        </w:rPr>
        <w:t xml:space="preserve"> INTERIM ORDER</w:t>
      </w:r>
    </w:p>
    <w:p w:rsidR="005E7CC7" w:rsidRPr="00286C99" w:rsidRDefault="005E7CC7" w:rsidP="005E7CC7">
      <w:pPr>
        <w:spacing w:line="233" w:lineRule="auto"/>
        <w:jc w:val="both"/>
        <w:rPr>
          <w:sz w:val="24"/>
          <w:szCs w:val="24"/>
        </w:rPr>
      </w:pPr>
    </w:p>
    <w:p w:rsidR="001D44F3" w:rsidRDefault="001D44F3" w:rsidP="005E7CC7">
      <w:pPr>
        <w:spacing w:line="233" w:lineRule="auto"/>
        <w:jc w:val="center"/>
        <w:rPr>
          <w:sz w:val="24"/>
          <w:szCs w:val="24"/>
        </w:rPr>
      </w:pPr>
      <w:r>
        <w:rPr>
          <w:sz w:val="24"/>
          <w:szCs w:val="24"/>
        </w:rPr>
        <w:t xml:space="preserve">Motion for Continuance </w:t>
      </w:r>
    </w:p>
    <w:p w:rsidR="005E7CC7" w:rsidRDefault="001D44F3" w:rsidP="005E7CC7">
      <w:pPr>
        <w:spacing w:line="233" w:lineRule="auto"/>
        <w:jc w:val="center"/>
        <w:rPr>
          <w:sz w:val="24"/>
          <w:szCs w:val="24"/>
        </w:rPr>
      </w:pPr>
      <w:r>
        <w:rPr>
          <w:sz w:val="24"/>
          <w:szCs w:val="24"/>
        </w:rPr>
        <w:t xml:space="preserve">of Hearing Date Denied </w:t>
      </w:r>
    </w:p>
    <w:p w:rsidR="005E7CC7" w:rsidRDefault="005E7CC7" w:rsidP="005E7CC7">
      <w:pPr>
        <w:spacing w:line="233" w:lineRule="auto"/>
        <w:jc w:val="center"/>
        <w:rPr>
          <w:sz w:val="24"/>
          <w:szCs w:val="24"/>
        </w:rPr>
      </w:pPr>
    </w:p>
    <w:p w:rsidR="004D22DD" w:rsidRPr="00286C99" w:rsidRDefault="004D22DD" w:rsidP="004D22DD">
      <w:pPr>
        <w:jc w:val="both"/>
        <w:rPr>
          <w:sz w:val="24"/>
          <w:szCs w:val="24"/>
        </w:rPr>
      </w:pPr>
    </w:p>
    <w:p w:rsidR="002B62DF" w:rsidRDefault="004D22DD" w:rsidP="004D22DD">
      <w:pPr>
        <w:spacing w:line="360" w:lineRule="auto"/>
        <w:ind w:firstLine="1440"/>
        <w:rPr>
          <w:sz w:val="24"/>
          <w:szCs w:val="24"/>
        </w:rPr>
      </w:pPr>
      <w:r>
        <w:rPr>
          <w:sz w:val="24"/>
          <w:szCs w:val="24"/>
        </w:rPr>
        <w:t>O</w:t>
      </w:r>
      <w:r w:rsidRPr="00286C99">
        <w:rPr>
          <w:sz w:val="24"/>
          <w:szCs w:val="24"/>
        </w:rPr>
        <w:t xml:space="preserve">n </w:t>
      </w:r>
      <w:r w:rsidR="00F20704">
        <w:rPr>
          <w:sz w:val="24"/>
          <w:szCs w:val="24"/>
        </w:rPr>
        <w:t>December 21, 2016</w:t>
      </w:r>
      <w:r>
        <w:rPr>
          <w:sz w:val="24"/>
          <w:szCs w:val="24"/>
        </w:rPr>
        <w:t xml:space="preserve">, </w:t>
      </w:r>
      <w:r w:rsidR="00F20704">
        <w:rPr>
          <w:sz w:val="24"/>
          <w:szCs w:val="24"/>
        </w:rPr>
        <w:t xml:space="preserve">Wade De </w:t>
      </w:r>
      <w:proofErr w:type="spellStart"/>
      <w:r w:rsidR="00F20704">
        <w:rPr>
          <w:sz w:val="24"/>
          <w:szCs w:val="24"/>
        </w:rPr>
        <w:t>Loe</w:t>
      </w:r>
      <w:proofErr w:type="spellEnd"/>
      <w:r>
        <w:rPr>
          <w:sz w:val="24"/>
          <w:szCs w:val="24"/>
        </w:rPr>
        <w:t xml:space="preserve"> (Mr. </w:t>
      </w:r>
      <w:r w:rsidR="00F20704">
        <w:rPr>
          <w:sz w:val="24"/>
          <w:szCs w:val="24"/>
        </w:rPr>
        <w:t xml:space="preserve">De </w:t>
      </w:r>
      <w:proofErr w:type="spellStart"/>
      <w:r w:rsidR="00F20704">
        <w:rPr>
          <w:sz w:val="24"/>
          <w:szCs w:val="24"/>
        </w:rPr>
        <w:t>Loe</w:t>
      </w:r>
      <w:proofErr w:type="spellEnd"/>
      <w:r>
        <w:rPr>
          <w:sz w:val="24"/>
          <w:szCs w:val="24"/>
        </w:rPr>
        <w:t xml:space="preserve"> or Complainant) filed a formal complaint against </w:t>
      </w:r>
      <w:r w:rsidR="00F20704">
        <w:rPr>
          <w:sz w:val="24"/>
          <w:szCs w:val="24"/>
        </w:rPr>
        <w:t xml:space="preserve">PECO Energy Company (PECO </w:t>
      </w:r>
      <w:r>
        <w:rPr>
          <w:sz w:val="24"/>
          <w:szCs w:val="24"/>
        </w:rPr>
        <w:t>or Respondent).</w:t>
      </w:r>
      <w:r w:rsidR="0084375A">
        <w:rPr>
          <w:sz w:val="24"/>
          <w:szCs w:val="24"/>
        </w:rPr>
        <w:t xml:space="preserve">  Complainant alleged</w:t>
      </w:r>
      <w:r w:rsidRPr="00286C99">
        <w:rPr>
          <w:sz w:val="24"/>
          <w:szCs w:val="24"/>
        </w:rPr>
        <w:t xml:space="preserve"> </w:t>
      </w:r>
      <w:r w:rsidR="0084375A">
        <w:rPr>
          <w:sz w:val="24"/>
          <w:szCs w:val="24"/>
        </w:rPr>
        <w:t>PECO failed to give him proper notice before PECO shut off electric service to the service address because PECO mailed notices to the service address instead of to his personal address, and PECO demanded $260 to reconnect when PECO was to blame for the problem</w:t>
      </w:r>
      <w:r w:rsidRPr="00286C99">
        <w:rPr>
          <w:sz w:val="24"/>
          <w:szCs w:val="24"/>
        </w:rPr>
        <w:t>.</w:t>
      </w:r>
      <w:r>
        <w:rPr>
          <w:sz w:val="24"/>
          <w:szCs w:val="24"/>
        </w:rPr>
        <w:t xml:space="preserve">  </w:t>
      </w:r>
      <w:r w:rsidR="0047479C">
        <w:rPr>
          <w:sz w:val="24"/>
          <w:szCs w:val="24"/>
        </w:rPr>
        <w:t>Complainant resides in New York, New York and the service address is located in Chester, Pennsylvania.</w:t>
      </w:r>
    </w:p>
    <w:p w:rsidR="002B62DF" w:rsidRDefault="002B62DF" w:rsidP="004D22DD">
      <w:pPr>
        <w:spacing w:line="360" w:lineRule="auto"/>
        <w:ind w:firstLine="1440"/>
        <w:rPr>
          <w:sz w:val="24"/>
          <w:szCs w:val="24"/>
        </w:rPr>
      </w:pPr>
    </w:p>
    <w:p w:rsidR="004D22DD" w:rsidRDefault="0084375A" w:rsidP="004D22DD">
      <w:pPr>
        <w:spacing w:line="360" w:lineRule="auto"/>
        <w:ind w:firstLine="1440"/>
        <w:rPr>
          <w:sz w:val="24"/>
          <w:szCs w:val="24"/>
        </w:rPr>
      </w:pPr>
      <w:r>
        <w:rPr>
          <w:sz w:val="24"/>
          <w:szCs w:val="24"/>
        </w:rPr>
        <w:t>On January 17, 2017, PECO filed an Answer in which PECO denied it violated any statute, regulation or provision of the Commission.  PECO’s Answer outlined the problem arose because Complainant refused to grant PECO access to the premises so the meter could be replaced with a new AMI meter.  PECO’s Answer included a copy of Complainant’s informal complaint filed with the Commission’s Bureau of Consumer Service</w:t>
      </w:r>
      <w:r w:rsidR="002B62DF">
        <w:rPr>
          <w:sz w:val="24"/>
          <w:szCs w:val="24"/>
        </w:rPr>
        <w:t xml:space="preserve">s (BCS) at BCS Case #003489472 and a copy of the decision of BCS to deny Complainant’s informal complaint.  </w:t>
      </w:r>
    </w:p>
    <w:p w:rsidR="004D22DD" w:rsidRDefault="004D22DD" w:rsidP="004D22DD">
      <w:pPr>
        <w:spacing w:line="360" w:lineRule="auto"/>
        <w:ind w:firstLine="1440"/>
        <w:rPr>
          <w:sz w:val="24"/>
          <w:szCs w:val="24"/>
        </w:rPr>
      </w:pPr>
    </w:p>
    <w:p w:rsidR="004D22DD" w:rsidRDefault="004D22DD" w:rsidP="004D22DD">
      <w:pPr>
        <w:spacing w:line="360" w:lineRule="auto"/>
        <w:ind w:firstLine="1440"/>
        <w:rPr>
          <w:sz w:val="24"/>
          <w:szCs w:val="24"/>
        </w:rPr>
      </w:pPr>
      <w:r w:rsidRPr="00286C99">
        <w:rPr>
          <w:sz w:val="24"/>
          <w:szCs w:val="24"/>
        </w:rPr>
        <w:t xml:space="preserve">On </w:t>
      </w:r>
      <w:r w:rsidR="002B62DF">
        <w:rPr>
          <w:sz w:val="24"/>
          <w:szCs w:val="24"/>
        </w:rPr>
        <w:t>March 13, 2017</w:t>
      </w:r>
      <w:r w:rsidRPr="00286C99">
        <w:rPr>
          <w:sz w:val="24"/>
          <w:szCs w:val="24"/>
        </w:rPr>
        <w:t>, the Commission issued a</w:t>
      </w:r>
      <w:r w:rsidR="002B62DF">
        <w:rPr>
          <w:sz w:val="24"/>
          <w:szCs w:val="24"/>
        </w:rPr>
        <w:t xml:space="preserve"> Call-In Telephonic</w:t>
      </w:r>
      <w:r w:rsidRPr="00286C99">
        <w:rPr>
          <w:sz w:val="24"/>
          <w:szCs w:val="24"/>
        </w:rPr>
        <w:t xml:space="preserve"> Hearing Notice scheduling </w:t>
      </w:r>
      <w:r>
        <w:rPr>
          <w:sz w:val="24"/>
          <w:szCs w:val="24"/>
        </w:rPr>
        <w:t>this matter to be heard at an</w:t>
      </w:r>
      <w:r w:rsidRPr="00286C99">
        <w:rPr>
          <w:sz w:val="24"/>
          <w:szCs w:val="24"/>
        </w:rPr>
        <w:t xml:space="preserve"> initial telephonic hearing on </w:t>
      </w:r>
      <w:r w:rsidR="002B62DF">
        <w:rPr>
          <w:sz w:val="24"/>
          <w:szCs w:val="24"/>
        </w:rPr>
        <w:t>Wednesday, March 29, 2017</w:t>
      </w:r>
      <w:r>
        <w:rPr>
          <w:sz w:val="24"/>
          <w:szCs w:val="24"/>
        </w:rPr>
        <w:t xml:space="preserve"> from</w:t>
      </w:r>
      <w:r w:rsidRPr="00286C99">
        <w:rPr>
          <w:sz w:val="24"/>
          <w:szCs w:val="24"/>
        </w:rPr>
        <w:t xml:space="preserve"> the Commission’s offices in Pittsburgh, Pennsylvania.  </w:t>
      </w:r>
      <w:r w:rsidR="002B62DF">
        <w:rPr>
          <w:sz w:val="24"/>
          <w:szCs w:val="24"/>
        </w:rPr>
        <w:t xml:space="preserve">On March 15, 2017, the presiding </w:t>
      </w:r>
      <w:r w:rsidR="002B62DF">
        <w:rPr>
          <w:sz w:val="24"/>
          <w:szCs w:val="24"/>
        </w:rPr>
        <w:lastRenderedPageBreak/>
        <w:t>officer issued the Prehearing Order which outlined various procedural matters, including how to request a continuance.</w:t>
      </w:r>
    </w:p>
    <w:p w:rsidR="002B62DF" w:rsidRDefault="002B62DF" w:rsidP="004D22DD">
      <w:pPr>
        <w:spacing w:line="360" w:lineRule="auto"/>
        <w:ind w:firstLine="1440"/>
        <w:rPr>
          <w:sz w:val="24"/>
          <w:szCs w:val="24"/>
        </w:rPr>
      </w:pPr>
    </w:p>
    <w:p w:rsidR="002B62DF" w:rsidRDefault="002B62DF" w:rsidP="004D22DD">
      <w:pPr>
        <w:spacing w:line="360" w:lineRule="auto"/>
        <w:ind w:firstLine="1440"/>
        <w:rPr>
          <w:sz w:val="24"/>
          <w:szCs w:val="24"/>
        </w:rPr>
      </w:pPr>
      <w:r>
        <w:rPr>
          <w:sz w:val="24"/>
          <w:szCs w:val="24"/>
        </w:rPr>
        <w:t xml:space="preserve">On March 22, 2017, Respondent submitted to the presiding officer, with a copy to Complainant, </w:t>
      </w:r>
      <w:r w:rsidR="0047479C">
        <w:rPr>
          <w:sz w:val="24"/>
          <w:szCs w:val="24"/>
        </w:rPr>
        <w:t>eleven (11)</w:t>
      </w:r>
      <w:r>
        <w:rPr>
          <w:sz w:val="24"/>
          <w:szCs w:val="24"/>
        </w:rPr>
        <w:t xml:space="preserve"> exhibits which Respondent proposed it would move to admit at the telephonic hearing on March 29, 2017.  </w:t>
      </w:r>
    </w:p>
    <w:p w:rsidR="004D22DD" w:rsidRDefault="004D22DD" w:rsidP="004D22DD">
      <w:pPr>
        <w:spacing w:line="360" w:lineRule="auto"/>
        <w:ind w:firstLine="1440"/>
        <w:rPr>
          <w:sz w:val="24"/>
          <w:szCs w:val="24"/>
        </w:rPr>
      </w:pPr>
    </w:p>
    <w:p w:rsidR="004D22DD" w:rsidRDefault="002B62DF" w:rsidP="004D22DD">
      <w:pPr>
        <w:spacing w:line="360" w:lineRule="auto"/>
        <w:ind w:firstLine="1440"/>
        <w:rPr>
          <w:sz w:val="24"/>
          <w:szCs w:val="24"/>
        </w:rPr>
      </w:pPr>
      <w:r>
        <w:rPr>
          <w:sz w:val="24"/>
          <w:szCs w:val="24"/>
        </w:rPr>
        <w:t>On March 23, 2017</w:t>
      </w:r>
      <w:r w:rsidR="004D22DD">
        <w:rPr>
          <w:sz w:val="24"/>
          <w:szCs w:val="24"/>
        </w:rPr>
        <w:t xml:space="preserve">, </w:t>
      </w:r>
      <w:r>
        <w:rPr>
          <w:sz w:val="24"/>
          <w:szCs w:val="24"/>
        </w:rPr>
        <w:t>Respondent filed a</w:t>
      </w:r>
      <w:r w:rsidR="00B451F3">
        <w:rPr>
          <w:sz w:val="24"/>
          <w:szCs w:val="24"/>
        </w:rPr>
        <w:t xml:space="preserve"> Motion for Continuance of Hearing Date</w:t>
      </w:r>
      <w:r w:rsidR="004D22DD">
        <w:rPr>
          <w:sz w:val="24"/>
          <w:szCs w:val="24"/>
        </w:rPr>
        <w:t xml:space="preserve"> asking to have the telephonic hearing </w:t>
      </w:r>
      <w:r>
        <w:rPr>
          <w:sz w:val="24"/>
          <w:szCs w:val="24"/>
        </w:rPr>
        <w:t>cancelled</w:t>
      </w:r>
      <w:r w:rsidR="004D22DD">
        <w:rPr>
          <w:sz w:val="24"/>
          <w:szCs w:val="24"/>
        </w:rPr>
        <w:t xml:space="preserve">.  </w:t>
      </w:r>
      <w:r>
        <w:rPr>
          <w:sz w:val="24"/>
          <w:szCs w:val="24"/>
        </w:rPr>
        <w:t>Respondent</w:t>
      </w:r>
      <w:r w:rsidR="004D22DD">
        <w:rPr>
          <w:sz w:val="24"/>
          <w:szCs w:val="24"/>
        </w:rPr>
        <w:t xml:space="preserve"> requested the </w:t>
      </w:r>
      <w:r>
        <w:rPr>
          <w:sz w:val="24"/>
          <w:szCs w:val="24"/>
        </w:rPr>
        <w:t>continuance because</w:t>
      </w:r>
      <w:r w:rsidR="0047479C">
        <w:rPr>
          <w:sz w:val="24"/>
          <w:szCs w:val="24"/>
        </w:rPr>
        <w:t xml:space="preserve"> PECO determined recently there was an issue with the AMI installation notification and access to the meter.  PECO averred it wanted to present the testimony of an AMI Analyst to testify about the notification process for access to install AMI meters, and about conversations with Complainant during the informal complaint process.  PECO contended the AMI Analyst would be unavailable on March 29, 2017 due to a previously scheduled significant medical appointment.  Lastly, PECO averred its engineer was scheduled to meet with Complainant to fix the issues at the service address and PECO believes the matter will be resolved.  PECO requested a continuance in order to secure the testimony of its witness and to attempt resolution of the complaint.</w:t>
      </w:r>
    </w:p>
    <w:p w:rsidR="0047479C" w:rsidRDefault="0047479C" w:rsidP="004D22DD">
      <w:pPr>
        <w:spacing w:line="360" w:lineRule="auto"/>
        <w:ind w:firstLine="1440"/>
        <w:rPr>
          <w:sz w:val="24"/>
          <w:szCs w:val="24"/>
        </w:rPr>
      </w:pPr>
    </w:p>
    <w:p w:rsidR="0047479C" w:rsidRDefault="0047479C" w:rsidP="004D22DD">
      <w:pPr>
        <w:spacing w:line="360" w:lineRule="auto"/>
        <w:ind w:firstLine="1440"/>
        <w:rPr>
          <w:sz w:val="24"/>
          <w:szCs w:val="24"/>
        </w:rPr>
      </w:pPr>
      <w:r>
        <w:rPr>
          <w:sz w:val="24"/>
          <w:szCs w:val="24"/>
        </w:rPr>
        <w:t>PECO noted it communicated with Complainant about the continuance request but Complainant objected to the continuance.</w:t>
      </w:r>
      <w:r w:rsidR="00B451F3">
        <w:rPr>
          <w:sz w:val="24"/>
          <w:szCs w:val="24"/>
        </w:rPr>
        <w:t xml:space="preserve">  The Motion for Continuance of Hearing Date, which was filed with the Secretary’s Bureau, was mailed to Complainant on March 23, 2017 and served on the presiding officer via electronic mail on March 23, 2017.  Complainant was not copied on the electronic mail submitted to the presiding officer on March 23, 2017 at 3:01 p.m.</w:t>
      </w:r>
    </w:p>
    <w:p w:rsidR="004D22DD" w:rsidRDefault="004D22DD" w:rsidP="004D22DD">
      <w:pPr>
        <w:spacing w:line="360" w:lineRule="auto"/>
        <w:ind w:firstLine="1440"/>
        <w:rPr>
          <w:sz w:val="24"/>
          <w:szCs w:val="24"/>
        </w:rPr>
      </w:pPr>
    </w:p>
    <w:p w:rsidR="004D22DD" w:rsidRPr="00E76695" w:rsidRDefault="004D22DD" w:rsidP="004D22DD">
      <w:pPr>
        <w:overflowPunct/>
        <w:autoSpaceDE/>
        <w:autoSpaceDN/>
        <w:adjustRightInd/>
        <w:spacing w:line="360" w:lineRule="auto"/>
        <w:rPr>
          <w:sz w:val="24"/>
          <w:szCs w:val="24"/>
          <w:u w:val="single"/>
        </w:rPr>
      </w:pPr>
      <w:r w:rsidRPr="00E76695">
        <w:rPr>
          <w:sz w:val="24"/>
          <w:szCs w:val="24"/>
          <w:u w:val="single"/>
        </w:rPr>
        <w:t>Discussion</w:t>
      </w:r>
    </w:p>
    <w:p w:rsidR="004D22DD" w:rsidRDefault="004D22DD" w:rsidP="004D22DD">
      <w:pPr>
        <w:spacing w:line="360" w:lineRule="auto"/>
        <w:rPr>
          <w:sz w:val="24"/>
          <w:szCs w:val="24"/>
        </w:rPr>
      </w:pPr>
    </w:p>
    <w:p w:rsidR="004D22DD" w:rsidRDefault="0047479C" w:rsidP="004D22DD">
      <w:pPr>
        <w:spacing w:line="360" w:lineRule="auto"/>
        <w:ind w:firstLine="1440"/>
        <w:rPr>
          <w:sz w:val="24"/>
          <w:szCs w:val="24"/>
        </w:rPr>
      </w:pPr>
      <w:r>
        <w:rPr>
          <w:sz w:val="24"/>
          <w:szCs w:val="24"/>
        </w:rPr>
        <w:t>Thi</w:t>
      </w:r>
      <w:r w:rsidR="004D22DD">
        <w:rPr>
          <w:sz w:val="24"/>
          <w:szCs w:val="24"/>
        </w:rPr>
        <w:t xml:space="preserve">s proceeding concerns a </w:t>
      </w:r>
      <w:r w:rsidR="00B451F3">
        <w:rPr>
          <w:sz w:val="24"/>
          <w:szCs w:val="24"/>
        </w:rPr>
        <w:t xml:space="preserve">relatively </w:t>
      </w:r>
      <w:r w:rsidR="004D22DD">
        <w:rPr>
          <w:sz w:val="24"/>
          <w:szCs w:val="24"/>
        </w:rPr>
        <w:t xml:space="preserve">straightforward allegation by Complainant: </w:t>
      </w:r>
      <w:r>
        <w:rPr>
          <w:sz w:val="24"/>
          <w:szCs w:val="24"/>
        </w:rPr>
        <w:t xml:space="preserve">PECO </w:t>
      </w:r>
      <w:r w:rsidR="004D22DD">
        <w:rPr>
          <w:sz w:val="24"/>
          <w:szCs w:val="24"/>
        </w:rPr>
        <w:t>fail</w:t>
      </w:r>
      <w:r w:rsidR="00B451F3">
        <w:rPr>
          <w:sz w:val="24"/>
          <w:szCs w:val="24"/>
        </w:rPr>
        <w:t>ed</w:t>
      </w:r>
      <w:r w:rsidR="004D22DD">
        <w:rPr>
          <w:sz w:val="24"/>
          <w:szCs w:val="24"/>
        </w:rPr>
        <w:t xml:space="preserve"> to provide reasonable and adequate customer service, pursuant to the Commission’s regulations, </w:t>
      </w:r>
      <w:r>
        <w:rPr>
          <w:sz w:val="24"/>
          <w:szCs w:val="24"/>
        </w:rPr>
        <w:t>when PECO terminated electric service with properly notifying Complainant</w:t>
      </w:r>
      <w:r w:rsidR="00B451F3">
        <w:rPr>
          <w:sz w:val="24"/>
          <w:szCs w:val="24"/>
        </w:rPr>
        <w:t>, who provided his out of state address and electronic mail address to PECO previously</w:t>
      </w:r>
      <w:r>
        <w:rPr>
          <w:sz w:val="24"/>
          <w:szCs w:val="24"/>
        </w:rPr>
        <w:t xml:space="preserve">.  </w:t>
      </w:r>
      <w:r w:rsidR="004D22DD">
        <w:rPr>
          <w:sz w:val="24"/>
          <w:szCs w:val="24"/>
        </w:rPr>
        <w:t xml:space="preserve">  </w:t>
      </w:r>
    </w:p>
    <w:p w:rsidR="00614219" w:rsidRDefault="00614219" w:rsidP="004D22DD">
      <w:pPr>
        <w:spacing w:line="360" w:lineRule="auto"/>
        <w:ind w:firstLine="1440"/>
        <w:rPr>
          <w:sz w:val="24"/>
          <w:szCs w:val="24"/>
        </w:rPr>
      </w:pPr>
      <w:r>
        <w:rPr>
          <w:sz w:val="24"/>
          <w:szCs w:val="24"/>
        </w:rPr>
        <w:lastRenderedPageBreak/>
        <w:t xml:space="preserve">Pursuant to 52 </w:t>
      </w:r>
      <w:proofErr w:type="spellStart"/>
      <w:r>
        <w:rPr>
          <w:sz w:val="24"/>
          <w:szCs w:val="24"/>
        </w:rPr>
        <w:t>Pa</w:t>
      </w:r>
      <w:r w:rsidR="006C7AE9">
        <w:rPr>
          <w:sz w:val="24"/>
          <w:szCs w:val="24"/>
        </w:rPr>
        <w:t>.</w:t>
      </w:r>
      <w:r w:rsidR="004D22DD">
        <w:rPr>
          <w:sz w:val="24"/>
          <w:szCs w:val="24"/>
        </w:rPr>
        <w:t>Code</w:t>
      </w:r>
      <w:proofErr w:type="spellEnd"/>
      <w:r w:rsidR="004D22DD">
        <w:rPr>
          <w:sz w:val="24"/>
          <w:szCs w:val="24"/>
        </w:rPr>
        <w:t xml:space="preserve"> §§</w:t>
      </w:r>
      <w:r>
        <w:rPr>
          <w:sz w:val="24"/>
          <w:szCs w:val="24"/>
        </w:rPr>
        <w:t xml:space="preserve"> </w:t>
      </w:r>
      <w:r w:rsidR="004D22DD">
        <w:rPr>
          <w:sz w:val="24"/>
          <w:szCs w:val="24"/>
        </w:rPr>
        <w:t>1.15, extensions of time may be granted by the presiding officer for good cause sh</w:t>
      </w:r>
      <w:r>
        <w:rPr>
          <w:sz w:val="24"/>
          <w:szCs w:val="24"/>
        </w:rPr>
        <w:t xml:space="preserve">own upon request by a party.  </w:t>
      </w:r>
    </w:p>
    <w:p w:rsidR="006C7AE9" w:rsidRDefault="006C7AE9" w:rsidP="004D22DD">
      <w:pPr>
        <w:spacing w:line="360" w:lineRule="auto"/>
        <w:ind w:firstLine="1440"/>
        <w:rPr>
          <w:sz w:val="24"/>
          <w:szCs w:val="24"/>
        </w:rPr>
      </w:pPr>
    </w:p>
    <w:p w:rsidR="00BA3463" w:rsidRDefault="004D22DD" w:rsidP="004D22DD">
      <w:pPr>
        <w:spacing w:line="360" w:lineRule="auto"/>
        <w:ind w:firstLine="1440"/>
        <w:rPr>
          <w:sz w:val="24"/>
          <w:szCs w:val="24"/>
        </w:rPr>
      </w:pPr>
      <w:r>
        <w:rPr>
          <w:sz w:val="24"/>
          <w:szCs w:val="24"/>
        </w:rPr>
        <w:t xml:space="preserve">Complainant filed his complaint on </w:t>
      </w:r>
      <w:r w:rsidR="00B451F3">
        <w:rPr>
          <w:sz w:val="24"/>
          <w:szCs w:val="24"/>
        </w:rPr>
        <w:t>December 21, 201</w:t>
      </w:r>
      <w:r w:rsidR="001102BC">
        <w:rPr>
          <w:sz w:val="24"/>
          <w:szCs w:val="24"/>
        </w:rPr>
        <w:t>6</w:t>
      </w:r>
      <w:r w:rsidR="00B451F3">
        <w:rPr>
          <w:sz w:val="24"/>
          <w:szCs w:val="24"/>
        </w:rPr>
        <w:t xml:space="preserve"> and PECO filed its Answer on January 16, 2017</w:t>
      </w:r>
      <w:r>
        <w:rPr>
          <w:sz w:val="24"/>
          <w:szCs w:val="24"/>
        </w:rPr>
        <w:t xml:space="preserve">.  </w:t>
      </w:r>
      <w:r w:rsidR="00B451F3">
        <w:rPr>
          <w:sz w:val="24"/>
          <w:szCs w:val="24"/>
        </w:rPr>
        <w:t xml:space="preserve">PECO’s Answer details Complainant’s objections arising from the termination which resulted when PECO could not gain access to install a new AMI meter.  PECO obviously was aware that gaining access for installation of a new AMI meter at the service address was the issue.  </w:t>
      </w:r>
      <w:r w:rsidR="00BA3463">
        <w:rPr>
          <w:sz w:val="24"/>
          <w:szCs w:val="24"/>
        </w:rPr>
        <w:t xml:space="preserve">It is disingenuous for PECO to aver it only recently learned about the complaint concerned the installation of an AMI meter.  </w:t>
      </w:r>
    </w:p>
    <w:p w:rsidR="00BA3463" w:rsidRDefault="00BA3463" w:rsidP="004D22DD">
      <w:pPr>
        <w:spacing w:line="360" w:lineRule="auto"/>
        <w:ind w:firstLine="1440"/>
        <w:rPr>
          <w:sz w:val="24"/>
          <w:szCs w:val="24"/>
        </w:rPr>
      </w:pPr>
    </w:p>
    <w:p w:rsidR="00BA3463" w:rsidRDefault="00B451F3" w:rsidP="004D22DD">
      <w:pPr>
        <w:spacing w:line="360" w:lineRule="auto"/>
        <w:ind w:firstLine="1440"/>
        <w:rPr>
          <w:sz w:val="24"/>
          <w:szCs w:val="24"/>
        </w:rPr>
      </w:pPr>
      <w:r>
        <w:rPr>
          <w:sz w:val="24"/>
          <w:szCs w:val="24"/>
        </w:rPr>
        <w:t xml:space="preserve">In addition, the proposed exhibits submitted on March 22, 2017 contain numerous exhibits which appear, on their face, to concern PECO’s interactions via telephone with Complainant and the mailing of correspondence to Complainant.  </w:t>
      </w:r>
    </w:p>
    <w:p w:rsidR="00BA3463" w:rsidRDefault="00BA3463" w:rsidP="004D22DD">
      <w:pPr>
        <w:spacing w:line="360" w:lineRule="auto"/>
        <w:ind w:firstLine="1440"/>
        <w:rPr>
          <w:sz w:val="24"/>
          <w:szCs w:val="24"/>
        </w:rPr>
      </w:pPr>
    </w:p>
    <w:p w:rsidR="00BA3463" w:rsidRDefault="00BA3463" w:rsidP="004D22DD">
      <w:pPr>
        <w:spacing w:line="360" w:lineRule="auto"/>
        <w:ind w:firstLine="1440"/>
        <w:rPr>
          <w:sz w:val="24"/>
          <w:szCs w:val="24"/>
        </w:rPr>
      </w:pPr>
      <w:r>
        <w:rPr>
          <w:sz w:val="24"/>
          <w:szCs w:val="24"/>
        </w:rPr>
        <w:t xml:space="preserve">The unavailability of PECO’s AMI Analyst as a witness is insufficient when it appears PECO will use standardized documents and Case Contact information to prove its position.  PECO has numerous employees who can testify from its business records.  The AMI Analyst’s testimony about a conversation with Complainant about the informal complaint likely might be inadmissible if the conversations concerned settlement discussions.  </w:t>
      </w:r>
    </w:p>
    <w:p w:rsidR="00BA3463" w:rsidRDefault="00BA3463" w:rsidP="004D22DD">
      <w:pPr>
        <w:spacing w:line="360" w:lineRule="auto"/>
        <w:ind w:firstLine="1440"/>
        <w:rPr>
          <w:sz w:val="24"/>
          <w:szCs w:val="24"/>
        </w:rPr>
      </w:pPr>
    </w:p>
    <w:p w:rsidR="00BA3463" w:rsidRDefault="00BA3463" w:rsidP="004D22DD">
      <w:pPr>
        <w:spacing w:line="360" w:lineRule="auto"/>
        <w:ind w:firstLine="1440"/>
        <w:rPr>
          <w:sz w:val="24"/>
          <w:szCs w:val="24"/>
        </w:rPr>
      </w:pPr>
      <w:r>
        <w:rPr>
          <w:sz w:val="24"/>
          <w:szCs w:val="24"/>
        </w:rPr>
        <w:t>Lastly, settlement of the issues is unlikely if Complainant is unwilling to agree to this continuance.  If Complainant agreed a settlement was possible, he would have consented to the continuance request.</w:t>
      </w:r>
      <w:r w:rsidR="00B451F3">
        <w:rPr>
          <w:sz w:val="24"/>
          <w:szCs w:val="24"/>
        </w:rPr>
        <w:t xml:space="preserve"> </w:t>
      </w:r>
    </w:p>
    <w:p w:rsidR="00BA3463" w:rsidRDefault="00BA3463" w:rsidP="004D22DD">
      <w:pPr>
        <w:spacing w:line="360" w:lineRule="auto"/>
        <w:ind w:firstLine="1440"/>
        <w:rPr>
          <w:sz w:val="24"/>
          <w:szCs w:val="24"/>
        </w:rPr>
      </w:pPr>
    </w:p>
    <w:p w:rsidR="001D44F3" w:rsidRDefault="004D22DD" w:rsidP="004D22DD">
      <w:pPr>
        <w:spacing w:line="360" w:lineRule="auto"/>
        <w:ind w:firstLine="1440"/>
        <w:rPr>
          <w:sz w:val="24"/>
          <w:szCs w:val="24"/>
        </w:rPr>
      </w:pPr>
      <w:r>
        <w:rPr>
          <w:sz w:val="24"/>
          <w:szCs w:val="24"/>
        </w:rPr>
        <w:t xml:space="preserve">Therefore, it is my determination the request for a continuance is unreasonable and fails to shows sufficient cause exists, under the circumstances.  </w:t>
      </w:r>
      <w:r w:rsidR="00BA3463">
        <w:rPr>
          <w:sz w:val="24"/>
          <w:szCs w:val="24"/>
        </w:rPr>
        <w:t>PECO has known since the middle of January that the issue involved herein concerned how PECO notified Complainant it would terminate electric service.  PECO has known since the middle of January that the issue involved herein concerned a termination on the grounds Complainant did not provide PECO with access to the meter for an AMI meter installation.  Plus, t</w:t>
      </w:r>
      <w:r w:rsidR="00B451F3">
        <w:rPr>
          <w:sz w:val="24"/>
          <w:szCs w:val="24"/>
        </w:rPr>
        <w:t xml:space="preserve">here has been more than sufficient time for </w:t>
      </w:r>
      <w:r w:rsidR="00BA3463">
        <w:rPr>
          <w:sz w:val="24"/>
          <w:szCs w:val="24"/>
        </w:rPr>
        <w:t>the</w:t>
      </w:r>
      <w:r w:rsidR="00B451F3">
        <w:rPr>
          <w:sz w:val="24"/>
          <w:szCs w:val="24"/>
        </w:rPr>
        <w:t xml:space="preserve"> parties to engage in discovery and conduct negotiations on a straightforward issue.  </w:t>
      </w:r>
    </w:p>
    <w:p w:rsidR="001D44F3" w:rsidRDefault="001D44F3" w:rsidP="004D22DD">
      <w:pPr>
        <w:spacing w:line="360" w:lineRule="auto"/>
        <w:ind w:firstLine="1440"/>
        <w:rPr>
          <w:sz w:val="24"/>
          <w:szCs w:val="24"/>
        </w:rPr>
      </w:pPr>
      <w:r>
        <w:rPr>
          <w:sz w:val="24"/>
          <w:szCs w:val="24"/>
        </w:rPr>
        <w:lastRenderedPageBreak/>
        <w:t>Lastly, settlement is not as readily apparent as PECO alleges if Complainant is unwilling to consent to a continuance.  Given Complainant’s residence outside the state, if Complainant expected to settle this issue then he would have consented to the continuance request.  If PECO had secured Complainant’s consent to the Motion, then this request might have been granted.  However, it is noted that PECO did not copy Complainant on the electronic mail sent to the presiding officer despite Complainant’s request to use electronic mail to communicate with him.  Complainant will not receive notice of PECO’s request for at least two or three mailing days, which would mean Complainant would not receive notice until approximately Monday or Tuesday when the hearing is scheduled to begin on Wednesday</w:t>
      </w:r>
      <w:r w:rsidR="001102BC">
        <w:rPr>
          <w:sz w:val="24"/>
          <w:szCs w:val="24"/>
        </w:rPr>
        <w:t>, March 29, 2017</w:t>
      </w:r>
      <w:bookmarkStart w:id="0" w:name="_GoBack"/>
      <w:bookmarkEnd w:id="0"/>
      <w:r>
        <w:rPr>
          <w:sz w:val="24"/>
          <w:szCs w:val="24"/>
        </w:rPr>
        <w:t>.</w:t>
      </w:r>
    </w:p>
    <w:p w:rsidR="001D44F3" w:rsidRDefault="001D44F3" w:rsidP="004D22DD">
      <w:pPr>
        <w:spacing w:line="360" w:lineRule="auto"/>
        <w:ind w:firstLine="1440"/>
        <w:rPr>
          <w:sz w:val="24"/>
          <w:szCs w:val="24"/>
        </w:rPr>
      </w:pPr>
    </w:p>
    <w:p w:rsidR="004D22DD" w:rsidRDefault="001D44F3" w:rsidP="004D22DD">
      <w:pPr>
        <w:spacing w:line="360" w:lineRule="auto"/>
        <w:ind w:firstLine="1440"/>
        <w:rPr>
          <w:sz w:val="24"/>
          <w:szCs w:val="24"/>
        </w:rPr>
      </w:pPr>
      <w:r>
        <w:rPr>
          <w:sz w:val="24"/>
          <w:szCs w:val="24"/>
        </w:rPr>
        <w:t xml:space="preserve">For all of the reasons listed above, PECO’s Motion for Continuance of Hearing Date </w:t>
      </w:r>
      <w:r w:rsidR="004D22DD">
        <w:rPr>
          <w:sz w:val="24"/>
          <w:szCs w:val="24"/>
        </w:rPr>
        <w:t>will be denied.</w:t>
      </w:r>
    </w:p>
    <w:p w:rsidR="004D22DD" w:rsidRDefault="004D22DD" w:rsidP="004D22DD">
      <w:pPr>
        <w:spacing w:line="360" w:lineRule="auto"/>
        <w:rPr>
          <w:sz w:val="24"/>
          <w:szCs w:val="24"/>
          <w:u w:val="single"/>
        </w:rPr>
      </w:pPr>
    </w:p>
    <w:p w:rsidR="004D22DD" w:rsidRDefault="004D22DD" w:rsidP="004D22DD">
      <w:pPr>
        <w:spacing w:line="360" w:lineRule="auto"/>
        <w:jc w:val="center"/>
        <w:rPr>
          <w:sz w:val="24"/>
          <w:szCs w:val="24"/>
          <w:u w:val="single"/>
        </w:rPr>
      </w:pPr>
      <w:r w:rsidRPr="00A91769">
        <w:rPr>
          <w:sz w:val="24"/>
          <w:szCs w:val="24"/>
          <w:u w:val="single"/>
        </w:rPr>
        <w:t>ORDER</w:t>
      </w:r>
    </w:p>
    <w:p w:rsidR="004D22DD" w:rsidRDefault="004D22DD" w:rsidP="004D22DD">
      <w:pPr>
        <w:spacing w:line="360" w:lineRule="auto"/>
        <w:rPr>
          <w:sz w:val="24"/>
          <w:szCs w:val="24"/>
        </w:rPr>
      </w:pPr>
    </w:p>
    <w:p w:rsidR="00370CEC" w:rsidRDefault="00370CEC" w:rsidP="004D22DD">
      <w:pPr>
        <w:spacing w:line="360" w:lineRule="auto"/>
        <w:rPr>
          <w:sz w:val="24"/>
          <w:szCs w:val="24"/>
        </w:rPr>
      </w:pPr>
    </w:p>
    <w:p w:rsidR="004D22DD" w:rsidRDefault="004D22DD" w:rsidP="004D22DD">
      <w:pPr>
        <w:spacing w:line="360" w:lineRule="auto"/>
        <w:rPr>
          <w:sz w:val="24"/>
          <w:szCs w:val="24"/>
        </w:rPr>
      </w:pPr>
      <w:r>
        <w:rPr>
          <w:sz w:val="24"/>
          <w:szCs w:val="24"/>
        </w:rPr>
        <w:tab/>
      </w:r>
      <w:r>
        <w:rPr>
          <w:sz w:val="24"/>
          <w:szCs w:val="24"/>
        </w:rPr>
        <w:tab/>
        <w:t>THEREFORE,</w:t>
      </w:r>
    </w:p>
    <w:p w:rsidR="004D22DD" w:rsidRDefault="004D22DD" w:rsidP="004D22DD">
      <w:pPr>
        <w:spacing w:line="360" w:lineRule="auto"/>
        <w:rPr>
          <w:sz w:val="24"/>
          <w:szCs w:val="24"/>
        </w:rPr>
      </w:pPr>
    </w:p>
    <w:p w:rsidR="004D22DD" w:rsidRDefault="004D22DD" w:rsidP="004D22DD">
      <w:pPr>
        <w:spacing w:line="360" w:lineRule="auto"/>
        <w:rPr>
          <w:sz w:val="24"/>
          <w:szCs w:val="24"/>
        </w:rPr>
      </w:pPr>
      <w:r>
        <w:rPr>
          <w:sz w:val="24"/>
          <w:szCs w:val="24"/>
        </w:rPr>
        <w:tab/>
      </w:r>
      <w:r>
        <w:rPr>
          <w:sz w:val="24"/>
          <w:szCs w:val="24"/>
        </w:rPr>
        <w:tab/>
        <w:t>IT IS ORDERED:</w:t>
      </w:r>
    </w:p>
    <w:p w:rsidR="004D22DD" w:rsidRDefault="004D22DD" w:rsidP="004D22DD">
      <w:pPr>
        <w:spacing w:line="360" w:lineRule="auto"/>
        <w:rPr>
          <w:sz w:val="24"/>
          <w:szCs w:val="24"/>
        </w:rPr>
      </w:pPr>
    </w:p>
    <w:p w:rsidR="004D22DD" w:rsidRDefault="004D22DD" w:rsidP="004D22DD">
      <w:pPr>
        <w:spacing w:line="360" w:lineRule="auto"/>
        <w:rPr>
          <w:sz w:val="24"/>
          <w:szCs w:val="24"/>
        </w:rPr>
      </w:pPr>
      <w:r>
        <w:rPr>
          <w:sz w:val="24"/>
          <w:szCs w:val="24"/>
        </w:rPr>
        <w:tab/>
      </w:r>
      <w:r>
        <w:rPr>
          <w:sz w:val="24"/>
          <w:szCs w:val="24"/>
        </w:rPr>
        <w:tab/>
        <w:t xml:space="preserve">That </w:t>
      </w:r>
      <w:r w:rsidR="00BA3463">
        <w:rPr>
          <w:sz w:val="24"/>
          <w:szCs w:val="24"/>
        </w:rPr>
        <w:t>PECO Energy Company’s</w:t>
      </w:r>
      <w:r>
        <w:rPr>
          <w:sz w:val="24"/>
          <w:szCs w:val="24"/>
        </w:rPr>
        <w:t xml:space="preserve"> </w:t>
      </w:r>
      <w:r w:rsidR="001D44F3">
        <w:rPr>
          <w:sz w:val="24"/>
          <w:szCs w:val="24"/>
        </w:rPr>
        <w:t>Motion for Continuance of Hearing Date,</w:t>
      </w:r>
      <w:r>
        <w:rPr>
          <w:sz w:val="24"/>
          <w:szCs w:val="24"/>
        </w:rPr>
        <w:t xml:space="preserve"> dated </w:t>
      </w:r>
      <w:r w:rsidR="00BA3463">
        <w:rPr>
          <w:sz w:val="24"/>
          <w:szCs w:val="24"/>
        </w:rPr>
        <w:t>March 23, 2017</w:t>
      </w:r>
      <w:r w:rsidR="001D44F3">
        <w:rPr>
          <w:sz w:val="24"/>
          <w:szCs w:val="24"/>
        </w:rPr>
        <w:t>,</w:t>
      </w:r>
      <w:r>
        <w:rPr>
          <w:sz w:val="24"/>
          <w:szCs w:val="24"/>
        </w:rPr>
        <w:t xml:space="preserve"> </w:t>
      </w:r>
      <w:proofErr w:type="gramStart"/>
      <w:r>
        <w:rPr>
          <w:sz w:val="24"/>
          <w:szCs w:val="24"/>
        </w:rPr>
        <w:t>is</w:t>
      </w:r>
      <w:proofErr w:type="gramEnd"/>
      <w:r>
        <w:rPr>
          <w:sz w:val="24"/>
          <w:szCs w:val="24"/>
        </w:rPr>
        <w:t xml:space="preserve"> denied.  </w:t>
      </w:r>
    </w:p>
    <w:p w:rsidR="004D22DD" w:rsidRDefault="004D22DD" w:rsidP="004D22DD">
      <w:pPr>
        <w:spacing w:line="360" w:lineRule="auto"/>
        <w:rPr>
          <w:sz w:val="24"/>
          <w:szCs w:val="24"/>
        </w:rPr>
      </w:pPr>
    </w:p>
    <w:p w:rsidR="001D44F3" w:rsidRDefault="001D44F3" w:rsidP="004D22DD">
      <w:pPr>
        <w:spacing w:line="360" w:lineRule="auto"/>
        <w:rPr>
          <w:sz w:val="24"/>
          <w:szCs w:val="24"/>
        </w:rPr>
      </w:pPr>
    </w:p>
    <w:p w:rsidR="00370CEC" w:rsidRPr="00E77C24" w:rsidRDefault="004D22DD" w:rsidP="00370CEC">
      <w:pPr>
        <w:pStyle w:val="Footer"/>
        <w:tabs>
          <w:tab w:val="clear" w:pos="4320"/>
          <w:tab w:val="clear" w:pos="8640"/>
        </w:tabs>
        <w:rPr>
          <w:spacing w:val="-3"/>
          <w:sz w:val="24"/>
          <w:szCs w:val="24"/>
        </w:rPr>
      </w:pPr>
      <w:r w:rsidRPr="00E77C24">
        <w:rPr>
          <w:spacing w:val="-3"/>
          <w:sz w:val="24"/>
          <w:szCs w:val="24"/>
        </w:rPr>
        <w:t xml:space="preserve">Date:  </w:t>
      </w:r>
      <w:r w:rsidR="00BA3463">
        <w:rPr>
          <w:spacing w:val="-3"/>
          <w:sz w:val="24"/>
          <w:szCs w:val="24"/>
          <w:u w:val="single"/>
        </w:rPr>
        <w:t>March 24, 2017</w:t>
      </w:r>
      <w:r w:rsidRPr="00F81F05">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Pr>
          <w:spacing w:val="-3"/>
          <w:sz w:val="24"/>
          <w:szCs w:val="24"/>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Pr="00E77C24">
        <w:rPr>
          <w:spacing w:val="-3"/>
          <w:sz w:val="24"/>
          <w:szCs w:val="24"/>
          <w:u w:val="single"/>
        </w:rPr>
        <w:tab/>
      </w:r>
      <w:r w:rsidR="00370CEC" w:rsidRPr="00E77C24">
        <w:rPr>
          <w:spacing w:val="-3"/>
          <w:sz w:val="24"/>
          <w:szCs w:val="24"/>
          <w:u w:val="single"/>
        </w:rPr>
        <w:tab/>
      </w:r>
    </w:p>
    <w:p w:rsidR="00614219" w:rsidRDefault="004D22DD" w:rsidP="004D22DD">
      <w:pPr>
        <w:pStyle w:val="Footer"/>
        <w:tabs>
          <w:tab w:val="clear" w:pos="4320"/>
          <w:tab w:val="clear" w:pos="8640"/>
        </w:tabs>
        <w:rPr>
          <w:spacing w:val="-3"/>
          <w:sz w:val="24"/>
          <w:szCs w:val="24"/>
        </w:rPr>
      </w:pP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sidRPr="00E77C24">
        <w:rPr>
          <w:spacing w:val="-3"/>
          <w:sz w:val="24"/>
          <w:szCs w:val="24"/>
        </w:rPr>
        <w:tab/>
      </w:r>
      <w:r>
        <w:rPr>
          <w:spacing w:val="-3"/>
          <w:sz w:val="24"/>
          <w:szCs w:val="24"/>
        </w:rPr>
        <w:tab/>
      </w:r>
      <w:r w:rsidRPr="00E77C24">
        <w:rPr>
          <w:spacing w:val="-3"/>
          <w:sz w:val="24"/>
          <w:szCs w:val="24"/>
        </w:rPr>
        <w:t>Katrina L. Dunderdale</w:t>
      </w:r>
    </w:p>
    <w:p w:rsidR="005605ED" w:rsidRDefault="00614219" w:rsidP="00BA3463">
      <w:pPr>
        <w:pStyle w:val="Footer"/>
        <w:tabs>
          <w:tab w:val="clear" w:pos="4320"/>
          <w:tab w:val="clear" w:pos="8640"/>
        </w:tabs>
        <w:rPr>
          <w:rFonts w:ascii="Microsoft Sans Serif"/>
          <w:b/>
          <w:sz w:val="24"/>
          <w:u w:val="single"/>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6C7AE9">
        <w:rPr>
          <w:spacing w:val="-3"/>
          <w:sz w:val="24"/>
          <w:szCs w:val="24"/>
        </w:rPr>
        <w:t>Administrative</w:t>
      </w:r>
      <w:r>
        <w:rPr>
          <w:spacing w:val="-3"/>
          <w:sz w:val="24"/>
          <w:szCs w:val="24"/>
        </w:rPr>
        <w:t xml:space="preserve"> Law Judge</w:t>
      </w:r>
    </w:p>
    <w:p w:rsidR="00BA3463" w:rsidRDefault="00BA3463" w:rsidP="00BA3463">
      <w:pPr>
        <w:pStyle w:val="Footer"/>
        <w:tabs>
          <w:tab w:val="clear" w:pos="4320"/>
          <w:tab w:val="clear" w:pos="8640"/>
        </w:tabs>
      </w:pPr>
    </w:p>
    <w:p w:rsidR="00D25CC3" w:rsidRDefault="00D25CC3">
      <w:pPr>
        <w:overflowPunct/>
        <w:autoSpaceDE/>
        <w:autoSpaceDN/>
        <w:adjustRightInd/>
        <w:spacing w:after="200" w:line="276" w:lineRule="auto"/>
      </w:pPr>
      <w:r>
        <w:br w:type="page"/>
      </w:r>
    </w:p>
    <w:p w:rsidR="00D25CC3" w:rsidRDefault="00D25CC3" w:rsidP="00D25CC3">
      <w:pPr>
        <w:contextualSpacing/>
        <w:rPr>
          <w:rFonts w:ascii="Microsoft Sans Serif"/>
          <w:b/>
          <w:sz w:val="24"/>
          <w:u w:val="single"/>
        </w:rPr>
        <w:sectPr w:rsidR="00D25CC3" w:rsidSect="006C7AE9">
          <w:footerReference w:type="even" r:id="rId8"/>
          <w:footerReference w:type="default" r:id="rId9"/>
          <w:pgSz w:w="12240" w:h="15840"/>
          <w:pgMar w:top="1296" w:right="1440" w:bottom="1440" w:left="1440" w:header="720" w:footer="720" w:gutter="0"/>
          <w:pgNumType w:start="1"/>
          <w:cols w:space="720"/>
          <w:titlePg/>
          <w:docGrid w:linePitch="360"/>
        </w:sectPr>
      </w:pPr>
    </w:p>
    <w:p w:rsidR="00D25CC3" w:rsidRDefault="00D25CC3" w:rsidP="00D25CC3">
      <w:pPr>
        <w:contextualSpacing/>
      </w:pPr>
      <w:r>
        <w:rPr>
          <w:rFonts w:ascii="Microsoft Sans Serif"/>
          <w:b/>
          <w:sz w:val="24"/>
          <w:u w:val="single"/>
        </w:rPr>
        <w:lastRenderedPageBreak/>
        <w:t>F-2016-2581905 - WADE DE LOE v. PECO ENERGY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WADE DE LOE</w:t>
      </w:r>
      <w:r>
        <w:rPr>
          <w:rFonts w:ascii="Microsoft Sans Serif"/>
          <w:sz w:val="24"/>
        </w:rPr>
        <w:cr/>
        <w:t>560 WEST 170TH STREET APT 6B</w:t>
      </w:r>
      <w:r>
        <w:rPr>
          <w:rFonts w:ascii="Microsoft Sans Serif"/>
          <w:sz w:val="24"/>
        </w:rPr>
        <w:cr/>
        <w:t>NEW YORK NY  10032</w:t>
      </w:r>
      <w:r>
        <w:rPr>
          <w:rFonts w:ascii="Microsoft Sans Serif"/>
          <w:sz w:val="24"/>
        </w:rPr>
        <w:cr/>
      </w:r>
    </w:p>
    <w:p w:rsidR="00D25CC3" w:rsidRPr="00D95DD0" w:rsidRDefault="00D25CC3" w:rsidP="00D25CC3">
      <w:pPr>
        <w:contextualSpacing/>
        <w:rPr>
          <w:b/>
          <w:i/>
          <w:u w:val="single"/>
        </w:rPr>
      </w:pP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-E-SERVE-</w:t>
      </w:r>
    </w:p>
    <w:p w:rsidR="00614219" w:rsidRDefault="00614219"/>
    <w:sectPr w:rsidR="00614219" w:rsidSect="006C7AE9">
      <w:pgSz w:w="12240" w:h="15840"/>
      <w:pgMar w:top="1296"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424" w:rsidRDefault="00CC1424" w:rsidP="00D77BB6">
      <w:r>
        <w:separator/>
      </w:r>
    </w:p>
  </w:endnote>
  <w:endnote w:type="continuationSeparator" w:id="0">
    <w:p w:rsidR="00CC1424" w:rsidRDefault="00CC1424" w:rsidP="00D7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023" w:rsidRDefault="00333188" w:rsidP="003B32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7023" w:rsidRDefault="00CC14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8201438"/>
      <w:docPartObj>
        <w:docPartGallery w:val="Page Numbers (Bottom of Page)"/>
        <w:docPartUnique/>
      </w:docPartObj>
    </w:sdtPr>
    <w:sdtEndPr>
      <w:rPr>
        <w:sz w:val="20"/>
        <w:szCs w:val="20"/>
      </w:rPr>
    </w:sdtEndPr>
    <w:sdtContent>
      <w:p w:rsidR="00867023" w:rsidRPr="00614219" w:rsidRDefault="00333188">
        <w:pPr>
          <w:pStyle w:val="Footer"/>
          <w:jc w:val="center"/>
        </w:pPr>
        <w:r w:rsidRPr="00614219">
          <w:fldChar w:fldCharType="begin"/>
        </w:r>
        <w:r w:rsidRPr="00614219">
          <w:instrText xml:space="preserve"> PAGE   \* MERGEFORMAT </w:instrText>
        </w:r>
        <w:r w:rsidRPr="00614219">
          <w:fldChar w:fldCharType="separate"/>
        </w:r>
        <w:r w:rsidR="001102BC">
          <w:rPr>
            <w:noProof/>
          </w:rPr>
          <w:t>4</w:t>
        </w:r>
        <w:r w:rsidRPr="00614219">
          <w:rPr>
            <w:noProof/>
          </w:rPr>
          <w:fldChar w:fldCharType="end"/>
        </w:r>
      </w:p>
    </w:sdtContent>
  </w:sdt>
  <w:p w:rsidR="00867023" w:rsidRPr="00AB1A7B" w:rsidRDefault="00CC1424">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424" w:rsidRDefault="00CC1424" w:rsidP="00D77BB6">
      <w:r>
        <w:separator/>
      </w:r>
    </w:p>
  </w:footnote>
  <w:footnote w:type="continuationSeparator" w:id="0">
    <w:p w:rsidR="00CC1424" w:rsidRDefault="00CC1424" w:rsidP="00D77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CC7"/>
    <w:rsid w:val="0005041E"/>
    <w:rsid w:val="001102BC"/>
    <w:rsid w:val="001D44F3"/>
    <w:rsid w:val="002277DA"/>
    <w:rsid w:val="002B5557"/>
    <w:rsid w:val="002B62DF"/>
    <w:rsid w:val="00312D9F"/>
    <w:rsid w:val="0031614D"/>
    <w:rsid w:val="00333188"/>
    <w:rsid w:val="00370CEC"/>
    <w:rsid w:val="0047479C"/>
    <w:rsid w:val="004D22DD"/>
    <w:rsid w:val="00580169"/>
    <w:rsid w:val="005E7CC7"/>
    <w:rsid w:val="00614219"/>
    <w:rsid w:val="00621F37"/>
    <w:rsid w:val="00632315"/>
    <w:rsid w:val="006C7AE9"/>
    <w:rsid w:val="00771237"/>
    <w:rsid w:val="007835E2"/>
    <w:rsid w:val="007B1937"/>
    <w:rsid w:val="0084375A"/>
    <w:rsid w:val="009C61D8"/>
    <w:rsid w:val="00A36FFD"/>
    <w:rsid w:val="00A96273"/>
    <w:rsid w:val="00A97837"/>
    <w:rsid w:val="00AB0C18"/>
    <w:rsid w:val="00B20800"/>
    <w:rsid w:val="00B451F3"/>
    <w:rsid w:val="00BA3463"/>
    <w:rsid w:val="00CC1424"/>
    <w:rsid w:val="00D25CC3"/>
    <w:rsid w:val="00D77BB6"/>
    <w:rsid w:val="00DA4E50"/>
    <w:rsid w:val="00DD4382"/>
    <w:rsid w:val="00E51E5E"/>
    <w:rsid w:val="00E66986"/>
    <w:rsid w:val="00E82452"/>
    <w:rsid w:val="00F20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CC7"/>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7CC7"/>
    <w:pPr>
      <w:tabs>
        <w:tab w:val="center" w:pos="4320"/>
        <w:tab w:val="right" w:pos="8640"/>
      </w:tabs>
    </w:pPr>
  </w:style>
  <w:style w:type="character" w:customStyle="1" w:styleId="FooterChar">
    <w:name w:val="Footer Char"/>
    <w:basedOn w:val="DefaultParagraphFont"/>
    <w:link w:val="Footer"/>
    <w:uiPriority w:val="99"/>
    <w:rsid w:val="005E7CC7"/>
    <w:rPr>
      <w:rFonts w:ascii="Times New Roman" w:eastAsia="Times New Roman" w:hAnsi="Times New Roman" w:cs="Times New Roman"/>
      <w:sz w:val="20"/>
      <w:szCs w:val="20"/>
    </w:rPr>
  </w:style>
  <w:style w:type="character" w:styleId="PageNumber">
    <w:name w:val="page number"/>
    <w:basedOn w:val="DefaultParagraphFont"/>
    <w:rsid w:val="005E7CC7"/>
  </w:style>
  <w:style w:type="paragraph" w:styleId="Title">
    <w:name w:val="Title"/>
    <w:basedOn w:val="Normal"/>
    <w:link w:val="TitleChar"/>
    <w:qFormat/>
    <w:rsid w:val="005E7CC7"/>
    <w:pPr>
      <w:tabs>
        <w:tab w:val="left" w:pos="360"/>
      </w:tabs>
      <w:overflowPunct/>
      <w:autoSpaceDE/>
      <w:autoSpaceDN/>
      <w:adjustRightInd/>
      <w:spacing w:line="233" w:lineRule="auto"/>
      <w:jc w:val="center"/>
    </w:pPr>
    <w:rPr>
      <w:b/>
      <w:sz w:val="24"/>
    </w:rPr>
  </w:style>
  <w:style w:type="character" w:customStyle="1" w:styleId="TitleChar">
    <w:name w:val="Title Char"/>
    <w:basedOn w:val="DefaultParagraphFont"/>
    <w:link w:val="Title"/>
    <w:rsid w:val="005E7CC7"/>
    <w:rPr>
      <w:rFonts w:ascii="Times New Roman" w:eastAsia="Times New Roman" w:hAnsi="Times New Roman" w:cs="Times New Roman"/>
      <w:b/>
      <w:sz w:val="24"/>
      <w:szCs w:val="20"/>
    </w:rPr>
  </w:style>
  <w:style w:type="paragraph" w:styleId="FootnoteText">
    <w:name w:val="footnote text"/>
    <w:basedOn w:val="Normal"/>
    <w:link w:val="FootnoteTextChar"/>
    <w:uiPriority w:val="99"/>
    <w:unhideWhenUsed/>
    <w:rsid w:val="00D77BB6"/>
  </w:style>
  <w:style w:type="character" w:customStyle="1" w:styleId="FootnoteTextChar">
    <w:name w:val="Footnote Text Char"/>
    <w:basedOn w:val="DefaultParagraphFont"/>
    <w:link w:val="FootnoteText"/>
    <w:uiPriority w:val="99"/>
    <w:rsid w:val="00D77BB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77BB6"/>
    <w:rPr>
      <w:vertAlign w:val="superscript"/>
    </w:rPr>
  </w:style>
  <w:style w:type="paragraph" w:styleId="Header">
    <w:name w:val="header"/>
    <w:basedOn w:val="Normal"/>
    <w:link w:val="HeaderChar"/>
    <w:uiPriority w:val="99"/>
    <w:unhideWhenUsed/>
    <w:rsid w:val="00614219"/>
    <w:pPr>
      <w:tabs>
        <w:tab w:val="center" w:pos="4680"/>
        <w:tab w:val="right" w:pos="9360"/>
      </w:tabs>
    </w:pPr>
  </w:style>
  <w:style w:type="character" w:customStyle="1" w:styleId="HeaderChar">
    <w:name w:val="Header Char"/>
    <w:basedOn w:val="DefaultParagraphFont"/>
    <w:link w:val="Header"/>
    <w:uiPriority w:val="99"/>
    <w:rsid w:val="0061421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0C18"/>
    <w:rPr>
      <w:rFonts w:ascii="Tahoma" w:hAnsi="Tahoma" w:cs="Tahoma"/>
      <w:sz w:val="16"/>
      <w:szCs w:val="16"/>
    </w:rPr>
  </w:style>
  <w:style w:type="character" w:customStyle="1" w:styleId="BalloonTextChar">
    <w:name w:val="Balloon Text Char"/>
    <w:basedOn w:val="DefaultParagraphFont"/>
    <w:link w:val="BalloonText"/>
    <w:uiPriority w:val="99"/>
    <w:semiHidden/>
    <w:rsid w:val="00AB0C1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CC7"/>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E7CC7"/>
    <w:pPr>
      <w:tabs>
        <w:tab w:val="center" w:pos="4320"/>
        <w:tab w:val="right" w:pos="8640"/>
      </w:tabs>
    </w:pPr>
  </w:style>
  <w:style w:type="character" w:customStyle="1" w:styleId="FooterChar">
    <w:name w:val="Footer Char"/>
    <w:basedOn w:val="DefaultParagraphFont"/>
    <w:link w:val="Footer"/>
    <w:uiPriority w:val="99"/>
    <w:rsid w:val="005E7CC7"/>
    <w:rPr>
      <w:rFonts w:ascii="Times New Roman" w:eastAsia="Times New Roman" w:hAnsi="Times New Roman" w:cs="Times New Roman"/>
      <w:sz w:val="20"/>
      <w:szCs w:val="20"/>
    </w:rPr>
  </w:style>
  <w:style w:type="character" w:styleId="PageNumber">
    <w:name w:val="page number"/>
    <w:basedOn w:val="DefaultParagraphFont"/>
    <w:rsid w:val="005E7CC7"/>
  </w:style>
  <w:style w:type="paragraph" w:styleId="Title">
    <w:name w:val="Title"/>
    <w:basedOn w:val="Normal"/>
    <w:link w:val="TitleChar"/>
    <w:qFormat/>
    <w:rsid w:val="005E7CC7"/>
    <w:pPr>
      <w:tabs>
        <w:tab w:val="left" w:pos="360"/>
      </w:tabs>
      <w:overflowPunct/>
      <w:autoSpaceDE/>
      <w:autoSpaceDN/>
      <w:adjustRightInd/>
      <w:spacing w:line="233" w:lineRule="auto"/>
      <w:jc w:val="center"/>
    </w:pPr>
    <w:rPr>
      <w:b/>
      <w:sz w:val="24"/>
    </w:rPr>
  </w:style>
  <w:style w:type="character" w:customStyle="1" w:styleId="TitleChar">
    <w:name w:val="Title Char"/>
    <w:basedOn w:val="DefaultParagraphFont"/>
    <w:link w:val="Title"/>
    <w:rsid w:val="005E7CC7"/>
    <w:rPr>
      <w:rFonts w:ascii="Times New Roman" w:eastAsia="Times New Roman" w:hAnsi="Times New Roman" w:cs="Times New Roman"/>
      <w:b/>
      <w:sz w:val="24"/>
      <w:szCs w:val="20"/>
    </w:rPr>
  </w:style>
  <w:style w:type="paragraph" w:styleId="FootnoteText">
    <w:name w:val="footnote text"/>
    <w:basedOn w:val="Normal"/>
    <w:link w:val="FootnoteTextChar"/>
    <w:uiPriority w:val="99"/>
    <w:unhideWhenUsed/>
    <w:rsid w:val="00D77BB6"/>
  </w:style>
  <w:style w:type="character" w:customStyle="1" w:styleId="FootnoteTextChar">
    <w:name w:val="Footnote Text Char"/>
    <w:basedOn w:val="DefaultParagraphFont"/>
    <w:link w:val="FootnoteText"/>
    <w:uiPriority w:val="99"/>
    <w:rsid w:val="00D77BB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77BB6"/>
    <w:rPr>
      <w:vertAlign w:val="superscript"/>
    </w:rPr>
  </w:style>
  <w:style w:type="paragraph" w:styleId="Header">
    <w:name w:val="header"/>
    <w:basedOn w:val="Normal"/>
    <w:link w:val="HeaderChar"/>
    <w:uiPriority w:val="99"/>
    <w:unhideWhenUsed/>
    <w:rsid w:val="00614219"/>
    <w:pPr>
      <w:tabs>
        <w:tab w:val="center" w:pos="4680"/>
        <w:tab w:val="right" w:pos="9360"/>
      </w:tabs>
    </w:pPr>
  </w:style>
  <w:style w:type="character" w:customStyle="1" w:styleId="HeaderChar">
    <w:name w:val="Header Char"/>
    <w:basedOn w:val="DefaultParagraphFont"/>
    <w:link w:val="Header"/>
    <w:uiPriority w:val="99"/>
    <w:rsid w:val="0061421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0C18"/>
    <w:rPr>
      <w:rFonts w:ascii="Tahoma" w:hAnsi="Tahoma" w:cs="Tahoma"/>
      <w:sz w:val="16"/>
      <w:szCs w:val="16"/>
    </w:rPr>
  </w:style>
  <w:style w:type="character" w:customStyle="1" w:styleId="BalloonTextChar">
    <w:name w:val="Balloon Text Char"/>
    <w:basedOn w:val="DefaultParagraphFont"/>
    <w:link w:val="BalloonText"/>
    <w:uiPriority w:val="99"/>
    <w:semiHidden/>
    <w:rsid w:val="00AB0C1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02CB3-ADE8-4B39-BFD5-07EE6771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Dunderdale, Katrina</dc:creator>
  <cp:lastModifiedBy>sandra elizabeth oldynski</cp:lastModifiedBy>
  <cp:revision>8</cp:revision>
  <cp:lastPrinted>2017-03-24T16:30:00Z</cp:lastPrinted>
  <dcterms:created xsi:type="dcterms:W3CDTF">2017-03-24T16:26:00Z</dcterms:created>
  <dcterms:modified xsi:type="dcterms:W3CDTF">2017-03-24T16:41:00Z</dcterms:modified>
</cp:coreProperties>
</file>