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173893" w:rsidRPr="00BF09A6" w:rsidTr="001E69A1">
        <w:trPr>
          <w:cantSplit/>
          <w:trHeight w:hRule="exact" w:val="1296"/>
          <w:jc w:val="center"/>
        </w:trPr>
        <w:tc>
          <w:tcPr>
            <w:tcW w:w="1610" w:type="dxa"/>
          </w:tcPr>
          <w:p w:rsidR="00173893" w:rsidRPr="00BF09A6" w:rsidRDefault="00173893" w:rsidP="001E69A1">
            <w:pPr>
              <w:tabs>
                <w:tab w:val="left" w:pos="600"/>
              </w:tabs>
              <w:jc w:val="center"/>
              <w:rPr>
                <w:sz w:val="24"/>
              </w:rPr>
            </w:pPr>
            <w:r w:rsidRPr="00BF09A6">
              <w:rPr>
                <w:noProof/>
                <w:sz w:val="24"/>
              </w:rPr>
              <w:drawing>
                <wp:anchor distT="0" distB="0" distL="114300" distR="114300" simplePos="0" relativeHeight="251659264" behindDoc="1" locked="1" layoutInCell="1" allowOverlap="0" wp14:anchorId="7F82B66C" wp14:editId="549D41D2">
                  <wp:simplePos x="838200" y="914400"/>
                  <wp:positionH relativeFrom="margin">
                    <wp:align>center</wp:align>
                  </wp:positionH>
                  <wp:positionV relativeFrom="margin">
                    <wp:align>center</wp:align>
                  </wp:positionV>
                  <wp:extent cx="822960" cy="822960"/>
                  <wp:effectExtent l="0" t="0" r="0" b="0"/>
                  <wp:wrapNone/>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rsidR="00173893" w:rsidRPr="00BF09A6" w:rsidRDefault="00173893" w:rsidP="001E69A1">
            <w:pPr>
              <w:suppressAutoHyphens/>
              <w:jc w:val="center"/>
              <w:rPr>
                <w:rFonts w:ascii="Arial" w:hAnsi="Arial"/>
                <w:color w:val="000080"/>
                <w:sz w:val="28"/>
                <w:szCs w:val="28"/>
              </w:rPr>
            </w:pPr>
            <w:r w:rsidRPr="00BF09A6">
              <w:rPr>
                <w:rFonts w:ascii="Arial" w:hAnsi="Arial"/>
                <w:color w:val="000080"/>
                <w:sz w:val="28"/>
                <w:szCs w:val="28"/>
              </w:rPr>
              <w:t>Secretary, PA Public Utility Commission</w:t>
            </w:r>
          </w:p>
          <w:p w:rsidR="00173893" w:rsidRPr="00BF09A6" w:rsidRDefault="00173893" w:rsidP="001E69A1">
            <w:pPr>
              <w:suppressAutoHyphens/>
              <w:jc w:val="center"/>
              <w:rPr>
                <w:rFonts w:ascii="Arial" w:hAnsi="Arial"/>
                <w:color w:val="000080"/>
                <w:sz w:val="28"/>
                <w:szCs w:val="28"/>
              </w:rPr>
            </w:pPr>
            <w:r w:rsidRPr="00BF09A6">
              <w:rPr>
                <w:rFonts w:ascii="Arial" w:hAnsi="Arial"/>
                <w:color w:val="000080"/>
                <w:sz w:val="28"/>
                <w:szCs w:val="28"/>
              </w:rPr>
              <w:t>400 North Street, 2</w:t>
            </w:r>
            <w:r w:rsidRPr="00BF09A6">
              <w:rPr>
                <w:rFonts w:ascii="Arial" w:hAnsi="Arial"/>
                <w:color w:val="000080"/>
                <w:sz w:val="28"/>
                <w:szCs w:val="28"/>
                <w:vertAlign w:val="superscript"/>
              </w:rPr>
              <w:t>nd</w:t>
            </w:r>
            <w:r w:rsidRPr="00BF09A6">
              <w:rPr>
                <w:rFonts w:ascii="Arial" w:hAnsi="Arial"/>
                <w:color w:val="000080"/>
                <w:sz w:val="28"/>
                <w:szCs w:val="28"/>
              </w:rPr>
              <w:t xml:space="preserve"> Floor</w:t>
            </w:r>
          </w:p>
          <w:p w:rsidR="00173893" w:rsidRPr="00BF09A6" w:rsidRDefault="00173893" w:rsidP="001E69A1">
            <w:pPr>
              <w:jc w:val="center"/>
              <w:rPr>
                <w:rFonts w:ascii="Arial" w:hAnsi="Arial"/>
                <w:sz w:val="12"/>
              </w:rPr>
            </w:pPr>
            <w:r w:rsidRPr="00BF09A6">
              <w:rPr>
                <w:rFonts w:ascii="Arial" w:hAnsi="Arial"/>
                <w:color w:val="000080"/>
                <w:sz w:val="28"/>
                <w:szCs w:val="28"/>
              </w:rPr>
              <w:t>Harrisburg, Pennsylvania 17120</w:t>
            </w:r>
          </w:p>
        </w:tc>
        <w:tc>
          <w:tcPr>
            <w:tcW w:w="1609" w:type="dxa"/>
            <w:vAlign w:val="center"/>
          </w:tcPr>
          <w:p w:rsidR="00173893" w:rsidRPr="00BF09A6" w:rsidRDefault="00173893" w:rsidP="001E69A1">
            <w:pPr>
              <w:jc w:val="center"/>
              <w:rPr>
                <w:rFonts w:ascii="Arial" w:hAnsi="Arial"/>
                <w:sz w:val="12"/>
              </w:rPr>
            </w:pPr>
          </w:p>
          <w:p w:rsidR="00173893" w:rsidRPr="00BF09A6" w:rsidRDefault="00173893" w:rsidP="001E69A1">
            <w:pPr>
              <w:jc w:val="center"/>
              <w:rPr>
                <w:rFonts w:ascii="Arial" w:hAnsi="Arial"/>
                <w:sz w:val="12"/>
              </w:rPr>
            </w:pPr>
          </w:p>
          <w:p w:rsidR="00173893" w:rsidRPr="00BF09A6" w:rsidRDefault="00173893" w:rsidP="001E69A1">
            <w:pPr>
              <w:jc w:val="center"/>
              <w:rPr>
                <w:rFonts w:ascii="Arial" w:hAnsi="Arial"/>
                <w:sz w:val="12"/>
              </w:rPr>
            </w:pPr>
          </w:p>
          <w:p w:rsidR="00173893" w:rsidRPr="00BF09A6" w:rsidRDefault="00173893" w:rsidP="001E69A1">
            <w:pPr>
              <w:jc w:val="center"/>
              <w:rPr>
                <w:rFonts w:ascii="Arial" w:hAnsi="Arial"/>
                <w:sz w:val="12"/>
              </w:rPr>
            </w:pPr>
          </w:p>
          <w:p w:rsidR="00173893" w:rsidRPr="00BF09A6" w:rsidRDefault="00173893" w:rsidP="001E69A1">
            <w:pPr>
              <w:jc w:val="center"/>
              <w:rPr>
                <w:rFonts w:ascii="Arial" w:hAnsi="Arial"/>
                <w:sz w:val="12"/>
              </w:rPr>
            </w:pPr>
          </w:p>
          <w:p w:rsidR="00173893" w:rsidRPr="00BF09A6" w:rsidRDefault="00173893" w:rsidP="001E69A1">
            <w:pPr>
              <w:jc w:val="center"/>
              <w:rPr>
                <w:rFonts w:ascii="Arial" w:hAnsi="Arial"/>
                <w:sz w:val="12"/>
              </w:rPr>
            </w:pPr>
          </w:p>
          <w:p w:rsidR="00173893" w:rsidRPr="00BF09A6" w:rsidRDefault="00173893" w:rsidP="001E69A1">
            <w:pPr>
              <w:jc w:val="center"/>
              <w:rPr>
                <w:rFonts w:ascii="Arial" w:hAnsi="Arial"/>
                <w:sz w:val="14"/>
                <w:szCs w:val="14"/>
              </w:rPr>
            </w:pPr>
            <w:r w:rsidRPr="00BF09A6">
              <w:rPr>
                <w:rFonts w:ascii="Arial" w:hAnsi="Arial"/>
                <w:b/>
                <w:spacing w:val="-1"/>
                <w:sz w:val="14"/>
                <w:szCs w:val="14"/>
              </w:rPr>
              <w:t>IN REPLY PLEASE REFER TO OUR FILE</w:t>
            </w:r>
          </w:p>
        </w:tc>
      </w:tr>
    </w:tbl>
    <w:p w:rsidR="00CE01FD" w:rsidRDefault="00CE01FD">
      <w:pPr>
        <w:rPr>
          <w:sz w:val="24"/>
        </w:rPr>
        <w:sectPr w:rsidR="00CE01FD" w:rsidSect="00173893">
          <w:pgSz w:w="12240" w:h="15840"/>
          <w:pgMar w:top="1440" w:right="1440" w:bottom="1440" w:left="1440" w:header="720" w:footer="720" w:gutter="0"/>
          <w:cols w:space="720"/>
          <w:docGrid w:linePitch="272"/>
        </w:sectPr>
      </w:pPr>
    </w:p>
    <w:p w:rsidR="00C13A42" w:rsidRDefault="00844FC2" w:rsidP="00C13A42">
      <w:pPr>
        <w:jc w:val="center"/>
        <w:rPr>
          <w:b/>
          <w:sz w:val="24"/>
          <w:szCs w:val="24"/>
        </w:rPr>
      </w:pPr>
      <w:r>
        <w:rPr>
          <w:b/>
          <w:sz w:val="24"/>
          <w:szCs w:val="24"/>
        </w:rPr>
        <w:lastRenderedPageBreak/>
        <w:t>April 5, 2017</w:t>
      </w:r>
    </w:p>
    <w:p w:rsidR="00F00F7F" w:rsidRDefault="00130671" w:rsidP="00B95A27">
      <w:pPr>
        <w:jc w:val="right"/>
        <w:rPr>
          <w:sz w:val="21"/>
          <w:szCs w:val="21"/>
        </w:rPr>
      </w:pPr>
      <w:r>
        <w:rPr>
          <w:sz w:val="21"/>
          <w:szCs w:val="21"/>
        </w:rPr>
        <w:t xml:space="preserve">Docket No. </w:t>
      </w:r>
      <w:r w:rsidR="00E1232A">
        <w:rPr>
          <w:sz w:val="21"/>
          <w:szCs w:val="21"/>
        </w:rPr>
        <w:t>P-2016-2524581</w:t>
      </w:r>
    </w:p>
    <w:p w:rsidR="00B95A27" w:rsidRDefault="00B95A27" w:rsidP="00B45673">
      <w:pPr>
        <w:rPr>
          <w:sz w:val="21"/>
          <w:szCs w:val="21"/>
        </w:rPr>
      </w:pPr>
    </w:p>
    <w:p w:rsidR="00B95A27" w:rsidRDefault="00B95A27" w:rsidP="00B45673">
      <w:pPr>
        <w:rPr>
          <w:sz w:val="21"/>
          <w:szCs w:val="21"/>
        </w:rPr>
      </w:pPr>
    </w:p>
    <w:p w:rsidR="00B45AC9" w:rsidRDefault="00E1232A" w:rsidP="00B45673">
      <w:pPr>
        <w:rPr>
          <w:sz w:val="21"/>
          <w:szCs w:val="21"/>
        </w:rPr>
      </w:pPr>
      <w:r>
        <w:rPr>
          <w:sz w:val="21"/>
          <w:szCs w:val="21"/>
        </w:rPr>
        <w:t>KIMBERLY A KLOCK</w:t>
      </w:r>
    </w:p>
    <w:p w:rsidR="00E1232A" w:rsidRDefault="00E1232A" w:rsidP="00B45673">
      <w:pPr>
        <w:rPr>
          <w:sz w:val="21"/>
          <w:szCs w:val="21"/>
        </w:rPr>
      </w:pPr>
      <w:r>
        <w:rPr>
          <w:sz w:val="21"/>
          <w:szCs w:val="21"/>
        </w:rPr>
        <w:t>PPL</w:t>
      </w:r>
    </w:p>
    <w:p w:rsidR="00E1232A" w:rsidRDefault="00E1232A" w:rsidP="00B45673">
      <w:pPr>
        <w:rPr>
          <w:sz w:val="21"/>
          <w:szCs w:val="21"/>
        </w:rPr>
      </w:pPr>
      <w:r>
        <w:rPr>
          <w:sz w:val="21"/>
          <w:szCs w:val="21"/>
        </w:rPr>
        <w:t>TWO NORTH NINTH STREET</w:t>
      </w:r>
    </w:p>
    <w:p w:rsidR="00E1232A" w:rsidRPr="00AB60E6" w:rsidRDefault="00E1232A" w:rsidP="00B45673">
      <w:pPr>
        <w:rPr>
          <w:sz w:val="21"/>
          <w:szCs w:val="21"/>
        </w:rPr>
      </w:pPr>
      <w:r>
        <w:rPr>
          <w:sz w:val="21"/>
          <w:szCs w:val="21"/>
        </w:rPr>
        <w:t>ALLENTOWN PA  18101-1179</w:t>
      </w:r>
    </w:p>
    <w:p w:rsidR="00B45673" w:rsidRDefault="00B45673" w:rsidP="00B45673">
      <w:pPr>
        <w:rPr>
          <w:sz w:val="21"/>
          <w:szCs w:val="21"/>
        </w:rPr>
      </w:pPr>
    </w:p>
    <w:p w:rsidR="00C13A42" w:rsidRDefault="00C13A42" w:rsidP="00B45673">
      <w:pPr>
        <w:rPr>
          <w:sz w:val="21"/>
          <w:szCs w:val="21"/>
        </w:rPr>
      </w:pPr>
    </w:p>
    <w:p w:rsidR="00C13A42" w:rsidRDefault="00C13A42" w:rsidP="00B45673">
      <w:pPr>
        <w:rPr>
          <w:sz w:val="21"/>
          <w:szCs w:val="21"/>
        </w:rPr>
      </w:pPr>
    </w:p>
    <w:p w:rsidR="00C13A42" w:rsidRDefault="00B45673" w:rsidP="00D16063">
      <w:pPr>
        <w:ind w:left="1080" w:hanging="360"/>
        <w:rPr>
          <w:sz w:val="21"/>
          <w:szCs w:val="21"/>
        </w:rPr>
      </w:pPr>
      <w:r w:rsidRPr="00AB60E6">
        <w:rPr>
          <w:sz w:val="21"/>
          <w:szCs w:val="21"/>
        </w:rPr>
        <w:t>Re</w:t>
      </w:r>
      <w:r w:rsidR="00C13A42">
        <w:rPr>
          <w:sz w:val="21"/>
          <w:szCs w:val="21"/>
        </w:rPr>
        <w:t xml:space="preserve">:  </w:t>
      </w:r>
      <w:r w:rsidR="00E1232A">
        <w:rPr>
          <w:sz w:val="21"/>
          <w:szCs w:val="21"/>
        </w:rPr>
        <w:t>PPL Electric Utilities Corporation</w:t>
      </w:r>
    </w:p>
    <w:p w:rsidR="00E1232A" w:rsidRDefault="00E1232A" w:rsidP="00D16063">
      <w:pPr>
        <w:ind w:left="1080" w:hanging="360"/>
        <w:rPr>
          <w:sz w:val="21"/>
          <w:szCs w:val="21"/>
        </w:rPr>
      </w:pPr>
      <w:r>
        <w:rPr>
          <w:sz w:val="21"/>
          <w:szCs w:val="21"/>
        </w:rPr>
        <w:tab/>
        <w:t>Supplement No. 227 to Tariff Electric Pa. P.U.C. No. 201</w:t>
      </w:r>
    </w:p>
    <w:p w:rsidR="00E1232A" w:rsidRDefault="00E1232A" w:rsidP="00D16063">
      <w:pPr>
        <w:ind w:left="1080" w:hanging="360"/>
        <w:rPr>
          <w:sz w:val="21"/>
          <w:szCs w:val="21"/>
        </w:rPr>
      </w:pPr>
    </w:p>
    <w:p w:rsidR="00E1232A" w:rsidRDefault="00E1232A" w:rsidP="00D16063">
      <w:pPr>
        <w:ind w:left="1080" w:hanging="360"/>
        <w:rPr>
          <w:sz w:val="21"/>
          <w:szCs w:val="21"/>
        </w:rPr>
      </w:pPr>
    </w:p>
    <w:p w:rsidR="00130671" w:rsidRPr="00873C66" w:rsidRDefault="00130671" w:rsidP="00D16063">
      <w:pPr>
        <w:ind w:left="1080" w:hanging="360"/>
        <w:rPr>
          <w:sz w:val="21"/>
          <w:szCs w:val="21"/>
        </w:rPr>
      </w:pPr>
      <w:r>
        <w:rPr>
          <w:sz w:val="21"/>
          <w:szCs w:val="21"/>
        </w:rPr>
        <w:t xml:space="preserve">      </w:t>
      </w:r>
    </w:p>
    <w:p w:rsidR="00B45673" w:rsidRPr="00AB60E6" w:rsidRDefault="00B45673" w:rsidP="00B45673">
      <w:pPr>
        <w:rPr>
          <w:sz w:val="21"/>
          <w:szCs w:val="21"/>
        </w:rPr>
      </w:pPr>
      <w:r w:rsidRPr="00AB60E6">
        <w:rPr>
          <w:sz w:val="21"/>
          <w:szCs w:val="21"/>
        </w:rPr>
        <w:t xml:space="preserve">Dear </w:t>
      </w:r>
      <w:r w:rsidR="00E1232A">
        <w:rPr>
          <w:sz w:val="21"/>
          <w:szCs w:val="21"/>
        </w:rPr>
        <w:t>Ms. Klock</w:t>
      </w:r>
      <w:r w:rsidR="006D5846">
        <w:rPr>
          <w:sz w:val="21"/>
          <w:szCs w:val="21"/>
        </w:rPr>
        <w:t>:</w:t>
      </w:r>
    </w:p>
    <w:p w:rsidR="00B45673" w:rsidRPr="00AB60E6" w:rsidRDefault="00B45673" w:rsidP="00B45673">
      <w:pPr>
        <w:rPr>
          <w:sz w:val="21"/>
          <w:szCs w:val="21"/>
        </w:rPr>
      </w:pPr>
    </w:p>
    <w:p w:rsidR="00E8069B" w:rsidRDefault="00B45673" w:rsidP="00DD2FE2">
      <w:pPr>
        <w:rPr>
          <w:sz w:val="21"/>
          <w:szCs w:val="21"/>
        </w:rPr>
      </w:pPr>
      <w:r w:rsidRPr="00AB60E6">
        <w:rPr>
          <w:sz w:val="21"/>
          <w:szCs w:val="21"/>
        </w:rPr>
        <w:tab/>
      </w:r>
      <w:r w:rsidR="00AB60E6" w:rsidRPr="00AB60E6">
        <w:rPr>
          <w:sz w:val="21"/>
          <w:szCs w:val="21"/>
        </w:rPr>
        <w:tab/>
      </w:r>
      <w:r w:rsidR="009527F2">
        <w:rPr>
          <w:sz w:val="21"/>
          <w:szCs w:val="21"/>
        </w:rPr>
        <w:t>By Order entered</w:t>
      </w:r>
      <w:r w:rsidR="00C13A42">
        <w:rPr>
          <w:sz w:val="21"/>
          <w:szCs w:val="21"/>
        </w:rPr>
        <w:t xml:space="preserve"> </w:t>
      </w:r>
      <w:r w:rsidR="00E1232A">
        <w:rPr>
          <w:sz w:val="21"/>
          <w:szCs w:val="21"/>
        </w:rPr>
        <w:t>January 19, 2017</w:t>
      </w:r>
      <w:r w:rsidR="004C741D">
        <w:rPr>
          <w:sz w:val="21"/>
          <w:szCs w:val="21"/>
        </w:rPr>
        <w:t xml:space="preserve">, the Commission </w:t>
      </w:r>
      <w:r w:rsidR="006861B6">
        <w:rPr>
          <w:sz w:val="21"/>
          <w:szCs w:val="21"/>
        </w:rPr>
        <w:t xml:space="preserve">authorized </w:t>
      </w:r>
      <w:r w:rsidR="00E1232A">
        <w:rPr>
          <w:sz w:val="21"/>
          <w:szCs w:val="21"/>
        </w:rPr>
        <w:t xml:space="preserve">PPL Electric Utilities Corporation </w:t>
      </w:r>
      <w:r w:rsidR="00255B27">
        <w:rPr>
          <w:sz w:val="21"/>
          <w:szCs w:val="21"/>
        </w:rPr>
        <w:t>(C</w:t>
      </w:r>
      <w:r w:rsidR="006861B6">
        <w:rPr>
          <w:sz w:val="21"/>
          <w:szCs w:val="21"/>
        </w:rPr>
        <w:t>ompany)</w:t>
      </w:r>
      <w:r w:rsidR="005E0496">
        <w:rPr>
          <w:sz w:val="21"/>
          <w:szCs w:val="21"/>
        </w:rPr>
        <w:t xml:space="preserve"> </w:t>
      </w:r>
      <w:r w:rsidR="006861B6">
        <w:rPr>
          <w:sz w:val="21"/>
          <w:szCs w:val="21"/>
        </w:rPr>
        <w:t xml:space="preserve">to file </w:t>
      </w:r>
      <w:r w:rsidR="00E1232A">
        <w:rPr>
          <w:sz w:val="21"/>
          <w:szCs w:val="21"/>
        </w:rPr>
        <w:t>the</w:t>
      </w:r>
      <w:r w:rsidR="005E0496">
        <w:rPr>
          <w:sz w:val="21"/>
          <w:szCs w:val="21"/>
        </w:rPr>
        <w:t xml:space="preserve"> </w:t>
      </w:r>
      <w:r w:rsidR="00130671">
        <w:rPr>
          <w:sz w:val="21"/>
          <w:szCs w:val="21"/>
        </w:rPr>
        <w:t xml:space="preserve">tariff supplement </w:t>
      </w:r>
      <w:r w:rsidR="00E1232A">
        <w:rPr>
          <w:sz w:val="21"/>
          <w:szCs w:val="21"/>
        </w:rPr>
        <w:t xml:space="preserve">attached to the Settlement </w:t>
      </w:r>
      <w:r w:rsidR="00255B27">
        <w:rPr>
          <w:sz w:val="21"/>
          <w:szCs w:val="21"/>
        </w:rPr>
        <w:t xml:space="preserve">as Appendix A </w:t>
      </w:r>
      <w:r w:rsidR="00E1232A">
        <w:rPr>
          <w:sz w:val="21"/>
          <w:szCs w:val="21"/>
        </w:rPr>
        <w:t>in the above docketed rate investigation upon at least one day’s notice when the Company is ready to implement the remote switch for involuntary service termination</w:t>
      </w:r>
      <w:r w:rsidR="00A4155F">
        <w:rPr>
          <w:sz w:val="21"/>
          <w:szCs w:val="21"/>
        </w:rPr>
        <w:t xml:space="preserve">.  </w:t>
      </w:r>
      <w:r w:rsidR="006861B6">
        <w:rPr>
          <w:sz w:val="21"/>
          <w:szCs w:val="21"/>
        </w:rPr>
        <w:t xml:space="preserve">On </w:t>
      </w:r>
      <w:r w:rsidR="00E1232A">
        <w:rPr>
          <w:sz w:val="21"/>
          <w:szCs w:val="21"/>
        </w:rPr>
        <w:t>March 31, 2017</w:t>
      </w:r>
      <w:r w:rsidR="006861B6">
        <w:rPr>
          <w:sz w:val="21"/>
          <w:szCs w:val="21"/>
        </w:rPr>
        <w:t xml:space="preserve">, the </w:t>
      </w:r>
      <w:r w:rsidR="004F5F75">
        <w:rPr>
          <w:sz w:val="21"/>
          <w:szCs w:val="21"/>
        </w:rPr>
        <w:t>C</w:t>
      </w:r>
      <w:r w:rsidR="006861B6">
        <w:rPr>
          <w:sz w:val="21"/>
          <w:szCs w:val="21"/>
        </w:rPr>
        <w:t>ompany</w:t>
      </w:r>
      <w:r w:rsidR="004F5F75">
        <w:rPr>
          <w:sz w:val="21"/>
          <w:szCs w:val="21"/>
        </w:rPr>
        <w:t xml:space="preserve"> filed </w:t>
      </w:r>
      <w:r w:rsidR="00E1232A">
        <w:rPr>
          <w:sz w:val="21"/>
          <w:szCs w:val="21"/>
        </w:rPr>
        <w:t>Supplement No. 227 to Tariff Electric Pa. P.U.C. No. 201</w:t>
      </w:r>
      <w:r w:rsidR="004F5F75">
        <w:rPr>
          <w:sz w:val="21"/>
          <w:szCs w:val="21"/>
        </w:rPr>
        <w:t xml:space="preserve"> </w:t>
      </w:r>
      <w:r w:rsidR="00E8069B">
        <w:rPr>
          <w:sz w:val="21"/>
          <w:szCs w:val="21"/>
        </w:rPr>
        <w:t xml:space="preserve">to become effective </w:t>
      </w:r>
      <w:r w:rsidR="00E1232A">
        <w:rPr>
          <w:sz w:val="21"/>
          <w:szCs w:val="21"/>
        </w:rPr>
        <w:t>April 3, 2017</w:t>
      </w:r>
      <w:r w:rsidR="00E8069B">
        <w:rPr>
          <w:sz w:val="21"/>
          <w:szCs w:val="21"/>
        </w:rPr>
        <w:t xml:space="preserve">.  </w:t>
      </w:r>
    </w:p>
    <w:p w:rsidR="00757E90" w:rsidRDefault="00757E90" w:rsidP="00DD2FE2">
      <w:pPr>
        <w:rPr>
          <w:sz w:val="21"/>
          <w:szCs w:val="21"/>
        </w:rPr>
      </w:pPr>
    </w:p>
    <w:p w:rsidR="00A4155F" w:rsidRDefault="00757E90" w:rsidP="00757E90">
      <w:pPr>
        <w:ind w:hanging="1080"/>
        <w:rPr>
          <w:sz w:val="21"/>
          <w:szCs w:val="21"/>
        </w:rPr>
      </w:pPr>
      <w:r>
        <w:rPr>
          <w:sz w:val="21"/>
          <w:szCs w:val="21"/>
        </w:rPr>
        <w:tab/>
      </w:r>
      <w:r>
        <w:rPr>
          <w:sz w:val="21"/>
          <w:szCs w:val="21"/>
        </w:rPr>
        <w:tab/>
      </w:r>
      <w:r>
        <w:rPr>
          <w:sz w:val="21"/>
          <w:szCs w:val="21"/>
        </w:rPr>
        <w:tab/>
      </w:r>
      <w:r w:rsidR="00A4155F">
        <w:rPr>
          <w:sz w:val="21"/>
          <w:szCs w:val="21"/>
        </w:rPr>
        <w:t xml:space="preserve">Commission Staff has reviewed the tariff revisions and found that suspension or further investigation does not appear warranted at this time.  Therefore, in accordance with 52 Pa. Code, </w:t>
      </w:r>
      <w:r w:rsidR="00E1232A">
        <w:rPr>
          <w:sz w:val="21"/>
          <w:szCs w:val="21"/>
        </w:rPr>
        <w:t xml:space="preserve">Supplement No. 227 to Tariff Electric Pa. P.U.C. No. 201 </w:t>
      </w:r>
      <w:r w:rsidR="00A4155F">
        <w:rPr>
          <w:sz w:val="21"/>
          <w:szCs w:val="21"/>
        </w:rPr>
        <w:t>is effective by operation of law according to the effective dates contained on each page of the supplement.  However, this is without prejudice to any formal complaints timely filed against said tariff revision</w:t>
      </w:r>
      <w:r w:rsidR="00E1232A">
        <w:rPr>
          <w:sz w:val="21"/>
          <w:szCs w:val="21"/>
        </w:rPr>
        <w:t>s</w:t>
      </w:r>
      <w:r w:rsidR="00A4155F">
        <w:rPr>
          <w:sz w:val="21"/>
          <w:szCs w:val="21"/>
        </w:rPr>
        <w:t>.</w:t>
      </w:r>
    </w:p>
    <w:p w:rsidR="00A4155F" w:rsidRDefault="00A4155F" w:rsidP="00757E90">
      <w:pPr>
        <w:ind w:hanging="1080"/>
        <w:rPr>
          <w:sz w:val="21"/>
          <w:szCs w:val="21"/>
        </w:rPr>
      </w:pPr>
    </w:p>
    <w:p w:rsidR="00A4155F" w:rsidRDefault="00A4155F" w:rsidP="00757E90">
      <w:pPr>
        <w:ind w:hanging="1080"/>
        <w:rPr>
          <w:sz w:val="21"/>
          <w:szCs w:val="21"/>
        </w:rPr>
      </w:pPr>
      <w:r>
        <w:rPr>
          <w:sz w:val="21"/>
          <w:szCs w:val="21"/>
        </w:rPr>
        <w:tab/>
      </w:r>
      <w:r>
        <w:rPr>
          <w:sz w:val="21"/>
          <w:szCs w:val="21"/>
        </w:rPr>
        <w:tab/>
      </w:r>
      <w:r>
        <w:rPr>
          <w:sz w:val="21"/>
          <w:szCs w:val="21"/>
        </w:rPr>
        <w:tab/>
      </w:r>
      <w:r w:rsidR="009527F2">
        <w:rPr>
          <w:sz w:val="21"/>
          <w:szCs w:val="21"/>
        </w:rPr>
        <w:t xml:space="preserve">If you have any questions in this matter, please contact Marissa Boyle, Bureau of Technical Utility Services, at 717-787-7237 or </w:t>
      </w:r>
      <w:hyperlink r:id="rId9" w:history="1">
        <w:r w:rsidR="009527F2" w:rsidRPr="00374796">
          <w:rPr>
            <w:rStyle w:val="Hyperlink"/>
            <w:sz w:val="21"/>
            <w:szCs w:val="21"/>
          </w:rPr>
          <w:t>maboyle@pa.gov</w:t>
        </w:r>
      </w:hyperlink>
      <w:r w:rsidR="009527F2">
        <w:rPr>
          <w:sz w:val="21"/>
          <w:szCs w:val="21"/>
        </w:rPr>
        <w:t>.</w:t>
      </w:r>
    </w:p>
    <w:p w:rsidR="009527F2" w:rsidRDefault="009527F2" w:rsidP="00757E90">
      <w:pPr>
        <w:ind w:hanging="1080"/>
        <w:rPr>
          <w:sz w:val="21"/>
          <w:szCs w:val="21"/>
        </w:rPr>
      </w:pPr>
    </w:p>
    <w:p w:rsidR="009527F2" w:rsidRDefault="009527F2" w:rsidP="00757E90">
      <w:pPr>
        <w:ind w:hanging="1080"/>
        <w:rPr>
          <w:sz w:val="21"/>
          <w:szCs w:val="21"/>
        </w:rPr>
      </w:pPr>
    </w:p>
    <w:p w:rsidR="009527F2" w:rsidRDefault="009527F2" w:rsidP="00757E90">
      <w:pPr>
        <w:ind w:hanging="1080"/>
        <w:rPr>
          <w:sz w:val="21"/>
          <w:szCs w:val="21"/>
        </w:rPr>
      </w:pPr>
    </w:p>
    <w:p w:rsidR="009527F2" w:rsidRDefault="009527F2" w:rsidP="00757E90">
      <w:pPr>
        <w:ind w:hanging="1080"/>
        <w:rPr>
          <w:sz w:val="21"/>
          <w:szCs w:val="21"/>
        </w:rPr>
      </w:pPr>
    </w:p>
    <w:p w:rsidR="00DD2FE2" w:rsidRPr="00AB60E6" w:rsidRDefault="00844FC2" w:rsidP="00DD2FE2">
      <w:pPr>
        <w:rPr>
          <w:sz w:val="21"/>
          <w:szCs w:val="21"/>
        </w:rPr>
      </w:pPr>
      <w:r>
        <w:rPr>
          <w:noProof/>
        </w:rPr>
        <w:drawing>
          <wp:anchor distT="0" distB="0" distL="114300" distR="114300" simplePos="0" relativeHeight="251661312" behindDoc="1" locked="0" layoutInCell="1" allowOverlap="1" wp14:anchorId="77FA69ED" wp14:editId="5CBE9DFC">
            <wp:simplePos x="0" y="0"/>
            <wp:positionH relativeFrom="column">
              <wp:posOffset>3526155</wp:posOffset>
            </wp:positionH>
            <wp:positionV relativeFrom="paragraph">
              <wp:posOffset>130810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Sincerely</w:t>
      </w:r>
      <w:r w:rsidR="00033DFF">
        <w:rPr>
          <w:sz w:val="21"/>
          <w:szCs w:val="21"/>
        </w:rPr>
        <w:t>,</w:t>
      </w:r>
    </w:p>
    <w:p w:rsidR="00DD2FE2" w:rsidRPr="00AB60E6" w:rsidRDefault="00DD2FE2" w:rsidP="00DD2FE2">
      <w:pPr>
        <w:rPr>
          <w:sz w:val="21"/>
          <w:szCs w:val="21"/>
        </w:rPr>
      </w:pPr>
    </w:p>
    <w:p w:rsidR="00DD2FE2" w:rsidRPr="00AB60E6" w:rsidRDefault="00DD2FE2" w:rsidP="00DD2FE2">
      <w:pPr>
        <w:rPr>
          <w:sz w:val="21"/>
          <w:szCs w:val="21"/>
        </w:rPr>
      </w:pPr>
    </w:p>
    <w:p w:rsidR="00DD2FE2" w:rsidRPr="00AB60E6" w:rsidRDefault="00DD2FE2" w:rsidP="00DD2FE2">
      <w:pPr>
        <w:rPr>
          <w:sz w:val="21"/>
          <w:szCs w:val="21"/>
        </w:rPr>
      </w:pP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bookmarkStart w:id="0" w:name="_GoBack"/>
      <w:bookmarkEnd w:id="0"/>
      <w:r w:rsidRPr="00AB60E6">
        <w:rPr>
          <w:sz w:val="21"/>
          <w:szCs w:val="21"/>
        </w:rPr>
        <w:tab/>
      </w:r>
      <w:r w:rsidR="005056CA">
        <w:rPr>
          <w:sz w:val="21"/>
          <w:szCs w:val="21"/>
        </w:rPr>
        <w:t>Rosemary Chiavetta</w:t>
      </w: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Secretary</w:t>
      </w:r>
    </w:p>
    <w:p w:rsidR="00AB60E6" w:rsidRDefault="00AB60E6" w:rsidP="00DD2FE2">
      <w:pPr>
        <w:rPr>
          <w:sz w:val="21"/>
          <w:szCs w:val="21"/>
        </w:rPr>
      </w:pPr>
    </w:p>
    <w:p w:rsidR="00DD2FE2" w:rsidRPr="00AB60E6" w:rsidRDefault="00DD2FE2" w:rsidP="00D16063">
      <w:pPr>
        <w:ind w:firstLine="720"/>
        <w:rPr>
          <w:sz w:val="21"/>
          <w:szCs w:val="21"/>
        </w:rPr>
      </w:pPr>
      <w:r w:rsidRPr="00AB60E6">
        <w:rPr>
          <w:sz w:val="21"/>
          <w:szCs w:val="21"/>
        </w:rPr>
        <w:tab/>
      </w:r>
    </w:p>
    <w:sectPr w:rsidR="00DD2FE2" w:rsidRPr="00AB60E6"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937" w:rsidRDefault="005B2937">
      <w:r>
        <w:separator/>
      </w:r>
    </w:p>
  </w:endnote>
  <w:endnote w:type="continuationSeparator" w:id="0">
    <w:p w:rsidR="005B2937" w:rsidRDefault="005B2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937" w:rsidRDefault="005B2937">
      <w:r>
        <w:separator/>
      </w:r>
    </w:p>
  </w:footnote>
  <w:footnote w:type="continuationSeparator" w:id="0">
    <w:p w:rsidR="005B2937" w:rsidRDefault="005B29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33DFF"/>
    <w:rsid w:val="00071145"/>
    <w:rsid w:val="000832C4"/>
    <w:rsid w:val="000902D5"/>
    <w:rsid w:val="00097C11"/>
    <w:rsid w:val="000B058B"/>
    <w:rsid w:val="000C326E"/>
    <w:rsid w:val="000C6967"/>
    <w:rsid w:val="000D2908"/>
    <w:rsid w:val="000D353A"/>
    <w:rsid w:val="000E7F59"/>
    <w:rsid w:val="000F4747"/>
    <w:rsid w:val="00130671"/>
    <w:rsid w:val="001508ED"/>
    <w:rsid w:val="0017227E"/>
    <w:rsid w:val="00173893"/>
    <w:rsid w:val="001878A7"/>
    <w:rsid w:val="00255B27"/>
    <w:rsid w:val="00260FC4"/>
    <w:rsid w:val="002824E7"/>
    <w:rsid w:val="003461CD"/>
    <w:rsid w:val="003D1F83"/>
    <w:rsid w:val="003D45ED"/>
    <w:rsid w:val="003D613B"/>
    <w:rsid w:val="003F15D5"/>
    <w:rsid w:val="00400D28"/>
    <w:rsid w:val="0043103D"/>
    <w:rsid w:val="00480B00"/>
    <w:rsid w:val="004C741D"/>
    <w:rsid w:val="004E42FD"/>
    <w:rsid w:val="004F5F75"/>
    <w:rsid w:val="005056CA"/>
    <w:rsid w:val="00512D8A"/>
    <w:rsid w:val="0056517B"/>
    <w:rsid w:val="005B2937"/>
    <w:rsid w:val="005C7262"/>
    <w:rsid w:val="005E0496"/>
    <w:rsid w:val="005F0888"/>
    <w:rsid w:val="00610700"/>
    <w:rsid w:val="00612FDC"/>
    <w:rsid w:val="0064012A"/>
    <w:rsid w:val="00652F4C"/>
    <w:rsid w:val="006861B6"/>
    <w:rsid w:val="006B2538"/>
    <w:rsid w:val="006D3506"/>
    <w:rsid w:val="006D3801"/>
    <w:rsid w:val="006D5846"/>
    <w:rsid w:val="006E681C"/>
    <w:rsid w:val="00727946"/>
    <w:rsid w:val="00735B63"/>
    <w:rsid w:val="00744865"/>
    <w:rsid w:val="00757E90"/>
    <w:rsid w:val="00781462"/>
    <w:rsid w:val="007C2FEA"/>
    <w:rsid w:val="00826337"/>
    <w:rsid w:val="00844FC2"/>
    <w:rsid w:val="00873C66"/>
    <w:rsid w:val="008A40F2"/>
    <w:rsid w:val="008A4C7A"/>
    <w:rsid w:val="008C4062"/>
    <w:rsid w:val="008D31D7"/>
    <w:rsid w:val="00920579"/>
    <w:rsid w:val="00926F9A"/>
    <w:rsid w:val="00946C8F"/>
    <w:rsid w:val="009527F2"/>
    <w:rsid w:val="00953D93"/>
    <w:rsid w:val="009963A1"/>
    <w:rsid w:val="009D51DE"/>
    <w:rsid w:val="009E0384"/>
    <w:rsid w:val="00A338C4"/>
    <w:rsid w:val="00A4155F"/>
    <w:rsid w:val="00A51995"/>
    <w:rsid w:val="00AB60E6"/>
    <w:rsid w:val="00AC103C"/>
    <w:rsid w:val="00AC6EFD"/>
    <w:rsid w:val="00AE41F7"/>
    <w:rsid w:val="00B014FE"/>
    <w:rsid w:val="00B12AA0"/>
    <w:rsid w:val="00B224B4"/>
    <w:rsid w:val="00B32263"/>
    <w:rsid w:val="00B45673"/>
    <w:rsid w:val="00B45AC9"/>
    <w:rsid w:val="00B646A4"/>
    <w:rsid w:val="00B731A6"/>
    <w:rsid w:val="00B7409A"/>
    <w:rsid w:val="00B86822"/>
    <w:rsid w:val="00B93058"/>
    <w:rsid w:val="00B95A27"/>
    <w:rsid w:val="00BB78EB"/>
    <w:rsid w:val="00BF6C18"/>
    <w:rsid w:val="00C04F4E"/>
    <w:rsid w:val="00C10E1B"/>
    <w:rsid w:val="00C13A42"/>
    <w:rsid w:val="00CD6821"/>
    <w:rsid w:val="00CE01FD"/>
    <w:rsid w:val="00D10508"/>
    <w:rsid w:val="00D16063"/>
    <w:rsid w:val="00D24FA2"/>
    <w:rsid w:val="00D678BC"/>
    <w:rsid w:val="00DA08E9"/>
    <w:rsid w:val="00DB7619"/>
    <w:rsid w:val="00DD2FE2"/>
    <w:rsid w:val="00DF3361"/>
    <w:rsid w:val="00E079DB"/>
    <w:rsid w:val="00E1232A"/>
    <w:rsid w:val="00E127CA"/>
    <w:rsid w:val="00E20E7B"/>
    <w:rsid w:val="00E372DE"/>
    <w:rsid w:val="00E605A0"/>
    <w:rsid w:val="00E8069B"/>
    <w:rsid w:val="00F00F7F"/>
    <w:rsid w:val="00F2123C"/>
    <w:rsid w:val="00F22423"/>
    <w:rsid w:val="00F24BE1"/>
    <w:rsid w:val="00F4231E"/>
    <w:rsid w:val="00F70CBC"/>
    <w:rsid w:val="00F76505"/>
    <w:rsid w:val="00FB12EB"/>
    <w:rsid w:val="00FF461F"/>
    <w:rsid w:val="00FF6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Wagner, Nathan R</cp:lastModifiedBy>
  <cp:revision>3</cp:revision>
  <cp:lastPrinted>2011-11-22T19:37:00Z</cp:lastPrinted>
  <dcterms:created xsi:type="dcterms:W3CDTF">2017-04-03T20:54:00Z</dcterms:created>
  <dcterms:modified xsi:type="dcterms:W3CDTF">2017-04-05T11:55:00Z</dcterms:modified>
</cp:coreProperties>
</file>