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C62D6" w:rsidRDefault="008C62D6" w:rsidP="008C62D6"/>
    <w:p w:rsidR="008C62D6" w:rsidRDefault="008C62D6" w:rsidP="008C62D6"/>
    <w:p w:rsidR="008C62D6" w:rsidRDefault="008C62D6" w:rsidP="008C62D6"/>
    <w:p w:rsidR="008C62D6" w:rsidRDefault="00A46E49" w:rsidP="008C62D6">
      <w:r>
        <w:t>Sheldon L. Pefley</w:t>
      </w:r>
      <w:r w:rsidR="008C62D6">
        <w:t xml:space="preserve"> </w:t>
      </w:r>
      <w:r w:rsidR="008C62D6">
        <w:tab/>
      </w:r>
      <w:r w:rsidR="008C62D6">
        <w:tab/>
      </w:r>
      <w:r w:rsidR="008C62D6">
        <w:tab/>
      </w:r>
      <w:r w:rsidR="008C62D6">
        <w:tab/>
      </w:r>
      <w:r w:rsidR="008C62D6">
        <w:tab/>
        <w:t>:</w:t>
      </w:r>
      <w:r w:rsidR="008C62D6">
        <w:tab/>
      </w:r>
      <w:r w:rsidR="008C62D6">
        <w:tab/>
      </w:r>
    </w:p>
    <w:p w:rsidR="008C62D6" w:rsidRDefault="008C62D6" w:rsidP="008C62D6">
      <w:r>
        <w:tab/>
      </w:r>
      <w:r>
        <w:tab/>
      </w:r>
      <w:r>
        <w:tab/>
      </w:r>
      <w:r>
        <w:tab/>
      </w:r>
      <w:r>
        <w:tab/>
      </w:r>
      <w:r>
        <w:tab/>
      </w:r>
      <w:r>
        <w:tab/>
        <w:t>:</w:t>
      </w:r>
      <w:r>
        <w:tab/>
      </w:r>
      <w:r>
        <w:tab/>
      </w:r>
    </w:p>
    <w:p w:rsidR="008C62D6" w:rsidRDefault="00C33E86" w:rsidP="008C62D6">
      <w:r>
        <w:tab/>
      </w:r>
      <w:r w:rsidR="008C62D6">
        <w:t xml:space="preserve">v. </w:t>
      </w:r>
      <w:r w:rsidR="008C62D6">
        <w:tab/>
      </w:r>
      <w:r w:rsidR="008C62D6">
        <w:tab/>
      </w:r>
      <w:r w:rsidR="008C62D6">
        <w:tab/>
      </w:r>
      <w:r w:rsidR="008C62D6">
        <w:tab/>
      </w:r>
      <w:r w:rsidR="008C62D6">
        <w:tab/>
      </w:r>
      <w:r w:rsidR="008C62D6">
        <w:tab/>
        <w:t xml:space="preserve">: </w:t>
      </w:r>
      <w:r w:rsidR="008C62D6">
        <w:tab/>
      </w:r>
      <w:r w:rsidR="008C62D6">
        <w:tab/>
      </w:r>
      <w:r w:rsidR="00A46E49">
        <w:t>C-2016-2548198</w:t>
      </w:r>
    </w:p>
    <w:p w:rsidR="008C62D6" w:rsidRDefault="008C62D6" w:rsidP="008C62D6">
      <w:r>
        <w:tab/>
      </w:r>
      <w:r>
        <w:tab/>
      </w:r>
      <w:r>
        <w:tab/>
      </w:r>
      <w:r>
        <w:tab/>
      </w:r>
      <w:r>
        <w:tab/>
      </w:r>
      <w:r>
        <w:tab/>
      </w:r>
      <w:r>
        <w:tab/>
        <w:t>:</w:t>
      </w:r>
    </w:p>
    <w:p w:rsidR="008C62D6" w:rsidRDefault="00A46E49" w:rsidP="008C62D6">
      <w:r>
        <w:t>West Penn Power</w:t>
      </w:r>
      <w:r w:rsidR="00D63020">
        <w:t xml:space="preserve"> Company</w:t>
      </w:r>
      <w:r w:rsidR="008C62D6">
        <w:tab/>
      </w:r>
      <w:r w:rsidR="008C62D6">
        <w:tab/>
      </w:r>
      <w:r w:rsidR="008C62D6">
        <w:tab/>
      </w:r>
      <w:r w:rsidR="008C62D6">
        <w:tab/>
        <w:t>:</w:t>
      </w:r>
    </w:p>
    <w:p w:rsidR="008C62D6" w:rsidRDefault="008C62D6" w:rsidP="008C62D6"/>
    <w:p w:rsidR="008C62D6" w:rsidRDefault="008C62D6" w:rsidP="008C62D6"/>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C62D6">
      <w:pPr>
        <w:jc w:val="center"/>
        <w:rPr>
          <w:u w:val="single"/>
        </w:rPr>
      </w:pPr>
      <w:r w:rsidRPr="000B0551">
        <w:rPr>
          <w:u w:val="single"/>
        </w:rPr>
        <w:t>INTRODUCTION</w:t>
      </w:r>
    </w:p>
    <w:p w:rsidR="008C62D6" w:rsidRDefault="008C62D6" w:rsidP="008C62D6">
      <w:pPr>
        <w:spacing w:line="360" w:lineRule="auto"/>
      </w:pPr>
    </w:p>
    <w:p w:rsidR="008C62D6" w:rsidRDefault="008C62D6" w:rsidP="008C62D6">
      <w:pPr>
        <w:spacing w:line="360" w:lineRule="auto"/>
      </w:pPr>
      <w:r>
        <w:tab/>
      </w:r>
      <w:r>
        <w:tab/>
        <w:t>This decision d</w:t>
      </w:r>
      <w:r w:rsidR="00E36C2A">
        <w:t>ismisses</w:t>
      </w:r>
      <w:r>
        <w:t xml:space="preserve"> </w:t>
      </w:r>
      <w:r w:rsidR="009857C2">
        <w:t>a formal</w:t>
      </w:r>
      <w:r>
        <w:t xml:space="preserve"> complaint </w:t>
      </w:r>
      <w:r w:rsidR="00F056FA">
        <w:t xml:space="preserve">for failure to sustain the burden of proof, </w:t>
      </w:r>
      <w:r w:rsidR="00211558">
        <w:t xml:space="preserve">in </w:t>
      </w:r>
      <w:r w:rsidR="00F056FA">
        <w:t xml:space="preserve">which </w:t>
      </w:r>
      <w:r w:rsidR="00211558">
        <w:t xml:space="preserve">Complainant </w:t>
      </w:r>
      <w:r w:rsidRPr="002B490F">
        <w:t>alleg</w:t>
      </w:r>
      <w:r w:rsidR="00F056FA">
        <w:t>ed</w:t>
      </w:r>
      <w:r w:rsidRPr="002B490F">
        <w:t xml:space="preserve"> Respondent</w:t>
      </w:r>
      <w:r w:rsidR="0066284F">
        <w:t>, West Penn Power</w:t>
      </w:r>
      <w:r w:rsidR="00E236CD">
        <w:t xml:space="preserve"> Company</w:t>
      </w:r>
      <w:r w:rsidRPr="002B490F">
        <w:t xml:space="preserve">, without </w:t>
      </w:r>
      <w:r w:rsidR="00E17E05">
        <w:t xml:space="preserve">notice, increased </w:t>
      </w:r>
      <w:r w:rsidR="00211558">
        <w:t>his</w:t>
      </w:r>
      <w:r w:rsidR="00E17E05">
        <w:t xml:space="preserve"> electric </w:t>
      </w:r>
      <w:r w:rsidR="0066284F">
        <w:t>distribution</w:t>
      </w:r>
      <w:r w:rsidR="00E17E05">
        <w:t xml:space="preserve"> </w:t>
      </w:r>
      <w:r w:rsidRPr="002B490F">
        <w:t>rate</w:t>
      </w:r>
      <w:r>
        <w:t xml:space="preserve">.  </w:t>
      </w:r>
    </w:p>
    <w:p w:rsidR="00B6749F" w:rsidRDefault="00B6749F" w:rsidP="008C62D6">
      <w:pPr>
        <w:spacing w:line="360" w:lineRule="auto"/>
      </w:pPr>
    </w:p>
    <w:p w:rsidR="008C62D6" w:rsidRPr="00FB448C" w:rsidRDefault="008C62D6" w:rsidP="0098677F">
      <w:pPr>
        <w:pStyle w:val="Heading1"/>
        <w:spacing w:line="360" w:lineRule="auto"/>
        <w:rPr>
          <w:sz w:val="24"/>
          <w:szCs w:val="24"/>
          <w:u w:val="none"/>
        </w:rPr>
      </w:pPr>
      <w:r w:rsidRPr="00FB448C">
        <w:rPr>
          <w:sz w:val="24"/>
          <w:szCs w:val="24"/>
        </w:rPr>
        <w:t>HISTORY OF THE PROCEEDING</w:t>
      </w:r>
    </w:p>
    <w:p w:rsidR="008C62D6" w:rsidRPr="0065319E" w:rsidRDefault="008C62D6" w:rsidP="008C62D6">
      <w:pPr>
        <w:spacing w:line="360" w:lineRule="auto"/>
        <w:ind w:firstLine="1440"/>
      </w:pPr>
    </w:p>
    <w:p w:rsidR="00A46E49" w:rsidRDefault="008C62D6" w:rsidP="00506B49">
      <w:pPr>
        <w:tabs>
          <w:tab w:val="left" w:pos="-1440"/>
          <w:tab w:val="left" w:pos="-720"/>
        </w:tabs>
        <w:suppressAutoHyphens/>
        <w:spacing w:line="360" w:lineRule="auto"/>
        <w:ind w:firstLine="1440"/>
      </w:pPr>
      <w:r w:rsidRPr="0065319E">
        <w:t xml:space="preserve">On </w:t>
      </w:r>
      <w:r w:rsidR="00A46E49">
        <w:t>May 11, 2016</w:t>
      </w:r>
      <w:r w:rsidRPr="0065319E">
        <w:t xml:space="preserve">, </w:t>
      </w:r>
      <w:r w:rsidR="00A46E49">
        <w:t>Sheldon L. Pefley</w:t>
      </w:r>
      <w:r w:rsidR="00D63020">
        <w:t xml:space="preserve"> (Complainant or Mr</w:t>
      </w:r>
      <w:r w:rsidRPr="0065319E">
        <w:t>.</w:t>
      </w:r>
      <w:r w:rsidR="00D63020">
        <w:t xml:space="preserve"> </w:t>
      </w:r>
      <w:r w:rsidR="00A46E49">
        <w:t>Pefley</w:t>
      </w:r>
      <w:r w:rsidRPr="0065319E">
        <w:t xml:space="preserve">) filed a formal complaint </w:t>
      </w:r>
      <w:r w:rsidR="0098677F">
        <w:t xml:space="preserve">with the Public Utility Commission (Commission) </w:t>
      </w:r>
      <w:r w:rsidRPr="0065319E">
        <w:t xml:space="preserve">against </w:t>
      </w:r>
      <w:r w:rsidR="00A46E49">
        <w:t>West Penn Power Company</w:t>
      </w:r>
      <w:r w:rsidRPr="0065319E">
        <w:t xml:space="preserve"> (</w:t>
      </w:r>
      <w:r w:rsidR="00A46E49">
        <w:t>West Penn or Respondent</w:t>
      </w:r>
      <w:r w:rsidRPr="0065319E">
        <w:t>)</w:t>
      </w:r>
      <w:r w:rsidR="00E17E05">
        <w:t xml:space="preserve">.  Mr. </w:t>
      </w:r>
      <w:r w:rsidR="00A46E49">
        <w:t>Pefley</w:t>
      </w:r>
      <w:r w:rsidR="00E17E05">
        <w:t xml:space="preserve"> alleged </w:t>
      </w:r>
      <w:r w:rsidR="0066284F">
        <w:t xml:space="preserve">his </w:t>
      </w:r>
      <w:r w:rsidR="00A46E49">
        <w:t xml:space="preserve">budgeted billing statements </w:t>
      </w:r>
      <w:r w:rsidR="0066284F">
        <w:t xml:space="preserve">were incorrect </w:t>
      </w:r>
      <w:r w:rsidR="00A46E49">
        <w:t xml:space="preserve">because West Penn </w:t>
      </w:r>
      <w:r w:rsidR="0066284F">
        <w:t>charged</w:t>
      </w:r>
      <w:r w:rsidR="00A46E49">
        <w:t xml:space="preserve"> him $26.00 more per month in distribution charges than it charged previously</w:t>
      </w:r>
      <w:r w:rsidR="006C1738">
        <w:t xml:space="preserve">.  Complainant requested </w:t>
      </w:r>
      <w:r w:rsidR="00A46E49">
        <w:t>the Commission order West Penn to revert back to the former distribution charge totaling $87.00 per month</w:t>
      </w:r>
      <w:r w:rsidR="006C1738">
        <w:t xml:space="preserve">.  </w:t>
      </w:r>
    </w:p>
    <w:p w:rsidR="006C1738" w:rsidRDefault="006C1738" w:rsidP="00506B49">
      <w:pPr>
        <w:tabs>
          <w:tab w:val="left" w:pos="-1440"/>
          <w:tab w:val="left" w:pos="-720"/>
        </w:tabs>
        <w:suppressAutoHyphens/>
        <w:spacing w:line="360" w:lineRule="auto"/>
        <w:ind w:firstLine="1440"/>
      </w:pPr>
      <w:r>
        <w:t xml:space="preserve">  </w:t>
      </w:r>
    </w:p>
    <w:p w:rsidR="008C62D6" w:rsidRPr="0065319E" w:rsidRDefault="008C62D6" w:rsidP="00506B49">
      <w:pPr>
        <w:tabs>
          <w:tab w:val="left" w:pos="-1440"/>
          <w:tab w:val="left" w:pos="-720"/>
        </w:tabs>
        <w:suppressAutoHyphens/>
        <w:spacing w:line="360" w:lineRule="auto"/>
        <w:ind w:firstLine="1440"/>
      </w:pPr>
      <w:r w:rsidRPr="0065319E">
        <w:t xml:space="preserve">On </w:t>
      </w:r>
      <w:r w:rsidR="00A46E49">
        <w:t>June 15, 201</w:t>
      </w:r>
      <w:r w:rsidR="0020583C">
        <w:t>6</w:t>
      </w:r>
      <w:r w:rsidR="00A46E49">
        <w:t xml:space="preserve">, West Penn </w:t>
      </w:r>
      <w:r w:rsidRPr="0065319E">
        <w:t xml:space="preserve">filed an Answer </w:t>
      </w:r>
      <w:r w:rsidR="00506B49">
        <w:t>specifically denying</w:t>
      </w:r>
      <w:r>
        <w:t xml:space="preserve"> </w:t>
      </w:r>
      <w:r w:rsidR="00A46E49">
        <w:t xml:space="preserve">Complainant’s bill contain any incorrect charges.  West Penn </w:t>
      </w:r>
      <w:r w:rsidR="006C1738">
        <w:t>averred Complainant</w:t>
      </w:r>
      <w:r w:rsidR="00A46E49">
        <w:t xml:space="preserve">’s budget billing amount is </w:t>
      </w:r>
      <w:r w:rsidR="0066284F">
        <w:lastRenderedPageBreak/>
        <w:t xml:space="preserve">based on his actual consumption over a three-month period that is </w:t>
      </w:r>
      <w:r w:rsidR="00A46E49">
        <w:t xml:space="preserve">adjusted </w:t>
      </w:r>
      <w:r w:rsidR="00702667">
        <w:t>quarterly</w:t>
      </w:r>
      <w:r w:rsidR="00A46E49">
        <w:t>, not annually, in order to avoid a large balance due or credit at the end of the budget billing year</w:t>
      </w:r>
      <w:r w:rsidR="00702667">
        <w:t>.  West Penn contended the</w:t>
      </w:r>
      <w:r w:rsidR="00A46E49">
        <w:t xml:space="preserve"> consumption levels reported are correct as billed.  </w:t>
      </w:r>
      <w:r w:rsidR="006C1738">
        <w:t xml:space="preserve"> </w:t>
      </w:r>
    </w:p>
    <w:p w:rsidR="008C62D6" w:rsidRDefault="008C62D6" w:rsidP="008C62D6">
      <w:pPr>
        <w:spacing w:line="360" w:lineRule="auto"/>
      </w:pPr>
    </w:p>
    <w:p w:rsidR="008C62D6" w:rsidRDefault="008C62D6" w:rsidP="008C62D6">
      <w:pPr>
        <w:spacing w:line="360" w:lineRule="auto"/>
      </w:pPr>
      <w:r w:rsidRPr="0065319E">
        <w:tab/>
      </w:r>
      <w:r w:rsidRPr="0065319E">
        <w:tab/>
        <w:t xml:space="preserve">On </w:t>
      </w:r>
      <w:r w:rsidR="00A46E49">
        <w:t>October 28, 2016</w:t>
      </w:r>
      <w:r w:rsidRPr="0065319E">
        <w:t xml:space="preserve">, the Office of Administrative Law Judge issued a </w:t>
      </w:r>
      <w:r w:rsidR="006C1738">
        <w:t xml:space="preserve">Call-In </w:t>
      </w:r>
      <w:r w:rsidRPr="0065319E">
        <w:t>Telephone He</w:t>
      </w:r>
      <w:r w:rsidR="00506B49">
        <w:t xml:space="preserve">aring Notice, which scheduled an </w:t>
      </w:r>
      <w:r w:rsidRPr="0065319E">
        <w:t>initial</w:t>
      </w:r>
      <w:r w:rsidR="00506B49">
        <w:t xml:space="preserve"> call-in telephonic</w:t>
      </w:r>
      <w:r w:rsidRPr="0065319E">
        <w:t xml:space="preserve"> hearing to be conducted on </w:t>
      </w:r>
      <w:r w:rsidR="00A46E49">
        <w:t>Friday, December 2</w:t>
      </w:r>
      <w:r w:rsidR="006C1738">
        <w:t>, 2016</w:t>
      </w:r>
      <w:r w:rsidRPr="0065319E">
        <w:t xml:space="preserve">.  On </w:t>
      </w:r>
      <w:r w:rsidR="00A46E49">
        <w:t>November 17, 2016</w:t>
      </w:r>
      <w:r w:rsidRPr="0065319E">
        <w:t>, the presiding officer issued a Prehearing Order</w:t>
      </w:r>
      <w:r w:rsidR="009C2F2A">
        <w:t xml:space="preserve"> which set forth information on various procedural matters</w:t>
      </w:r>
      <w:r w:rsidRPr="0065319E">
        <w:t xml:space="preserve">.  </w:t>
      </w:r>
    </w:p>
    <w:p w:rsidR="006C1738" w:rsidRDefault="006C1738" w:rsidP="008C62D6">
      <w:pPr>
        <w:spacing w:line="360" w:lineRule="auto"/>
      </w:pPr>
    </w:p>
    <w:p w:rsidR="008C62D6" w:rsidRDefault="00900ABA" w:rsidP="008C62D6">
      <w:pPr>
        <w:spacing w:line="360" w:lineRule="auto"/>
      </w:pPr>
      <w:r>
        <w:tab/>
      </w:r>
      <w:r>
        <w:tab/>
        <w:t xml:space="preserve">On </w:t>
      </w:r>
      <w:r w:rsidR="00A46E49">
        <w:t>December 2</w:t>
      </w:r>
      <w:r>
        <w:t>, 2016, t</w:t>
      </w:r>
      <w:r w:rsidR="008C62D6" w:rsidRPr="0065319E">
        <w:t xml:space="preserve">he presiding officer convened the initial hearing as scheduled.  Complainant appeared </w:t>
      </w:r>
      <w:r w:rsidR="008C62D6" w:rsidRPr="00AB64FD">
        <w:rPr>
          <w:i/>
        </w:rPr>
        <w:t>pro se</w:t>
      </w:r>
      <w:r w:rsidR="008C62D6">
        <w:t xml:space="preserve"> and testified </w:t>
      </w:r>
      <w:r w:rsidR="009C2F2A">
        <w:t xml:space="preserve">on </w:t>
      </w:r>
      <w:r>
        <w:t>his</w:t>
      </w:r>
      <w:r w:rsidR="009C2F2A">
        <w:t xml:space="preserve"> own behalf</w:t>
      </w:r>
      <w:r>
        <w:t>.  H</w:t>
      </w:r>
      <w:r w:rsidR="008C62D6">
        <w:t xml:space="preserve">e offered no exhibits.  </w:t>
      </w:r>
      <w:r w:rsidR="00996BA6">
        <w:t>West Penn</w:t>
      </w:r>
      <w:r w:rsidR="008C62D6">
        <w:t xml:space="preserve"> was represented by </w:t>
      </w:r>
      <w:r w:rsidR="00996BA6">
        <w:t xml:space="preserve">John </w:t>
      </w:r>
      <w:r w:rsidR="0020583C">
        <w:t xml:space="preserve">L. </w:t>
      </w:r>
      <w:proofErr w:type="spellStart"/>
      <w:r w:rsidR="00996BA6">
        <w:t>Munsch</w:t>
      </w:r>
      <w:proofErr w:type="spellEnd"/>
      <w:r w:rsidR="008C62D6">
        <w:t xml:space="preserve">, Esquire.  </w:t>
      </w:r>
      <w:r w:rsidR="008C62D6" w:rsidRPr="00B73D10">
        <w:t xml:space="preserve">Attorney </w:t>
      </w:r>
      <w:proofErr w:type="spellStart"/>
      <w:r w:rsidR="00996BA6">
        <w:t>Munsch</w:t>
      </w:r>
      <w:proofErr w:type="spellEnd"/>
      <w:r w:rsidR="008C62D6" w:rsidRPr="00B73D10">
        <w:t xml:space="preserve"> </w:t>
      </w:r>
      <w:r w:rsidR="009C2F2A">
        <w:t xml:space="preserve">offered </w:t>
      </w:r>
      <w:r w:rsidR="00211558">
        <w:t>three</w:t>
      </w:r>
      <w:r w:rsidR="00996BA6">
        <w:t xml:space="preserve"> (</w:t>
      </w:r>
      <w:r w:rsidR="00211558">
        <w:t>3</w:t>
      </w:r>
      <w:r w:rsidR="00996BA6">
        <w:t>)</w:t>
      </w:r>
      <w:r w:rsidR="009C2F2A">
        <w:t xml:space="preserve"> exhibits</w:t>
      </w:r>
      <w:r w:rsidR="007F567D">
        <w:t>, which were admitted,</w:t>
      </w:r>
      <w:r w:rsidR="009C2F2A">
        <w:t xml:space="preserve"> and present</w:t>
      </w:r>
      <w:r>
        <w:t>ed</w:t>
      </w:r>
      <w:r w:rsidR="009C2F2A">
        <w:t xml:space="preserve"> the</w:t>
      </w:r>
      <w:r w:rsidR="008C62D6" w:rsidRPr="00B73D10">
        <w:t xml:space="preserve"> testimony </w:t>
      </w:r>
      <w:r w:rsidR="009C2F2A">
        <w:t xml:space="preserve">of </w:t>
      </w:r>
      <w:r w:rsidR="00996BA6">
        <w:t>two</w:t>
      </w:r>
      <w:r w:rsidR="009C2F2A">
        <w:t xml:space="preserve"> witness</w:t>
      </w:r>
      <w:r w:rsidR="00996BA6">
        <w:t>es</w:t>
      </w:r>
      <w:r w:rsidR="008C62D6">
        <w:t xml:space="preserve">.  </w:t>
      </w:r>
      <w:r w:rsidR="008C62D6" w:rsidRPr="00B73D10">
        <w:t xml:space="preserve">Complainant and </w:t>
      </w:r>
      <w:r w:rsidR="00996BA6">
        <w:t>West Penn</w:t>
      </w:r>
      <w:r w:rsidR="008C62D6" w:rsidRPr="00B73D10">
        <w:t xml:space="preserve"> issued final statements on the hearing record in lieu of filing briefs.</w:t>
      </w:r>
    </w:p>
    <w:p w:rsidR="008C62D6" w:rsidRDefault="008C62D6" w:rsidP="008C62D6">
      <w:pPr>
        <w:spacing w:line="360" w:lineRule="auto"/>
      </w:pPr>
    </w:p>
    <w:p w:rsidR="008C62D6" w:rsidRDefault="008C62D6" w:rsidP="008C62D6">
      <w:pPr>
        <w:spacing w:line="360" w:lineRule="auto"/>
        <w:ind w:firstLine="1440"/>
      </w:pPr>
      <w:r w:rsidRPr="00B73D10">
        <w:t>The transcript of the hearing</w:t>
      </w:r>
      <w:r>
        <w:t>,</w:t>
      </w:r>
      <w:r w:rsidRPr="00B73D10">
        <w:t xml:space="preserve"> contain</w:t>
      </w:r>
      <w:r>
        <w:t>ing</w:t>
      </w:r>
      <w:r w:rsidRPr="00B73D10">
        <w:t xml:space="preserve"> </w:t>
      </w:r>
      <w:r w:rsidR="0099113B">
        <w:t>45</w:t>
      </w:r>
      <w:r>
        <w:t xml:space="preserve"> </w:t>
      </w:r>
      <w:r w:rsidRPr="00B73D10">
        <w:t>pages</w:t>
      </w:r>
      <w:r>
        <w:t xml:space="preserve">, was received in the presiding officer’s office on </w:t>
      </w:r>
      <w:r w:rsidR="0099113B">
        <w:t>January 3, 2017</w:t>
      </w:r>
      <w:r>
        <w:t xml:space="preserve">.  On </w:t>
      </w:r>
      <w:r w:rsidR="0099113B">
        <w:t>January 5, 2017</w:t>
      </w:r>
      <w:r>
        <w:t>, the presiding officer issued the Interim Order Closing the Hearing Record.</w:t>
      </w:r>
    </w:p>
    <w:p w:rsidR="002D5E24" w:rsidRDefault="002D5E24" w:rsidP="008C62D6">
      <w:pPr>
        <w:spacing w:line="360" w:lineRule="auto"/>
        <w:rPr>
          <w:u w:val="single"/>
        </w:rPr>
      </w:pPr>
    </w:p>
    <w:p w:rsidR="008C62D6" w:rsidRPr="00B73D10" w:rsidRDefault="008C62D6" w:rsidP="0098677F">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8C62D6" w:rsidRPr="00B73D10" w:rsidRDefault="008C62D6" w:rsidP="008C62D6">
      <w:pPr>
        <w:tabs>
          <w:tab w:val="left" w:pos="2160"/>
        </w:tabs>
        <w:spacing w:line="360" w:lineRule="auto"/>
        <w:rPr>
          <w:u w:val="single"/>
        </w:rPr>
      </w:pPr>
    </w:p>
    <w:p w:rsidR="008C62D6" w:rsidRDefault="008C62D6" w:rsidP="008C62D6">
      <w:pPr>
        <w:tabs>
          <w:tab w:val="left" w:pos="2160"/>
        </w:tabs>
        <w:spacing w:line="360" w:lineRule="auto"/>
        <w:ind w:firstLine="1440"/>
      </w:pPr>
      <w:r w:rsidRPr="00B73D10">
        <w:t>1.</w:t>
      </w:r>
      <w:r w:rsidRPr="00B73D10">
        <w:tab/>
      </w:r>
      <w:r w:rsidR="00791B71">
        <w:t>Sheldon L. Pe</w:t>
      </w:r>
      <w:r w:rsidR="00996BA6">
        <w:t>fley (Complainant)</w:t>
      </w:r>
      <w:r w:rsidR="00E236CD">
        <w:t xml:space="preserve"> resides at </w:t>
      </w:r>
      <w:r w:rsidR="00996BA6">
        <w:t xml:space="preserve">622 </w:t>
      </w:r>
      <w:proofErr w:type="spellStart"/>
      <w:r w:rsidR="00996BA6">
        <w:t>Rockview</w:t>
      </w:r>
      <w:proofErr w:type="spellEnd"/>
      <w:r w:rsidR="00E236CD">
        <w:t xml:space="preserve"> Avenue, </w:t>
      </w:r>
      <w:r w:rsidR="00996BA6">
        <w:t>Chambersburg</w:t>
      </w:r>
      <w:r w:rsidR="00E236CD">
        <w:t xml:space="preserve">, Pennsylvania (service address), </w:t>
      </w:r>
      <w:r w:rsidR="00AB4BDD">
        <w:t>in</w:t>
      </w:r>
      <w:r w:rsidR="00E236CD">
        <w:t xml:space="preserve"> a single-family </w:t>
      </w:r>
      <w:r w:rsidR="00996BA6">
        <w:t xml:space="preserve">ranch </w:t>
      </w:r>
      <w:r w:rsidR="00E236CD">
        <w:t xml:space="preserve">home Complainant has owned since </w:t>
      </w:r>
      <w:r w:rsidR="00211558">
        <w:t>1978</w:t>
      </w:r>
      <w:r w:rsidR="00E236CD">
        <w:t xml:space="preserve">.  (Tr. </w:t>
      </w:r>
      <w:r w:rsidR="007740C0">
        <w:t>10</w:t>
      </w:r>
      <w:r w:rsidR="00211558">
        <w:t>, 30</w:t>
      </w:r>
      <w:r w:rsidR="00E236CD">
        <w:t>).</w:t>
      </w:r>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2. </w:t>
      </w:r>
      <w:r>
        <w:tab/>
      </w:r>
      <w:r w:rsidR="00996BA6">
        <w:t>West Penn Power</w:t>
      </w:r>
      <w:r w:rsidR="00E236CD">
        <w:t xml:space="preserve"> Company (</w:t>
      </w:r>
      <w:r w:rsidR="00996BA6">
        <w:t>Respondent</w:t>
      </w:r>
      <w:r w:rsidR="00E236CD">
        <w:t xml:space="preserve">) is an electric distribution company (EDC) which provides electric distribution service to Complainant at the service address.  (Tr. </w:t>
      </w:r>
      <w:r w:rsidR="007740C0">
        <w:t>10</w:t>
      </w:r>
      <w:r w:rsidR="00996BA6">
        <w:t xml:space="preserve">; West Penn Exhibit </w:t>
      </w:r>
      <w:r w:rsidR="00BC1FBB">
        <w:t>1</w:t>
      </w:r>
      <w:r w:rsidR="00E236CD">
        <w:t>).</w:t>
      </w:r>
    </w:p>
    <w:p w:rsidR="00791B71" w:rsidRDefault="00791B71" w:rsidP="008C62D6">
      <w:pPr>
        <w:tabs>
          <w:tab w:val="left" w:pos="2160"/>
        </w:tabs>
        <w:spacing w:line="360" w:lineRule="auto"/>
        <w:ind w:firstLine="1440"/>
      </w:pPr>
    </w:p>
    <w:p w:rsidR="00791B71" w:rsidRDefault="00702667" w:rsidP="008C62D6">
      <w:pPr>
        <w:tabs>
          <w:tab w:val="left" w:pos="2160"/>
        </w:tabs>
        <w:spacing w:line="360" w:lineRule="auto"/>
        <w:ind w:firstLine="1440"/>
      </w:pPr>
      <w:r>
        <w:t>3</w:t>
      </w:r>
      <w:r w:rsidR="00791B71">
        <w:t xml:space="preserve">. </w:t>
      </w:r>
      <w:r w:rsidR="00791B71">
        <w:tab/>
        <w:t>Complainant has been an active shopper for electric supply for the past four or five years.  (Tr. 14</w:t>
      </w:r>
      <w:r w:rsidR="00A27960">
        <w:t>, 30-32</w:t>
      </w:r>
      <w:r w:rsidR="00BC1FBB">
        <w:t>; West Penn Exhibit 1</w:t>
      </w:r>
      <w:r w:rsidR="00791B71">
        <w:t>).</w:t>
      </w:r>
    </w:p>
    <w:p w:rsidR="00211558" w:rsidRDefault="00702667" w:rsidP="008C62D6">
      <w:pPr>
        <w:tabs>
          <w:tab w:val="left" w:pos="2160"/>
        </w:tabs>
        <w:spacing w:line="360" w:lineRule="auto"/>
        <w:ind w:firstLine="1440"/>
      </w:pPr>
      <w:r>
        <w:lastRenderedPageBreak/>
        <w:t>4</w:t>
      </w:r>
      <w:r w:rsidR="00211558">
        <w:t xml:space="preserve">. </w:t>
      </w:r>
      <w:r w:rsidR="00211558">
        <w:tab/>
        <w:t>On June 4, 2015, Complainant switched his supplier from FirstEnergy Solutions to West Penn.  (Tr. 32).</w:t>
      </w:r>
    </w:p>
    <w:p w:rsidR="00E36C2A" w:rsidRDefault="00E36C2A" w:rsidP="008C62D6">
      <w:pPr>
        <w:tabs>
          <w:tab w:val="left" w:pos="2160"/>
        </w:tabs>
        <w:spacing w:line="360" w:lineRule="auto"/>
        <w:ind w:firstLine="1440"/>
      </w:pPr>
    </w:p>
    <w:p w:rsidR="008C62D6" w:rsidRDefault="00BC1FBB" w:rsidP="008C62D6">
      <w:pPr>
        <w:tabs>
          <w:tab w:val="left" w:pos="2160"/>
        </w:tabs>
        <w:spacing w:line="360" w:lineRule="auto"/>
        <w:ind w:firstLine="1440"/>
      </w:pPr>
      <w:r>
        <w:t>5</w:t>
      </w:r>
      <w:r w:rsidR="008C62D6">
        <w:t xml:space="preserve">. </w:t>
      </w:r>
      <w:r w:rsidR="008C62D6">
        <w:tab/>
        <w:t xml:space="preserve"> </w:t>
      </w:r>
      <w:r w:rsidR="008A7E4F">
        <w:t xml:space="preserve">On June 26, 2015, Complainant switched his supplier </w:t>
      </w:r>
      <w:r w:rsidR="00A27960">
        <w:t xml:space="preserve">from West Penn </w:t>
      </w:r>
      <w:r w:rsidR="008A7E4F">
        <w:t xml:space="preserve">to Residents Energy.  (Tr. </w:t>
      </w:r>
      <w:r w:rsidR="007740C0">
        <w:t>11</w:t>
      </w:r>
      <w:r w:rsidR="00211558">
        <w:t>, 32</w:t>
      </w:r>
      <w:r w:rsidR="008A7E4F">
        <w:t>; West Penn Exhibit 1).</w:t>
      </w:r>
    </w:p>
    <w:p w:rsidR="008C62D6" w:rsidRDefault="008C62D6" w:rsidP="008C62D6">
      <w:pPr>
        <w:tabs>
          <w:tab w:val="left" w:pos="2160"/>
        </w:tabs>
        <w:spacing w:line="360" w:lineRule="auto"/>
        <w:ind w:firstLine="1440"/>
      </w:pPr>
    </w:p>
    <w:p w:rsidR="008C62D6" w:rsidRDefault="00BC1FBB" w:rsidP="008C62D6">
      <w:pPr>
        <w:tabs>
          <w:tab w:val="left" w:pos="2160"/>
        </w:tabs>
        <w:spacing w:line="360" w:lineRule="auto"/>
        <w:ind w:firstLine="1440"/>
      </w:pPr>
      <w:r>
        <w:t>6</w:t>
      </w:r>
      <w:r w:rsidR="008C62D6">
        <w:t xml:space="preserve">. </w:t>
      </w:r>
      <w:r w:rsidR="008C62D6">
        <w:tab/>
      </w:r>
      <w:r w:rsidR="008A7E4F">
        <w:t xml:space="preserve">On June 1, 2016, Complainant switched his supplier </w:t>
      </w:r>
      <w:r w:rsidR="00211558">
        <w:t xml:space="preserve">from Residents Energy </w:t>
      </w:r>
      <w:r w:rsidR="008A7E4F">
        <w:t>to R</w:t>
      </w:r>
      <w:r w:rsidR="00A27960">
        <w:t>eliant Energy Northeast.  (Tr. 32, 33</w:t>
      </w:r>
      <w:r w:rsidR="008A7E4F">
        <w:t>; West Penn Exhibit 1).</w:t>
      </w:r>
    </w:p>
    <w:p w:rsidR="008C62D6" w:rsidRDefault="008C62D6" w:rsidP="008C62D6">
      <w:pPr>
        <w:tabs>
          <w:tab w:val="left" w:pos="2160"/>
        </w:tabs>
        <w:spacing w:line="360" w:lineRule="auto"/>
        <w:ind w:firstLine="1440"/>
      </w:pPr>
    </w:p>
    <w:p w:rsidR="008C62D6" w:rsidRDefault="00BC1FBB" w:rsidP="008C62D6">
      <w:pPr>
        <w:tabs>
          <w:tab w:val="left" w:pos="2160"/>
        </w:tabs>
        <w:spacing w:line="360" w:lineRule="auto"/>
        <w:ind w:firstLine="1440"/>
      </w:pPr>
      <w:r>
        <w:t>7</w:t>
      </w:r>
      <w:r w:rsidR="008C62D6">
        <w:t>.</w:t>
      </w:r>
      <w:r w:rsidR="008C62D6">
        <w:tab/>
      </w:r>
      <w:r w:rsidR="008A7E4F">
        <w:t>On October 30, 2016, Respondent removed Complainant’s meter (Meter #S47225434) and installed a new me</w:t>
      </w:r>
      <w:r w:rsidR="00A27960">
        <w:t>ter (Meter #5000669843).  (Tr. 33</w:t>
      </w:r>
      <w:r w:rsidR="008A7E4F">
        <w:t>; West Penn Exhibit 1).</w:t>
      </w:r>
    </w:p>
    <w:p w:rsidR="0036208C" w:rsidRDefault="0036208C" w:rsidP="0036208C">
      <w:pPr>
        <w:tabs>
          <w:tab w:val="left" w:pos="2160"/>
        </w:tabs>
        <w:spacing w:line="360" w:lineRule="auto"/>
        <w:ind w:firstLine="1440"/>
      </w:pPr>
    </w:p>
    <w:p w:rsidR="0036208C" w:rsidRDefault="00702667" w:rsidP="0036208C">
      <w:pPr>
        <w:tabs>
          <w:tab w:val="left" w:pos="2160"/>
        </w:tabs>
        <w:spacing w:line="360" w:lineRule="auto"/>
        <w:ind w:firstLine="1440"/>
      </w:pPr>
      <w:r>
        <w:t>8</w:t>
      </w:r>
      <w:r w:rsidR="0036208C">
        <w:t>.</w:t>
      </w:r>
      <w:r w:rsidR="0036208C">
        <w:tab/>
        <w:t xml:space="preserve">West Penn </w:t>
      </w:r>
      <w:r w:rsidR="00A27960">
        <w:t>filed</w:t>
      </w:r>
      <w:r w:rsidR="0036208C">
        <w:t xml:space="preserve"> a rate increase in 2014 </w:t>
      </w:r>
      <w:r w:rsidR="00A27960">
        <w:t xml:space="preserve">in which it requested and received permission from the Commission </w:t>
      </w:r>
      <w:r w:rsidR="0036208C">
        <w:t xml:space="preserve">to charge a variable distribution rate based on consumption.  (Tr. </w:t>
      </w:r>
      <w:r w:rsidR="00A27960">
        <w:t>27, 28</w:t>
      </w:r>
      <w:r w:rsidR="0036208C">
        <w:t>).</w:t>
      </w:r>
    </w:p>
    <w:p w:rsidR="0036208C" w:rsidRDefault="0036208C" w:rsidP="0036208C">
      <w:pPr>
        <w:tabs>
          <w:tab w:val="left" w:pos="2160"/>
        </w:tabs>
        <w:spacing w:line="360" w:lineRule="auto"/>
        <w:ind w:firstLine="1440"/>
      </w:pPr>
    </w:p>
    <w:p w:rsidR="0036208C" w:rsidRDefault="00702667" w:rsidP="0036208C">
      <w:pPr>
        <w:tabs>
          <w:tab w:val="left" w:pos="2160"/>
        </w:tabs>
        <w:spacing w:line="360" w:lineRule="auto"/>
        <w:ind w:firstLine="1440"/>
      </w:pPr>
      <w:r>
        <w:t>9</w:t>
      </w:r>
      <w:r w:rsidR="0036208C">
        <w:t xml:space="preserve">. </w:t>
      </w:r>
      <w:r w:rsidR="0036208C">
        <w:tab/>
        <w:t xml:space="preserve">Complainant did not file a complaint against West Penn when it sought a rate increase in 2014 and asked for permission to charge a variable distribution rate.  (Tr. 27, 28).  </w:t>
      </w:r>
    </w:p>
    <w:p w:rsidR="00E06E50" w:rsidRDefault="00E06E50" w:rsidP="008C62D6">
      <w:pPr>
        <w:tabs>
          <w:tab w:val="left" w:pos="2160"/>
        </w:tabs>
        <w:spacing w:line="360" w:lineRule="auto"/>
        <w:ind w:firstLine="1440"/>
      </w:pPr>
    </w:p>
    <w:p w:rsidR="00E06E50" w:rsidRDefault="00702667" w:rsidP="00E06E50">
      <w:pPr>
        <w:tabs>
          <w:tab w:val="left" w:pos="2160"/>
        </w:tabs>
        <w:spacing w:line="360" w:lineRule="auto"/>
        <w:ind w:firstLine="1440"/>
      </w:pPr>
      <w:r>
        <w:t>10</w:t>
      </w:r>
      <w:r w:rsidR="00E06E50">
        <w:t xml:space="preserve">. </w:t>
      </w:r>
      <w:r w:rsidR="00E06E50">
        <w:tab/>
      </w:r>
      <w:r w:rsidR="00A27960">
        <w:t xml:space="preserve">Currently, </w:t>
      </w:r>
      <w:r w:rsidR="007740C0">
        <w:t>West Penn uses a variable rate for its distribution charge which varies based on the kilowatt hour consumption.  (Tr. 11; West Penn Exhibit 3).</w:t>
      </w:r>
    </w:p>
    <w:p w:rsidR="00211558" w:rsidRDefault="00211558" w:rsidP="00E06E50">
      <w:pPr>
        <w:tabs>
          <w:tab w:val="left" w:pos="2160"/>
        </w:tabs>
        <w:spacing w:line="360" w:lineRule="auto"/>
        <w:ind w:firstLine="1440"/>
      </w:pPr>
    </w:p>
    <w:p w:rsidR="00211558" w:rsidRDefault="00702667" w:rsidP="00E06E50">
      <w:pPr>
        <w:tabs>
          <w:tab w:val="left" w:pos="2160"/>
        </w:tabs>
        <w:spacing w:line="360" w:lineRule="auto"/>
        <w:ind w:firstLine="1440"/>
      </w:pPr>
      <w:r>
        <w:t>11</w:t>
      </w:r>
      <w:r w:rsidR="00211558">
        <w:t xml:space="preserve">. </w:t>
      </w:r>
      <w:r w:rsidR="00211558">
        <w:tab/>
        <w:t>Complainant had been on a “grandfathered” payment plan referred to as the average payment plan i</w:t>
      </w:r>
      <w:r w:rsidR="00A27960">
        <w:t>n which the amount due monthly wa</w:t>
      </w:r>
      <w:r w:rsidR="00211558">
        <w:t xml:space="preserve">s recalculated monthly based upon </w:t>
      </w:r>
      <w:r w:rsidR="00A27960">
        <w:t xml:space="preserve">actual </w:t>
      </w:r>
      <w:r w:rsidR="00211558">
        <w:t>usage over the previous twelve months.  (Tr. 31).</w:t>
      </w:r>
    </w:p>
    <w:p w:rsidR="00211558" w:rsidRDefault="00211558" w:rsidP="00E06E50">
      <w:pPr>
        <w:tabs>
          <w:tab w:val="left" w:pos="2160"/>
        </w:tabs>
        <w:spacing w:line="360" w:lineRule="auto"/>
        <w:ind w:firstLine="1440"/>
      </w:pPr>
    </w:p>
    <w:p w:rsidR="00211558" w:rsidRDefault="00702667" w:rsidP="00E06E50">
      <w:pPr>
        <w:tabs>
          <w:tab w:val="left" w:pos="2160"/>
        </w:tabs>
        <w:spacing w:line="360" w:lineRule="auto"/>
        <w:ind w:firstLine="1440"/>
      </w:pPr>
      <w:r>
        <w:t>12</w:t>
      </w:r>
      <w:r w:rsidR="00211558">
        <w:t>.</w:t>
      </w:r>
      <w:r w:rsidR="00211558">
        <w:tab/>
        <w:t>In June 2015, Mr. Pefley was switched to a new payment plan, entitled the equal payment plan, in which the budget amount is reviewed every three months and adjusted based upon actual consumption</w:t>
      </w:r>
      <w:r w:rsidR="00A27960">
        <w:t xml:space="preserve"> over the previous three months</w:t>
      </w:r>
      <w:r w:rsidR="00211558">
        <w:t>.  (Tr. 31).</w:t>
      </w:r>
    </w:p>
    <w:p w:rsidR="008C62D6" w:rsidRDefault="008C62D6" w:rsidP="008C62D6">
      <w:pPr>
        <w:tabs>
          <w:tab w:val="left" w:pos="2160"/>
        </w:tabs>
        <w:spacing w:line="360" w:lineRule="auto"/>
        <w:ind w:firstLine="1440"/>
      </w:pPr>
    </w:p>
    <w:p w:rsidR="008C62D6" w:rsidRDefault="00702667" w:rsidP="008C62D6">
      <w:pPr>
        <w:tabs>
          <w:tab w:val="left" w:pos="2160"/>
        </w:tabs>
        <w:spacing w:line="360" w:lineRule="auto"/>
        <w:ind w:firstLine="1440"/>
      </w:pPr>
      <w:r>
        <w:lastRenderedPageBreak/>
        <w:t>13</w:t>
      </w:r>
      <w:r w:rsidR="008C62D6">
        <w:t xml:space="preserve">.  </w:t>
      </w:r>
      <w:r w:rsidR="008C62D6">
        <w:tab/>
        <w:t xml:space="preserve"> </w:t>
      </w:r>
      <w:r w:rsidR="008417AB">
        <w:t>From October 2015 to October 2016</w:t>
      </w:r>
      <w:r w:rsidR="00BC1FBB">
        <w:t xml:space="preserve">, </w:t>
      </w:r>
      <w:r w:rsidR="007740C0">
        <w:t xml:space="preserve">Complainant’s </w:t>
      </w:r>
      <w:r w:rsidR="008417AB">
        <w:t>monthly budget payments</w:t>
      </w:r>
      <w:r w:rsidR="007740C0">
        <w:t xml:space="preserve"> </w:t>
      </w:r>
      <w:r w:rsidR="008417AB">
        <w:t>varied</w:t>
      </w:r>
      <w:r w:rsidR="007740C0">
        <w:t xml:space="preserve"> from $</w:t>
      </w:r>
      <w:r w:rsidR="008417AB">
        <w:t>87</w:t>
      </w:r>
      <w:r w:rsidR="00F57B87">
        <w:t>.00</w:t>
      </w:r>
      <w:r w:rsidR="007740C0">
        <w:t xml:space="preserve"> per month to $113</w:t>
      </w:r>
      <w:r w:rsidR="00F57B87">
        <w:t>.00</w:t>
      </w:r>
      <w:r w:rsidR="007740C0">
        <w:t xml:space="preserve"> per month.  (Tr. 11, 12</w:t>
      </w:r>
      <w:r w:rsidR="008417AB">
        <w:t>, 33; West Penn Exhibit 1</w:t>
      </w:r>
      <w:r w:rsidR="007740C0">
        <w:t>).</w:t>
      </w:r>
    </w:p>
    <w:p w:rsidR="00791B71" w:rsidRDefault="00791B71" w:rsidP="008C62D6">
      <w:pPr>
        <w:tabs>
          <w:tab w:val="left" w:pos="2160"/>
        </w:tabs>
        <w:spacing w:line="360" w:lineRule="auto"/>
        <w:ind w:firstLine="1440"/>
      </w:pPr>
    </w:p>
    <w:p w:rsidR="00791B71" w:rsidRDefault="00702667" w:rsidP="008C62D6">
      <w:pPr>
        <w:tabs>
          <w:tab w:val="left" w:pos="2160"/>
        </w:tabs>
        <w:spacing w:line="360" w:lineRule="auto"/>
        <w:ind w:firstLine="1440"/>
      </w:pPr>
      <w:r>
        <w:t>14</w:t>
      </w:r>
      <w:r w:rsidR="00791B71">
        <w:t xml:space="preserve">. </w:t>
      </w:r>
      <w:r w:rsidR="00791B71">
        <w:tab/>
      </w:r>
      <w:r w:rsidR="00A27960">
        <w:t xml:space="preserve">From October 2015 to October 2016, </w:t>
      </w:r>
      <w:r w:rsidR="00791B71">
        <w:t xml:space="preserve">Complainant’s consumption </w:t>
      </w:r>
      <w:r w:rsidR="00A27960">
        <w:t xml:space="preserve">tended to be lower than </w:t>
      </w:r>
      <w:r w:rsidR="008417AB">
        <w:t>the consumption recorded the previous year from November 2014 to October 2015</w:t>
      </w:r>
      <w:r w:rsidR="00791B71">
        <w:t>.  (Tr. 11-15; West Penn Exhibit 1).</w:t>
      </w:r>
    </w:p>
    <w:p w:rsidR="008C62D6" w:rsidRDefault="008C62D6" w:rsidP="008C62D6">
      <w:pPr>
        <w:tabs>
          <w:tab w:val="left" w:pos="2160"/>
        </w:tabs>
        <w:spacing w:line="360" w:lineRule="auto"/>
        <w:ind w:firstLine="1440"/>
      </w:pPr>
    </w:p>
    <w:p w:rsidR="0083184B" w:rsidRDefault="00702667" w:rsidP="008C62D6">
      <w:pPr>
        <w:tabs>
          <w:tab w:val="left" w:pos="2160"/>
        </w:tabs>
        <w:spacing w:line="360" w:lineRule="auto"/>
        <w:ind w:firstLine="1440"/>
      </w:pPr>
      <w:r>
        <w:t>15</w:t>
      </w:r>
      <w:r w:rsidR="0083184B">
        <w:t xml:space="preserve">. </w:t>
      </w:r>
      <w:r w:rsidR="0083184B">
        <w:tab/>
      </w:r>
      <w:r w:rsidR="0036208C">
        <w:t xml:space="preserve">From July 2015 to May 2016, </w:t>
      </w:r>
      <w:r w:rsidR="008513B7">
        <w:t>Complainant was on a budget payment plan agreement with his supplier in which he paid $149.00 monthly regardless of consumption levels.  (Tr. 20-22</w:t>
      </w:r>
      <w:r w:rsidR="0036208C">
        <w:t>; West Penn Exhibit 1</w:t>
      </w:r>
      <w:r w:rsidR="008513B7">
        <w:t xml:space="preserve">).  </w:t>
      </w:r>
    </w:p>
    <w:p w:rsidR="0083184B" w:rsidRDefault="0083184B" w:rsidP="008C62D6">
      <w:pPr>
        <w:tabs>
          <w:tab w:val="left" w:pos="2160"/>
        </w:tabs>
        <w:spacing w:line="360" w:lineRule="auto"/>
        <w:ind w:firstLine="1440"/>
      </w:pPr>
    </w:p>
    <w:p w:rsidR="009C2F2A" w:rsidRDefault="009C2F2A" w:rsidP="009C2F2A">
      <w:pPr>
        <w:spacing w:line="360" w:lineRule="auto"/>
        <w:jc w:val="center"/>
        <w:rPr>
          <w:u w:val="single"/>
        </w:rPr>
      </w:pPr>
      <w:r>
        <w:rPr>
          <w:u w:val="single"/>
        </w:rPr>
        <w:t>DISCUSSION</w:t>
      </w:r>
    </w:p>
    <w:p w:rsidR="009C2F2A" w:rsidRDefault="009C2F2A" w:rsidP="009C2F2A">
      <w:pPr>
        <w:spacing w:line="360" w:lineRule="auto"/>
        <w:jc w:val="center"/>
        <w:rPr>
          <w:u w:val="single"/>
        </w:rPr>
      </w:pPr>
    </w:p>
    <w:p w:rsidR="009C2F2A" w:rsidRDefault="009C2F2A" w:rsidP="009C2F2A">
      <w:pPr>
        <w:spacing w:line="360" w:lineRule="auto"/>
        <w:rPr>
          <w:u w:val="single"/>
        </w:rPr>
      </w:pPr>
      <w:r>
        <w:rPr>
          <w:u w:val="single"/>
        </w:rPr>
        <w:t>Burden of Proof</w:t>
      </w:r>
    </w:p>
    <w:p w:rsidR="009C2F2A" w:rsidRDefault="009C2F2A" w:rsidP="009C2F2A">
      <w:pPr>
        <w:spacing w:line="360" w:lineRule="auto"/>
        <w:rPr>
          <w:u w:val="single"/>
        </w:rPr>
      </w:pPr>
    </w:p>
    <w:p w:rsidR="009C2F2A" w:rsidRDefault="009C2F2A" w:rsidP="009C2F2A">
      <w:pPr>
        <w:tabs>
          <w:tab w:val="left" w:pos="-1440"/>
          <w:tab w:val="left" w:pos="-720"/>
        </w:tabs>
        <w:suppressAutoHyphens/>
        <w:spacing w:line="360" w:lineRule="auto"/>
        <w:ind w:firstLine="1440"/>
        <w:rPr>
          <w:spacing w:val="-3"/>
        </w:rPr>
      </w:pPr>
      <w:r w:rsidRPr="00A941C5">
        <w:t xml:space="preserve">As the party seeking affirmative relief from the Commission, </w:t>
      </w:r>
      <w:r>
        <w:t xml:space="preserve">Complainant </w:t>
      </w:r>
      <w:r w:rsidRPr="00A941C5">
        <w:t>bear</w:t>
      </w:r>
      <w:r>
        <w:t>s</w:t>
      </w:r>
      <w:r w:rsidRPr="00A941C5">
        <w:t xml:space="preserve"> the burden of proof.</w:t>
      </w:r>
      <w:r w:rsidR="00104986">
        <w:rPr>
          <w:rStyle w:val="FootnoteReference"/>
        </w:rPr>
        <w:footnoteReference w:id="1"/>
      </w:r>
      <w:r w:rsidRPr="00A941C5">
        <w:t xml:space="preserve">  </w:t>
      </w:r>
      <w:r w:rsidRPr="00614336">
        <w:rPr>
          <w:spacing w:val="-3"/>
        </w:rPr>
        <w:t>To establish a sufficient case and satisfy the burden of proof,</w:t>
      </w:r>
      <w:r>
        <w:rPr>
          <w:spacing w:val="-3"/>
        </w:rPr>
        <w:t xml:space="preserve"> Complainant</w:t>
      </w:r>
      <w:r w:rsidRPr="00614336">
        <w:rPr>
          <w:spacing w:val="-3"/>
        </w:rPr>
        <w:t xml:space="preserve"> must show </w:t>
      </w:r>
      <w:r w:rsidR="00095DD1">
        <w:rPr>
          <w:spacing w:val="-3"/>
        </w:rPr>
        <w:t>West Penn</w:t>
      </w:r>
      <w:r w:rsidRPr="00614336">
        <w:rPr>
          <w:spacing w:val="-3"/>
        </w:rPr>
        <w:t xml:space="preserve"> is responsible or accountable fo</w:t>
      </w:r>
      <w:r w:rsidR="0098677F">
        <w:rPr>
          <w:spacing w:val="-3"/>
        </w:rPr>
        <w:t>r the problem described in the c</w:t>
      </w:r>
      <w:r w:rsidRPr="00614336">
        <w:rPr>
          <w:spacing w:val="-3"/>
        </w:rPr>
        <w:t>omplaint.</w:t>
      </w:r>
      <w:r w:rsidR="00104986">
        <w:rPr>
          <w:rStyle w:val="FootnoteReference"/>
          <w:spacing w:val="-3"/>
        </w:rPr>
        <w:footnoteReference w:id="2"/>
      </w:r>
      <w:r w:rsidRPr="00614336">
        <w:rPr>
          <w:spacing w:val="-3"/>
        </w:rPr>
        <w:t xml:space="preserve">  </w:t>
      </w:r>
    </w:p>
    <w:p w:rsidR="00E660C4" w:rsidRDefault="00E660C4" w:rsidP="009C2F2A">
      <w:pPr>
        <w:tabs>
          <w:tab w:val="left" w:pos="-1440"/>
          <w:tab w:val="left" w:pos="-720"/>
        </w:tabs>
        <w:suppressAutoHyphens/>
        <w:spacing w:line="360" w:lineRule="auto"/>
        <w:ind w:firstLine="1440"/>
        <w:rPr>
          <w:spacing w:val="-3"/>
        </w:rPr>
      </w:pPr>
    </w:p>
    <w:p w:rsidR="00E660C4" w:rsidRDefault="00E660C4" w:rsidP="009C2F2A">
      <w:pPr>
        <w:tabs>
          <w:tab w:val="left" w:pos="-1440"/>
          <w:tab w:val="left" w:pos="-720"/>
        </w:tabs>
        <w:suppressAutoHyphens/>
        <w:spacing w:line="360" w:lineRule="auto"/>
        <w:ind w:firstLine="1440"/>
        <w:rPr>
          <w:spacing w:val="-3"/>
        </w:rPr>
      </w:pPr>
      <w:r w:rsidRPr="00E660C4">
        <w:rPr>
          <w:spacing w:val="-3"/>
        </w:rPr>
        <w:t>When questioning an existing rate, the complainant must prove the Commission-authorized charge is no longer reasonable.</w:t>
      </w:r>
      <w:r>
        <w:rPr>
          <w:rStyle w:val="FootnoteReference"/>
          <w:spacing w:val="-3"/>
        </w:rPr>
        <w:footnoteReference w:id="3"/>
      </w:r>
      <w:r w:rsidRPr="00E660C4">
        <w:rPr>
          <w:spacing w:val="-3"/>
        </w:rPr>
        <w:t xml:space="preserve">  The presumption in law is that tariff provisions previously approved by the Commission are </w:t>
      </w:r>
      <w:r w:rsidRPr="00E660C4">
        <w:rPr>
          <w:i/>
          <w:spacing w:val="-3"/>
        </w:rPr>
        <w:t>prima facie</w:t>
      </w:r>
      <w:r w:rsidRPr="00E660C4">
        <w:rPr>
          <w:spacing w:val="-3"/>
        </w:rPr>
        <w:t xml:space="preserve"> reasonable.</w:t>
      </w:r>
      <w:r>
        <w:rPr>
          <w:rStyle w:val="FootnoteReference"/>
          <w:spacing w:val="-3"/>
        </w:rPr>
        <w:footnoteReference w:id="4"/>
      </w:r>
      <w:r w:rsidRPr="00E660C4">
        <w:rPr>
          <w:spacing w:val="-3"/>
        </w:rPr>
        <w:t xml:space="preserve">  Mr. </w:t>
      </w:r>
      <w:proofErr w:type="spellStart"/>
      <w:r w:rsidRPr="00E660C4">
        <w:rPr>
          <w:spacing w:val="-3"/>
        </w:rPr>
        <w:t>Pefley</w:t>
      </w:r>
      <w:proofErr w:type="spellEnd"/>
      <w:r w:rsidRPr="00E660C4">
        <w:rPr>
          <w:spacing w:val="-3"/>
        </w:rPr>
        <w:t xml:space="preserve"> seeks to evade</w:t>
      </w:r>
      <w:r w:rsidR="0088329D">
        <w:rPr>
          <w:spacing w:val="-3"/>
        </w:rPr>
        <w:t xml:space="preserve">  </w:t>
      </w:r>
      <w:r w:rsidRPr="00E660C4">
        <w:rPr>
          <w:spacing w:val="-3"/>
        </w:rPr>
        <w:t xml:space="preserve"> </w:t>
      </w:r>
      <w:r w:rsidRPr="00E660C4">
        <w:rPr>
          <w:spacing w:val="-3"/>
        </w:rPr>
        <w:lastRenderedPageBreak/>
        <w:t>the effect of an existing tariff provision which means he must prove that facts and circumstances have changed so drastically that the application of the tariff provision has become unreasonable.</w:t>
      </w:r>
      <w:r>
        <w:rPr>
          <w:rStyle w:val="FootnoteReference"/>
          <w:spacing w:val="-3"/>
        </w:rPr>
        <w:footnoteReference w:id="5"/>
      </w:r>
      <w:r w:rsidRPr="00E660C4">
        <w:rPr>
          <w:spacing w:val="-3"/>
        </w:rPr>
        <w:t xml:space="preserve">  </w:t>
      </w:r>
    </w:p>
    <w:p w:rsidR="0024610D" w:rsidRPr="005C28F8" w:rsidRDefault="0024610D" w:rsidP="009C2F2A">
      <w:pPr>
        <w:tabs>
          <w:tab w:val="left" w:pos="-1440"/>
          <w:tab w:val="left" w:pos="-720"/>
        </w:tabs>
        <w:suppressAutoHyphens/>
        <w:spacing w:line="360" w:lineRule="auto"/>
        <w:rPr>
          <w:b/>
          <w:spacing w:val="-3"/>
          <w:u w:val="single"/>
        </w:rPr>
      </w:pPr>
    </w:p>
    <w:p w:rsidR="009C2F2A" w:rsidRPr="008115AB" w:rsidRDefault="009C2F2A"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t>Jurisdiction</w:t>
      </w:r>
    </w:p>
    <w:p w:rsidR="009C2F2A"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The Commission, as a creation of the General Assembly, has only the powers and authority granted to it by the General Assembly contained in the Public Utility Code.</w:t>
      </w:r>
      <w:r w:rsidR="00104986">
        <w:rPr>
          <w:rStyle w:val="FootnoteReference"/>
          <w:rFonts w:ascii="Times New Roman" w:hAnsi="Times New Roman" w:cs="Times New Roman"/>
        </w:rPr>
        <w:footnoteReference w:id="6"/>
      </w:r>
      <w:r w:rsidRPr="00CC4458">
        <w:rPr>
          <w:rFonts w:ascii="Times New Roman" w:hAnsi="Times New Roman" w:cs="Times New Roman"/>
        </w:rPr>
        <w:t xml:space="preserve">  The Commission must act within, and cannot exceed, its jurisdiction.</w:t>
      </w:r>
      <w:r w:rsidR="00104986">
        <w:rPr>
          <w:rStyle w:val="FootnoteReference"/>
          <w:rFonts w:ascii="Times New Roman" w:hAnsi="Times New Roman" w:cs="Times New Roman"/>
        </w:rPr>
        <w:footnoteReference w:id="7"/>
      </w:r>
      <w:r w:rsidRPr="00CC4458">
        <w:rPr>
          <w:rFonts w:ascii="Times New Roman" w:hAnsi="Times New Roman" w:cs="Times New Roman"/>
        </w:rPr>
        <w:t xml:space="preserve">  Jurisdiction may not be conferred by the parties where none exists.</w:t>
      </w:r>
      <w:r w:rsidR="00104986">
        <w:rPr>
          <w:rStyle w:val="FootnoteReference"/>
          <w:rFonts w:ascii="Times New Roman" w:hAnsi="Times New Roman" w:cs="Times New Roman"/>
        </w:rPr>
        <w:footnoteReference w:id="8"/>
      </w:r>
      <w:r w:rsidRPr="00CC4458">
        <w:rPr>
          <w:rFonts w:ascii="Times New Roman" w:hAnsi="Times New Roman" w:cs="Times New Roman"/>
        </w:rPr>
        <w:t xml:space="preserve">  Subject matter jurisdiction is a prerequisite to the exercise of power to decide a controversy.</w:t>
      </w:r>
      <w:r w:rsidR="00104986">
        <w:rPr>
          <w:rStyle w:val="FootnoteReference"/>
          <w:rFonts w:ascii="Times New Roman" w:hAnsi="Times New Roman" w:cs="Times New Roman"/>
        </w:rPr>
        <w:footnoteReference w:id="9"/>
      </w:r>
      <w:r w:rsidRPr="00CC4458">
        <w:rPr>
          <w:rFonts w:ascii="Times New Roman" w:hAnsi="Times New Roman" w:cs="Times New Roman"/>
        </w:rPr>
        <w:t xml:space="preserve">  </w:t>
      </w:r>
    </w:p>
    <w:p w:rsidR="009C2F2A" w:rsidRPr="00CC4458" w:rsidRDefault="009C2F2A" w:rsidP="009C2F2A">
      <w:pPr>
        <w:pStyle w:val="ParaTab1"/>
        <w:spacing w:line="360" w:lineRule="auto"/>
        <w:rPr>
          <w:rFonts w:ascii="Times New Roman" w:hAnsi="Times New Roman" w:cs="Times New Roman"/>
        </w:rPr>
      </w:pPr>
    </w:p>
    <w:p w:rsidR="009C2F2A" w:rsidRDefault="00272BDF"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t>Discussion</w:t>
      </w:r>
    </w:p>
    <w:p w:rsidR="009C2F2A" w:rsidRPr="003A52EE" w:rsidRDefault="009C2F2A" w:rsidP="009C2F2A">
      <w:pPr>
        <w:pStyle w:val="ParaTab1"/>
        <w:spacing w:line="360" w:lineRule="auto"/>
        <w:ind w:firstLine="0"/>
        <w:rPr>
          <w:rFonts w:ascii="Times New Roman" w:hAnsi="Times New Roman" w:cs="Times New Roman"/>
          <w:u w:val="single"/>
        </w:rPr>
      </w:pPr>
    </w:p>
    <w:p w:rsidR="00AB4BDD" w:rsidRDefault="007740C0" w:rsidP="009C2F2A">
      <w:pPr>
        <w:pStyle w:val="ParaTab1"/>
        <w:spacing w:line="360" w:lineRule="auto"/>
      </w:pPr>
      <w:r>
        <w:rPr>
          <w:rFonts w:ascii="Times New Roman" w:hAnsi="Times New Roman" w:cs="Times New Roman"/>
        </w:rPr>
        <w:t>Initially</w:t>
      </w:r>
      <w:r w:rsidR="009C2F2A">
        <w:rPr>
          <w:rFonts w:ascii="Times New Roman" w:hAnsi="Times New Roman" w:cs="Times New Roman"/>
        </w:rPr>
        <w:t xml:space="preserve">, Complainant </w:t>
      </w:r>
      <w:r w:rsidR="00BD2092">
        <w:t xml:space="preserve">alleged </w:t>
      </w:r>
      <w:r w:rsidR="00104986">
        <w:t>West Penn</w:t>
      </w:r>
      <w:r w:rsidR="00BD2092">
        <w:t xml:space="preserve"> overcharged him when it </w:t>
      </w:r>
      <w:r w:rsidR="0099113B">
        <w:t>increased</w:t>
      </w:r>
      <w:r w:rsidR="00BD2092">
        <w:t xml:space="preserve"> the </w:t>
      </w:r>
      <w:r w:rsidR="00104986">
        <w:t>electric distribution</w:t>
      </w:r>
      <w:r w:rsidR="00BD2092">
        <w:t xml:space="preserve"> rate without giving him notice</w:t>
      </w:r>
      <w:r w:rsidR="00104986">
        <w:t xml:space="preserve">.  Mr. Pefley averred </w:t>
      </w:r>
      <w:r w:rsidR="0099113B">
        <w:t>he was on an “agreed upon budget plan for $236.00 per month” and contend</w:t>
      </w:r>
      <w:r w:rsidR="00AB4BDD">
        <w:t>ed</w:t>
      </w:r>
      <w:r w:rsidR="0099113B">
        <w:t xml:space="preserve"> an audit by his electric supplier showed he overpaid for his energy use.  Complainant also contended West Penn was estimating consumption instead of using actual meter readings.  Complainant asked the Commission to order </w:t>
      </w:r>
      <w:r w:rsidR="00104986">
        <w:t xml:space="preserve">West Penn </w:t>
      </w:r>
      <w:r w:rsidR="0099113B">
        <w:t>to</w:t>
      </w:r>
      <w:r w:rsidR="00BD2092">
        <w:t xml:space="preserve"> refu</w:t>
      </w:r>
      <w:r>
        <w:t xml:space="preserve">nd these overcharges to him.  </w:t>
      </w:r>
    </w:p>
    <w:p w:rsidR="00AB4BDD" w:rsidRDefault="00AB4BDD" w:rsidP="009C2F2A">
      <w:pPr>
        <w:pStyle w:val="ParaTab1"/>
        <w:spacing w:line="360" w:lineRule="auto"/>
      </w:pPr>
    </w:p>
    <w:p w:rsidR="009C2F2A" w:rsidRDefault="007740C0" w:rsidP="009C2F2A">
      <w:pPr>
        <w:pStyle w:val="ParaTab1"/>
        <w:spacing w:line="360" w:lineRule="auto"/>
      </w:pPr>
      <w:r>
        <w:t xml:space="preserve">After engaging in cordial but unsuccessful settlement discussions with West Penn prior to the start of the hearing, Complainant narrowed his issue to: </w:t>
      </w:r>
      <w:r w:rsidR="0020583C">
        <w:t xml:space="preserve"> </w:t>
      </w:r>
      <w:r>
        <w:t xml:space="preserve">West Penn’s distribution rate should be a flat charge per month that is not based on his kilowatt hour consumption.  </w:t>
      </w:r>
      <w:r w:rsidR="008513B7">
        <w:lastRenderedPageBreak/>
        <w:t xml:space="preserve">Complainant understood that the Commission approved the variable distribution charge but contended the Commission should take a second look at what it approved because it does not make sense to charge more money for distribution services when there have been no improvements to the distribution service provided by West Penn.  </w:t>
      </w:r>
    </w:p>
    <w:p w:rsidR="0099113B" w:rsidRDefault="0099113B" w:rsidP="009C2F2A">
      <w:pPr>
        <w:pStyle w:val="ParaTab1"/>
        <w:spacing w:line="360" w:lineRule="auto"/>
      </w:pPr>
    </w:p>
    <w:p w:rsidR="0099113B" w:rsidRDefault="008A7E4F" w:rsidP="009C2F2A">
      <w:pPr>
        <w:pStyle w:val="ParaTab1"/>
        <w:spacing w:line="360" w:lineRule="auto"/>
        <w:rPr>
          <w:rFonts w:ascii="Times New Roman" w:hAnsi="Times New Roman" w:cs="Times New Roman"/>
        </w:rPr>
      </w:pPr>
      <w:r>
        <w:t>West Penn admitted C</w:t>
      </w:r>
      <w:r w:rsidR="00702667">
        <w:t>omplainant is currently on a</w:t>
      </w:r>
      <w:r>
        <w:t xml:space="preserve"> </w:t>
      </w:r>
      <w:r w:rsidR="00702667">
        <w:t>p</w:t>
      </w:r>
      <w:r>
        <w:t xml:space="preserve">ayment </w:t>
      </w:r>
      <w:r w:rsidR="00702667">
        <w:t>p</w:t>
      </w:r>
      <w:r>
        <w:t xml:space="preserve">lan for budget billing for his supply costs </w:t>
      </w:r>
      <w:r w:rsidR="00702667">
        <w:t xml:space="preserve">that is adjusted annually.  In contrast to the supplier, </w:t>
      </w:r>
      <w:r>
        <w:t xml:space="preserve">West Penn </w:t>
      </w:r>
      <w:r w:rsidR="00702667">
        <w:t xml:space="preserve">pointed out that Complainant’s </w:t>
      </w:r>
      <w:r>
        <w:t xml:space="preserve">distribution costs are reviewed and adjusted quarterly. </w:t>
      </w:r>
      <w:r w:rsidR="007740C0">
        <w:t xml:space="preserve"> Respondent contended it obtains regular bi-monthly meter readings.  On the sole remaining issue, Respondent argued it was permitted to charge Complainant a variable rate on the distribution costs because the Commission authorized the variable charge previously in West Penn’s tariff.  </w:t>
      </w:r>
    </w:p>
    <w:p w:rsidR="0020583C" w:rsidRDefault="0020583C" w:rsidP="00272BDF">
      <w:pPr>
        <w:pStyle w:val="ParaTab1"/>
        <w:spacing w:line="360" w:lineRule="auto"/>
        <w:ind w:firstLine="0"/>
        <w:rPr>
          <w:rFonts w:ascii="Times New Roman" w:hAnsi="Times New Roman" w:cs="Times New Roman"/>
          <w:u w:val="single"/>
        </w:rPr>
      </w:pPr>
    </w:p>
    <w:p w:rsidR="00272BDF" w:rsidRPr="00272BDF" w:rsidRDefault="00272BDF" w:rsidP="00272BDF">
      <w:pPr>
        <w:pStyle w:val="ParaTab1"/>
        <w:spacing w:line="360" w:lineRule="auto"/>
        <w:ind w:firstLine="0"/>
        <w:rPr>
          <w:rFonts w:ascii="Times New Roman" w:hAnsi="Times New Roman" w:cs="Times New Roman"/>
          <w:u w:val="single"/>
        </w:rPr>
      </w:pPr>
      <w:r w:rsidRPr="00272BDF">
        <w:rPr>
          <w:rFonts w:ascii="Times New Roman" w:hAnsi="Times New Roman" w:cs="Times New Roman"/>
          <w:u w:val="single"/>
        </w:rPr>
        <w:t>Analysis</w:t>
      </w:r>
    </w:p>
    <w:p w:rsidR="00272BDF" w:rsidRDefault="00272BDF" w:rsidP="00272BDF">
      <w:pPr>
        <w:pStyle w:val="ParaTab1"/>
        <w:spacing w:line="360" w:lineRule="auto"/>
        <w:ind w:firstLine="0"/>
        <w:rPr>
          <w:rFonts w:ascii="Times New Roman" w:hAnsi="Times New Roman" w:cs="Times New Roman"/>
        </w:rPr>
      </w:pPr>
    </w:p>
    <w:p w:rsidR="000875C7" w:rsidRPr="00532756" w:rsidRDefault="000875C7" w:rsidP="009C2F2A">
      <w:pPr>
        <w:pStyle w:val="ParaTab1"/>
        <w:spacing w:line="360" w:lineRule="auto"/>
        <w:rPr>
          <w:rFonts w:ascii="Times New Roman" w:hAnsi="Times New Roman" w:cs="Times New Roman"/>
        </w:rPr>
      </w:pPr>
      <w:r>
        <w:rPr>
          <w:rFonts w:ascii="Times New Roman" w:hAnsi="Times New Roman" w:cs="Times New Roman"/>
        </w:rPr>
        <w:t xml:space="preserve">Mr. </w:t>
      </w:r>
      <w:r w:rsidR="00A46E49">
        <w:rPr>
          <w:rFonts w:ascii="Times New Roman" w:hAnsi="Times New Roman" w:cs="Times New Roman"/>
        </w:rPr>
        <w:t>Pefley</w:t>
      </w:r>
      <w:r>
        <w:rPr>
          <w:rFonts w:ascii="Times New Roman" w:hAnsi="Times New Roman" w:cs="Times New Roman"/>
        </w:rPr>
        <w:t xml:space="preserve"> failed to show </w:t>
      </w:r>
      <w:r w:rsidR="00BC3B17">
        <w:rPr>
          <w:rFonts w:ascii="Times New Roman" w:hAnsi="Times New Roman" w:cs="Times New Roman"/>
        </w:rPr>
        <w:t>West Penn</w:t>
      </w:r>
      <w:r>
        <w:rPr>
          <w:rFonts w:ascii="Times New Roman" w:hAnsi="Times New Roman" w:cs="Times New Roman"/>
        </w:rPr>
        <w:t xml:space="preserve"> was in error to </w:t>
      </w:r>
      <w:r w:rsidR="00272BDF">
        <w:rPr>
          <w:rFonts w:ascii="Times New Roman" w:hAnsi="Times New Roman" w:cs="Times New Roman"/>
        </w:rPr>
        <w:t xml:space="preserve">adjust his distribution charge quarterly instead of annually.  </w:t>
      </w:r>
      <w:r w:rsidR="00E7460C">
        <w:rPr>
          <w:rFonts w:ascii="Times New Roman" w:hAnsi="Times New Roman" w:cs="Times New Roman"/>
        </w:rPr>
        <w:t>West Penn received authorization in 2014 from the Commission to alter how it operated its budget payment plan.  Instead of making adjustments only one time per year</w:t>
      </w:r>
      <w:r w:rsidR="00095DD1">
        <w:rPr>
          <w:rFonts w:ascii="Times New Roman" w:hAnsi="Times New Roman" w:cs="Times New Roman"/>
        </w:rPr>
        <w:t xml:space="preserve"> based upon the annual consumption level</w:t>
      </w:r>
      <w:r w:rsidR="00E7460C">
        <w:rPr>
          <w:rFonts w:ascii="Times New Roman" w:hAnsi="Times New Roman" w:cs="Times New Roman"/>
        </w:rPr>
        <w:t>, West Penn was granted permission to make adjustments every three months</w:t>
      </w:r>
      <w:r w:rsidR="00095DD1">
        <w:rPr>
          <w:rFonts w:ascii="Times New Roman" w:hAnsi="Times New Roman" w:cs="Times New Roman"/>
        </w:rPr>
        <w:t xml:space="preserve"> based upon the consumption level over the most recent three month period</w:t>
      </w:r>
      <w:r w:rsidR="00E7460C">
        <w:rPr>
          <w:rFonts w:ascii="Times New Roman" w:hAnsi="Times New Roman" w:cs="Times New Roman"/>
        </w:rPr>
        <w:t xml:space="preserve">.  </w:t>
      </w:r>
      <w:r w:rsidR="00095DD1">
        <w:rPr>
          <w:rFonts w:ascii="Times New Roman" w:hAnsi="Times New Roman" w:cs="Times New Roman"/>
        </w:rPr>
        <w:t xml:space="preserve">Complainant acknowledged that West Penn made that request and he did not contest its request in 2014.  </w:t>
      </w:r>
    </w:p>
    <w:p w:rsidR="009C2F2A" w:rsidRPr="00CC4458" w:rsidRDefault="00DC72E7" w:rsidP="009C2F2A">
      <w:pPr>
        <w:spacing w:line="360" w:lineRule="auto"/>
        <w:ind w:firstLine="720"/>
        <w:rPr>
          <w:b/>
        </w:rPr>
      </w:pPr>
      <w:r>
        <w:t xml:space="preserve">  </w:t>
      </w:r>
    </w:p>
    <w:p w:rsidR="009C2F2A" w:rsidRPr="00791549" w:rsidRDefault="009C2F2A" w:rsidP="00791549">
      <w:pPr>
        <w:pStyle w:val="ParaTab1"/>
        <w:spacing w:line="360" w:lineRule="auto"/>
        <w:rPr>
          <w:rFonts w:ascii="Times New Roman" w:hAnsi="Times New Roman" w:cs="Times New Roman"/>
        </w:rPr>
      </w:pPr>
      <w:r w:rsidRPr="00CC4458">
        <w:rPr>
          <w:rFonts w:ascii="Times New Roman" w:hAnsi="Times New Roman" w:cs="Times New Roman"/>
        </w:rPr>
        <w:t xml:space="preserve">Based on the evidence presented, Complainant failed to demonstrate by a preponderance of the evidence that </w:t>
      </w:r>
      <w:r w:rsidR="00BC3B17">
        <w:rPr>
          <w:rFonts w:ascii="Times New Roman" w:hAnsi="Times New Roman" w:cs="Times New Roman"/>
        </w:rPr>
        <w:t>West Penn</w:t>
      </w:r>
      <w:r w:rsidR="00791549">
        <w:rPr>
          <w:rFonts w:ascii="Times New Roman" w:hAnsi="Times New Roman" w:cs="Times New Roman"/>
        </w:rPr>
        <w:t xml:space="preserve"> failed to provide reasonable and adequate customer service when it </w:t>
      </w:r>
      <w:r w:rsidR="00272BDF">
        <w:rPr>
          <w:rFonts w:ascii="Times New Roman" w:hAnsi="Times New Roman" w:cs="Times New Roman"/>
        </w:rPr>
        <w:t>adjusted his monthly supply charge based upon his most recent consumption</w:t>
      </w:r>
      <w:r w:rsidR="00791549">
        <w:rPr>
          <w:rFonts w:ascii="Times New Roman" w:hAnsi="Times New Roman" w:cs="Times New Roman"/>
        </w:rPr>
        <w:t xml:space="preserve">.  </w:t>
      </w:r>
      <w:r w:rsidR="00095DD1">
        <w:rPr>
          <w:rFonts w:ascii="Times New Roman" w:hAnsi="Times New Roman" w:cs="Times New Roman"/>
        </w:rPr>
        <w:t>West Penn produced monthly billing statements to Complainant that were consistent with direction from the Commission.  Accordingly, West Penn did not violate a Commission statute, regulation or provision when the amounts it charged Mr. Pefley increased based on his consumption levels over a shorter time period.</w:t>
      </w:r>
    </w:p>
    <w:p w:rsidR="008C62D6" w:rsidRDefault="008C62D6" w:rsidP="008C62D6"/>
    <w:p w:rsidR="009C2F2A" w:rsidRPr="003A52EE" w:rsidRDefault="009C2F2A" w:rsidP="009C2F2A">
      <w:pPr>
        <w:spacing w:line="360" w:lineRule="auto"/>
        <w:jc w:val="center"/>
        <w:rPr>
          <w:u w:val="single"/>
        </w:rPr>
      </w:pPr>
      <w:r w:rsidRPr="003A52EE">
        <w:rPr>
          <w:u w:val="single"/>
        </w:rPr>
        <w:lastRenderedPageBreak/>
        <w:t>CONCLUSIONS OF LAW</w:t>
      </w:r>
    </w:p>
    <w:p w:rsidR="009C2F2A" w:rsidRPr="00EE0848" w:rsidRDefault="009C2F2A" w:rsidP="009C2F2A">
      <w:pPr>
        <w:spacing w:line="360" w:lineRule="auto"/>
        <w:jc w:val="center"/>
        <w:rPr>
          <w:b/>
          <w:u w:val="single"/>
        </w:rPr>
      </w:pPr>
    </w:p>
    <w:p w:rsidR="009C2F2A" w:rsidRPr="00DF2CC3" w:rsidRDefault="009C2F2A" w:rsidP="009C2F2A">
      <w:pPr>
        <w:pStyle w:val="ListParagraph"/>
        <w:numPr>
          <w:ilvl w:val="0"/>
          <w:numId w:val="5"/>
        </w:numPr>
        <w:ind w:left="0" w:firstLine="1440"/>
        <w:rPr>
          <w:sz w:val="24"/>
          <w:szCs w:val="24"/>
        </w:rPr>
      </w:pPr>
      <w:r w:rsidRPr="00DF2CC3">
        <w:rPr>
          <w:sz w:val="24"/>
          <w:szCs w:val="24"/>
        </w:rPr>
        <w:t xml:space="preserve">The Commission has jurisdiction over the parties and subject matter of this </w:t>
      </w:r>
      <w:r w:rsidR="00AB4BDD">
        <w:rPr>
          <w:sz w:val="24"/>
          <w:szCs w:val="24"/>
        </w:rPr>
        <w:t>f</w:t>
      </w:r>
      <w:r w:rsidRPr="00DF2CC3">
        <w:rPr>
          <w:sz w:val="24"/>
          <w:szCs w:val="24"/>
        </w:rPr>
        <w:t xml:space="preserve">ormal </w:t>
      </w:r>
      <w:r w:rsidR="00AB4BDD">
        <w:rPr>
          <w:sz w:val="24"/>
          <w:szCs w:val="24"/>
        </w:rPr>
        <w:t>c</w:t>
      </w:r>
      <w:r w:rsidRPr="00DF2CC3">
        <w:rPr>
          <w:sz w:val="24"/>
          <w:szCs w:val="24"/>
        </w:rPr>
        <w:t>omplaint.</w:t>
      </w:r>
      <w:r w:rsidRPr="00DF2CC3">
        <w:rPr>
          <w:b/>
          <w:sz w:val="24"/>
          <w:szCs w:val="24"/>
        </w:rPr>
        <w:t xml:space="preserve">  </w:t>
      </w:r>
      <w:r w:rsidRPr="00DF2CC3">
        <w:rPr>
          <w:sz w:val="24"/>
          <w:szCs w:val="24"/>
        </w:rPr>
        <w:t>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r w:rsidRPr="00DF2CC3">
        <w:rPr>
          <w:sz w:val="24"/>
          <w:szCs w:val="24"/>
        </w:rPr>
        <w:t xml:space="preserve"> § 701; 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r w:rsidRPr="00DF2CC3">
        <w:rPr>
          <w:sz w:val="24"/>
          <w:szCs w:val="24"/>
        </w:rPr>
        <w:t xml:space="preserve"> § 2807(d)(2).</w:t>
      </w:r>
    </w:p>
    <w:p w:rsidR="009C2F2A" w:rsidRPr="00DF2CC3" w:rsidRDefault="009C2F2A" w:rsidP="009C2F2A">
      <w:pPr>
        <w:pStyle w:val="ListParagraph"/>
        <w:ind w:left="1440"/>
        <w:rPr>
          <w:b/>
          <w:sz w:val="24"/>
          <w:szCs w:val="24"/>
        </w:rPr>
      </w:pPr>
      <w:r w:rsidRPr="00DF2CC3">
        <w:rPr>
          <w:b/>
          <w:sz w:val="24"/>
          <w:szCs w:val="24"/>
        </w:rPr>
        <w:t xml:space="preserve"> </w:t>
      </w:r>
    </w:p>
    <w:p w:rsidR="009C2F2A" w:rsidRPr="0098696F" w:rsidRDefault="00DF2CC3" w:rsidP="009C2F2A">
      <w:pPr>
        <w:pStyle w:val="ListParagraph"/>
        <w:numPr>
          <w:ilvl w:val="0"/>
          <w:numId w:val="5"/>
        </w:numPr>
        <w:tabs>
          <w:tab w:val="left" w:pos="-1440"/>
          <w:tab w:val="left" w:pos="-720"/>
          <w:tab w:val="left" w:pos="1350"/>
        </w:tabs>
        <w:suppressAutoHyphens/>
        <w:ind w:left="0" w:firstLine="1440"/>
        <w:rPr>
          <w:sz w:val="24"/>
          <w:szCs w:val="24"/>
        </w:rPr>
      </w:pPr>
      <w:r w:rsidRPr="00DF2CC3">
        <w:rPr>
          <w:sz w:val="24"/>
          <w:szCs w:val="24"/>
        </w:rPr>
        <w:t xml:space="preserve">The burden of proof in this proceeding is on Complainant.  66 </w:t>
      </w:r>
      <w:proofErr w:type="spellStart"/>
      <w:r w:rsidRPr="00DF2CC3">
        <w:rPr>
          <w:sz w:val="24"/>
          <w:szCs w:val="24"/>
        </w:rPr>
        <w:t>Pa.C.S.A</w:t>
      </w:r>
      <w:proofErr w:type="spellEnd"/>
      <w:r w:rsidRPr="00DF2CC3">
        <w:rPr>
          <w:sz w:val="24"/>
          <w:szCs w:val="24"/>
        </w:rPr>
        <w:t xml:space="preserve"> § 332(</w:t>
      </w:r>
      <w:r w:rsidRPr="0098696F">
        <w:rPr>
          <w:sz w:val="24"/>
          <w:szCs w:val="24"/>
        </w:rPr>
        <w:t>a)</w:t>
      </w:r>
      <w:r w:rsidR="0098696F" w:rsidRPr="0098696F">
        <w:rPr>
          <w:sz w:val="24"/>
          <w:szCs w:val="24"/>
        </w:rPr>
        <w:t xml:space="preserve">; </w:t>
      </w:r>
      <w:proofErr w:type="spellStart"/>
      <w:r w:rsidR="0098696F" w:rsidRPr="0098696F">
        <w:rPr>
          <w:sz w:val="24"/>
          <w:szCs w:val="24"/>
          <w:u w:val="single"/>
        </w:rPr>
        <w:t>Zucker</w:t>
      </w:r>
      <w:proofErr w:type="spellEnd"/>
      <w:r w:rsidR="0098696F" w:rsidRPr="0098696F">
        <w:rPr>
          <w:sz w:val="24"/>
          <w:szCs w:val="24"/>
          <w:u w:val="single"/>
        </w:rPr>
        <w:t xml:space="preserve"> v. Pa. Pub. Util. </w:t>
      </w:r>
      <w:proofErr w:type="spellStart"/>
      <w:r w:rsidR="0098696F" w:rsidRPr="0098696F">
        <w:rPr>
          <w:sz w:val="24"/>
          <w:szCs w:val="24"/>
          <w:u w:val="single"/>
        </w:rPr>
        <w:t>Comm’n</w:t>
      </w:r>
      <w:proofErr w:type="spellEnd"/>
      <w:r w:rsidR="0098696F" w:rsidRPr="0098696F">
        <w:rPr>
          <w:sz w:val="24"/>
          <w:szCs w:val="24"/>
          <w:u w:val="single"/>
        </w:rPr>
        <w:t>.</w:t>
      </w:r>
      <w:r w:rsidR="0098696F" w:rsidRPr="0098696F">
        <w:rPr>
          <w:sz w:val="24"/>
          <w:szCs w:val="24"/>
        </w:rPr>
        <w:t xml:space="preserve">, 401 A.2d 1377 (Pa. </w:t>
      </w:r>
      <w:proofErr w:type="spellStart"/>
      <w:r w:rsidR="0098696F" w:rsidRPr="0098696F">
        <w:rPr>
          <w:sz w:val="24"/>
          <w:szCs w:val="24"/>
        </w:rPr>
        <w:t>Cmwlth</w:t>
      </w:r>
      <w:proofErr w:type="spellEnd"/>
      <w:r w:rsidR="0098696F" w:rsidRPr="0098696F">
        <w:rPr>
          <w:sz w:val="24"/>
          <w:szCs w:val="24"/>
        </w:rPr>
        <w:t xml:space="preserve"> 1979)</w:t>
      </w:r>
      <w:r w:rsidR="0098696F">
        <w:rPr>
          <w:sz w:val="24"/>
          <w:szCs w:val="24"/>
        </w:rPr>
        <w:t>.</w:t>
      </w:r>
    </w:p>
    <w:p w:rsidR="00CB3C2B" w:rsidRPr="00DF2CC3" w:rsidRDefault="00CB3C2B" w:rsidP="00C509E3">
      <w:pPr>
        <w:tabs>
          <w:tab w:val="left" w:pos="-1440"/>
          <w:tab w:val="left" w:pos="-720"/>
          <w:tab w:val="left" w:pos="1350"/>
        </w:tabs>
        <w:suppressAutoHyphens/>
        <w:spacing w:line="360" w:lineRule="auto"/>
      </w:pPr>
    </w:p>
    <w:p w:rsidR="009C2F2A" w:rsidRPr="00DF2CC3" w:rsidRDefault="009C2F2A" w:rsidP="009C2F2A">
      <w:pPr>
        <w:spacing w:line="360" w:lineRule="auto"/>
        <w:ind w:firstLine="720"/>
      </w:pPr>
      <w:r w:rsidRPr="00DF2CC3">
        <w:tab/>
        <w:t>3.</w:t>
      </w:r>
      <w:r w:rsidRPr="00DF2CC3">
        <w:tab/>
      </w:r>
      <w:r w:rsidR="00DF2CC3" w:rsidRPr="00DF2CC3">
        <w:t>Complainant did not meet h</w:t>
      </w:r>
      <w:r w:rsidR="0009055C">
        <w:t>is</w:t>
      </w:r>
      <w:r w:rsidR="00DF2CC3" w:rsidRPr="00DF2CC3">
        <w:t xml:space="preserve"> burden of proof to show </w:t>
      </w:r>
      <w:r w:rsidR="00272BDF">
        <w:t>West Penn</w:t>
      </w:r>
      <w:r w:rsidR="00DF2CC3" w:rsidRPr="00DF2CC3">
        <w:t xml:space="preserve"> </w:t>
      </w:r>
      <w:r w:rsidR="00DF2CC3" w:rsidRPr="00DF2CC3">
        <w:rPr>
          <w:spacing w:val="-3"/>
        </w:rPr>
        <w:t xml:space="preserve">is responsible or accountable for the problem described in the complaint.  66 </w:t>
      </w:r>
      <w:proofErr w:type="spellStart"/>
      <w:r w:rsidR="00DF2CC3" w:rsidRPr="00DF2CC3">
        <w:rPr>
          <w:spacing w:val="-3"/>
        </w:rPr>
        <w:t>Pa.C.S.A</w:t>
      </w:r>
      <w:proofErr w:type="spellEnd"/>
      <w:r w:rsidR="00DF2CC3" w:rsidRPr="00DF2CC3">
        <w:rPr>
          <w:spacing w:val="-3"/>
        </w:rPr>
        <w:t>. §</w:t>
      </w:r>
      <w:r w:rsidR="0009055C">
        <w:rPr>
          <w:spacing w:val="-3"/>
        </w:rPr>
        <w:t xml:space="preserve"> </w:t>
      </w:r>
      <w:r w:rsidR="00DF2CC3" w:rsidRPr="00DF2CC3">
        <w:rPr>
          <w:spacing w:val="-3"/>
        </w:rPr>
        <w:t xml:space="preserve">332(a); </w:t>
      </w:r>
      <w:r w:rsidR="00DF2CC3" w:rsidRPr="00DF2CC3">
        <w:rPr>
          <w:spacing w:val="-3"/>
          <w:u w:val="single"/>
        </w:rPr>
        <w:t>Patterson v. Bell Telephone Company of Pennsylvania</w:t>
      </w:r>
      <w:r w:rsidR="00DF2CC3" w:rsidRPr="00DF2CC3">
        <w:rPr>
          <w:spacing w:val="-3"/>
        </w:rPr>
        <w:t xml:space="preserve">, 72 Pa. PUC 196 (1990); </w:t>
      </w:r>
      <w:r w:rsidR="00DF2CC3" w:rsidRPr="00DF2CC3">
        <w:rPr>
          <w:spacing w:val="-3"/>
          <w:u w:val="single"/>
        </w:rPr>
        <w:t>Feinstein v. Philadelphia Suburban Water Company</w:t>
      </w:r>
      <w:r w:rsidR="00DF2CC3" w:rsidRPr="00DF2CC3">
        <w:rPr>
          <w:spacing w:val="-3"/>
        </w:rPr>
        <w:t xml:space="preserve">, 50 Pa. PUC 300 (1976). </w:t>
      </w:r>
    </w:p>
    <w:p w:rsidR="009C2F2A" w:rsidRDefault="009C2F2A" w:rsidP="009C2F2A">
      <w:pPr>
        <w:spacing w:line="360" w:lineRule="auto"/>
      </w:pPr>
    </w:p>
    <w:p w:rsidR="009C2F2A" w:rsidRPr="00A00D08" w:rsidRDefault="009C2F2A" w:rsidP="009C2F2A">
      <w:pPr>
        <w:pStyle w:val="BodyText"/>
        <w:spacing w:after="0" w:line="360" w:lineRule="auto"/>
        <w:jc w:val="center"/>
        <w:rPr>
          <w:sz w:val="24"/>
          <w:szCs w:val="24"/>
          <w:u w:val="single"/>
        </w:rPr>
      </w:pPr>
      <w:r w:rsidRPr="00A00D08">
        <w:rPr>
          <w:sz w:val="24"/>
          <w:szCs w:val="24"/>
          <w:u w:val="single"/>
        </w:rPr>
        <w:t>ORDER</w:t>
      </w:r>
    </w:p>
    <w:p w:rsidR="009C2F2A" w:rsidRDefault="009C2F2A" w:rsidP="009C2F2A">
      <w:pPr>
        <w:pStyle w:val="BodyText"/>
        <w:spacing w:after="0" w:line="360" w:lineRule="auto"/>
        <w:rPr>
          <w:sz w:val="24"/>
          <w:szCs w:val="24"/>
        </w:rPr>
      </w:pPr>
    </w:p>
    <w:p w:rsidR="00C509E3" w:rsidRPr="00A00D08" w:rsidRDefault="00C509E3"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THEREFORE,</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IT IS ORDERED:</w:t>
      </w:r>
    </w:p>
    <w:p w:rsidR="009C2F2A" w:rsidRPr="00A00D08" w:rsidRDefault="009C2F2A" w:rsidP="009C2F2A">
      <w:pPr>
        <w:pStyle w:val="BodyText"/>
        <w:spacing w:after="0" w:line="360" w:lineRule="auto"/>
        <w:rPr>
          <w:sz w:val="24"/>
          <w:szCs w:val="24"/>
        </w:rPr>
      </w:pPr>
    </w:p>
    <w:p w:rsidR="009C2F2A" w:rsidRPr="00CC4458" w:rsidRDefault="009C2F2A" w:rsidP="009C2F2A">
      <w:pPr>
        <w:pStyle w:val="BodyText"/>
        <w:numPr>
          <w:ilvl w:val="0"/>
          <w:numId w:val="6"/>
        </w:numPr>
        <w:tabs>
          <w:tab w:val="clear" w:pos="360"/>
        </w:tabs>
        <w:spacing w:after="0" w:line="360" w:lineRule="auto"/>
        <w:ind w:left="0" w:firstLine="1440"/>
        <w:rPr>
          <w:sz w:val="24"/>
          <w:szCs w:val="24"/>
        </w:rPr>
      </w:pPr>
      <w:r w:rsidRPr="00CC4458">
        <w:rPr>
          <w:sz w:val="24"/>
          <w:szCs w:val="24"/>
        </w:rPr>
        <w:t xml:space="preserve">That the complaint of </w:t>
      </w:r>
      <w:r w:rsidR="00BC3B17">
        <w:rPr>
          <w:sz w:val="24"/>
          <w:szCs w:val="24"/>
        </w:rPr>
        <w:t>Sheldon L.</w:t>
      </w:r>
      <w:r w:rsidR="00CB3C2B">
        <w:rPr>
          <w:sz w:val="24"/>
          <w:szCs w:val="24"/>
        </w:rPr>
        <w:t xml:space="preserve"> </w:t>
      </w:r>
      <w:r w:rsidR="00A46E49">
        <w:rPr>
          <w:sz w:val="24"/>
          <w:szCs w:val="24"/>
        </w:rPr>
        <w:t>Pefley</w:t>
      </w:r>
      <w:r w:rsidRPr="00CC4458">
        <w:rPr>
          <w:sz w:val="24"/>
          <w:szCs w:val="24"/>
        </w:rPr>
        <w:t xml:space="preserve"> against</w:t>
      </w:r>
      <w:r>
        <w:rPr>
          <w:sz w:val="24"/>
          <w:szCs w:val="24"/>
        </w:rPr>
        <w:t xml:space="preserve"> </w:t>
      </w:r>
      <w:r w:rsidR="00BC3B17">
        <w:rPr>
          <w:sz w:val="24"/>
          <w:szCs w:val="24"/>
        </w:rPr>
        <w:t>West Penn Power</w:t>
      </w:r>
      <w:r w:rsidR="00CB3C2B">
        <w:rPr>
          <w:sz w:val="24"/>
          <w:szCs w:val="24"/>
        </w:rPr>
        <w:t xml:space="preserve"> Company</w:t>
      </w:r>
      <w:r w:rsidRPr="00CC4458">
        <w:rPr>
          <w:sz w:val="24"/>
          <w:szCs w:val="24"/>
        </w:rPr>
        <w:t xml:space="preserve"> at Docket No. </w:t>
      </w:r>
      <w:r w:rsidR="00BC3B17">
        <w:rPr>
          <w:sz w:val="24"/>
          <w:szCs w:val="24"/>
        </w:rPr>
        <w:t>C-2016-2548198</w:t>
      </w:r>
      <w:r w:rsidRPr="00CC4458">
        <w:rPr>
          <w:sz w:val="24"/>
          <w:szCs w:val="24"/>
        </w:rPr>
        <w:t xml:space="preserve"> is d</w:t>
      </w:r>
      <w:r w:rsidR="00E271CC">
        <w:rPr>
          <w:sz w:val="24"/>
          <w:szCs w:val="24"/>
        </w:rPr>
        <w:t>ismissed</w:t>
      </w:r>
      <w:r w:rsidRPr="00CC4458">
        <w:rPr>
          <w:sz w:val="24"/>
          <w:szCs w:val="24"/>
        </w:rPr>
        <w:t>.</w:t>
      </w:r>
    </w:p>
    <w:p w:rsidR="009C2F2A" w:rsidRPr="00CC4458" w:rsidRDefault="009C2F2A" w:rsidP="009C2F2A">
      <w:pPr>
        <w:pStyle w:val="BodyText"/>
        <w:spacing w:after="0" w:line="360" w:lineRule="auto"/>
        <w:rPr>
          <w:sz w:val="24"/>
          <w:szCs w:val="24"/>
        </w:rPr>
      </w:pPr>
    </w:p>
    <w:p w:rsidR="009C2F2A" w:rsidRPr="00CC4458" w:rsidRDefault="009C2F2A" w:rsidP="00BC3B17">
      <w:pPr>
        <w:pStyle w:val="BodyText"/>
        <w:spacing w:after="0" w:line="360" w:lineRule="auto"/>
        <w:rPr>
          <w:sz w:val="24"/>
          <w:szCs w:val="24"/>
        </w:rPr>
      </w:pPr>
      <w:r w:rsidRPr="00CC4458">
        <w:rPr>
          <w:sz w:val="24"/>
          <w:szCs w:val="24"/>
        </w:rPr>
        <w:tab/>
      </w:r>
      <w:r w:rsidRPr="00CC4458">
        <w:rPr>
          <w:sz w:val="24"/>
          <w:szCs w:val="24"/>
        </w:rPr>
        <w:tab/>
        <w:t>2.</w:t>
      </w:r>
      <w:r w:rsidRPr="00CC4458">
        <w:rPr>
          <w:sz w:val="24"/>
          <w:szCs w:val="24"/>
        </w:rPr>
        <w:tab/>
      </w:r>
      <w:r>
        <w:rPr>
          <w:sz w:val="24"/>
          <w:szCs w:val="24"/>
        </w:rPr>
        <w:t xml:space="preserve">That the </w:t>
      </w:r>
      <w:r w:rsidR="00272BDF">
        <w:rPr>
          <w:sz w:val="24"/>
          <w:szCs w:val="24"/>
        </w:rPr>
        <w:t xml:space="preserve">Secretary shall mark the </w:t>
      </w:r>
      <w:r>
        <w:rPr>
          <w:sz w:val="24"/>
          <w:szCs w:val="24"/>
        </w:rPr>
        <w:t xml:space="preserve">complaint of </w:t>
      </w:r>
      <w:r w:rsidR="00BC3B17">
        <w:rPr>
          <w:sz w:val="24"/>
          <w:szCs w:val="24"/>
        </w:rPr>
        <w:t>Sheldon L.</w:t>
      </w:r>
      <w:r w:rsidR="00CB3C2B">
        <w:rPr>
          <w:sz w:val="24"/>
          <w:szCs w:val="24"/>
        </w:rPr>
        <w:t xml:space="preserve"> </w:t>
      </w:r>
      <w:r w:rsidR="00A46E49">
        <w:rPr>
          <w:sz w:val="24"/>
          <w:szCs w:val="24"/>
        </w:rPr>
        <w:t>Pefley</w:t>
      </w:r>
      <w:r>
        <w:rPr>
          <w:sz w:val="24"/>
          <w:szCs w:val="24"/>
        </w:rPr>
        <w:t xml:space="preserve"> against </w:t>
      </w:r>
      <w:r w:rsidR="00272BDF">
        <w:rPr>
          <w:sz w:val="24"/>
          <w:szCs w:val="24"/>
        </w:rPr>
        <w:t>West Penn Power Company</w:t>
      </w:r>
      <w:r>
        <w:rPr>
          <w:sz w:val="24"/>
          <w:szCs w:val="24"/>
        </w:rPr>
        <w:t xml:space="preserve"> at Docket No. </w:t>
      </w:r>
      <w:r w:rsidR="00BC3B17">
        <w:rPr>
          <w:sz w:val="24"/>
          <w:szCs w:val="24"/>
        </w:rPr>
        <w:t>C-2016-2548198</w:t>
      </w:r>
      <w:r>
        <w:rPr>
          <w:sz w:val="24"/>
          <w:szCs w:val="24"/>
        </w:rPr>
        <w:t xml:space="preserve"> </w:t>
      </w:r>
      <w:r w:rsidR="00AB4BDD">
        <w:rPr>
          <w:sz w:val="24"/>
          <w:szCs w:val="24"/>
        </w:rPr>
        <w:t>a</w:t>
      </w:r>
      <w:r>
        <w:rPr>
          <w:sz w:val="24"/>
          <w:szCs w:val="24"/>
        </w:rPr>
        <w:t xml:space="preserve">s </w:t>
      </w:r>
      <w:r w:rsidR="00257206">
        <w:rPr>
          <w:sz w:val="24"/>
          <w:szCs w:val="24"/>
        </w:rPr>
        <w:t>closed</w:t>
      </w:r>
      <w:r w:rsidRPr="00CC4458">
        <w:rPr>
          <w:sz w:val="24"/>
          <w:szCs w:val="24"/>
        </w:rPr>
        <w:t>.</w:t>
      </w:r>
    </w:p>
    <w:p w:rsidR="009C2F2A" w:rsidRDefault="009C2F2A" w:rsidP="009C2F2A">
      <w:pPr>
        <w:pStyle w:val="ParaTab1"/>
        <w:spacing w:line="360" w:lineRule="auto"/>
        <w:rPr>
          <w:rFonts w:ascii="Times New Roman" w:hAnsi="Times New Roman" w:cs="Times New Roman"/>
          <w:spacing w:val="-3"/>
        </w:rPr>
      </w:pPr>
    </w:p>
    <w:p w:rsidR="008C62D6" w:rsidRPr="0044591D" w:rsidRDefault="008C62D6" w:rsidP="008C62D6"/>
    <w:p w:rsidR="008C62D6" w:rsidRPr="0044591D" w:rsidRDefault="008C62D6" w:rsidP="008C62D6"/>
    <w:p w:rsidR="008C62D6" w:rsidRPr="0044591D" w:rsidRDefault="008C62D6" w:rsidP="008C62D6">
      <w:r w:rsidRPr="0044591D">
        <w:t xml:space="preserve">Date:  </w:t>
      </w:r>
      <w:r w:rsidR="00272BDF">
        <w:rPr>
          <w:u w:val="single"/>
        </w:rPr>
        <w:t>March 24,</w:t>
      </w:r>
      <w:r w:rsidR="00BC3B17">
        <w:rPr>
          <w:u w:val="single"/>
        </w:rPr>
        <w:t xml:space="preserve"> 2017</w:t>
      </w:r>
      <w:r w:rsidRPr="0044591D">
        <w:tab/>
      </w:r>
      <w:r w:rsidRPr="0044591D">
        <w:tab/>
      </w:r>
      <w:r w:rsidRPr="0044591D">
        <w:tab/>
      </w:r>
      <w:r w:rsidRPr="0044591D">
        <w:tab/>
      </w:r>
      <w:r w:rsidRPr="0044591D">
        <w:rPr>
          <w:u w:val="single"/>
        </w:rPr>
        <w:tab/>
      </w:r>
      <w:r w:rsidRPr="0044591D">
        <w:rPr>
          <w:u w:val="single"/>
        </w:rPr>
        <w:tab/>
        <w:t>/s/</w:t>
      </w:r>
      <w:r w:rsidRPr="0044591D">
        <w:rPr>
          <w:u w:val="single"/>
        </w:rPr>
        <w:tab/>
      </w:r>
      <w:r w:rsidRPr="0044591D">
        <w:rPr>
          <w:u w:val="single"/>
        </w:rPr>
        <w:tab/>
      </w:r>
      <w:r w:rsidRPr="0044591D">
        <w:rPr>
          <w:u w:val="single"/>
        </w:rPr>
        <w:tab/>
      </w:r>
      <w:r w:rsidR="00C509E3" w:rsidRPr="0044591D">
        <w:rPr>
          <w:u w:val="single"/>
        </w:rPr>
        <w:tab/>
      </w:r>
    </w:p>
    <w:p w:rsidR="008C62D6" w:rsidRPr="0044591D" w:rsidRDefault="008C62D6" w:rsidP="008C62D6">
      <w:pPr>
        <w:rPr>
          <w:u w:val="single"/>
        </w:rPr>
      </w:pPr>
      <w:r w:rsidRPr="0044591D">
        <w:tab/>
      </w:r>
      <w:r w:rsidRPr="0044591D">
        <w:tab/>
      </w:r>
      <w:r w:rsidRPr="0044591D">
        <w:tab/>
      </w:r>
      <w:r w:rsidRPr="0044591D">
        <w:tab/>
      </w:r>
      <w:r w:rsidRPr="0044591D">
        <w:tab/>
      </w:r>
      <w:r w:rsidRPr="0044591D">
        <w:tab/>
      </w:r>
      <w:r w:rsidRPr="0044591D">
        <w:tab/>
        <w:t>Katrina L. Dunderdale</w:t>
      </w:r>
    </w:p>
    <w:p w:rsidR="009857C2" w:rsidRDefault="008C62D6">
      <w:r w:rsidRPr="00ED1D67">
        <w:tab/>
      </w:r>
      <w:r w:rsidRPr="00ED1D67">
        <w:tab/>
      </w:r>
      <w:r w:rsidRPr="00B73D10">
        <w:tab/>
      </w:r>
      <w:r w:rsidRPr="00B73D10">
        <w:tab/>
      </w:r>
      <w:r w:rsidRPr="00B73D10">
        <w:tab/>
      </w:r>
      <w:r w:rsidRPr="00B73D10">
        <w:tab/>
      </w:r>
      <w:r w:rsidRPr="00B73D10">
        <w:tab/>
        <w:t>Administrative Law Judge</w:t>
      </w:r>
    </w:p>
    <w:sectPr w:rsidR="009857C2" w:rsidSect="00C9062E">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F5" w:rsidRDefault="00656FF5" w:rsidP="008C62D6">
      <w:r>
        <w:separator/>
      </w:r>
    </w:p>
  </w:endnote>
  <w:endnote w:type="continuationSeparator" w:id="0">
    <w:p w:rsidR="00656FF5" w:rsidRDefault="00656FF5"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9062E" w:rsidRPr="007254B8" w:rsidRDefault="00C9062E">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AF4200">
          <w:rPr>
            <w:noProof/>
            <w:sz w:val="20"/>
            <w:szCs w:val="20"/>
          </w:rPr>
          <w:t>5</w:t>
        </w:r>
        <w:r w:rsidRPr="007254B8">
          <w:rPr>
            <w:noProof/>
            <w:sz w:val="20"/>
            <w:szCs w:val="20"/>
          </w:rPr>
          <w:fldChar w:fldCharType="end"/>
        </w:r>
      </w:p>
    </w:sdtContent>
  </w:sdt>
  <w:p w:rsidR="00C11B4C" w:rsidRDefault="00C1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4C" w:rsidRDefault="00C11B4C">
    <w:pPr>
      <w:pStyle w:val="Footer"/>
      <w:jc w:val="center"/>
    </w:pPr>
  </w:p>
  <w:p w:rsidR="00C11B4C" w:rsidRDefault="00C1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F5" w:rsidRDefault="00656FF5" w:rsidP="008C62D6">
      <w:r>
        <w:separator/>
      </w:r>
    </w:p>
  </w:footnote>
  <w:footnote w:type="continuationSeparator" w:id="0">
    <w:p w:rsidR="00656FF5" w:rsidRDefault="00656FF5" w:rsidP="008C62D6">
      <w:r>
        <w:continuationSeparator/>
      </w:r>
    </w:p>
  </w:footnote>
  <w:footnote w:id="1">
    <w:p w:rsidR="00104986" w:rsidRDefault="00104986">
      <w:pPr>
        <w:pStyle w:val="FootnoteText"/>
      </w:pPr>
      <w:r>
        <w:rPr>
          <w:rStyle w:val="FootnoteReference"/>
        </w:rPr>
        <w:footnoteRef/>
      </w:r>
      <w:r>
        <w:t xml:space="preserve"> </w:t>
      </w:r>
      <w:r>
        <w:tab/>
      </w:r>
      <w:proofErr w:type="gramStart"/>
      <w:r w:rsidRPr="00A941C5">
        <w:t xml:space="preserve">66 </w:t>
      </w:r>
      <w:proofErr w:type="spellStart"/>
      <w:r w:rsidRPr="00A941C5">
        <w:t>Pa.C.S</w:t>
      </w:r>
      <w:r>
        <w:t>.A</w:t>
      </w:r>
      <w:proofErr w:type="spellEnd"/>
      <w:r w:rsidRPr="00A941C5">
        <w:t>.</w:t>
      </w:r>
      <w:proofErr w:type="gramEnd"/>
      <w:r w:rsidRPr="00A941C5">
        <w:t xml:space="preserve"> §</w:t>
      </w:r>
      <w:r>
        <w:t xml:space="preserve"> </w:t>
      </w:r>
      <w:r w:rsidRPr="00A941C5">
        <w:t>332(a).</w:t>
      </w:r>
      <w:r>
        <w:t xml:space="preserve">  </w:t>
      </w:r>
    </w:p>
    <w:p w:rsidR="00104986" w:rsidRDefault="00104986">
      <w:pPr>
        <w:pStyle w:val="FootnoteText"/>
      </w:pPr>
    </w:p>
  </w:footnote>
  <w:footnote w:id="2">
    <w:p w:rsidR="00104986" w:rsidRDefault="00104986">
      <w:pPr>
        <w:pStyle w:val="FootnoteText"/>
        <w:rPr>
          <w:spacing w:val="-3"/>
        </w:rPr>
      </w:pPr>
      <w:r>
        <w:rPr>
          <w:rStyle w:val="FootnoteReference"/>
        </w:rPr>
        <w:footnoteRef/>
      </w:r>
      <w:r>
        <w:t xml:space="preserve"> </w:t>
      </w:r>
      <w:r>
        <w:tab/>
      </w:r>
      <w:r w:rsidRPr="00614336">
        <w:rPr>
          <w:spacing w:val="-3"/>
          <w:u w:val="single"/>
        </w:rPr>
        <w:t>Patterson v. Bell Telephone Company of Pennsylvania</w:t>
      </w:r>
      <w:r w:rsidRPr="00614336">
        <w:rPr>
          <w:spacing w:val="-3"/>
        </w:rPr>
        <w:t>, 72 P</w:t>
      </w:r>
      <w:r>
        <w:rPr>
          <w:spacing w:val="-3"/>
        </w:rPr>
        <w:t>a.</w:t>
      </w:r>
      <w:r w:rsidRPr="00614336">
        <w:rPr>
          <w:spacing w:val="-3"/>
        </w:rPr>
        <w:t xml:space="preserve"> PUC 196</w:t>
      </w:r>
      <w:r>
        <w:rPr>
          <w:spacing w:val="-3"/>
        </w:rPr>
        <w:t xml:space="preserve"> (</w:t>
      </w:r>
      <w:r w:rsidRPr="00614336">
        <w:rPr>
          <w:spacing w:val="-3"/>
        </w:rPr>
        <w:t xml:space="preserve">1990), </w:t>
      </w:r>
      <w:r w:rsidRPr="00614336">
        <w:rPr>
          <w:spacing w:val="-3"/>
          <w:u w:val="single"/>
        </w:rPr>
        <w:t>Feinstein v. Philadelphia Suburban Water Company</w:t>
      </w:r>
      <w:r w:rsidRPr="00614336">
        <w:rPr>
          <w:spacing w:val="-3"/>
        </w:rPr>
        <w:t>, 50 P</w:t>
      </w:r>
      <w:r>
        <w:rPr>
          <w:spacing w:val="-3"/>
        </w:rPr>
        <w:t>a.</w:t>
      </w:r>
      <w:r w:rsidRPr="00614336">
        <w:rPr>
          <w:spacing w:val="-3"/>
        </w:rPr>
        <w:t xml:space="preserve"> PUC 300</w:t>
      </w:r>
      <w:r>
        <w:rPr>
          <w:spacing w:val="-3"/>
        </w:rPr>
        <w:t xml:space="preserve"> </w:t>
      </w:r>
      <w:r w:rsidRPr="00614336">
        <w:rPr>
          <w:spacing w:val="-3"/>
        </w:rPr>
        <w:t>(1976).</w:t>
      </w:r>
    </w:p>
    <w:p w:rsidR="0066284F" w:rsidRDefault="0066284F">
      <w:pPr>
        <w:pStyle w:val="FootnoteText"/>
      </w:pPr>
    </w:p>
  </w:footnote>
  <w:footnote w:id="3">
    <w:p w:rsidR="00E660C4" w:rsidRDefault="00E660C4">
      <w:pPr>
        <w:pStyle w:val="FootnoteText"/>
      </w:pPr>
      <w:r>
        <w:rPr>
          <w:rStyle w:val="FootnoteReference"/>
        </w:rPr>
        <w:footnoteRef/>
      </w:r>
      <w:r>
        <w:t xml:space="preserve"> </w:t>
      </w:r>
      <w:r>
        <w:tab/>
      </w:r>
      <w:proofErr w:type="spellStart"/>
      <w:proofErr w:type="gramStart"/>
      <w:r w:rsidRPr="00E660C4">
        <w:rPr>
          <w:u w:val="single"/>
        </w:rPr>
        <w:t>Schellhammer</w:t>
      </w:r>
      <w:proofErr w:type="spellEnd"/>
      <w:r w:rsidRPr="00E660C4">
        <w:rPr>
          <w:u w:val="single"/>
        </w:rPr>
        <w:t xml:space="preserve"> v. Pa. Pub.</w:t>
      </w:r>
      <w:proofErr w:type="gramEnd"/>
      <w:r w:rsidRPr="00E660C4">
        <w:rPr>
          <w:u w:val="single"/>
        </w:rPr>
        <w:t xml:space="preserve"> </w:t>
      </w:r>
      <w:proofErr w:type="gramStart"/>
      <w:r w:rsidRPr="00E660C4">
        <w:rPr>
          <w:u w:val="single"/>
        </w:rPr>
        <w:t xml:space="preserve">Util. </w:t>
      </w:r>
      <w:proofErr w:type="spellStart"/>
      <w:r w:rsidRPr="00E660C4">
        <w:rPr>
          <w:u w:val="single"/>
        </w:rPr>
        <w:t>Comm’n</w:t>
      </w:r>
      <w:proofErr w:type="spellEnd"/>
      <w:r w:rsidRPr="00E660C4">
        <w:t>, 629 A.2d 189 (1993).</w:t>
      </w:r>
      <w:proofErr w:type="gramEnd"/>
    </w:p>
    <w:p w:rsidR="00E660C4" w:rsidRDefault="00E660C4">
      <w:pPr>
        <w:pStyle w:val="FootnoteText"/>
      </w:pPr>
    </w:p>
  </w:footnote>
  <w:footnote w:id="4">
    <w:p w:rsidR="00E660C4" w:rsidRDefault="00E660C4">
      <w:pPr>
        <w:pStyle w:val="FootnoteText"/>
      </w:pPr>
      <w:r>
        <w:rPr>
          <w:rStyle w:val="FootnoteReference"/>
        </w:rPr>
        <w:footnoteRef/>
      </w:r>
      <w:r>
        <w:t xml:space="preserve"> </w:t>
      </w:r>
      <w:r>
        <w:tab/>
      </w:r>
      <w:proofErr w:type="spellStart"/>
      <w:proofErr w:type="gramStart"/>
      <w:r w:rsidRPr="00E660C4">
        <w:rPr>
          <w:u w:val="single"/>
        </w:rPr>
        <w:t>Zucker</w:t>
      </w:r>
      <w:proofErr w:type="spellEnd"/>
      <w:r w:rsidRPr="00E660C4">
        <w:rPr>
          <w:u w:val="single"/>
        </w:rPr>
        <w:t xml:space="preserve"> v. Pa. Pub.</w:t>
      </w:r>
      <w:proofErr w:type="gramEnd"/>
      <w:r w:rsidRPr="00E660C4">
        <w:rPr>
          <w:u w:val="single"/>
        </w:rPr>
        <w:t xml:space="preserve"> </w:t>
      </w:r>
      <w:proofErr w:type="gramStart"/>
      <w:r w:rsidRPr="00E660C4">
        <w:rPr>
          <w:u w:val="single"/>
        </w:rPr>
        <w:t xml:space="preserve">Util. </w:t>
      </w:r>
      <w:proofErr w:type="spellStart"/>
      <w:r w:rsidRPr="00E660C4">
        <w:rPr>
          <w:u w:val="single"/>
        </w:rPr>
        <w:t>Comm’n</w:t>
      </w:r>
      <w:proofErr w:type="spellEnd"/>
      <w:r w:rsidRPr="00E660C4">
        <w:t>, 401 A.2d 1377 (</w:t>
      </w:r>
      <w:proofErr w:type="spellStart"/>
      <w:r w:rsidRPr="00E660C4">
        <w:t>Pa.Cmwlth</w:t>
      </w:r>
      <w:proofErr w:type="spellEnd"/>
      <w:r w:rsidR="001F0126">
        <w:t>.</w:t>
      </w:r>
      <w:r w:rsidRPr="00E660C4">
        <w:t xml:space="preserve"> 1979</w:t>
      </w:r>
      <w:r w:rsidRPr="001F0126">
        <w:t xml:space="preserve">); </w:t>
      </w:r>
      <w:r w:rsidRPr="00E660C4">
        <w:rPr>
          <w:u w:val="single"/>
        </w:rPr>
        <w:t>Duquesne Light Company v. Pa. Pub.</w:t>
      </w:r>
      <w:proofErr w:type="gramEnd"/>
      <w:r w:rsidRPr="00E660C4">
        <w:rPr>
          <w:u w:val="single"/>
        </w:rPr>
        <w:t xml:space="preserve"> </w:t>
      </w:r>
      <w:proofErr w:type="gramStart"/>
      <w:r w:rsidRPr="00E660C4">
        <w:rPr>
          <w:u w:val="single"/>
        </w:rPr>
        <w:t xml:space="preserve">Util. </w:t>
      </w:r>
      <w:proofErr w:type="spellStart"/>
      <w:r w:rsidRPr="00E660C4">
        <w:rPr>
          <w:u w:val="single"/>
        </w:rPr>
        <w:t>Comm’n</w:t>
      </w:r>
      <w:proofErr w:type="spellEnd"/>
      <w:r w:rsidRPr="00E660C4">
        <w:t>, 715 A.2d 540 (</w:t>
      </w:r>
      <w:proofErr w:type="spellStart"/>
      <w:r w:rsidRPr="00E660C4">
        <w:t>Pa</w:t>
      </w:r>
      <w:r w:rsidR="001F0126">
        <w:t>.</w:t>
      </w:r>
      <w:r w:rsidRPr="00E660C4">
        <w:t>C</w:t>
      </w:r>
      <w:r w:rsidR="001F0126">
        <w:t>mwlth</w:t>
      </w:r>
      <w:proofErr w:type="spellEnd"/>
      <w:r w:rsidRPr="00E660C4">
        <w:t>. 1998).</w:t>
      </w:r>
      <w:proofErr w:type="gramEnd"/>
    </w:p>
  </w:footnote>
  <w:footnote w:id="5">
    <w:p w:rsidR="00E660C4" w:rsidRDefault="00E660C4">
      <w:pPr>
        <w:pStyle w:val="FootnoteText"/>
      </w:pPr>
      <w:r>
        <w:rPr>
          <w:rStyle w:val="FootnoteReference"/>
        </w:rPr>
        <w:footnoteRef/>
      </w:r>
      <w:r>
        <w:t xml:space="preserve"> </w:t>
      </w:r>
      <w:r>
        <w:tab/>
      </w:r>
      <w:proofErr w:type="spellStart"/>
      <w:proofErr w:type="gramStart"/>
      <w:r w:rsidRPr="00E660C4">
        <w:rPr>
          <w:u w:val="single"/>
        </w:rPr>
        <w:t>Zucker</w:t>
      </w:r>
      <w:proofErr w:type="spellEnd"/>
      <w:r w:rsidRPr="00E660C4">
        <w:rPr>
          <w:u w:val="single"/>
        </w:rPr>
        <w:t xml:space="preserve"> v. Pa. Pub.</w:t>
      </w:r>
      <w:proofErr w:type="gramEnd"/>
      <w:r w:rsidRPr="00E660C4">
        <w:rPr>
          <w:u w:val="single"/>
        </w:rPr>
        <w:t xml:space="preserve"> </w:t>
      </w:r>
      <w:proofErr w:type="gramStart"/>
      <w:r w:rsidRPr="00E660C4">
        <w:rPr>
          <w:u w:val="single"/>
        </w:rPr>
        <w:t xml:space="preserve">Util. </w:t>
      </w:r>
      <w:proofErr w:type="spellStart"/>
      <w:r w:rsidRPr="00E660C4">
        <w:rPr>
          <w:u w:val="single"/>
        </w:rPr>
        <w:t>Comm’n</w:t>
      </w:r>
      <w:proofErr w:type="spellEnd"/>
      <w:r w:rsidR="00D852BE">
        <w:t xml:space="preserve">, supra; </w:t>
      </w:r>
      <w:r w:rsidRPr="00E660C4">
        <w:rPr>
          <w:u w:val="single"/>
        </w:rPr>
        <w:t>Brockway Glass Company v. Pa. Pub.</w:t>
      </w:r>
      <w:proofErr w:type="gramEnd"/>
      <w:r w:rsidRPr="00E660C4">
        <w:rPr>
          <w:u w:val="single"/>
        </w:rPr>
        <w:t xml:space="preserve"> </w:t>
      </w:r>
      <w:proofErr w:type="gramStart"/>
      <w:r w:rsidRPr="00E660C4">
        <w:rPr>
          <w:u w:val="single"/>
        </w:rPr>
        <w:t xml:space="preserve">Util. </w:t>
      </w:r>
      <w:proofErr w:type="spellStart"/>
      <w:r w:rsidRPr="00E660C4">
        <w:rPr>
          <w:u w:val="single"/>
        </w:rPr>
        <w:t>Comm’n</w:t>
      </w:r>
      <w:proofErr w:type="spellEnd"/>
      <w:r>
        <w:t>, 437 A.2d 1067 (</w:t>
      </w:r>
      <w:proofErr w:type="spellStart"/>
      <w:r>
        <w:t>Pa.</w:t>
      </w:r>
      <w:r w:rsidRPr="00E660C4">
        <w:t>Cmwlth</w:t>
      </w:r>
      <w:proofErr w:type="spellEnd"/>
      <w:r w:rsidR="002A175C">
        <w:t>.</w:t>
      </w:r>
      <w:r w:rsidRPr="00E660C4">
        <w:t xml:space="preserve"> 1981); and </w:t>
      </w:r>
      <w:proofErr w:type="spellStart"/>
      <w:r w:rsidRPr="00AB4BDD">
        <w:rPr>
          <w:u w:val="single"/>
        </w:rPr>
        <w:t>Shenango</w:t>
      </w:r>
      <w:proofErr w:type="spellEnd"/>
      <w:r w:rsidRPr="00AB4BDD">
        <w:rPr>
          <w:u w:val="single"/>
        </w:rPr>
        <w:t xml:space="preserve"> Township Bd. of Supervisors v. Pa. Pub.</w:t>
      </w:r>
      <w:proofErr w:type="gramEnd"/>
      <w:r w:rsidRPr="00AB4BDD">
        <w:rPr>
          <w:u w:val="single"/>
        </w:rPr>
        <w:t xml:space="preserve"> Util. </w:t>
      </w:r>
      <w:proofErr w:type="spellStart"/>
      <w:r w:rsidRPr="00AB4BDD">
        <w:rPr>
          <w:u w:val="single"/>
        </w:rPr>
        <w:t>Comm’n</w:t>
      </w:r>
      <w:proofErr w:type="spellEnd"/>
      <w:r w:rsidRPr="00E660C4">
        <w:t xml:space="preserve">, No. 1387 C.D. 1996 (decided December 20, 1996), </w:t>
      </w:r>
      <w:r w:rsidRPr="00AB4BDD">
        <w:rPr>
          <w:u w:val="single"/>
        </w:rPr>
        <w:t>Slip</w:t>
      </w:r>
      <w:r w:rsidRPr="002A175C">
        <w:t xml:space="preserve">. </w:t>
      </w:r>
      <w:r w:rsidRPr="00AB4BDD">
        <w:rPr>
          <w:u w:val="single"/>
        </w:rPr>
        <w:t>Op</w:t>
      </w:r>
      <w:r w:rsidRPr="002A175C">
        <w:t xml:space="preserve">. </w:t>
      </w:r>
      <w:r w:rsidRPr="00E660C4">
        <w:t xml:space="preserve">at 7-8.  See also 66 </w:t>
      </w:r>
      <w:proofErr w:type="spellStart"/>
      <w:r w:rsidRPr="00E660C4">
        <w:t>Pa.C.S.A</w:t>
      </w:r>
      <w:proofErr w:type="spellEnd"/>
      <w:r w:rsidRPr="00E660C4">
        <w:t xml:space="preserve">. </w:t>
      </w:r>
      <w:r w:rsidR="002A175C">
        <w:t xml:space="preserve">§ </w:t>
      </w:r>
      <w:r w:rsidRPr="00E660C4">
        <w:t>1301.</w:t>
      </w:r>
    </w:p>
    <w:p w:rsidR="00E660C4" w:rsidRDefault="00E660C4">
      <w:pPr>
        <w:pStyle w:val="FootnoteText"/>
      </w:pPr>
    </w:p>
  </w:footnote>
  <w:footnote w:id="6">
    <w:p w:rsidR="00104986" w:rsidRDefault="00104986">
      <w:pPr>
        <w:pStyle w:val="FootnoteText"/>
      </w:pPr>
      <w:r>
        <w:rPr>
          <w:rStyle w:val="FootnoteReference"/>
        </w:rPr>
        <w:footnoteRef/>
      </w:r>
      <w:r>
        <w:t xml:space="preserve"> </w:t>
      </w:r>
      <w:r>
        <w:tab/>
      </w:r>
      <w:r w:rsidRPr="00CC4458">
        <w:rPr>
          <w:u w:val="single"/>
        </w:rPr>
        <w:t xml:space="preserve">Tod and Lisa </w:t>
      </w:r>
      <w:proofErr w:type="spellStart"/>
      <w:r w:rsidRPr="00CC4458">
        <w:rPr>
          <w:u w:val="single"/>
        </w:rPr>
        <w:t>Shedlosky</w:t>
      </w:r>
      <w:proofErr w:type="spellEnd"/>
      <w:r w:rsidRPr="00CC4458">
        <w:rPr>
          <w:u w:val="single"/>
        </w:rPr>
        <w:t xml:space="preserve"> v. Pennsylvania Electric Co.</w:t>
      </w:r>
      <w:r w:rsidRPr="00CC4458">
        <w:t>, Docket No. C-20066937 (Order entered May</w:t>
      </w:r>
      <w:r w:rsidR="0020583C">
        <w:t xml:space="preserve"> </w:t>
      </w:r>
      <w:r w:rsidRPr="00CC4458">
        <w:t>28,</w:t>
      </w:r>
      <w:r w:rsidR="0020583C">
        <w:t xml:space="preserve"> </w:t>
      </w:r>
      <w:r w:rsidRPr="00CC4458">
        <w:t xml:space="preserve">2008); </w:t>
      </w:r>
      <w:r w:rsidRPr="00CC4458">
        <w:rPr>
          <w:u w:val="single"/>
        </w:rPr>
        <w:t>Feingold v. Bell Tel. Co. of Pa.</w:t>
      </w:r>
      <w:r w:rsidRPr="00CC4458">
        <w:t xml:space="preserve">, 383 A.2d 791 (Pa. 1977).  </w:t>
      </w:r>
    </w:p>
    <w:p w:rsidR="00104986" w:rsidRDefault="00104986">
      <w:pPr>
        <w:pStyle w:val="FootnoteText"/>
      </w:pPr>
    </w:p>
  </w:footnote>
  <w:footnote w:id="7">
    <w:p w:rsidR="00104986" w:rsidRDefault="00104986">
      <w:pPr>
        <w:pStyle w:val="FootnoteText"/>
      </w:pPr>
      <w:r>
        <w:rPr>
          <w:rStyle w:val="FootnoteReference"/>
        </w:rPr>
        <w:footnoteRef/>
      </w:r>
      <w:r>
        <w:t xml:space="preserve"> </w:t>
      </w:r>
      <w:r>
        <w:tab/>
      </w:r>
      <w:proofErr w:type="gramStart"/>
      <w:r w:rsidRPr="00CC4458">
        <w:rPr>
          <w:u w:val="single"/>
        </w:rPr>
        <w:t>City of Pittsburgh v. Pa. Pub.</w:t>
      </w:r>
      <w:proofErr w:type="gramEnd"/>
      <w:r w:rsidRPr="00CC4458">
        <w:rPr>
          <w:u w:val="single"/>
        </w:rPr>
        <w:t xml:space="preserve"> Util. </w:t>
      </w:r>
      <w:proofErr w:type="spellStart"/>
      <w:r w:rsidRPr="00CC4458">
        <w:rPr>
          <w:u w:val="single"/>
        </w:rPr>
        <w:t>Comm’n</w:t>
      </w:r>
      <w:proofErr w:type="spellEnd"/>
      <w:r w:rsidRPr="00CC4458">
        <w:rPr>
          <w:u w:val="single"/>
        </w:rPr>
        <w:t>,</w:t>
      </w:r>
      <w:r w:rsidRPr="00CC4458">
        <w:t xml:space="preserve"> 43 A.2d 348 (</w:t>
      </w:r>
      <w:proofErr w:type="spellStart"/>
      <w:r w:rsidRPr="00CC4458">
        <w:t>Pa.Super</w:t>
      </w:r>
      <w:proofErr w:type="spellEnd"/>
      <w:r w:rsidRPr="00CC4458">
        <w:t xml:space="preserve">. 1945).  </w:t>
      </w:r>
    </w:p>
    <w:p w:rsidR="00104986" w:rsidRDefault="00104986">
      <w:pPr>
        <w:pStyle w:val="FootnoteText"/>
      </w:pPr>
      <w:bookmarkStart w:id="0" w:name="_GoBack"/>
      <w:bookmarkEnd w:id="0"/>
    </w:p>
  </w:footnote>
  <w:footnote w:id="8">
    <w:p w:rsidR="00104986" w:rsidRDefault="00104986">
      <w:pPr>
        <w:pStyle w:val="FootnoteText"/>
      </w:pPr>
      <w:r>
        <w:rPr>
          <w:rStyle w:val="FootnoteReference"/>
        </w:rPr>
        <w:footnoteRef/>
      </w:r>
      <w:r>
        <w:t xml:space="preserve"> </w:t>
      </w:r>
      <w:r>
        <w:tab/>
      </w:r>
      <w:r w:rsidRPr="00CC4458">
        <w:rPr>
          <w:u w:val="single"/>
        </w:rPr>
        <w:t xml:space="preserve">Roberts v. </w:t>
      </w:r>
      <w:proofErr w:type="spellStart"/>
      <w:r w:rsidRPr="00CC4458">
        <w:rPr>
          <w:u w:val="single"/>
        </w:rPr>
        <w:t>Martorano</w:t>
      </w:r>
      <w:proofErr w:type="spellEnd"/>
      <w:r w:rsidRPr="00CC4458">
        <w:t xml:space="preserve">, 235 A.2d 602 (Pa. 1967).  </w:t>
      </w:r>
    </w:p>
    <w:p w:rsidR="00104986" w:rsidRDefault="00104986">
      <w:pPr>
        <w:pStyle w:val="FootnoteText"/>
      </w:pPr>
    </w:p>
  </w:footnote>
  <w:footnote w:id="9">
    <w:p w:rsidR="00104986" w:rsidRDefault="00104986">
      <w:pPr>
        <w:pStyle w:val="FootnoteText"/>
      </w:pPr>
      <w:r>
        <w:rPr>
          <w:rStyle w:val="FootnoteReference"/>
        </w:rPr>
        <w:footnoteRef/>
      </w:r>
      <w:r>
        <w:t xml:space="preserve"> </w:t>
      </w:r>
      <w:r>
        <w:tab/>
      </w:r>
      <w:r w:rsidRPr="00CC4458">
        <w:rPr>
          <w:u w:val="single"/>
        </w:rPr>
        <w:t>Hughes v. Pennsylvania State Police</w:t>
      </w:r>
      <w:r>
        <w:t>, 619 A.2d 390 (</w:t>
      </w:r>
      <w:proofErr w:type="spellStart"/>
      <w:r>
        <w:t>Pa.</w:t>
      </w:r>
      <w:r w:rsidRPr="00CC4458">
        <w:t>Cmwlth</w:t>
      </w:r>
      <w:proofErr w:type="spellEnd"/>
      <w:r w:rsidRPr="00CC4458">
        <w:t xml:space="preserve">. 1992), </w:t>
      </w:r>
      <w:proofErr w:type="spellStart"/>
      <w:r w:rsidRPr="00CC4458">
        <w:rPr>
          <w:u w:val="single"/>
        </w:rPr>
        <w:t>alloc</w:t>
      </w:r>
      <w:proofErr w:type="spellEnd"/>
      <w:r w:rsidRPr="00AF4200">
        <w:t xml:space="preserve">. </w:t>
      </w:r>
      <w:r w:rsidRPr="00CC4458">
        <w:rPr>
          <w:u w:val="single"/>
        </w:rPr>
        <w:t>denied</w:t>
      </w:r>
      <w:r w:rsidRPr="00CC4458">
        <w:t>, 637 A.2d 293 (Pa. 1993).</w:t>
      </w:r>
    </w:p>
    <w:p w:rsidR="00104986" w:rsidRDefault="001049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006CB3"/>
    <w:rsid w:val="000157D5"/>
    <w:rsid w:val="00061955"/>
    <w:rsid w:val="000875C7"/>
    <w:rsid w:val="0009055C"/>
    <w:rsid w:val="00095DD1"/>
    <w:rsid w:val="000B3F8E"/>
    <w:rsid w:val="000E4374"/>
    <w:rsid w:val="000E5FC6"/>
    <w:rsid w:val="00104986"/>
    <w:rsid w:val="0012466F"/>
    <w:rsid w:val="001452A4"/>
    <w:rsid w:val="001C1DB9"/>
    <w:rsid w:val="001C7C26"/>
    <w:rsid w:val="001F0126"/>
    <w:rsid w:val="0020583C"/>
    <w:rsid w:val="002067F0"/>
    <w:rsid w:val="00211558"/>
    <w:rsid w:val="00216B7C"/>
    <w:rsid w:val="0022746C"/>
    <w:rsid w:val="002277DA"/>
    <w:rsid w:val="0024610D"/>
    <w:rsid w:val="00257206"/>
    <w:rsid w:val="00264585"/>
    <w:rsid w:val="00272BDF"/>
    <w:rsid w:val="00293908"/>
    <w:rsid w:val="00294148"/>
    <w:rsid w:val="002A175C"/>
    <w:rsid w:val="002B0D0E"/>
    <w:rsid w:val="002C3658"/>
    <w:rsid w:val="002D5E24"/>
    <w:rsid w:val="003316B3"/>
    <w:rsid w:val="00336D20"/>
    <w:rsid w:val="0036208C"/>
    <w:rsid w:val="00367E45"/>
    <w:rsid w:val="003722EC"/>
    <w:rsid w:val="00383776"/>
    <w:rsid w:val="003A25F0"/>
    <w:rsid w:val="003C3A2E"/>
    <w:rsid w:val="00421A9C"/>
    <w:rsid w:val="00443F98"/>
    <w:rsid w:val="00481F67"/>
    <w:rsid w:val="004B19BC"/>
    <w:rsid w:val="004B504A"/>
    <w:rsid w:val="004E6F69"/>
    <w:rsid w:val="00506B49"/>
    <w:rsid w:val="0052149B"/>
    <w:rsid w:val="0052481C"/>
    <w:rsid w:val="00534710"/>
    <w:rsid w:val="00546C40"/>
    <w:rsid w:val="005D010C"/>
    <w:rsid w:val="005D1C07"/>
    <w:rsid w:val="00611442"/>
    <w:rsid w:val="00621F37"/>
    <w:rsid w:val="00627E3E"/>
    <w:rsid w:val="00645200"/>
    <w:rsid w:val="00656FF5"/>
    <w:rsid w:val="0066284F"/>
    <w:rsid w:val="00691959"/>
    <w:rsid w:val="0069746E"/>
    <w:rsid w:val="006B3242"/>
    <w:rsid w:val="006C1738"/>
    <w:rsid w:val="00702667"/>
    <w:rsid w:val="00704D13"/>
    <w:rsid w:val="00712E60"/>
    <w:rsid w:val="007254B8"/>
    <w:rsid w:val="00771237"/>
    <w:rsid w:val="007740C0"/>
    <w:rsid w:val="0077513B"/>
    <w:rsid w:val="00776A91"/>
    <w:rsid w:val="00777602"/>
    <w:rsid w:val="00791549"/>
    <w:rsid w:val="00791B71"/>
    <w:rsid w:val="007A4BDC"/>
    <w:rsid w:val="007B1937"/>
    <w:rsid w:val="007D4B4A"/>
    <w:rsid w:val="007F567D"/>
    <w:rsid w:val="0080720D"/>
    <w:rsid w:val="0083184B"/>
    <w:rsid w:val="008417AB"/>
    <w:rsid w:val="008513B7"/>
    <w:rsid w:val="00852806"/>
    <w:rsid w:val="00862602"/>
    <w:rsid w:val="00874146"/>
    <w:rsid w:val="0088329D"/>
    <w:rsid w:val="00885CA0"/>
    <w:rsid w:val="008A7E4F"/>
    <w:rsid w:val="008C62D6"/>
    <w:rsid w:val="008E6C72"/>
    <w:rsid w:val="00900ABA"/>
    <w:rsid w:val="009024BA"/>
    <w:rsid w:val="0091156A"/>
    <w:rsid w:val="00927982"/>
    <w:rsid w:val="00951B1C"/>
    <w:rsid w:val="00966BCB"/>
    <w:rsid w:val="0097761B"/>
    <w:rsid w:val="009832AE"/>
    <w:rsid w:val="009857C2"/>
    <w:rsid w:val="0098677F"/>
    <w:rsid w:val="0098696F"/>
    <w:rsid w:val="0099113B"/>
    <w:rsid w:val="00996BA6"/>
    <w:rsid w:val="009C2AA0"/>
    <w:rsid w:val="009C2F2A"/>
    <w:rsid w:val="009E5EF2"/>
    <w:rsid w:val="009F2726"/>
    <w:rsid w:val="00A27960"/>
    <w:rsid w:val="00A46E49"/>
    <w:rsid w:val="00AA0234"/>
    <w:rsid w:val="00AB4BDD"/>
    <w:rsid w:val="00AB5ACA"/>
    <w:rsid w:val="00AF4200"/>
    <w:rsid w:val="00B6749F"/>
    <w:rsid w:val="00BC1FBB"/>
    <w:rsid w:val="00BC3B17"/>
    <w:rsid w:val="00BD2092"/>
    <w:rsid w:val="00BF0092"/>
    <w:rsid w:val="00BF3832"/>
    <w:rsid w:val="00C11B4C"/>
    <w:rsid w:val="00C33E86"/>
    <w:rsid w:val="00C340C4"/>
    <w:rsid w:val="00C509E3"/>
    <w:rsid w:val="00C84315"/>
    <w:rsid w:val="00C9062E"/>
    <w:rsid w:val="00CA1BC8"/>
    <w:rsid w:val="00CA4631"/>
    <w:rsid w:val="00CB2F35"/>
    <w:rsid w:val="00CB3C2B"/>
    <w:rsid w:val="00D118DB"/>
    <w:rsid w:val="00D2056C"/>
    <w:rsid w:val="00D63020"/>
    <w:rsid w:val="00D852BE"/>
    <w:rsid w:val="00DA7EC7"/>
    <w:rsid w:val="00DC72E7"/>
    <w:rsid w:val="00DF2CC3"/>
    <w:rsid w:val="00DF3A17"/>
    <w:rsid w:val="00E06E50"/>
    <w:rsid w:val="00E15B45"/>
    <w:rsid w:val="00E17E05"/>
    <w:rsid w:val="00E236CD"/>
    <w:rsid w:val="00E271CC"/>
    <w:rsid w:val="00E34C9C"/>
    <w:rsid w:val="00E36C2A"/>
    <w:rsid w:val="00E47802"/>
    <w:rsid w:val="00E660C4"/>
    <w:rsid w:val="00E727C1"/>
    <w:rsid w:val="00E7460C"/>
    <w:rsid w:val="00ED0A9F"/>
    <w:rsid w:val="00ED0BB9"/>
    <w:rsid w:val="00ED20C4"/>
    <w:rsid w:val="00EE6E8E"/>
    <w:rsid w:val="00F056FA"/>
    <w:rsid w:val="00F51C81"/>
    <w:rsid w:val="00F5379C"/>
    <w:rsid w:val="00F5525B"/>
    <w:rsid w:val="00F57B87"/>
    <w:rsid w:val="00F8450E"/>
    <w:rsid w:val="00FA6EB3"/>
    <w:rsid w:val="00FB0E2E"/>
    <w:rsid w:val="00FC48D2"/>
    <w:rsid w:val="00FF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E46D-523A-4A6E-8EBB-006AA813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19</cp:revision>
  <cp:lastPrinted>2017-04-04T15:05:00Z</cp:lastPrinted>
  <dcterms:created xsi:type="dcterms:W3CDTF">2017-03-24T17:30:00Z</dcterms:created>
  <dcterms:modified xsi:type="dcterms:W3CDTF">2017-04-04T15:54:00Z</dcterms:modified>
</cp:coreProperties>
</file>