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90B" w:rsidRPr="007E090B" w:rsidRDefault="007E090B" w:rsidP="007E090B">
      <w:pPr>
        <w:tabs>
          <w:tab w:val="clear" w:pos="1440"/>
          <w:tab w:val="left" w:pos="360"/>
        </w:tabs>
        <w:spacing w:before="0" w:after="0" w:line="240" w:lineRule="auto"/>
        <w:ind w:left="420"/>
        <w:jc w:val="center"/>
        <w:rPr>
          <w:rFonts w:eastAsia="SimSun"/>
          <w:b/>
        </w:rPr>
      </w:pPr>
      <w:r w:rsidRPr="007E090B">
        <w:rPr>
          <w:rFonts w:eastAsia="SimSun"/>
          <w:b/>
        </w:rPr>
        <w:t>BEFORE THE</w:t>
      </w:r>
    </w:p>
    <w:p w:rsidR="007E090B" w:rsidRPr="007E090B" w:rsidRDefault="007E090B" w:rsidP="007E090B">
      <w:pPr>
        <w:tabs>
          <w:tab w:val="clear" w:pos="1440"/>
          <w:tab w:val="left" w:pos="360"/>
        </w:tabs>
        <w:spacing w:before="0" w:after="0" w:line="240" w:lineRule="auto"/>
        <w:jc w:val="center"/>
        <w:rPr>
          <w:rFonts w:eastAsia="SimSun"/>
          <w:b/>
        </w:rPr>
      </w:pPr>
      <w:r w:rsidRPr="007E090B">
        <w:rPr>
          <w:rFonts w:eastAsia="SimSun"/>
          <w:b/>
        </w:rPr>
        <w:t>PENNSYLVANIA PUBLIC UTILITY COMMISSION</w:t>
      </w:r>
    </w:p>
    <w:p w:rsidR="007E090B" w:rsidRPr="007E090B" w:rsidRDefault="007E090B" w:rsidP="007E090B">
      <w:pPr>
        <w:tabs>
          <w:tab w:val="clear" w:pos="1440"/>
          <w:tab w:val="left" w:pos="360"/>
        </w:tabs>
        <w:spacing w:before="0" w:after="0" w:line="240" w:lineRule="auto"/>
        <w:jc w:val="both"/>
        <w:rPr>
          <w:rFonts w:eastAsia="SimSun"/>
          <w:b/>
        </w:rPr>
      </w:pPr>
    </w:p>
    <w:p w:rsidR="007E090B" w:rsidRPr="007E090B" w:rsidRDefault="007E090B" w:rsidP="007E090B">
      <w:pPr>
        <w:tabs>
          <w:tab w:val="clear" w:pos="1440"/>
          <w:tab w:val="left" w:pos="360"/>
        </w:tabs>
        <w:spacing w:before="0" w:after="0" w:line="240" w:lineRule="auto"/>
        <w:jc w:val="both"/>
        <w:rPr>
          <w:rFonts w:eastAsia="SimSun"/>
          <w:b/>
        </w:rPr>
      </w:pPr>
    </w:p>
    <w:p w:rsidR="007E090B" w:rsidRPr="007E090B" w:rsidRDefault="007E090B" w:rsidP="007E090B">
      <w:pPr>
        <w:tabs>
          <w:tab w:val="clear" w:pos="1440"/>
          <w:tab w:val="left" w:pos="360"/>
        </w:tabs>
        <w:spacing w:before="0" w:after="0" w:line="240" w:lineRule="auto"/>
        <w:jc w:val="both"/>
        <w:rPr>
          <w:rFonts w:eastAsia="SimSun"/>
          <w:b/>
        </w:rPr>
      </w:pPr>
    </w:p>
    <w:p w:rsidR="007E090B" w:rsidRPr="007E090B" w:rsidRDefault="007E090B" w:rsidP="007E090B">
      <w:pPr>
        <w:tabs>
          <w:tab w:val="left" w:pos="0"/>
          <w:tab w:val="left" w:pos="5040"/>
        </w:tabs>
        <w:spacing w:before="0" w:after="0" w:line="240" w:lineRule="auto"/>
        <w:jc w:val="both"/>
        <w:rPr>
          <w:b/>
        </w:rPr>
      </w:pPr>
      <w:r w:rsidRPr="007E090B">
        <w:t>Stephen Kozeracki</w:t>
      </w:r>
      <w:r w:rsidRPr="007E090B">
        <w:tab/>
        <w:t>:</w:t>
      </w:r>
    </w:p>
    <w:p w:rsidR="007E090B" w:rsidRPr="007E090B" w:rsidRDefault="007E090B" w:rsidP="007E090B">
      <w:pPr>
        <w:tabs>
          <w:tab w:val="left" w:pos="0"/>
        </w:tabs>
        <w:spacing w:before="0" w:after="0" w:line="240" w:lineRule="auto"/>
        <w:jc w:val="both"/>
      </w:pPr>
      <w:r w:rsidRPr="007E090B">
        <w:rPr>
          <w:b/>
        </w:rPr>
        <w:tab/>
      </w:r>
      <w:r w:rsidRPr="007E090B">
        <w:rPr>
          <w:b/>
        </w:rPr>
        <w:tab/>
      </w:r>
      <w:r w:rsidRPr="007E090B">
        <w:rPr>
          <w:b/>
        </w:rPr>
        <w:tab/>
      </w:r>
      <w:r w:rsidRPr="007E090B">
        <w:rPr>
          <w:b/>
        </w:rPr>
        <w:tab/>
      </w:r>
      <w:r w:rsidRPr="007E090B">
        <w:rPr>
          <w:b/>
        </w:rPr>
        <w:tab/>
      </w:r>
      <w:r w:rsidRPr="007E090B">
        <w:rPr>
          <w:b/>
        </w:rPr>
        <w:tab/>
      </w:r>
      <w:r w:rsidRPr="007E090B">
        <w:t>:</w:t>
      </w:r>
    </w:p>
    <w:p w:rsidR="007E090B" w:rsidRPr="007E090B" w:rsidRDefault="007E090B" w:rsidP="007E090B">
      <w:pPr>
        <w:tabs>
          <w:tab w:val="left" w:pos="0"/>
          <w:tab w:val="left" w:pos="720"/>
        </w:tabs>
        <w:spacing w:before="0" w:after="0" w:line="240" w:lineRule="auto"/>
        <w:jc w:val="both"/>
      </w:pPr>
      <w:r w:rsidRPr="007E090B">
        <w:tab/>
        <w:t>v.</w:t>
      </w:r>
      <w:r w:rsidRPr="007E090B">
        <w:tab/>
      </w:r>
      <w:r w:rsidRPr="007E090B">
        <w:tab/>
      </w:r>
      <w:r w:rsidRPr="007E090B">
        <w:tab/>
      </w:r>
      <w:r w:rsidRPr="007E090B">
        <w:tab/>
      </w:r>
      <w:r w:rsidRPr="007E090B">
        <w:tab/>
      </w:r>
      <w:r w:rsidRPr="007E090B">
        <w:tab/>
        <w:t>:</w:t>
      </w:r>
      <w:r w:rsidRPr="007E090B">
        <w:rPr>
          <w:b/>
        </w:rPr>
        <w:tab/>
      </w:r>
      <w:r w:rsidRPr="007E090B">
        <w:rPr>
          <w:b/>
        </w:rPr>
        <w:tab/>
      </w:r>
      <w:r w:rsidRPr="007E090B">
        <w:t>F-2016-2569470</w:t>
      </w:r>
    </w:p>
    <w:p w:rsidR="007E090B" w:rsidRPr="007E090B" w:rsidRDefault="007E090B" w:rsidP="007E090B">
      <w:pPr>
        <w:tabs>
          <w:tab w:val="left" w:pos="0"/>
        </w:tabs>
        <w:spacing w:before="0" w:after="0" w:line="240" w:lineRule="auto"/>
        <w:jc w:val="both"/>
      </w:pPr>
      <w:r w:rsidRPr="007E090B">
        <w:tab/>
      </w:r>
      <w:r w:rsidRPr="007E090B">
        <w:tab/>
      </w:r>
      <w:r w:rsidRPr="007E090B">
        <w:tab/>
      </w:r>
      <w:r w:rsidRPr="007E090B">
        <w:tab/>
      </w:r>
      <w:r w:rsidRPr="007E090B">
        <w:tab/>
      </w:r>
      <w:r w:rsidRPr="007E090B">
        <w:tab/>
        <w:t>:</w:t>
      </w:r>
    </w:p>
    <w:p w:rsidR="007E090B" w:rsidRPr="007E090B" w:rsidRDefault="007E090B" w:rsidP="007E090B">
      <w:pPr>
        <w:tabs>
          <w:tab w:val="left" w:pos="0"/>
        </w:tabs>
        <w:spacing w:before="0" w:after="0" w:line="240" w:lineRule="auto"/>
        <w:jc w:val="both"/>
      </w:pPr>
      <w:r w:rsidRPr="007E090B">
        <w:t>PPL Electric Utilities Corp</w:t>
      </w:r>
      <w:r w:rsidR="00AE1E36">
        <w:t>oration</w:t>
      </w:r>
      <w:r w:rsidRPr="007E090B">
        <w:tab/>
      </w:r>
      <w:r w:rsidRPr="007E090B">
        <w:tab/>
      </w:r>
      <w:r w:rsidRPr="007E090B">
        <w:tab/>
        <w:t>:</w:t>
      </w:r>
    </w:p>
    <w:p w:rsidR="007E090B" w:rsidRPr="007E090B" w:rsidRDefault="007E090B" w:rsidP="00AE1E36">
      <w:pPr>
        <w:tabs>
          <w:tab w:val="left" w:pos="0"/>
        </w:tabs>
        <w:spacing w:before="0" w:after="0" w:line="240" w:lineRule="auto"/>
        <w:jc w:val="both"/>
      </w:pPr>
      <w:r w:rsidRPr="007E090B">
        <w:tab/>
      </w:r>
      <w:r w:rsidRPr="007E090B">
        <w:tab/>
      </w:r>
    </w:p>
    <w:p w:rsidR="007E090B" w:rsidRPr="007E090B" w:rsidRDefault="007E090B" w:rsidP="00AE1E36">
      <w:pPr>
        <w:tabs>
          <w:tab w:val="left" w:pos="0"/>
        </w:tabs>
        <w:spacing w:before="0" w:after="0" w:line="240" w:lineRule="auto"/>
        <w:jc w:val="both"/>
        <w:rPr>
          <w:b/>
        </w:rPr>
      </w:pPr>
    </w:p>
    <w:p w:rsidR="007E090B" w:rsidRPr="007E090B" w:rsidRDefault="007E090B" w:rsidP="00AE1E36">
      <w:pPr>
        <w:tabs>
          <w:tab w:val="left" w:pos="0"/>
        </w:tabs>
        <w:spacing w:before="0" w:after="0" w:line="240" w:lineRule="auto"/>
        <w:jc w:val="both"/>
        <w:rPr>
          <w:b/>
        </w:rPr>
      </w:pPr>
    </w:p>
    <w:p w:rsidR="00433822" w:rsidRDefault="00433822" w:rsidP="00AE1E36">
      <w:pPr>
        <w:spacing w:before="0" w:after="0" w:line="240" w:lineRule="auto"/>
        <w:jc w:val="center"/>
        <w:rPr>
          <w:b/>
          <w:u w:val="single"/>
        </w:rPr>
      </w:pPr>
      <w:r w:rsidRPr="007E090B">
        <w:rPr>
          <w:b/>
          <w:u w:val="single"/>
        </w:rPr>
        <w:t>INITIAL DECISION</w:t>
      </w:r>
    </w:p>
    <w:p w:rsidR="00AE1E36" w:rsidRDefault="00AE1E36" w:rsidP="00AE1E36">
      <w:pPr>
        <w:spacing w:before="0" w:after="0" w:line="240" w:lineRule="auto"/>
        <w:jc w:val="center"/>
        <w:rPr>
          <w:b/>
          <w:u w:val="single"/>
        </w:rPr>
      </w:pPr>
    </w:p>
    <w:p w:rsidR="00AE1E36" w:rsidRPr="007E090B" w:rsidRDefault="00AE1E36" w:rsidP="00AE1E36">
      <w:pPr>
        <w:spacing w:before="0" w:after="0" w:line="240" w:lineRule="auto"/>
        <w:jc w:val="center"/>
        <w:rPr>
          <w:b/>
          <w:u w:val="single"/>
        </w:rPr>
      </w:pPr>
    </w:p>
    <w:p w:rsidR="00433822" w:rsidRDefault="00433822" w:rsidP="00AE1E36">
      <w:pPr>
        <w:spacing w:before="0" w:after="0" w:line="240" w:lineRule="auto"/>
        <w:jc w:val="center"/>
      </w:pPr>
      <w:r>
        <w:t>Before</w:t>
      </w:r>
    </w:p>
    <w:p w:rsidR="00433822" w:rsidRDefault="00433822" w:rsidP="00AE1E36">
      <w:pPr>
        <w:spacing w:before="0" w:after="0" w:line="240" w:lineRule="auto"/>
        <w:jc w:val="center"/>
      </w:pPr>
      <w:r>
        <w:t>Mary D. Long</w:t>
      </w:r>
    </w:p>
    <w:p w:rsidR="00433822" w:rsidRDefault="00433822" w:rsidP="00AE1E36">
      <w:pPr>
        <w:spacing w:before="0" w:after="0" w:line="240" w:lineRule="auto"/>
        <w:jc w:val="center"/>
      </w:pPr>
      <w:r>
        <w:t>Administrative Law Judge</w:t>
      </w:r>
    </w:p>
    <w:p w:rsidR="00AE1E36" w:rsidRDefault="00AE1E36" w:rsidP="00AE1E36">
      <w:pPr>
        <w:spacing w:before="0" w:after="0" w:line="240" w:lineRule="auto"/>
        <w:jc w:val="center"/>
      </w:pPr>
    </w:p>
    <w:p w:rsidR="00AE1E36" w:rsidRDefault="00AE1E36" w:rsidP="00AE1E36">
      <w:pPr>
        <w:spacing w:before="0" w:after="0" w:line="240" w:lineRule="auto"/>
        <w:jc w:val="center"/>
      </w:pPr>
    </w:p>
    <w:p w:rsidR="00433822" w:rsidRDefault="00433822" w:rsidP="00AE1E36">
      <w:pPr>
        <w:spacing w:before="0" w:after="0"/>
        <w:jc w:val="center"/>
        <w:rPr>
          <w:u w:val="single"/>
        </w:rPr>
      </w:pPr>
      <w:r w:rsidRPr="007E090B">
        <w:rPr>
          <w:u w:val="single"/>
        </w:rPr>
        <w:t>INTRODUCTION</w:t>
      </w:r>
    </w:p>
    <w:p w:rsidR="00AE1E36" w:rsidRDefault="00AE1E36" w:rsidP="00AE1E36">
      <w:pPr>
        <w:spacing w:before="0" w:after="0"/>
        <w:jc w:val="center"/>
      </w:pPr>
    </w:p>
    <w:p w:rsidR="00433822" w:rsidRDefault="00485438" w:rsidP="00AE1E36">
      <w:pPr>
        <w:spacing w:before="0" w:after="0"/>
      </w:pPr>
      <w:r>
        <w:tab/>
        <w:t xml:space="preserve">A formal complaint which challenges the application of a rate increase to a </w:t>
      </w:r>
      <w:r w:rsidR="00AA7B96">
        <w:t>c</w:t>
      </w:r>
      <w:r>
        <w:t xml:space="preserve">omplainant’s residential electric service is dismissed.  The </w:t>
      </w:r>
      <w:r w:rsidR="00AA7B96">
        <w:t>c</w:t>
      </w:r>
      <w:r>
        <w:t xml:space="preserve">omplainant’s claim that the notice by the utility of the rate increase is misleading because </w:t>
      </w:r>
      <w:r w:rsidR="002209EC">
        <w:t xml:space="preserve">it </w:t>
      </w:r>
      <w:r>
        <w:t>does not provide shopping customers with a real illustration of the impact of the increase in distribution rates is also dismissed because the notice contains the information required by the Commission’s regulations.</w:t>
      </w:r>
    </w:p>
    <w:p w:rsidR="00AE1E36" w:rsidRDefault="00AE1E36" w:rsidP="00AE1E36">
      <w:pPr>
        <w:spacing w:before="0" w:after="0"/>
      </w:pPr>
    </w:p>
    <w:p w:rsidR="00433822" w:rsidRDefault="00433822" w:rsidP="00AE1E36">
      <w:pPr>
        <w:spacing w:before="0" w:after="0"/>
        <w:jc w:val="center"/>
        <w:rPr>
          <w:u w:val="single"/>
        </w:rPr>
      </w:pPr>
      <w:r w:rsidRPr="007E090B">
        <w:rPr>
          <w:u w:val="single"/>
        </w:rPr>
        <w:t>PROCEDURAL HISTORY</w:t>
      </w:r>
    </w:p>
    <w:p w:rsidR="00AE1E36" w:rsidRDefault="00AE1E36" w:rsidP="00AE1E36">
      <w:pPr>
        <w:spacing w:before="0" w:after="0"/>
        <w:jc w:val="center"/>
        <w:rPr>
          <w:u w:val="single"/>
        </w:rPr>
      </w:pPr>
    </w:p>
    <w:p w:rsidR="007E090B" w:rsidRDefault="00E078B9" w:rsidP="00AE1E36">
      <w:pPr>
        <w:spacing w:before="0" w:after="0"/>
      </w:pPr>
      <w:r>
        <w:tab/>
        <w:t xml:space="preserve">Stephen Kozeracki (Complainant) filed a formal complaint against </w:t>
      </w:r>
      <w:proofErr w:type="spellStart"/>
      <w:r>
        <w:t>PPL</w:t>
      </w:r>
      <w:proofErr w:type="spellEnd"/>
      <w:r>
        <w:t xml:space="preserve"> Electric Utilities Corp</w:t>
      </w:r>
      <w:r w:rsidR="002F17D4">
        <w:t>oration</w:t>
      </w:r>
      <w:r>
        <w:t xml:space="preserve"> (</w:t>
      </w:r>
      <w:proofErr w:type="spellStart"/>
      <w:r>
        <w:t>PPL</w:t>
      </w:r>
      <w:proofErr w:type="spellEnd"/>
      <w:r>
        <w:t xml:space="preserve">), on September 14, 2016.  The Complainant challenged PPL’s implementation of it recent rate increase, contending that the effective increase is higher than the increase that was approved by the </w:t>
      </w:r>
      <w:r w:rsidR="00AA7B96">
        <w:t xml:space="preserve">Pennsylvania Public Utility </w:t>
      </w:r>
      <w:r>
        <w:t>Commission</w:t>
      </w:r>
      <w:r w:rsidR="00AA7B96">
        <w:t xml:space="preserve"> (Commission or PUC)</w:t>
      </w:r>
      <w:r>
        <w:t xml:space="preserve">.  The Complainant also alleged that PPL misled customers about the impact of the rate increase.  PPL filed an answer on October 24, 2016, denying that it charged any customer in </w:t>
      </w:r>
      <w:r>
        <w:lastRenderedPageBreak/>
        <w:t>excess of what was approved by the Commission and taking the position that its notice of the proposed increase was consistent with Commission regulations.</w:t>
      </w:r>
    </w:p>
    <w:p w:rsidR="00D66769" w:rsidRDefault="00D66769" w:rsidP="00AE1E36">
      <w:pPr>
        <w:spacing w:before="0" w:after="0"/>
      </w:pPr>
    </w:p>
    <w:p w:rsidR="00E078B9" w:rsidRDefault="00E078B9" w:rsidP="00AE1E36">
      <w:pPr>
        <w:spacing w:before="0" w:after="0"/>
      </w:pPr>
      <w:r>
        <w:tab/>
        <w:t xml:space="preserve">By </w:t>
      </w:r>
      <w:proofErr w:type="gramStart"/>
      <w:r>
        <w:t>hearing</w:t>
      </w:r>
      <w:proofErr w:type="gramEnd"/>
      <w:r>
        <w:t xml:space="preserve"> notice dated November 15, 2016, this case was assigned to me and scheduled for a telephonic hearing on December 13, 2016.  The hearing convened as scheduled.  The Complainant appeared and represented himself.  He offered testimony and three exhibits which were admitted into the record.  Kimberly G. Krupka, Esquire represented PPL.  One witness testified on behalf of </w:t>
      </w:r>
      <w:proofErr w:type="spellStart"/>
      <w:r>
        <w:t>PPL</w:t>
      </w:r>
      <w:proofErr w:type="spellEnd"/>
      <w:r>
        <w:t>, Bethan</w:t>
      </w:r>
      <w:r w:rsidR="00D846E9">
        <w:t>y</w:t>
      </w:r>
      <w:r>
        <w:t xml:space="preserve"> Johnson</w:t>
      </w:r>
      <w:r w:rsidR="00DE0519">
        <w:t xml:space="preserve">.  </w:t>
      </w:r>
      <w:r>
        <w:t xml:space="preserve">PPL offered </w:t>
      </w:r>
      <w:r w:rsidR="005B049A">
        <w:t xml:space="preserve">six exhibits which were admitted into the record.  Following the receipt of the transcript, the record was closed </w:t>
      </w:r>
      <w:r w:rsidR="005C782F">
        <w:t>by order dated</w:t>
      </w:r>
      <w:r w:rsidR="005B049A">
        <w:t xml:space="preserve"> January 17, 2017.</w:t>
      </w:r>
    </w:p>
    <w:p w:rsidR="002209EC" w:rsidRDefault="002209EC" w:rsidP="00AE1E36">
      <w:pPr>
        <w:spacing w:before="0" w:after="0"/>
      </w:pPr>
    </w:p>
    <w:p w:rsidR="0058173E" w:rsidRDefault="00B01513" w:rsidP="00AE1E36">
      <w:pPr>
        <w:spacing w:before="0" w:after="0"/>
        <w:jc w:val="center"/>
        <w:rPr>
          <w:u w:val="single"/>
        </w:rPr>
      </w:pPr>
      <w:r w:rsidRPr="00423B83">
        <w:rPr>
          <w:u w:val="single"/>
        </w:rPr>
        <w:t>FINDINGS OF FACT</w:t>
      </w:r>
    </w:p>
    <w:p w:rsidR="00D66769" w:rsidRPr="00423B83" w:rsidRDefault="00D66769" w:rsidP="00AE1E36">
      <w:pPr>
        <w:spacing w:before="0" w:after="0"/>
        <w:jc w:val="center"/>
        <w:rPr>
          <w:u w:val="single"/>
        </w:rPr>
      </w:pPr>
    </w:p>
    <w:p w:rsidR="00B01513" w:rsidRDefault="003825A9" w:rsidP="00005B9D">
      <w:pPr>
        <w:pStyle w:val="ListParagraph"/>
      </w:pPr>
      <w:r>
        <w:t>The Complainant is Stephen Ko</w:t>
      </w:r>
      <w:r w:rsidR="006022B1">
        <w:t>z</w:t>
      </w:r>
      <w:r>
        <w:t>e</w:t>
      </w:r>
      <w:r w:rsidR="00480E64">
        <w:t>racki</w:t>
      </w:r>
      <w:r w:rsidR="00DE0519">
        <w:t xml:space="preserve">.  </w:t>
      </w:r>
      <w:r w:rsidR="00480E64">
        <w:t>He owns property at 89 Bear Track Trail, Pocono Pines, Pennsylvania where he receives electric distribution service from PPL.  (N.T. 10)</w:t>
      </w:r>
      <w:r w:rsidR="00AE1E36">
        <w:br/>
      </w:r>
    </w:p>
    <w:p w:rsidR="003825A9" w:rsidRDefault="003825A9" w:rsidP="00005B9D">
      <w:pPr>
        <w:pStyle w:val="ListParagraph"/>
      </w:pPr>
      <w:r>
        <w:t>PPL is a jurisdictional public utility.</w:t>
      </w:r>
      <w:r w:rsidR="00AE1E36">
        <w:br/>
      </w:r>
    </w:p>
    <w:p w:rsidR="003825A9" w:rsidRDefault="00480E64" w:rsidP="00005B9D">
      <w:pPr>
        <w:pStyle w:val="ListParagraph"/>
      </w:pPr>
      <w:r>
        <w:t>The Complainant’s home at 89 Bear Track Trail is a vacation home and is not used during the winter months.  (N.T. 13)</w:t>
      </w:r>
      <w:r w:rsidR="00AE1E36">
        <w:br/>
      </w:r>
    </w:p>
    <w:p w:rsidR="007C3330" w:rsidRDefault="007C3330" w:rsidP="00005B9D">
      <w:pPr>
        <w:pStyle w:val="ListParagraph"/>
      </w:pPr>
      <w:r>
        <w:t>The Complainant works as a credit analyst.  (N.T. 17)</w:t>
      </w:r>
      <w:r w:rsidR="00AE1E36">
        <w:br/>
      </w:r>
    </w:p>
    <w:p w:rsidR="00480E64" w:rsidRDefault="0041136D" w:rsidP="00005B9D">
      <w:pPr>
        <w:pStyle w:val="ListParagraph"/>
      </w:pPr>
      <w:r>
        <w:t>In PPL’s 2016 earnings forecast</w:t>
      </w:r>
      <w:r w:rsidR="00DE0519">
        <w:t>, PPL</w:t>
      </w:r>
      <w:r>
        <w:t xml:space="preserve"> expects earnings from ongoing operations in its Pennsylvania regulated segment to increase from .37/share in 2015, to .49/share in 2017.  (N.T. 15-16; Ex. C-2)</w:t>
      </w:r>
      <w:r w:rsidR="00AE1E36">
        <w:br/>
      </w:r>
    </w:p>
    <w:p w:rsidR="007C3330" w:rsidRDefault="007C3330" w:rsidP="00005B9D">
      <w:pPr>
        <w:pStyle w:val="ListParagraph"/>
      </w:pPr>
      <w:r>
        <w:t>PPL’s share price increased after the rate increase w</w:t>
      </w:r>
      <w:r w:rsidR="00D66769">
        <w:t>ent into effect.  (N.T. 18; Ex. </w:t>
      </w:r>
      <w:r>
        <w:t>C-3)</w:t>
      </w:r>
      <w:r w:rsidR="00AE1E36">
        <w:br/>
      </w:r>
    </w:p>
    <w:p w:rsidR="007B0A80" w:rsidRDefault="007B0A80" w:rsidP="00AA7B96">
      <w:pPr>
        <w:pStyle w:val="ListParagraph"/>
      </w:pPr>
      <w:r>
        <w:lastRenderedPageBreak/>
        <w:t xml:space="preserve">PPL earnings reporting for </w:t>
      </w:r>
      <w:r w:rsidR="00AA7B96" w:rsidRPr="00AA7B96">
        <w:t xml:space="preserve">Securities and Exchange </w:t>
      </w:r>
      <w:proofErr w:type="gramStart"/>
      <w:r w:rsidR="00AA7B96" w:rsidRPr="00AA7B96">
        <w:t xml:space="preserve">Commission </w:t>
      </w:r>
      <w:r w:rsidR="00AA7B96">
        <w:t xml:space="preserve"> (</w:t>
      </w:r>
      <w:proofErr w:type="gramEnd"/>
      <w:r>
        <w:t>SEC</w:t>
      </w:r>
      <w:r w:rsidR="00AA7B96">
        <w:t>)</w:t>
      </w:r>
      <w:r>
        <w:t xml:space="preserve"> purposes is different from reporting earnings for PUC purposes.  (N.T. 67</w:t>
      </w:r>
      <w:r w:rsidR="00525065">
        <w:t>-69</w:t>
      </w:r>
      <w:r>
        <w:t>)</w:t>
      </w:r>
      <w:r w:rsidR="00AE1E36">
        <w:br/>
      </w:r>
    </w:p>
    <w:p w:rsidR="00A57FC5" w:rsidRDefault="00A57FC5" w:rsidP="00005B9D">
      <w:pPr>
        <w:pStyle w:val="ListParagraph"/>
      </w:pPr>
      <w:r>
        <w:t xml:space="preserve">The SEC has </w:t>
      </w:r>
      <w:r w:rsidR="00170302">
        <w:t>different a</w:t>
      </w:r>
      <w:r>
        <w:t xml:space="preserve">ccounting rules for some line items than </w:t>
      </w:r>
      <w:r w:rsidR="00170302">
        <w:t xml:space="preserve">those that </w:t>
      </w:r>
      <w:r>
        <w:t>the PUC requires.  (N.T. 68)</w:t>
      </w:r>
      <w:r w:rsidR="00AE1E36">
        <w:br/>
      </w:r>
    </w:p>
    <w:p w:rsidR="000057E6" w:rsidRDefault="000057E6" w:rsidP="00005B9D">
      <w:pPr>
        <w:pStyle w:val="ListParagraph"/>
      </w:pPr>
      <w:r>
        <w:t>The numbers reflected in the 2016 earnings forecast would not have been accepted by the PUC.  (N.T. 68)</w:t>
      </w:r>
      <w:r w:rsidR="00AE1E36">
        <w:br/>
      </w:r>
    </w:p>
    <w:p w:rsidR="002678A3" w:rsidRDefault="00EB60AA" w:rsidP="00005B9D">
      <w:pPr>
        <w:pStyle w:val="ListParagraph"/>
      </w:pPr>
      <w:r>
        <w:t xml:space="preserve">PPL’s increased distribution rates went into </w:t>
      </w:r>
      <w:r w:rsidR="00170302">
        <w:t>effe</w:t>
      </w:r>
      <w:r w:rsidR="00D66769">
        <w:t>ct on January 1, 2016.  (R</w:t>
      </w:r>
      <w:r w:rsidR="00D66769">
        <w:noBreakHyphen/>
        <w:t>2015</w:t>
      </w:r>
      <w:r w:rsidR="00D66769">
        <w:noBreakHyphen/>
      </w:r>
      <w:r w:rsidR="00170302">
        <w:t>2469275</w:t>
      </w:r>
      <w:r>
        <w:t>; Ex. C-1)</w:t>
      </w:r>
      <w:r w:rsidR="002678A3">
        <w:t xml:space="preserve"> </w:t>
      </w:r>
      <w:r w:rsidR="00AE1E36">
        <w:br/>
      </w:r>
    </w:p>
    <w:p w:rsidR="00073593" w:rsidRDefault="002678A3" w:rsidP="00005B9D">
      <w:pPr>
        <w:pStyle w:val="ListParagraph"/>
      </w:pPr>
      <w:r>
        <w:t>For the rates that went into effect on January 1, 2016, PPL published a bill insert which illustrated the effect of new distribution rates on customer bills.  The bill insert also included examples for each rate class</w:t>
      </w:r>
      <w:r w:rsidR="00170302">
        <w:t xml:space="preserve"> which illustrated the potential impact of the increase on an average customer’s bill</w:t>
      </w:r>
      <w:r>
        <w:t>.  (Ex. C-1)</w:t>
      </w:r>
      <w:r w:rsidR="00AE1E36">
        <w:br/>
      </w:r>
    </w:p>
    <w:p w:rsidR="00170302" w:rsidRDefault="00170302" w:rsidP="00005B9D">
      <w:pPr>
        <w:pStyle w:val="ListParagraph"/>
      </w:pPr>
      <w:r>
        <w:t>The bill insert was provided to all customers who receive paper bills and was also mailed separately to customers who receive electronic bills.  (N.T. 53)</w:t>
      </w:r>
      <w:r w:rsidR="00AE1E36">
        <w:br/>
      </w:r>
    </w:p>
    <w:p w:rsidR="002678A3" w:rsidRDefault="00AF219F" w:rsidP="00005B9D">
      <w:pPr>
        <w:pStyle w:val="ListParagraph"/>
      </w:pPr>
      <w:r>
        <w:t xml:space="preserve">The distribution rate increase for residential customers was represented as a cost per </w:t>
      </w:r>
      <w:r w:rsidR="00DE0519">
        <w:t>kilowatt-hour</w:t>
      </w:r>
      <w:r>
        <w:t>.  (Ex. C-1; N.T. 53)</w:t>
      </w:r>
      <w:r w:rsidR="00AE1E36">
        <w:br/>
      </w:r>
    </w:p>
    <w:p w:rsidR="00AF219F" w:rsidRDefault="00AF219F" w:rsidP="00005B9D">
      <w:pPr>
        <w:pStyle w:val="ListParagraph"/>
      </w:pPr>
      <w:r>
        <w:t>The increase in the distribution charge increased from</w:t>
      </w:r>
      <w:r w:rsidR="00170302">
        <w:t xml:space="preserve"> </w:t>
      </w:r>
      <w:r>
        <w:t xml:space="preserve">$0.02511 per </w:t>
      </w:r>
      <w:proofErr w:type="gramStart"/>
      <w:r>
        <w:t>kwh</w:t>
      </w:r>
      <w:proofErr w:type="gramEnd"/>
      <w:r>
        <w:t xml:space="preserve"> to $0.03534 per kwh, a difference of $0.01023.  (N.T. 26-27; Ex. C-1)</w:t>
      </w:r>
      <w:r w:rsidR="00346726">
        <w:rPr>
          <w:rStyle w:val="FootnoteReference"/>
        </w:rPr>
        <w:footnoteReference w:id="1"/>
      </w:r>
      <w:r w:rsidR="00AE1E36">
        <w:br/>
      </w:r>
    </w:p>
    <w:p w:rsidR="00AF219F" w:rsidRDefault="005A0AA7" w:rsidP="00005B9D">
      <w:pPr>
        <w:pStyle w:val="ListParagraph"/>
      </w:pPr>
      <w:r>
        <w:t xml:space="preserve">The illustrations in the bill insert demonstrated the effect of the distribution increase on a customer’s bill using PPL’s increased distribution charges.  For the </w:t>
      </w:r>
      <w:r>
        <w:lastRenderedPageBreak/>
        <w:t>generation portion of a customer’s bill, the illustrations used the difference between PPL’s January 1, 2015, price-to-compare and PPL’s January 1, 2016 price-to-compare.  (N.T. 54)</w:t>
      </w:r>
      <w:r w:rsidR="00005B9D">
        <w:br/>
      </w:r>
    </w:p>
    <w:p w:rsidR="005A0AA7" w:rsidRDefault="005A0AA7" w:rsidP="00005B9D">
      <w:pPr>
        <w:pStyle w:val="ListParagraph"/>
      </w:pPr>
      <w:r>
        <w:t xml:space="preserve">The bill insert </w:t>
      </w:r>
      <w:proofErr w:type="gramStart"/>
      <w:r>
        <w:t>explained that</w:t>
      </w:r>
      <w:proofErr w:type="gramEnd"/>
      <w:r>
        <w:t xml:space="preserve"> “the monthly bill for a residential customer on the standard rate schedule RS using 1,000 kilowatt hours of electri</w:t>
      </w:r>
      <w:r w:rsidR="008E5CF5">
        <w:t xml:space="preserve">city will decrease by $6 or by </w:t>
      </w:r>
      <w:r w:rsidR="008E5CF5">
        <w:noBreakHyphen/>
      </w:r>
      <w:r>
        <w:t>4.17 percent when comparing January 1, 2015 to an estimated January 1</w:t>
      </w:r>
      <w:r w:rsidR="008E5CF5">
        <w:t>, 2016 bill.”  (Ex. C</w:t>
      </w:r>
      <w:r w:rsidR="008E5CF5">
        <w:noBreakHyphen/>
      </w:r>
      <w:r>
        <w:t>1)</w:t>
      </w:r>
      <w:r w:rsidR="00AE1E36">
        <w:br/>
      </w:r>
    </w:p>
    <w:p w:rsidR="005A0AA7" w:rsidRDefault="005A0AA7" w:rsidP="00005B9D">
      <w:pPr>
        <w:pStyle w:val="ListParagraph"/>
      </w:pPr>
      <w:r>
        <w:t>The bill insert stated that the examples “apply to customers who receive generation service from PPL Electric and do no</w:t>
      </w:r>
      <w:r w:rsidR="00170302">
        <w:t>t purchase their electricity fro</w:t>
      </w:r>
      <w:r>
        <w:t>m an alternate supplier.”  (Ex. C-1)</w:t>
      </w:r>
      <w:r w:rsidR="00AE1E36">
        <w:br/>
      </w:r>
    </w:p>
    <w:p w:rsidR="005A0AA7" w:rsidRDefault="005A0AA7" w:rsidP="00005B9D">
      <w:pPr>
        <w:pStyle w:val="ListParagraph"/>
      </w:pPr>
      <w:r>
        <w:t>The bill insert did not provide the price-to-compare which was used for the examples.  (Ex.</w:t>
      </w:r>
      <w:r w:rsidR="00033220">
        <w:t xml:space="preserve"> </w:t>
      </w:r>
      <w:r>
        <w:t>C-1)</w:t>
      </w:r>
      <w:r w:rsidR="00AE1E36">
        <w:br/>
      </w:r>
    </w:p>
    <w:p w:rsidR="00073593" w:rsidRDefault="005A0AA7" w:rsidP="00005B9D">
      <w:pPr>
        <w:pStyle w:val="ListParagraph"/>
      </w:pPr>
      <w:r>
        <w:t>The bill insert stated that the “company’s distribution charges represent about 40 percent of the average residential customer bill.”  (Ex. C-1)</w:t>
      </w:r>
      <w:r w:rsidR="00073593" w:rsidRPr="00073593">
        <w:t xml:space="preserve"> </w:t>
      </w:r>
      <w:r w:rsidR="00AE1E36">
        <w:br/>
      </w:r>
    </w:p>
    <w:p w:rsidR="00073593" w:rsidRDefault="00073593" w:rsidP="00005B9D">
      <w:pPr>
        <w:pStyle w:val="ListParagraph"/>
      </w:pPr>
      <w:r>
        <w:t>There are many suppliers who offer a wide variety of contracts for electric supply service within PPL’s service territory.  (N.T. 55-57)</w:t>
      </w:r>
      <w:r w:rsidR="00AE1E36">
        <w:br/>
      </w:r>
    </w:p>
    <w:p w:rsidR="00170302" w:rsidRDefault="00AE1E36" w:rsidP="00005B9D">
      <w:pPr>
        <w:pStyle w:val="ListParagraph"/>
      </w:pPr>
      <w:r>
        <w:t>It</w:t>
      </w:r>
      <w:r w:rsidR="00170302">
        <w:t xml:space="preserve"> would be impractical for PPL to illustrate the effect of the rate increase on shopping customer bills because there are so many different rates and contracts that are offered to PPL’s shopping customers.</w:t>
      </w:r>
      <w:r w:rsidR="004E733B">
        <w:t xml:space="preserve">  (N.T. 54-56)</w:t>
      </w:r>
      <w:r>
        <w:br/>
      </w:r>
    </w:p>
    <w:p w:rsidR="005A0AA7" w:rsidRDefault="00073593" w:rsidP="00005B9D">
      <w:pPr>
        <w:pStyle w:val="ListParagraph"/>
      </w:pPr>
      <w:r>
        <w:t>Approximately 45 percent of PPL’s customers shop for electric supply service.  (N.T. 55</w:t>
      </w:r>
      <w:r w:rsidR="00C152CC">
        <w:t>, 80</w:t>
      </w:r>
      <w:r>
        <w:t>)</w:t>
      </w:r>
      <w:r w:rsidR="00AE1E36">
        <w:br/>
      </w:r>
    </w:p>
    <w:p w:rsidR="00073593" w:rsidRDefault="00073593" w:rsidP="00005B9D">
      <w:pPr>
        <w:pStyle w:val="ListParagraph"/>
      </w:pPr>
      <w:r>
        <w:t xml:space="preserve">The Complainant shops </w:t>
      </w:r>
      <w:r w:rsidR="00F7228D">
        <w:t xml:space="preserve">for </w:t>
      </w:r>
      <w:r>
        <w:t>his electric supply at the service address</w:t>
      </w:r>
      <w:r w:rsidR="00A142CE">
        <w:t xml:space="preserve"> and searches for the best rates</w:t>
      </w:r>
      <w:bookmarkStart w:id="0" w:name="_GoBack"/>
      <w:bookmarkEnd w:id="0"/>
      <w:r w:rsidR="00BB0955">
        <w:t>.  (N.T. 43-44</w:t>
      </w:r>
      <w:r>
        <w:t>; 66</w:t>
      </w:r>
      <w:r w:rsidR="00BB0955">
        <w:t>; Ex. C-1)</w:t>
      </w:r>
      <w:r w:rsidR="00AE1E36">
        <w:br/>
      </w:r>
    </w:p>
    <w:p w:rsidR="00073593" w:rsidRDefault="00073593" w:rsidP="00005B9D">
      <w:pPr>
        <w:pStyle w:val="ListParagraph"/>
      </w:pPr>
      <w:r>
        <w:lastRenderedPageBreak/>
        <w:t>Acc</w:t>
      </w:r>
      <w:r w:rsidR="00AD14AB">
        <w:t>ording to his account statement</w:t>
      </w:r>
      <w:r>
        <w:t>, at all times from January 2016, the Complainant has been billed in accordance with the distribution rates which were approved by the Commission.  (N.T. 67; PPL Ex. 1)</w:t>
      </w:r>
      <w:r w:rsidR="00005B9D">
        <w:br/>
      </w:r>
    </w:p>
    <w:p w:rsidR="00FB3D5C" w:rsidRDefault="00FB3D5C" w:rsidP="00005B9D">
      <w:pPr>
        <w:pStyle w:val="ListParagraph"/>
      </w:pPr>
      <w:r>
        <w:t>Public input hearings were held in connection with PPL’s proposed rate increase.</w:t>
      </w:r>
      <w:r w:rsidR="004E733B">
        <w:t xml:space="preserve">  (PPL Exs. 8-9)</w:t>
      </w:r>
      <w:r w:rsidR="00AE1E36">
        <w:br/>
      </w:r>
    </w:p>
    <w:p w:rsidR="00FB3D5C" w:rsidRDefault="00FB3D5C" w:rsidP="00005B9D">
      <w:pPr>
        <w:pStyle w:val="ListParagraph"/>
      </w:pPr>
      <w:r>
        <w:t xml:space="preserve">Additionally, PPL advertised the proposed rate increase with press releases, </w:t>
      </w:r>
      <w:r w:rsidR="004E733B">
        <w:t xml:space="preserve">on its website and on </w:t>
      </w:r>
      <w:r>
        <w:t>social media</w:t>
      </w:r>
      <w:r w:rsidR="004E733B">
        <w:t xml:space="preserve"> sites</w:t>
      </w:r>
      <w:r>
        <w:t xml:space="preserve"> such as Facebook an</w:t>
      </w:r>
      <w:r w:rsidR="004E733B">
        <w:t>d Twitter.  (N.T. 61-64</w:t>
      </w:r>
      <w:r>
        <w:t xml:space="preserve">; PPL Exs. </w:t>
      </w:r>
      <w:r w:rsidR="004E733B">
        <w:t>5-7)</w:t>
      </w:r>
      <w:r w:rsidR="00AE1E36">
        <w:br/>
      </w:r>
    </w:p>
    <w:p w:rsidR="00BB0955" w:rsidRPr="00882199" w:rsidRDefault="00732103" w:rsidP="00AE1E36">
      <w:pPr>
        <w:spacing w:before="0" w:after="0"/>
        <w:jc w:val="center"/>
        <w:rPr>
          <w:u w:val="single"/>
        </w:rPr>
      </w:pPr>
      <w:r w:rsidRPr="00882199">
        <w:rPr>
          <w:u w:val="single"/>
        </w:rPr>
        <w:t>DISCUSSION</w:t>
      </w:r>
      <w:r w:rsidR="00AE1E36">
        <w:rPr>
          <w:u w:val="single"/>
        </w:rPr>
        <w:br/>
      </w:r>
    </w:p>
    <w:p w:rsidR="0075197E" w:rsidRDefault="0075197E" w:rsidP="00AE1E36">
      <w:pPr>
        <w:spacing w:before="0" w:after="0"/>
        <w:ind w:firstLine="1440"/>
        <w:rPr>
          <w:szCs w:val="24"/>
        </w:rPr>
      </w:pPr>
      <w:r>
        <w:rPr>
          <w:szCs w:val="24"/>
        </w:rPr>
        <w:t>Section </w:t>
      </w:r>
      <w:r w:rsidRPr="00AC7009">
        <w:rPr>
          <w:szCs w:val="24"/>
        </w:rPr>
        <w:t>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AC7009">
        <w:rPr>
          <w:szCs w:val="24"/>
          <w:vertAlign w:val="superscript"/>
        </w:rPr>
        <w:footnoteReference w:id="2"/>
      </w:r>
      <w:r w:rsidRPr="00AC7009">
        <w:rPr>
          <w:szCs w:val="24"/>
        </w:rPr>
        <w:t xml:space="preserve">  A person seeking affirmative relief from the Commission has the burden of proof.</w:t>
      </w:r>
      <w:r w:rsidRPr="00AC7009">
        <w:rPr>
          <w:szCs w:val="24"/>
          <w:vertAlign w:val="superscript"/>
        </w:rPr>
        <w:footnoteReference w:id="3"/>
      </w:r>
    </w:p>
    <w:p w:rsidR="00AE1E36" w:rsidRPr="00AC7009" w:rsidRDefault="00AE1E36" w:rsidP="00AE1E36">
      <w:pPr>
        <w:spacing w:before="0" w:after="0"/>
        <w:ind w:firstLine="1440"/>
        <w:rPr>
          <w:szCs w:val="24"/>
        </w:rPr>
      </w:pPr>
    </w:p>
    <w:p w:rsidR="0075197E" w:rsidRDefault="0075197E" w:rsidP="00AE1E36">
      <w:pPr>
        <w:spacing w:before="0" w:after="0"/>
        <w:ind w:firstLine="1440"/>
        <w:rPr>
          <w:szCs w:val="24"/>
        </w:rPr>
      </w:pPr>
      <w:r w:rsidRPr="00AC7009">
        <w:rPr>
          <w:szCs w:val="24"/>
        </w:rPr>
        <w:t>In this matter, the Complainant is the party seeking affirmative relief f</w:t>
      </w:r>
      <w:r>
        <w:rPr>
          <w:szCs w:val="24"/>
        </w:rPr>
        <w:t xml:space="preserve">rom the Commission; therefore, </w:t>
      </w:r>
      <w:r w:rsidRPr="00AC7009">
        <w:rPr>
          <w:szCs w:val="24"/>
        </w:rPr>
        <w:t>he has the bur</w:t>
      </w:r>
      <w:r>
        <w:rPr>
          <w:szCs w:val="24"/>
        </w:rPr>
        <w:t xml:space="preserve">den of proof.  This means that </w:t>
      </w:r>
      <w:r w:rsidRPr="00AC7009">
        <w:rPr>
          <w:szCs w:val="24"/>
        </w:rPr>
        <w:t xml:space="preserve">he must establish a material fact by a preponderance of the evidence, and must show that the company has violated the Public Utility Code or Commission </w:t>
      </w:r>
      <w:r>
        <w:rPr>
          <w:szCs w:val="24"/>
        </w:rPr>
        <w:t xml:space="preserve">orders and </w:t>
      </w:r>
      <w:r w:rsidRPr="00AC7009">
        <w:rPr>
          <w:szCs w:val="24"/>
        </w:rPr>
        <w:t>regulations.</w:t>
      </w:r>
      <w:r w:rsidRPr="00AC7009">
        <w:rPr>
          <w:szCs w:val="24"/>
          <w:vertAlign w:val="superscript"/>
        </w:rPr>
        <w:footnoteReference w:id="4"/>
      </w:r>
      <w:r w:rsidRPr="00AC7009">
        <w:rPr>
          <w:szCs w:val="24"/>
        </w:rPr>
        <w:t xml:space="preserve"> </w:t>
      </w:r>
    </w:p>
    <w:p w:rsidR="00AE1E36" w:rsidRDefault="00AE1E36" w:rsidP="00AE1E36">
      <w:pPr>
        <w:spacing w:before="0" w:after="0"/>
        <w:ind w:firstLine="1440"/>
        <w:rPr>
          <w:szCs w:val="24"/>
        </w:rPr>
      </w:pPr>
    </w:p>
    <w:p w:rsidR="003A368F" w:rsidRDefault="0075197E" w:rsidP="0075197E">
      <w:pPr>
        <w:spacing w:before="0" w:after="0"/>
        <w:ind w:firstLine="1440"/>
        <w:rPr>
          <w:szCs w:val="24"/>
        </w:rPr>
      </w:pPr>
      <w:r>
        <w:rPr>
          <w:szCs w:val="24"/>
        </w:rPr>
        <w:t xml:space="preserve">The Complainant contends that PPL has implemented a rate increase that is much higher than the increase which was disclosed to customers and in violation of the tariff approved by the Commission.  </w:t>
      </w:r>
    </w:p>
    <w:p w:rsidR="00AE1E36" w:rsidRDefault="00AE1E36" w:rsidP="0075197E">
      <w:pPr>
        <w:spacing w:before="0" w:after="0"/>
        <w:ind w:firstLine="1440"/>
        <w:rPr>
          <w:szCs w:val="24"/>
        </w:rPr>
      </w:pPr>
    </w:p>
    <w:p w:rsidR="00B22E7A" w:rsidRDefault="003A368F" w:rsidP="0075197E">
      <w:pPr>
        <w:spacing w:before="0" w:after="0"/>
        <w:ind w:firstLine="1440"/>
        <w:rPr>
          <w:szCs w:val="24"/>
        </w:rPr>
      </w:pPr>
      <w:r>
        <w:rPr>
          <w:szCs w:val="24"/>
        </w:rPr>
        <w:t>In order to prevail, t</w:t>
      </w:r>
      <w:r w:rsidR="00B22E7A">
        <w:rPr>
          <w:szCs w:val="24"/>
        </w:rPr>
        <w:t>he Complainant must prove that the rates charged by PPL are unjust, unreasonable or in violation of a Commission regulation or order.</w:t>
      </w:r>
      <w:r w:rsidR="00B22E7A">
        <w:rPr>
          <w:rStyle w:val="FootnoteReference"/>
          <w:szCs w:val="24"/>
        </w:rPr>
        <w:footnoteReference w:id="5"/>
      </w:r>
      <w:r w:rsidR="00B22E7A">
        <w:rPr>
          <w:szCs w:val="24"/>
        </w:rPr>
        <w:t xml:space="preserve">  To satisfy this burden, the Complainant “cannot merely state personal beliefs or pose questions wi</w:t>
      </w:r>
      <w:r w:rsidR="00033220">
        <w:rPr>
          <w:szCs w:val="24"/>
        </w:rPr>
        <w:t>thout offering concrete proof.”</w:t>
      </w:r>
      <w:r w:rsidR="00B22E7A">
        <w:rPr>
          <w:rStyle w:val="FootnoteReference"/>
          <w:szCs w:val="24"/>
        </w:rPr>
        <w:footnoteReference w:id="6"/>
      </w:r>
      <w:r w:rsidR="00F259EC">
        <w:rPr>
          <w:szCs w:val="24"/>
        </w:rPr>
        <w:t xml:space="preserve">  </w:t>
      </w:r>
    </w:p>
    <w:p w:rsidR="00AE1E36" w:rsidRDefault="00AE1E36" w:rsidP="0075197E">
      <w:pPr>
        <w:spacing w:before="0" w:after="0"/>
        <w:ind w:firstLine="1440"/>
        <w:rPr>
          <w:szCs w:val="24"/>
        </w:rPr>
      </w:pPr>
    </w:p>
    <w:p w:rsidR="00F259EC" w:rsidRDefault="00F259EC" w:rsidP="0075197E">
      <w:pPr>
        <w:spacing w:before="0" w:after="0"/>
        <w:ind w:firstLine="1440"/>
        <w:rPr>
          <w:szCs w:val="24"/>
        </w:rPr>
      </w:pPr>
      <w:r w:rsidRPr="00F259EC">
        <w:rPr>
          <w:szCs w:val="24"/>
        </w:rPr>
        <w:t>A tariff is a set of operating rules imposed by the Commission that each public utility must follow in order to provide service to its customers.</w:t>
      </w:r>
      <w:r>
        <w:rPr>
          <w:rStyle w:val="FootnoteReference"/>
          <w:szCs w:val="24"/>
        </w:rPr>
        <w:footnoteReference w:id="7"/>
      </w:r>
      <w:r w:rsidRPr="00F259EC">
        <w:rPr>
          <w:szCs w:val="24"/>
        </w:rPr>
        <w:t xml:space="preserve">  Each public utility must file a copy of its tariff with the Commission setting forth its rates, services, rules, regulations and practices so that the public may inspect its contents.</w:t>
      </w:r>
      <w:r>
        <w:rPr>
          <w:rStyle w:val="FootnoteReference"/>
          <w:szCs w:val="24"/>
        </w:rPr>
        <w:footnoteReference w:id="8"/>
      </w:r>
      <w:r w:rsidRPr="00F259EC">
        <w:rPr>
          <w:szCs w:val="24"/>
        </w:rPr>
        <w:t xml:space="preserve">  Public utility tariffs must be applied consistent with their language.  </w:t>
      </w:r>
      <w:proofErr w:type="gramStart"/>
      <w:r w:rsidRPr="00F259EC">
        <w:rPr>
          <w:szCs w:val="24"/>
        </w:rPr>
        <w:t>Public utility tariffs have the force and effect of law and are binding on the public utility and its customers.</w:t>
      </w:r>
      <w:proofErr w:type="gramEnd"/>
      <w:r w:rsidR="00DF2BFF">
        <w:rPr>
          <w:rStyle w:val="FootnoteReference"/>
          <w:szCs w:val="24"/>
        </w:rPr>
        <w:footnoteReference w:id="9"/>
      </w:r>
      <w:r w:rsidRPr="00F259EC">
        <w:rPr>
          <w:szCs w:val="24"/>
        </w:rPr>
        <w:t xml:space="preserve">  The Commission has no authority to allow a public utility to deviate from its tariff even where the Commission concludes it is in the public interest.</w:t>
      </w:r>
      <w:r w:rsidR="00DF2BFF">
        <w:rPr>
          <w:rStyle w:val="FootnoteReference"/>
          <w:szCs w:val="24"/>
        </w:rPr>
        <w:footnoteReference w:id="10"/>
      </w:r>
      <w:r w:rsidRPr="00F259EC">
        <w:rPr>
          <w:szCs w:val="24"/>
        </w:rPr>
        <w:t xml:space="preserve">  A public utility may not charge a rate other than the rates set forth in its tariff</w:t>
      </w:r>
      <w:r w:rsidR="00DE0519" w:rsidRPr="00F259EC">
        <w:rPr>
          <w:szCs w:val="24"/>
        </w:rPr>
        <w:t>.</w:t>
      </w:r>
      <w:r w:rsidR="00DF2BFF">
        <w:rPr>
          <w:rStyle w:val="FootnoteReference"/>
          <w:szCs w:val="24"/>
        </w:rPr>
        <w:footnoteReference w:id="11"/>
      </w:r>
    </w:p>
    <w:p w:rsidR="00AE1E36" w:rsidRDefault="00AE1E36" w:rsidP="0075197E">
      <w:pPr>
        <w:spacing w:before="0" w:after="0"/>
        <w:ind w:firstLine="1440"/>
        <w:rPr>
          <w:szCs w:val="24"/>
        </w:rPr>
      </w:pPr>
    </w:p>
    <w:p w:rsidR="003A368F" w:rsidRDefault="003A368F" w:rsidP="003A368F">
      <w:pPr>
        <w:spacing w:before="0" w:after="0"/>
        <w:ind w:firstLine="1440"/>
        <w:rPr>
          <w:szCs w:val="24"/>
        </w:rPr>
      </w:pPr>
      <w:r>
        <w:rPr>
          <w:szCs w:val="24"/>
        </w:rPr>
        <w:t xml:space="preserve">The Complainant supports his claim that PPL is collecting rates in excess of that permitted by the </w:t>
      </w:r>
      <w:r w:rsidR="00DE0519">
        <w:rPr>
          <w:szCs w:val="24"/>
        </w:rPr>
        <w:t>Commission by</w:t>
      </w:r>
      <w:r>
        <w:rPr>
          <w:szCs w:val="24"/>
        </w:rPr>
        <w:t xml:space="preserve"> referring to PPL’s earnings reports from the investor relation section of PPL’s website and increases that he has observed in his bills.  The materials show that PPL’s earnings and share price have increased since the rate increase w</w:t>
      </w:r>
      <w:r w:rsidR="00D846E9">
        <w:rPr>
          <w:szCs w:val="24"/>
        </w:rPr>
        <w:t>ent</w:t>
      </w:r>
      <w:r>
        <w:rPr>
          <w:szCs w:val="24"/>
        </w:rPr>
        <w:t xml:space="preserve"> into effect.  In the Complainant’s view, PPL must be collecting more from customers than was approved in order to achieve these earnings.</w:t>
      </w:r>
    </w:p>
    <w:p w:rsidR="003A368F" w:rsidRDefault="003A368F" w:rsidP="0075197E">
      <w:pPr>
        <w:spacing w:before="0" w:after="0"/>
        <w:ind w:firstLine="1440"/>
        <w:rPr>
          <w:szCs w:val="24"/>
        </w:rPr>
      </w:pPr>
    </w:p>
    <w:p w:rsidR="0075197E" w:rsidRDefault="0075197E" w:rsidP="0075197E">
      <w:pPr>
        <w:spacing w:before="0" w:after="0"/>
        <w:ind w:firstLine="1440"/>
        <w:rPr>
          <w:szCs w:val="24"/>
        </w:rPr>
      </w:pPr>
      <w:r>
        <w:rPr>
          <w:szCs w:val="24"/>
        </w:rPr>
        <w:lastRenderedPageBreak/>
        <w:t xml:space="preserve">PPL’s witness, Bethany Johnson </w:t>
      </w:r>
      <w:r w:rsidR="00C0466E">
        <w:rPr>
          <w:szCs w:val="24"/>
        </w:rPr>
        <w:t>is a manager of PPL’s regulatory operation.  Her responsibilities include purchasing generation for PPL’s default customers and managing PPL’s distribution and transmission rates.  She offered written testimony in PPL’s 2015 base rate request and was responsible for the overall management of the rate request.  She explained that the financial accounting for the purposes of reports for investors is governed by the SEC.  The rules and requirements for reporting earnings for the purposes of the SEC are different from the rules and requirements for regulatory reporting and accounting for ratemaking purposes.  Accordingly, the investor information relied upon by the Complainant does not indicate that PPL is charging rates in excess of the rates approved by the Commission.  The Complainant offered no evidence to rebut this testimony.</w:t>
      </w:r>
      <w:r w:rsidR="003A368F">
        <w:rPr>
          <w:szCs w:val="24"/>
        </w:rPr>
        <w:t xml:space="preserve">  The Complainant failed to prove that PPL is charging him more than the rates permitted by PPL’s approved tariff.  </w:t>
      </w:r>
    </w:p>
    <w:p w:rsidR="00AE1E36" w:rsidRDefault="00AE1E36" w:rsidP="0075197E">
      <w:pPr>
        <w:spacing w:before="0" w:after="0"/>
        <w:ind w:firstLine="1440"/>
        <w:rPr>
          <w:szCs w:val="24"/>
        </w:rPr>
      </w:pPr>
    </w:p>
    <w:p w:rsidR="00C0466E" w:rsidRDefault="00C0466E" w:rsidP="0075197E">
      <w:pPr>
        <w:spacing w:before="0" w:after="0"/>
        <w:ind w:firstLine="1440"/>
        <w:rPr>
          <w:szCs w:val="24"/>
        </w:rPr>
      </w:pPr>
      <w:r>
        <w:rPr>
          <w:szCs w:val="24"/>
        </w:rPr>
        <w:t>Ms. Johnson also reviewed the Complainant’s account statement.  She concluded that the distribution rates charged to the Complainant were consistent with PPL’s approved tariff.  The Complainant shops for his electricity supply.  He conceded that a portion of the increase that he had observed in his bills may have been due, in part, to fluctuations in the rate that he was paying for electric supply.</w:t>
      </w:r>
      <w:r w:rsidR="008038B4">
        <w:rPr>
          <w:szCs w:val="24"/>
        </w:rPr>
        <w:t xml:space="preserve">  Therefore, the Complainant failed to prove that he was not being charge</w:t>
      </w:r>
      <w:r w:rsidR="002209EC">
        <w:rPr>
          <w:szCs w:val="24"/>
        </w:rPr>
        <w:t>d</w:t>
      </w:r>
      <w:r w:rsidR="008038B4">
        <w:rPr>
          <w:szCs w:val="24"/>
        </w:rPr>
        <w:t xml:space="preserve"> the Commission-approved rate for distribution by PPL.</w:t>
      </w:r>
    </w:p>
    <w:p w:rsidR="00AE1E36" w:rsidRDefault="00AE1E36" w:rsidP="0075197E">
      <w:pPr>
        <w:spacing w:before="0" w:after="0"/>
        <w:ind w:firstLine="1440"/>
        <w:rPr>
          <w:szCs w:val="24"/>
        </w:rPr>
      </w:pPr>
    </w:p>
    <w:p w:rsidR="008038B4" w:rsidRDefault="008038B4" w:rsidP="0075197E">
      <w:pPr>
        <w:spacing w:before="0" w:after="0"/>
        <w:ind w:firstLine="1440"/>
        <w:rPr>
          <w:szCs w:val="24"/>
        </w:rPr>
      </w:pPr>
      <w:r>
        <w:rPr>
          <w:szCs w:val="24"/>
        </w:rPr>
        <w:t>The Complainant next contends that PPL’s notice to customers which characterized the effect of the rate increase on residential bills was misleading.  The Complainant points out that at the time the bill insert was created</w:t>
      </w:r>
      <w:r w:rsidR="00D95B23">
        <w:rPr>
          <w:szCs w:val="24"/>
        </w:rPr>
        <w:t xml:space="preserve">, PPL’s </w:t>
      </w:r>
      <w:r w:rsidR="003A368F">
        <w:rPr>
          <w:szCs w:val="24"/>
        </w:rPr>
        <w:t>supply</w:t>
      </w:r>
      <w:r w:rsidR="00D95B23">
        <w:rPr>
          <w:szCs w:val="24"/>
        </w:rPr>
        <w:t xml:space="preserve"> rate had decreased from the rate that was in effect.  The bill insert only reported the eff</w:t>
      </w:r>
      <w:r w:rsidR="002209EC">
        <w:rPr>
          <w:szCs w:val="24"/>
        </w:rPr>
        <w:t>ect of the rate increase on non</w:t>
      </w:r>
      <w:r w:rsidR="002209EC">
        <w:rPr>
          <w:szCs w:val="24"/>
        </w:rPr>
        <w:noBreakHyphen/>
      </w:r>
      <w:r w:rsidR="00D95B23">
        <w:rPr>
          <w:szCs w:val="24"/>
        </w:rPr>
        <w:t>shopping customers and made it appear that residential bills would decrease.  Therefore, as a shopping customer, he was not provided with an accurate picture of how the rate increase would affect him.  In his view, the way the rate increase was illustrated unfairly discriminates against shopping customers.</w:t>
      </w:r>
    </w:p>
    <w:p w:rsidR="00AE1E36" w:rsidRDefault="00AE1E36" w:rsidP="0075197E">
      <w:pPr>
        <w:spacing w:before="0" w:after="0"/>
        <w:ind w:firstLine="1440"/>
        <w:rPr>
          <w:szCs w:val="24"/>
        </w:rPr>
      </w:pPr>
    </w:p>
    <w:p w:rsidR="00D95B23" w:rsidRDefault="00D95B23" w:rsidP="0075197E">
      <w:pPr>
        <w:spacing w:before="0" w:after="0"/>
        <w:ind w:firstLine="1440"/>
        <w:rPr>
          <w:szCs w:val="24"/>
        </w:rPr>
      </w:pPr>
      <w:r>
        <w:rPr>
          <w:szCs w:val="24"/>
        </w:rPr>
        <w:t xml:space="preserve">Ms. Johnson explained that in PPL’s experience, PPL customers only want to see the overall effect on their bill, rather than only the distribution portion of the bill.  Therefore, PPL calculated the effect of the rate increase by using the increased distribution rate, while also </w:t>
      </w:r>
      <w:r>
        <w:rPr>
          <w:szCs w:val="24"/>
        </w:rPr>
        <w:lastRenderedPageBreak/>
        <w:t xml:space="preserve">applying PPL’s </w:t>
      </w:r>
      <w:r w:rsidR="00CF575F">
        <w:rPr>
          <w:szCs w:val="24"/>
        </w:rPr>
        <w:t>January 1, 2015 price-to-compare and January 1, 2016 price-to-compare</w:t>
      </w:r>
      <w:r>
        <w:rPr>
          <w:szCs w:val="24"/>
        </w:rPr>
        <w:t xml:space="preserve"> for the supply portion of the bill.  </w:t>
      </w:r>
      <w:r w:rsidR="00CF575F">
        <w:rPr>
          <w:szCs w:val="24"/>
        </w:rPr>
        <w:t xml:space="preserve">Therefore, a residential customer using </w:t>
      </w:r>
      <w:r w:rsidR="00DE0519">
        <w:rPr>
          <w:szCs w:val="24"/>
        </w:rPr>
        <w:t>1,000-kilowatt</w:t>
      </w:r>
      <w:r w:rsidR="00CF575F">
        <w:rPr>
          <w:szCs w:val="24"/>
        </w:rPr>
        <w:t xml:space="preserve"> hours of electricity would see a decrease when comparing the January 1, 20</w:t>
      </w:r>
      <w:r w:rsidR="002209EC">
        <w:rPr>
          <w:szCs w:val="24"/>
        </w:rPr>
        <w:t>15 bill to an estimated January </w:t>
      </w:r>
      <w:r w:rsidR="00CF575F">
        <w:rPr>
          <w:szCs w:val="24"/>
        </w:rPr>
        <w:t>1, 2016 bill</w:t>
      </w:r>
      <w:r w:rsidR="00F259EC">
        <w:rPr>
          <w:szCs w:val="24"/>
        </w:rPr>
        <w:t>, in spite of the increase in distribution rates</w:t>
      </w:r>
      <w:r w:rsidR="00CF575F">
        <w:rPr>
          <w:szCs w:val="24"/>
        </w:rPr>
        <w:t>.</w:t>
      </w:r>
    </w:p>
    <w:p w:rsidR="00AE1E36" w:rsidRDefault="00AE1E36" w:rsidP="0075197E">
      <w:pPr>
        <w:spacing w:before="0" w:after="0"/>
        <w:ind w:firstLine="1440"/>
        <w:rPr>
          <w:szCs w:val="24"/>
        </w:rPr>
      </w:pPr>
    </w:p>
    <w:p w:rsidR="00D95B23" w:rsidRDefault="00D95B23" w:rsidP="0075197E">
      <w:pPr>
        <w:spacing w:before="0" w:after="0"/>
        <w:ind w:firstLine="1440"/>
        <w:rPr>
          <w:szCs w:val="24"/>
        </w:rPr>
      </w:pPr>
      <w:r>
        <w:rPr>
          <w:szCs w:val="24"/>
        </w:rPr>
        <w:t>The bill insert explained that the illustrations provided apply to non-shopping customers.  She stated that it would be impossible to illustrate the effect of the rate increase on shopping customer bills because there are so many different rates and contracts that are offered to PPL’s shopping customers.</w:t>
      </w:r>
    </w:p>
    <w:p w:rsidR="00AE1E36" w:rsidRDefault="00AE1E36" w:rsidP="0075197E">
      <w:pPr>
        <w:spacing w:before="0" w:after="0"/>
        <w:ind w:firstLine="1440"/>
        <w:rPr>
          <w:szCs w:val="24"/>
        </w:rPr>
      </w:pPr>
    </w:p>
    <w:p w:rsidR="00D95B23" w:rsidRDefault="00D95B23" w:rsidP="0075197E">
      <w:pPr>
        <w:spacing w:before="0" w:after="0"/>
        <w:ind w:firstLine="1440"/>
        <w:rPr>
          <w:szCs w:val="24"/>
        </w:rPr>
      </w:pPr>
      <w:r>
        <w:rPr>
          <w:szCs w:val="24"/>
        </w:rPr>
        <w:t xml:space="preserve">PPL also contends that there is sufficient information on the bill insert for a shopping customer to make a calculation to determine the effect of the rate increase.  Specifically, the bill insert noted that the consumption charge had increased from .02511 cents per </w:t>
      </w:r>
      <w:r w:rsidR="00DE0519">
        <w:rPr>
          <w:szCs w:val="24"/>
        </w:rPr>
        <w:t>kilowatt-hour</w:t>
      </w:r>
      <w:r>
        <w:rPr>
          <w:szCs w:val="24"/>
        </w:rPr>
        <w:t xml:space="preserve"> to .03534 cents per </w:t>
      </w:r>
      <w:r w:rsidR="00DE0519">
        <w:rPr>
          <w:szCs w:val="24"/>
        </w:rPr>
        <w:t>kilowatt-hour</w:t>
      </w:r>
      <w:r w:rsidR="00F259EC">
        <w:rPr>
          <w:szCs w:val="24"/>
        </w:rPr>
        <w:t xml:space="preserve">.  </w:t>
      </w:r>
      <w:r w:rsidR="00DE0519">
        <w:rPr>
          <w:szCs w:val="24"/>
        </w:rPr>
        <w:t>Therefore,</w:t>
      </w:r>
      <w:r w:rsidR="00F259EC">
        <w:rPr>
          <w:szCs w:val="24"/>
        </w:rPr>
        <w:t xml:space="preserve"> a shopping customer can simply multiply the rate by the customer’s consumption in order to learn the effect of the rate increase on the customer’s average bill.</w:t>
      </w:r>
    </w:p>
    <w:p w:rsidR="00AE1E36" w:rsidRDefault="00AE1E36" w:rsidP="0075197E">
      <w:pPr>
        <w:spacing w:before="0" w:after="0"/>
        <w:ind w:firstLine="1440"/>
        <w:rPr>
          <w:szCs w:val="24"/>
        </w:rPr>
      </w:pPr>
    </w:p>
    <w:p w:rsidR="00E321C3" w:rsidRDefault="00E321C3" w:rsidP="00E321C3">
      <w:pPr>
        <w:spacing w:before="0" w:after="0"/>
        <w:ind w:firstLine="1440"/>
        <w:rPr>
          <w:szCs w:val="24"/>
        </w:rPr>
      </w:pPr>
      <w:r>
        <w:rPr>
          <w:szCs w:val="24"/>
        </w:rPr>
        <w:t>Upon the initial public filing of a request for a rate increase, the Commission’s regulations require a public utility to advertise notice of the proposed rate changes.</w:t>
      </w:r>
      <w:r w:rsidR="00DC3C11">
        <w:rPr>
          <w:rStyle w:val="FootnoteReference"/>
          <w:szCs w:val="24"/>
        </w:rPr>
        <w:footnoteReference w:id="12"/>
      </w:r>
      <w:r>
        <w:rPr>
          <w:szCs w:val="24"/>
        </w:rPr>
        <w:t xml:space="preserve">  The notice must provide, in part</w:t>
      </w:r>
      <w:r w:rsidR="00F259EC">
        <w:rPr>
          <w:szCs w:val="24"/>
        </w:rPr>
        <w:t xml:space="preserve">, </w:t>
      </w:r>
      <w:r>
        <w:rPr>
          <w:szCs w:val="24"/>
        </w:rPr>
        <w:t xml:space="preserve">the following: </w:t>
      </w:r>
    </w:p>
    <w:p w:rsidR="00E321C3" w:rsidRPr="00E321C3" w:rsidRDefault="00E321C3" w:rsidP="00E321C3">
      <w:pPr>
        <w:spacing w:before="0" w:after="0"/>
        <w:ind w:firstLine="1440"/>
        <w:rPr>
          <w:szCs w:val="24"/>
        </w:rPr>
      </w:pPr>
    </w:p>
    <w:p w:rsidR="00E321C3" w:rsidRPr="00E321C3" w:rsidRDefault="00E321C3" w:rsidP="00941587">
      <w:pPr>
        <w:spacing w:before="0" w:after="0" w:line="240" w:lineRule="auto"/>
        <w:ind w:left="1440" w:right="2160"/>
        <w:jc w:val="center"/>
        <w:rPr>
          <w:szCs w:val="24"/>
        </w:rPr>
      </w:pPr>
      <w:r w:rsidRPr="00E321C3">
        <w:rPr>
          <w:szCs w:val="24"/>
        </w:rPr>
        <w:t>NOTICE OF PROPOSED RATE CHANGES</w:t>
      </w:r>
    </w:p>
    <w:p w:rsidR="00E321C3" w:rsidRPr="00E321C3" w:rsidRDefault="00E321C3" w:rsidP="00E321C3">
      <w:pPr>
        <w:spacing w:before="0" w:after="0" w:line="240" w:lineRule="auto"/>
        <w:ind w:left="1440" w:right="2160" w:firstLine="1440"/>
        <w:rPr>
          <w:szCs w:val="24"/>
        </w:rPr>
      </w:pPr>
      <w:r w:rsidRPr="00E321C3">
        <w:rPr>
          <w:szCs w:val="24"/>
        </w:rPr>
        <w:t xml:space="preserve"> </w:t>
      </w:r>
    </w:p>
    <w:p w:rsidR="00E321C3" w:rsidRPr="00E321C3" w:rsidRDefault="00E321C3" w:rsidP="00E321C3">
      <w:pPr>
        <w:spacing w:before="0" w:after="0" w:line="240" w:lineRule="auto"/>
        <w:ind w:right="2160"/>
        <w:rPr>
          <w:szCs w:val="24"/>
        </w:rPr>
      </w:pPr>
      <w:r>
        <w:rPr>
          <w:szCs w:val="24"/>
        </w:rPr>
        <w:tab/>
      </w:r>
      <w:r w:rsidRPr="00E321C3">
        <w:rPr>
          <w:szCs w:val="24"/>
        </w:rPr>
        <w:t xml:space="preserve">To Our Customers: </w:t>
      </w:r>
    </w:p>
    <w:p w:rsidR="00E321C3" w:rsidRPr="00E321C3" w:rsidRDefault="00E321C3" w:rsidP="00E321C3">
      <w:pPr>
        <w:spacing w:before="0" w:after="0" w:line="240" w:lineRule="auto"/>
        <w:ind w:left="1440" w:right="2160" w:firstLine="1440"/>
        <w:rPr>
          <w:szCs w:val="24"/>
        </w:rPr>
      </w:pPr>
    </w:p>
    <w:p w:rsidR="00E321C3" w:rsidRPr="00E321C3" w:rsidRDefault="00E321C3" w:rsidP="00E321C3">
      <w:pPr>
        <w:spacing w:before="0" w:after="0" w:line="240" w:lineRule="auto"/>
        <w:ind w:left="1440" w:right="2160"/>
        <w:rPr>
          <w:szCs w:val="24"/>
        </w:rPr>
      </w:pPr>
      <w:r>
        <w:rPr>
          <w:szCs w:val="24"/>
        </w:rPr>
        <w:tab/>
      </w:r>
      <w:r w:rsidRPr="00E321C3">
        <w:rPr>
          <w:szCs w:val="24"/>
        </w:rPr>
        <w:t>(company) is filing a request with the Pennsylvania Public Utility Commission (PUC) to increase your (type of service) rates as of (date)</w:t>
      </w:r>
      <w:r w:rsidR="00DE0519" w:rsidRPr="00E321C3">
        <w:rPr>
          <w:szCs w:val="24"/>
        </w:rPr>
        <w:t xml:space="preserve">.  </w:t>
      </w:r>
      <w:r w:rsidRPr="00E321C3">
        <w:rPr>
          <w:szCs w:val="24"/>
        </w:rPr>
        <w:t xml:space="preserve">This notice describes the company’s rate request, the PUC’s role, and what actions you can take.   </w:t>
      </w:r>
    </w:p>
    <w:p w:rsidR="00E321C3" w:rsidRPr="00E321C3" w:rsidRDefault="00E321C3" w:rsidP="00E321C3">
      <w:pPr>
        <w:spacing w:before="0" w:after="0" w:line="240" w:lineRule="auto"/>
        <w:ind w:left="1440" w:right="2160" w:firstLine="1440"/>
        <w:rPr>
          <w:szCs w:val="24"/>
        </w:rPr>
      </w:pPr>
    </w:p>
    <w:p w:rsidR="00E321C3" w:rsidRPr="00E321C3" w:rsidRDefault="00E321C3" w:rsidP="00E321C3">
      <w:pPr>
        <w:spacing w:before="0" w:after="0" w:line="240" w:lineRule="auto"/>
        <w:ind w:left="1440" w:right="2160"/>
        <w:rPr>
          <w:szCs w:val="24"/>
        </w:rPr>
      </w:pPr>
      <w:r>
        <w:rPr>
          <w:szCs w:val="24"/>
        </w:rPr>
        <w:tab/>
      </w:r>
      <w:r w:rsidRPr="00E321C3">
        <w:rPr>
          <w:szCs w:val="24"/>
        </w:rPr>
        <w:t xml:space="preserve">(company) has requested an overall rate increase of $ </w:t>
      </w:r>
      <w:r>
        <w:rPr>
          <w:szCs w:val="24"/>
        </w:rPr>
        <w:t xml:space="preserve">___ </w:t>
      </w:r>
      <w:r w:rsidRPr="00E321C3">
        <w:rPr>
          <w:szCs w:val="24"/>
        </w:rPr>
        <w:t xml:space="preserve"> per year</w:t>
      </w:r>
      <w:r w:rsidR="00DE0519" w:rsidRPr="00E321C3">
        <w:rPr>
          <w:szCs w:val="24"/>
        </w:rPr>
        <w:t xml:space="preserve">.  </w:t>
      </w:r>
      <w:r w:rsidRPr="00E321C3">
        <w:rPr>
          <w:szCs w:val="24"/>
        </w:rPr>
        <w:t xml:space="preserve">If the company’s entire request is approved, the total bill for a residential customer using </w:t>
      </w:r>
      <w:r w:rsidRPr="00E321C3">
        <w:rPr>
          <w:szCs w:val="24"/>
        </w:rPr>
        <w:lastRenderedPageBreak/>
        <w:t xml:space="preserve">(state typical usage level) would increase from $ </w:t>
      </w:r>
      <w:r>
        <w:rPr>
          <w:szCs w:val="24"/>
        </w:rPr>
        <w:t>___</w:t>
      </w:r>
      <w:r w:rsidR="00FF26C4">
        <w:rPr>
          <w:szCs w:val="24"/>
        </w:rPr>
        <w:t xml:space="preserve"> to $ </w:t>
      </w:r>
      <w:r>
        <w:rPr>
          <w:szCs w:val="24"/>
        </w:rPr>
        <w:t>__</w:t>
      </w:r>
      <w:r w:rsidRPr="00E321C3">
        <w:rPr>
          <w:szCs w:val="24"/>
        </w:rPr>
        <w:t xml:space="preserve"> per month or by </w:t>
      </w:r>
      <w:r>
        <w:rPr>
          <w:szCs w:val="24"/>
        </w:rPr>
        <w:t>__</w:t>
      </w:r>
      <w:r w:rsidRPr="00E321C3">
        <w:rPr>
          <w:szCs w:val="24"/>
        </w:rPr>
        <w:t xml:space="preserve">%. </w:t>
      </w:r>
    </w:p>
    <w:p w:rsidR="00E321C3" w:rsidRPr="00E321C3" w:rsidRDefault="00E321C3" w:rsidP="00E321C3">
      <w:pPr>
        <w:spacing w:before="0" w:after="0" w:line="240" w:lineRule="auto"/>
        <w:ind w:left="1440" w:right="2160" w:firstLine="1440"/>
        <w:rPr>
          <w:szCs w:val="24"/>
        </w:rPr>
      </w:pPr>
      <w:r w:rsidRPr="00E321C3">
        <w:rPr>
          <w:szCs w:val="24"/>
        </w:rPr>
        <w:t xml:space="preserve">  </w:t>
      </w:r>
    </w:p>
    <w:p w:rsidR="00E321C3" w:rsidRPr="00E321C3" w:rsidRDefault="00E321C3" w:rsidP="00E321C3">
      <w:pPr>
        <w:spacing w:before="0" w:after="0" w:line="240" w:lineRule="auto"/>
        <w:ind w:left="1440" w:right="2160"/>
        <w:rPr>
          <w:szCs w:val="24"/>
        </w:rPr>
      </w:pPr>
      <w:r>
        <w:rPr>
          <w:szCs w:val="24"/>
        </w:rPr>
        <w:tab/>
      </w:r>
      <w:r w:rsidRPr="00E321C3">
        <w:rPr>
          <w:szCs w:val="24"/>
        </w:rPr>
        <w:t xml:space="preserve">The total bill for a commercial customer using (state typical usage level) would increase from $ </w:t>
      </w:r>
      <w:r>
        <w:rPr>
          <w:szCs w:val="24"/>
        </w:rPr>
        <w:t>___</w:t>
      </w:r>
      <w:r w:rsidRPr="00E321C3">
        <w:rPr>
          <w:szCs w:val="24"/>
        </w:rPr>
        <w:t xml:space="preserve"> to $ </w:t>
      </w:r>
      <w:r>
        <w:rPr>
          <w:szCs w:val="24"/>
        </w:rPr>
        <w:t>___</w:t>
      </w:r>
      <w:r w:rsidRPr="00E321C3">
        <w:rPr>
          <w:szCs w:val="24"/>
        </w:rPr>
        <w:t xml:space="preserve"> per month or by </w:t>
      </w:r>
      <w:r>
        <w:rPr>
          <w:szCs w:val="24"/>
        </w:rPr>
        <w:t>___</w:t>
      </w:r>
      <w:r w:rsidRPr="00E321C3">
        <w:rPr>
          <w:szCs w:val="24"/>
        </w:rPr>
        <w:t xml:space="preserve">%. </w:t>
      </w:r>
    </w:p>
    <w:p w:rsidR="00E321C3" w:rsidRPr="00E321C3" w:rsidRDefault="00E321C3" w:rsidP="00E321C3">
      <w:pPr>
        <w:spacing w:before="0" w:after="0" w:line="240" w:lineRule="auto"/>
        <w:ind w:left="1440" w:right="2160" w:firstLine="1440"/>
        <w:rPr>
          <w:szCs w:val="24"/>
        </w:rPr>
      </w:pPr>
      <w:r w:rsidRPr="00E321C3">
        <w:rPr>
          <w:szCs w:val="24"/>
        </w:rPr>
        <w:t xml:space="preserve">  </w:t>
      </w:r>
    </w:p>
    <w:p w:rsidR="00E321C3" w:rsidRPr="00E321C3" w:rsidRDefault="00E321C3" w:rsidP="00E321C3">
      <w:pPr>
        <w:spacing w:before="0" w:after="0" w:line="240" w:lineRule="auto"/>
        <w:ind w:left="1440" w:right="2160"/>
        <w:rPr>
          <w:szCs w:val="24"/>
        </w:rPr>
      </w:pPr>
      <w:r>
        <w:rPr>
          <w:szCs w:val="24"/>
        </w:rPr>
        <w:tab/>
      </w:r>
      <w:r w:rsidRPr="00E321C3">
        <w:rPr>
          <w:szCs w:val="24"/>
        </w:rPr>
        <w:t xml:space="preserve">Rates for an industrial customer using (state typical usage level) would increase from $ </w:t>
      </w:r>
      <w:r>
        <w:rPr>
          <w:szCs w:val="24"/>
        </w:rPr>
        <w:t>___</w:t>
      </w:r>
      <w:r w:rsidRPr="00E321C3">
        <w:rPr>
          <w:szCs w:val="24"/>
        </w:rPr>
        <w:t xml:space="preserve"> to $ </w:t>
      </w:r>
      <w:r>
        <w:rPr>
          <w:szCs w:val="24"/>
        </w:rPr>
        <w:t>___</w:t>
      </w:r>
      <w:r w:rsidRPr="00E321C3">
        <w:rPr>
          <w:szCs w:val="24"/>
        </w:rPr>
        <w:t xml:space="preserve"> per month or by </w:t>
      </w:r>
      <w:r>
        <w:rPr>
          <w:szCs w:val="24"/>
        </w:rPr>
        <w:t>___</w:t>
      </w:r>
      <w:r w:rsidRPr="00E321C3">
        <w:rPr>
          <w:szCs w:val="24"/>
        </w:rPr>
        <w:t xml:space="preserve">%. </w:t>
      </w:r>
      <w:r>
        <w:rPr>
          <w:rStyle w:val="FootnoteReference"/>
          <w:szCs w:val="24"/>
        </w:rPr>
        <w:footnoteReference w:id="13"/>
      </w:r>
    </w:p>
    <w:p w:rsidR="00E321C3" w:rsidRDefault="00E321C3" w:rsidP="00AE1E36">
      <w:pPr>
        <w:spacing w:before="0" w:after="0"/>
        <w:ind w:firstLine="1440"/>
        <w:rPr>
          <w:szCs w:val="24"/>
        </w:rPr>
      </w:pPr>
    </w:p>
    <w:p w:rsidR="00DE25FA" w:rsidRDefault="00E321C3" w:rsidP="00AE1E36">
      <w:pPr>
        <w:spacing w:before="0" w:after="0"/>
      </w:pPr>
      <w:r>
        <w:tab/>
        <w:t xml:space="preserve">The regulation does not require a utility to </w:t>
      </w:r>
      <w:r w:rsidR="00DE25FA">
        <w:t>separate</w:t>
      </w:r>
      <w:r>
        <w:t xml:space="preserve"> the distribution portion from the supply portion of the bill</w:t>
      </w:r>
      <w:r w:rsidR="00DE25FA">
        <w:t xml:space="preserve"> for the purposes of illustrating the impact of a rate increase</w:t>
      </w:r>
      <w:r>
        <w:t xml:space="preserve">.  Nor does the regulation require the utility to include the price-to-compare that was used to calculate the estimated total bill increase.  Instead, the regulation simply requires the utility </w:t>
      </w:r>
      <w:r w:rsidR="00DC3C11">
        <w:t xml:space="preserve">to express the increase on a </w:t>
      </w:r>
      <w:r w:rsidR="00DC3C11" w:rsidRPr="00B25890">
        <w:rPr>
          <w:i/>
        </w:rPr>
        <w:t>total</w:t>
      </w:r>
      <w:r w:rsidR="00DC3C11">
        <w:t xml:space="preserve"> bill basis.</w:t>
      </w:r>
      <w:r w:rsidR="00941587">
        <w:t xml:space="preserve">  </w:t>
      </w:r>
      <w:r w:rsidR="0055724D">
        <w:tab/>
      </w:r>
    </w:p>
    <w:p w:rsidR="00AE1E36" w:rsidRDefault="00AE1E36" w:rsidP="00AE1E36">
      <w:pPr>
        <w:spacing w:before="0" w:after="0"/>
      </w:pPr>
    </w:p>
    <w:p w:rsidR="0055724D" w:rsidRDefault="00DE25FA" w:rsidP="00AE1E36">
      <w:pPr>
        <w:spacing w:before="0" w:after="0"/>
      </w:pPr>
      <w:r>
        <w:tab/>
        <w:t>A shopping customer could do the math to calculate the impact of a rate increase by multiplying the new consumption rate by the number of kilowatt hours consumed and then calculating the shopping customers supply rate</w:t>
      </w:r>
      <w:r w:rsidR="00DE0519">
        <w:t xml:space="preserve">.  </w:t>
      </w:r>
      <w:r>
        <w:t xml:space="preserve">Therefore, shopping customers do </w:t>
      </w:r>
      <w:r w:rsidR="00DE0519">
        <w:t>have an</w:t>
      </w:r>
      <w:r>
        <w:t xml:space="preserve"> additional burden to determine the impact of a rate increase that is not shared by non-shopping customers.  </w:t>
      </w:r>
      <w:r w:rsidR="0055724D">
        <w:t xml:space="preserve">While it seems that at least publishing the price-to-compare that was used to calculate the supply portion of residential customer bills would be a good idea in order to educate customers </w:t>
      </w:r>
      <w:r>
        <w:t xml:space="preserve">about the separate components of their bills </w:t>
      </w:r>
      <w:r w:rsidR="00AA7B96">
        <w:t xml:space="preserve">and </w:t>
      </w:r>
      <w:r>
        <w:t xml:space="preserve">would </w:t>
      </w:r>
      <w:r w:rsidR="0081266D">
        <w:t>provide both shopping and non</w:t>
      </w:r>
      <w:r w:rsidR="0081266D">
        <w:noBreakHyphen/>
      </w:r>
      <w:r w:rsidR="0055724D">
        <w:t xml:space="preserve">shopping customers with </w:t>
      </w:r>
      <w:r>
        <w:t>a more precise</w:t>
      </w:r>
      <w:r w:rsidR="0055724D">
        <w:t xml:space="preserve"> picture of </w:t>
      </w:r>
      <w:r>
        <w:t>the</w:t>
      </w:r>
      <w:r w:rsidR="0055724D">
        <w:t xml:space="preserve"> effect</w:t>
      </w:r>
      <w:r>
        <w:t xml:space="preserve"> on a customer’s bill</w:t>
      </w:r>
      <w:r w:rsidR="0055724D">
        <w:t xml:space="preserve"> of an increase in distribution rates, the Commission’s regulations do not currently require a utility to do so.  Accordingly, I must dismiss the claim by the Complainant that the notice provided by PPL here was deceptive or inaccurate.  PPL expressed the impact of the distribution increase on customer bills on a total bill basis.  More was not required.  Therefore, there is no violation of the Public Utility Code, or any orders or regulations of the Commission.</w:t>
      </w:r>
      <w:r w:rsidR="008712A7">
        <w:rPr>
          <w:rStyle w:val="FootnoteReference"/>
        </w:rPr>
        <w:footnoteReference w:id="14"/>
      </w:r>
    </w:p>
    <w:p w:rsidR="00AE1E36" w:rsidRDefault="00AE1E36" w:rsidP="00AE1E36">
      <w:pPr>
        <w:spacing w:before="0" w:after="0"/>
      </w:pPr>
    </w:p>
    <w:p w:rsidR="0081266D" w:rsidRDefault="0081266D" w:rsidP="00AE1E36">
      <w:pPr>
        <w:spacing w:before="0" w:after="0"/>
      </w:pPr>
    </w:p>
    <w:p w:rsidR="00516902" w:rsidRDefault="00516902" w:rsidP="00AE1E36">
      <w:pPr>
        <w:spacing w:before="0" w:after="0"/>
        <w:jc w:val="center"/>
        <w:rPr>
          <w:u w:val="single"/>
        </w:rPr>
      </w:pPr>
      <w:r w:rsidRPr="00833973">
        <w:rPr>
          <w:u w:val="single"/>
        </w:rPr>
        <w:lastRenderedPageBreak/>
        <w:t>CONCLUSIONS OF LAW</w:t>
      </w:r>
    </w:p>
    <w:p w:rsidR="00AE1E36" w:rsidRPr="00833973" w:rsidRDefault="00AE1E36" w:rsidP="00AE1E36">
      <w:pPr>
        <w:spacing w:before="0" w:after="0"/>
        <w:jc w:val="center"/>
        <w:rPr>
          <w:u w:val="single"/>
        </w:rPr>
      </w:pPr>
    </w:p>
    <w:p w:rsidR="00516902" w:rsidRDefault="00516902" w:rsidP="00AE1E36">
      <w:pPr>
        <w:spacing w:before="0" w:after="0"/>
      </w:pPr>
      <w:r>
        <w:tab/>
        <w:t>1.</w:t>
      </w:r>
      <w:r>
        <w:tab/>
        <w:t>The Commission has jurisdiction over the subject matter and parties to this proceeding.  66 Pa.C.S. § 701.</w:t>
      </w:r>
      <w:r w:rsidR="00AE1E36">
        <w:br/>
      </w:r>
    </w:p>
    <w:p w:rsidR="00516902" w:rsidRDefault="00516902" w:rsidP="00AE1E36">
      <w:pPr>
        <w:spacing w:before="0" w:after="0"/>
      </w:pPr>
      <w:r>
        <w:tab/>
        <w:t>2.</w:t>
      </w:r>
      <w:r>
        <w:tab/>
        <w:t>The Complainant bears the burden of proof.  66 Pa.C.S</w:t>
      </w:r>
      <w:proofErr w:type="gramStart"/>
      <w:r>
        <w:t xml:space="preserve">. </w:t>
      </w:r>
      <w:proofErr w:type="gramEnd"/>
      <w:r>
        <w:t>§ 332.</w:t>
      </w:r>
      <w:r w:rsidR="0081266D">
        <w:br/>
      </w:r>
    </w:p>
    <w:p w:rsidR="00516902" w:rsidRDefault="00516902" w:rsidP="00AE1E36">
      <w:pPr>
        <w:spacing w:before="0" w:after="0"/>
      </w:pPr>
      <w:r>
        <w:tab/>
        <w:t>3.</w:t>
      </w:r>
      <w:r>
        <w:tab/>
        <w:t>The Complainant failed to prove that PPL is charging rates in excess of the rates approved by the Commission.</w:t>
      </w:r>
      <w:r w:rsidR="00AE1E36">
        <w:br/>
      </w:r>
    </w:p>
    <w:p w:rsidR="00516902" w:rsidRDefault="00516902" w:rsidP="00AE1E36">
      <w:pPr>
        <w:spacing w:before="0" w:after="0"/>
      </w:pPr>
      <w:r>
        <w:tab/>
        <w:t>4.</w:t>
      </w:r>
      <w:r>
        <w:tab/>
        <w:t>The Commission’s regulations do not require PPL to provide a different notice to shopping customers of the impact of a rate increase.  52 Pa.Code § 53.45.</w:t>
      </w:r>
    </w:p>
    <w:p w:rsidR="00AE1E36" w:rsidRDefault="00AE1E36" w:rsidP="00AE1E36">
      <w:pPr>
        <w:spacing w:before="0" w:after="0"/>
      </w:pPr>
    </w:p>
    <w:p w:rsidR="00516902" w:rsidRDefault="00516902" w:rsidP="00AE1E36">
      <w:pPr>
        <w:spacing w:before="0" w:after="0"/>
        <w:jc w:val="center"/>
        <w:rPr>
          <w:u w:val="single"/>
        </w:rPr>
      </w:pPr>
      <w:r w:rsidRPr="00833973">
        <w:rPr>
          <w:u w:val="single"/>
        </w:rPr>
        <w:t>ORDER</w:t>
      </w:r>
    </w:p>
    <w:p w:rsidR="00AE1E36" w:rsidRDefault="00AE1E36" w:rsidP="00AE1E36">
      <w:pPr>
        <w:spacing w:before="0" w:after="0"/>
        <w:jc w:val="center"/>
        <w:rPr>
          <w:u w:val="single"/>
        </w:rPr>
      </w:pPr>
    </w:p>
    <w:p w:rsidR="00AE1E36" w:rsidRPr="00833973" w:rsidRDefault="00AE1E36" w:rsidP="00AE1E36">
      <w:pPr>
        <w:spacing w:before="0" w:after="0"/>
        <w:jc w:val="center"/>
        <w:rPr>
          <w:u w:val="single"/>
        </w:rPr>
      </w:pPr>
    </w:p>
    <w:p w:rsidR="00516902" w:rsidRDefault="00AE1E36" w:rsidP="00AE1E36">
      <w:pPr>
        <w:spacing w:before="0" w:after="0"/>
      </w:pPr>
      <w:r>
        <w:tab/>
      </w:r>
      <w:r w:rsidR="00516902">
        <w:t>THEREFORE</w:t>
      </w:r>
      <w:r>
        <w:t>,</w:t>
      </w:r>
    </w:p>
    <w:p w:rsidR="00AE1E36" w:rsidRDefault="00AE1E36" w:rsidP="00AE1E36">
      <w:pPr>
        <w:spacing w:before="0" w:after="0"/>
      </w:pPr>
    </w:p>
    <w:p w:rsidR="00516902" w:rsidRDefault="00AE1E36" w:rsidP="00AE1E36">
      <w:pPr>
        <w:spacing w:before="0" w:after="0"/>
      </w:pPr>
      <w:r>
        <w:tab/>
      </w:r>
      <w:r w:rsidR="00516902">
        <w:t>IT IS ORDERED:</w:t>
      </w:r>
    </w:p>
    <w:p w:rsidR="00AE1E36" w:rsidRDefault="00AE1E36" w:rsidP="00AE1E36">
      <w:pPr>
        <w:spacing w:before="0" w:after="0"/>
      </w:pPr>
    </w:p>
    <w:p w:rsidR="00516902" w:rsidRDefault="00516902" w:rsidP="00AE1E36">
      <w:pPr>
        <w:spacing w:before="0" w:after="0"/>
      </w:pPr>
      <w:r>
        <w:tab/>
        <w:t>1.</w:t>
      </w:r>
      <w:r>
        <w:tab/>
        <w:t>That the formal complaint of Stephen Kozeracki against PPL Electric Utilities Corp</w:t>
      </w:r>
      <w:r w:rsidR="00AE1E36">
        <w:t>oration</w:t>
      </w:r>
      <w:r>
        <w:t xml:space="preserve"> at Docket </w:t>
      </w:r>
      <w:r w:rsidR="00AE1E36">
        <w:t>No. F-2016-2569470</w:t>
      </w:r>
      <w:r>
        <w:t xml:space="preserve"> is dismissed.</w:t>
      </w:r>
      <w:r w:rsidR="00AE1E36">
        <w:br/>
      </w:r>
    </w:p>
    <w:p w:rsidR="00FF26C4" w:rsidRDefault="00516902" w:rsidP="00FF26C4">
      <w:pPr>
        <w:spacing w:before="0" w:after="0" w:line="240" w:lineRule="auto"/>
      </w:pPr>
      <w:r>
        <w:tab/>
        <w:t>2.</w:t>
      </w:r>
      <w:r>
        <w:tab/>
        <w:t>That the Secretary mark the docket closed and discontinued.</w:t>
      </w:r>
      <w:r w:rsidR="00AE1E36">
        <w:br/>
      </w:r>
      <w:r w:rsidR="00AE1E36">
        <w:br/>
      </w:r>
    </w:p>
    <w:p w:rsidR="00FF26C4" w:rsidRDefault="00FF26C4" w:rsidP="00FF26C4">
      <w:pPr>
        <w:spacing w:before="0" w:after="0" w:line="240" w:lineRule="auto"/>
      </w:pPr>
    </w:p>
    <w:p w:rsidR="00AE1E36" w:rsidRPr="00AE1E36" w:rsidRDefault="00AE1E36" w:rsidP="00FF26C4">
      <w:pPr>
        <w:spacing w:before="0" w:after="0" w:line="240" w:lineRule="auto"/>
        <w:rPr>
          <w:szCs w:val="24"/>
        </w:rPr>
      </w:pPr>
      <w:r>
        <w:br/>
      </w:r>
      <w:r w:rsidRPr="00AE1E36">
        <w:rPr>
          <w:szCs w:val="24"/>
        </w:rPr>
        <w:t xml:space="preserve">Date:  </w:t>
      </w:r>
      <w:r>
        <w:rPr>
          <w:szCs w:val="24"/>
          <w:u w:val="single"/>
        </w:rPr>
        <w:t>March 2</w:t>
      </w:r>
      <w:r w:rsidR="005C3610">
        <w:rPr>
          <w:szCs w:val="24"/>
          <w:u w:val="single"/>
        </w:rPr>
        <w:t>9</w:t>
      </w:r>
      <w:r w:rsidRPr="00AE1E36">
        <w:rPr>
          <w:szCs w:val="24"/>
          <w:u w:val="single"/>
        </w:rPr>
        <w:t>, 2017</w:t>
      </w:r>
      <w:r w:rsidRPr="00AE1E36">
        <w:rPr>
          <w:szCs w:val="24"/>
        </w:rPr>
        <w:tab/>
      </w:r>
      <w:r w:rsidRPr="00AE1E36">
        <w:rPr>
          <w:szCs w:val="24"/>
        </w:rPr>
        <w:tab/>
      </w:r>
      <w:r w:rsidRPr="00AE1E36">
        <w:rPr>
          <w:szCs w:val="24"/>
        </w:rPr>
        <w:tab/>
      </w:r>
      <w:r w:rsidRPr="00AE1E36">
        <w:rPr>
          <w:szCs w:val="24"/>
        </w:rPr>
        <w:tab/>
      </w:r>
      <w:r w:rsidRPr="00AE1E36">
        <w:rPr>
          <w:szCs w:val="24"/>
          <w:u w:val="single"/>
        </w:rPr>
        <w:tab/>
      </w:r>
      <w:r w:rsidRPr="00AE1E36">
        <w:rPr>
          <w:szCs w:val="24"/>
          <w:u w:val="single"/>
        </w:rPr>
        <w:tab/>
        <w:t>/s/</w:t>
      </w:r>
      <w:r w:rsidRPr="00AE1E36">
        <w:rPr>
          <w:szCs w:val="24"/>
          <w:u w:val="single"/>
        </w:rPr>
        <w:tab/>
      </w:r>
      <w:r w:rsidRPr="00AE1E36">
        <w:rPr>
          <w:szCs w:val="24"/>
          <w:u w:val="single"/>
        </w:rPr>
        <w:tab/>
      </w:r>
      <w:r w:rsidRPr="00AE1E36">
        <w:rPr>
          <w:szCs w:val="24"/>
          <w:u w:val="single"/>
        </w:rPr>
        <w:tab/>
      </w:r>
      <w:r w:rsidRPr="00AE1E36">
        <w:rPr>
          <w:szCs w:val="24"/>
          <w:u w:val="single"/>
        </w:rPr>
        <w:tab/>
      </w:r>
    </w:p>
    <w:p w:rsidR="00AE1E36" w:rsidRPr="00AE1E36" w:rsidRDefault="00AE1E36" w:rsidP="00AE1E36">
      <w:pPr>
        <w:tabs>
          <w:tab w:val="clear" w:pos="1440"/>
        </w:tabs>
        <w:spacing w:before="0" w:after="0" w:line="240" w:lineRule="auto"/>
        <w:rPr>
          <w:szCs w:val="24"/>
        </w:rPr>
      </w:pPr>
      <w:r w:rsidRPr="00AE1E36">
        <w:rPr>
          <w:szCs w:val="24"/>
        </w:rPr>
        <w:tab/>
      </w:r>
      <w:r w:rsidRPr="00AE1E36">
        <w:rPr>
          <w:szCs w:val="24"/>
        </w:rPr>
        <w:tab/>
      </w:r>
      <w:r w:rsidRPr="00AE1E36">
        <w:rPr>
          <w:szCs w:val="24"/>
        </w:rPr>
        <w:tab/>
      </w:r>
      <w:r w:rsidRPr="00AE1E36">
        <w:rPr>
          <w:szCs w:val="24"/>
        </w:rPr>
        <w:tab/>
      </w:r>
      <w:r w:rsidRPr="00AE1E36">
        <w:rPr>
          <w:szCs w:val="24"/>
        </w:rPr>
        <w:tab/>
      </w:r>
      <w:r w:rsidRPr="00AE1E36">
        <w:rPr>
          <w:szCs w:val="24"/>
        </w:rPr>
        <w:tab/>
      </w:r>
      <w:r w:rsidRPr="00AE1E36">
        <w:rPr>
          <w:szCs w:val="24"/>
        </w:rPr>
        <w:tab/>
        <w:t>Mary D. Long</w:t>
      </w:r>
    </w:p>
    <w:p w:rsidR="00AE1E36" w:rsidRPr="00AE1E36" w:rsidRDefault="00AE1E36" w:rsidP="00AE1E36">
      <w:pPr>
        <w:tabs>
          <w:tab w:val="clear" w:pos="1440"/>
        </w:tabs>
        <w:spacing w:before="0" w:after="0" w:line="240" w:lineRule="auto"/>
        <w:rPr>
          <w:szCs w:val="24"/>
        </w:rPr>
      </w:pPr>
      <w:r w:rsidRPr="00AE1E36">
        <w:rPr>
          <w:szCs w:val="24"/>
        </w:rPr>
        <w:tab/>
      </w:r>
      <w:r w:rsidRPr="00AE1E36">
        <w:rPr>
          <w:szCs w:val="24"/>
        </w:rPr>
        <w:tab/>
      </w:r>
      <w:r w:rsidRPr="00AE1E36">
        <w:rPr>
          <w:szCs w:val="24"/>
        </w:rPr>
        <w:tab/>
      </w:r>
      <w:r w:rsidRPr="00AE1E36">
        <w:rPr>
          <w:szCs w:val="24"/>
        </w:rPr>
        <w:tab/>
      </w:r>
      <w:r w:rsidRPr="00AE1E36">
        <w:rPr>
          <w:szCs w:val="24"/>
        </w:rPr>
        <w:tab/>
      </w:r>
      <w:r w:rsidRPr="00AE1E36">
        <w:rPr>
          <w:szCs w:val="24"/>
        </w:rPr>
        <w:tab/>
      </w:r>
      <w:r w:rsidRPr="00AE1E36">
        <w:rPr>
          <w:szCs w:val="24"/>
        </w:rPr>
        <w:tab/>
        <w:t>Administrative Law Judge</w:t>
      </w:r>
    </w:p>
    <w:p w:rsidR="00516902" w:rsidRPr="00E321C3" w:rsidRDefault="00516902" w:rsidP="00AE1E36">
      <w:pPr>
        <w:tabs>
          <w:tab w:val="left" w:pos="5040"/>
        </w:tabs>
      </w:pPr>
    </w:p>
    <w:sectPr w:rsidR="00516902" w:rsidRPr="00E321C3" w:rsidSect="00E3425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E5" w:rsidRDefault="00133BE5" w:rsidP="00E3425B">
      <w:pPr>
        <w:spacing w:before="0" w:after="0" w:line="240" w:lineRule="auto"/>
      </w:pPr>
      <w:r>
        <w:separator/>
      </w:r>
    </w:p>
  </w:endnote>
  <w:endnote w:type="continuationSeparator" w:id="0">
    <w:p w:rsidR="00133BE5" w:rsidRDefault="00133BE5" w:rsidP="00E342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092936"/>
      <w:docPartObj>
        <w:docPartGallery w:val="Page Numbers (Bottom of Page)"/>
        <w:docPartUnique/>
      </w:docPartObj>
    </w:sdtPr>
    <w:sdtEndPr>
      <w:rPr>
        <w:noProof/>
        <w:sz w:val="20"/>
      </w:rPr>
    </w:sdtEndPr>
    <w:sdtContent>
      <w:p w:rsidR="00E3425B" w:rsidRDefault="00E3425B">
        <w:pPr>
          <w:pStyle w:val="Footer"/>
          <w:jc w:val="center"/>
        </w:pPr>
        <w:r w:rsidRPr="00AE1E36">
          <w:rPr>
            <w:sz w:val="20"/>
          </w:rPr>
          <w:fldChar w:fldCharType="begin"/>
        </w:r>
        <w:r w:rsidRPr="00AE1E36">
          <w:rPr>
            <w:sz w:val="20"/>
          </w:rPr>
          <w:instrText xml:space="preserve"> PAGE   \* MERGEFORMAT </w:instrText>
        </w:r>
        <w:r w:rsidRPr="00AE1E36">
          <w:rPr>
            <w:sz w:val="20"/>
          </w:rPr>
          <w:fldChar w:fldCharType="separate"/>
        </w:r>
        <w:r w:rsidR="00A142CE">
          <w:rPr>
            <w:noProof/>
            <w:sz w:val="20"/>
          </w:rPr>
          <w:t>4</w:t>
        </w:r>
        <w:r w:rsidRPr="00AE1E36">
          <w:rPr>
            <w:noProof/>
            <w:sz w:val="20"/>
          </w:rPr>
          <w:fldChar w:fldCharType="end"/>
        </w:r>
      </w:p>
    </w:sdtContent>
  </w:sdt>
  <w:p w:rsidR="00E3425B" w:rsidRDefault="00E342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E5" w:rsidRDefault="00133BE5" w:rsidP="00E3425B">
      <w:pPr>
        <w:spacing w:before="0" w:after="0" w:line="240" w:lineRule="auto"/>
      </w:pPr>
      <w:r>
        <w:separator/>
      </w:r>
    </w:p>
  </w:footnote>
  <w:footnote w:type="continuationSeparator" w:id="0">
    <w:p w:rsidR="00133BE5" w:rsidRDefault="00133BE5" w:rsidP="00E3425B">
      <w:pPr>
        <w:spacing w:before="0" w:after="0" w:line="240" w:lineRule="auto"/>
      </w:pPr>
      <w:r>
        <w:continuationSeparator/>
      </w:r>
    </w:p>
  </w:footnote>
  <w:footnote w:id="1">
    <w:p w:rsidR="00346726" w:rsidRDefault="00346726">
      <w:pPr>
        <w:pStyle w:val="FootnoteText"/>
      </w:pPr>
      <w:r>
        <w:rPr>
          <w:rStyle w:val="FootnoteReference"/>
        </w:rPr>
        <w:footnoteRef/>
      </w:r>
      <w:r>
        <w:t xml:space="preserve">  </w:t>
      </w:r>
      <w:r>
        <w:tab/>
        <w:t xml:space="preserve">In PPL’s </w:t>
      </w:r>
      <w:proofErr w:type="gramStart"/>
      <w:r>
        <w:t>tariff</w:t>
      </w:r>
      <w:proofErr w:type="gramEnd"/>
      <w:r>
        <w:t xml:space="preserve"> the residential “net monthly rate” for residential customers </w:t>
      </w:r>
      <w:r w:rsidR="0070335B">
        <w:t xml:space="preserve">is expressed as </w:t>
      </w:r>
      <w:r>
        <w:t xml:space="preserve">a flat customer charge </w:t>
      </w:r>
      <w:r w:rsidR="00AA7B96">
        <w:t>and an</w:t>
      </w:r>
      <w:r>
        <w:t xml:space="preserve"> additional cost per </w:t>
      </w:r>
      <w:r w:rsidR="00DE0519">
        <w:t>kilowatt-hour</w:t>
      </w:r>
      <w:r>
        <w:t xml:space="preserve"> of consumption. </w:t>
      </w:r>
      <w:r w:rsidR="000136CC">
        <w:t xml:space="preserve"> </w:t>
      </w:r>
      <w:r w:rsidR="00170302">
        <w:t xml:space="preserve">Certain riders are bundled into the customer charge and into the consumption rate. </w:t>
      </w:r>
      <w:r>
        <w:t xml:space="preserve"> See Supplement No. 194, Electric Pa. PUC No. 201, Forty-ninth revised page No. 20 (Effective January 1, 2016).</w:t>
      </w:r>
    </w:p>
  </w:footnote>
  <w:footnote w:id="2">
    <w:p w:rsidR="0075197E" w:rsidRDefault="0075197E" w:rsidP="008E5CF5">
      <w:pPr>
        <w:pStyle w:val="FootnoteText"/>
        <w:spacing w:after="0"/>
      </w:pPr>
      <w:r w:rsidRPr="00582539">
        <w:rPr>
          <w:rStyle w:val="FootnoteReference"/>
        </w:rPr>
        <w:footnoteRef/>
      </w:r>
      <w:r w:rsidRPr="00582539">
        <w:t xml:space="preserve"> </w:t>
      </w:r>
      <w:r w:rsidRPr="00582539">
        <w:tab/>
        <w:t>66 Pa.C.S</w:t>
      </w:r>
      <w:proofErr w:type="gramStart"/>
      <w:r w:rsidRPr="00582539">
        <w:t xml:space="preserve">. </w:t>
      </w:r>
      <w:proofErr w:type="gramEnd"/>
      <w:r w:rsidRPr="00582539">
        <w:t>§ 701.</w:t>
      </w:r>
    </w:p>
    <w:p w:rsidR="008E5CF5" w:rsidRPr="00582539" w:rsidRDefault="008E5CF5" w:rsidP="008E5CF5">
      <w:pPr>
        <w:pStyle w:val="FootnoteText"/>
        <w:spacing w:after="0"/>
      </w:pPr>
    </w:p>
  </w:footnote>
  <w:footnote w:id="3">
    <w:p w:rsidR="0075197E" w:rsidRDefault="0075197E" w:rsidP="008E5CF5">
      <w:pPr>
        <w:pStyle w:val="FootnoteText"/>
        <w:spacing w:after="0"/>
      </w:pPr>
      <w:r w:rsidRPr="00582539">
        <w:rPr>
          <w:rStyle w:val="FootnoteReference"/>
        </w:rPr>
        <w:footnoteRef/>
      </w:r>
      <w:r w:rsidRPr="00582539">
        <w:t xml:space="preserve"> </w:t>
      </w:r>
      <w:r w:rsidRPr="00582539">
        <w:tab/>
        <w:t>66 Pa.C.S</w:t>
      </w:r>
      <w:proofErr w:type="gramStart"/>
      <w:r w:rsidRPr="00582539">
        <w:t xml:space="preserve">. </w:t>
      </w:r>
      <w:proofErr w:type="gramEnd"/>
      <w:r w:rsidRPr="00582539">
        <w:t>§ 332(a).</w:t>
      </w:r>
    </w:p>
    <w:p w:rsidR="008E5CF5" w:rsidRPr="00582539" w:rsidRDefault="008E5CF5" w:rsidP="008E5CF5">
      <w:pPr>
        <w:pStyle w:val="FootnoteText"/>
        <w:spacing w:after="0"/>
      </w:pPr>
    </w:p>
  </w:footnote>
  <w:footnote w:id="4">
    <w:p w:rsidR="0075197E" w:rsidRDefault="0075197E" w:rsidP="008E5CF5">
      <w:pPr>
        <w:pStyle w:val="FootnoteText"/>
        <w:spacing w:after="0"/>
      </w:pPr>
      <w:r w:rsidRPr="00582539">
        <w:rPr>
          <w:rStyle w:val="FootnoteReference"/>
        </w:rPr>
        <w:footnoteRef/>
      </w:r>
      <w:r w:rsidRPr="00582539">
        <w:t xml:space="preserve"> </w:t>
      </w:r>
      <w:r w:rsidRPr="00582539">
        <w:tab/>
      </w:r>
      <w:r w:rsidRPr="006072D4">
        <w:rPr>
          <w:i/>
        </w:rPr>
        <w:t>Se-Ling Hosiery, Inc. v. Margulies</w:t>
      </w:r>
      <w:r w:rsidRPr="00582539">
        <w:t>, 364 Pa. 45, 70 A.2d 854 (1950)</w:t>
      </w:r>
      <w:proofErr w:type="gramStart"/>
      <w:r w:rsidRPr="00582539">
        <w:t>;</w:t>
      </w:r>
      <w:proofErr w:type="gramEnd"/>
      <w:r w:rsidRPr="00582539">
        <w:t xml:space="preserve"> </w:t>
      </w:r>
      <w:r w:rsidRPr="006072D4">
        <w:rPr>
          <w:i/>
        </w:rPr>
        <w:t>Feinstein v. Philadelphia Suburban Water Company</w:t>
      </w:r>
      <w:r w:rsidRPr="00582539">
        <w:t>, 50 P</w:t>
      </w:r>
      <w:r>
        <w:t>a.</w:t>
      </w:r>
      <w:r w:rsidRPr="00582539">
        <w:t xml:space="preserve"> PUC 300 (1976).</w:t>
      </w:r>
    </w:p>
    <w:p w:rsidR="008E5CF5" w:rsidRPr="00582539" w:rsidRDefault="008E5CF5" w:rsidP="008E5CF5">
      <w:pPr>
        <w:pStyle w:val="FootnoteText"/>
        <w:spacing w:after="0"/>
      </w:pPr>
    </w:p>
  </w:footnote>
  <w:footnote w:id="5">
    <w:p w:rsidR="00B22E7A" w:rsidRDefault="00B22E7A" w:rsidP="008E5CF5">
      <w:pPr>
        <w:pStyle w:val="FootnoteText"/>
        <w:spacing w:after="0"/>
      </w:pPr>
      <w:r>
        <w:rPr>
          <w:rStyle w:val="FootnoteReference"/>
        </w:rPr>
        <w:footnoteRef/>
      </w:r>
      <w:r>
        <w:t xml:space="preserve">  </w:t>
      </w:r>
      <w:r>
        <w:tab/>
      </w:r>
      <w:r>
        <w:rPr>
          <w:i/>
        </w:rPr>
        <w:t>Fields v. PPL Electric Utilities Corporation</w:t>
      </w:r>
      <w:r>
        <w:t>, Docket No. C-20039803 (</w:t>
      </w:r>
      <w:r w:rsidR="008E5CF5">
        <w:t>Opinion and Order entered March </w:t>
      </w:r>
      <w:r>
        <w:t>31, 2005)</w:t>
      </w:r>
      <w:r w:rsidR="008E5CF5">
        <w:t xml:space="preserve"> </w:t>
      </w:r>
      <w:r>
        <w:t xml:space="preserve">(citing </w:t>
      </w:r>
      <w:r>
        <w:rPr>
          <w:i/>
        </w:rPr>
        <w:t>Brockway Glass Company v. Pa. Pub. Util. Comm’n</w:t>
      </w:r>
      <w:r w:rsidR="008E5CF5">
        <w:t>, 437 A.2d 1067, 1070 (</w:t>
      </w:r>
      <w:proofErr w:type="spellStart"/>
      <w:r w:rsidR="008E5CF5">
        <w:t>Pa.</w:t>
      </w:r>
      <w:r>
        <w:t>Cmwlth</w:t>
      </w:r>
      <w:proofErr w:type="spellEnd"/>
      <w:r>
        <w:t>. 1981).</w:t>
      </w:r>
    </w:p>
    <w:p w:rsidR="00B754C0" w:rsidRPr="00B22E7A" w:rsidRDefault="00B754C0" w:rsidP="008E5CF5">
      <w:pPr>
        <w:pStyle w:val="FootnoteText"/>
        <w:spacing w:after="0"/>
      </w:pPr>
    </w:p>
  </w:footnote>
  <w:footnote w:id="6">
    <w:p w:rsidR="00B22E7A" w:rsidRDefault="00B22E7A" w:rsidP="008E5CF5">
      <w:pPr>
        <w:pStyle w:val="FootnoteText"/>
        <w:spacing w:after="0"/>
      </w:pPr>
      <w:r>
        <w:rPr>
          <w:rStyle w:val="FootnoteReference"/>
        </w:rPr>
        <w:footnoteRef/>
      </w:r>
      <w:r>
        <w:t xml:space="preserve">  </w:t>
      </w:r>
      <w:r>
        <w:tab/>
      </w:r>
      <w:r>
        <w:rPr>
          <w:i/>
        </w:rPr>
        <w:t>Fields</w:t>
      </w:r>
      <w:r>
        <w:t xml:space="preserve"> at p. 8.</w:t>
      </w:r>
    </w:p>
    <w:p w:rsidR="008E5CF5" w:rsidRPr="00B22E7A" w:rsidRDefault="008E5CF5" w:rsidP="008E5CF5">
      <w:pPr>
        <w:pStyle w:val="FootnoteText"/>
        <w:spacing w:after="0"/>
      </w:pPr>
    </w:p>
  </w:footnote>
  <w:footnote w:id="7">
    <w:p w:rsidR="00F259EC" w:rsidRDefault="00F259EC" w:rsidP="008E5CF5">
      <w:pPr>
        <w:pStyle w:val="FootnoteText"/>
        <w:spacing w:after="0"/>
        <w:rPr>
          <w:szCs w:val="24"/>
        </w:rPr>
      </w:pPr>
      <w:r>
        <w:rPr>
          <w:rStyle w:val="FootnoteReference"/>
        </w:rPr>
        <w:footnoteRef/>
      </w:r>
      <w:r>
        <w:t xml:space="preserve"> </w:t>
      </w:r>
      <w:r>
        <w:tab/>
      </w:r>
      <w:r w:rsidRPr="00F259EC">
        <w:rPr>
          <w:i/>
          <w:szCs w:val="24"/>
        </w:rPr>
        <w:t>PPL Electric Utilities Corp. v. Pa. Pub. Util. Comm'n</w:t>
      </w:r>
      <w:r w:rsidR="008E5CF5">
        <w:rPr>
          <w:szCs w:val="24"/>
        </w:rPr>
        <w:t>, 912 A.2d 386 (</w:t>
      </w:r>
      <w:proofErr w:type="spellStart"/>
      <w:r w:rsidR="008E5CF5">
        <w:rPr>
          <w:szCs w:val="24"/>
        </w:rPr>
        <w:t>Pa.</w:t>
      </w:r>
      <w:r w:rsidRPr="00F259EC">
        <w:rPr>
          <w:szCs w:val="24"/>
        </w:rPr>
        <w:t>Cmwlth</w:t>
      </w:r>
      <w:proofErr w:type="spellEnd"/>
      <w:r w:rsidRPr="00F259EC">
        <w:rPr>
          <w:szCs w:val="24"/>
        </w:rPr>
        <w:t>. 2006).</w:t>
      </w:r>
    </w:p>
    <w:p w:rsidR="008E5CF5" w:rsidRDefault="008E5CF5" w:rsidP="008E5CF5">
      <w:pPr>
        <w:pStyle w:val="FootnoteText"/>
        <w:spacing w:after="0"/>
      </w:pPr>
    </w:p>
  </w:footnote>
  <w:footnote w:id="8">
    <w:p w:rsidR="00F259EC" w:rsidRDefault="00F259EC" w:rsidP="008E5CF5">
      <w:pPr>
        <w:pStyle w:val="FootnoteText"/>
        <w:spacing w:after="0"/>
        <w:rPr>
          <w:szCs w:val="24"/>
        </w:rPr>
      </w:pPr>
      <w:r>
        <w:rPr>
          <w:rStyle w:val="FootnoteReference"/>
        </w:rPr>
        <w:footnoteRef/>
      </w:r>
      <w:r>
        <w:t xml:space="preserve">  </w:t>
      </w:r>
      <w:r>
        <w:tab/>
      </w:r>
      <w:r w:rsidRPr="00F259EC">
        <w:rPr>
          <w:szCs w:val="24"/>
        </w:rPr>
        <w:t>66 Pa.C.S</w:t>
      </w:r>
      <w:proofErr w:type="gramStart"/>
      <w:r w:rsidRPr="00F259EC">
        <w:rPr>
          <w:szCs w:val="24"/>
        </w:rPr>
        <w:t xml:space="preserve">. </w:t>
      </w:r>
      <w:proofErr w:type="gramEnd"/>
      <w:r w:rsidRPr="00F259EC">
        <w:rPr>
          <w:szCs w:val="24"/>
        </w:rPr>
        <w:t>§</w:t>
      </w:r>
      <w:r w:rsidR="00033220">
        <w:rPr>
          <w:szCs w:val="24"/>
        </w:rPr>
        <w:t xml:space="preserve"> </w:t>
      </w:r>
      <w:r w:rsidRPr="00F259EC">
        <w:rPr>
          <w:szCs w:val="24"/>
        </w:rPr>
        <w:t xml:space="preserve">1302; 52 </w:t>
      </w:r>
      <w:proofErr w:type="spellStart"/>
      <w:r w:rsidRPr="00F259EC">
        <w:rPr>
          <w:szCs w:val="24"/>
        </w:rPr>
        <w:t>Pa.Code</w:t>
      </w:r>
      <w:proofErr w:type="spellEnd"/>
      <w:r w:rsidRPr="00F259EC">
        <w:rPr>
          <w:szCs w:val="24"/>
        </w:rPr>
        <w:t xml:space="preserve"> §</w:t>
      </w:r>
      <w:r w:rsidR="00033220">
        <w:rPr>
          <w:szCs w:val="24"/>
        </w:rPr>
        <w:t xml:space="preserve"> </w:t>
      </w:r>
      <w:r w:rsidRPr="00F259EC">
        <w:rPr>
          <w:szCs w:val="24"/>
        </w:rPr>
        <w:t xml:space="preserve">53.25; </w:t>
      </w:r>
      <w:r w:rsidRPr="00F259EC">
        <w:rPr>
          <w:i/>
          <w:szCs w:val="24"/>
        </w:rPr>
        <w:t>Philadelphia Suburban Water Co. v. Pa. Pub</w:t>
      </w:r>
      <w:proofErr w:type="gramStart"/>
      <w:r w:rsidRPr="00F259EC">
        <w:rPr>
          <w:i/>
          <w:szCs w:val="24"/>
        </w:rPr>
        <w:t xml:space="preserve">. </w:t>
      </w:r>
      <w:proofErr w:type="gramEnd"/>
      <w:r w:rsidRPr="00F259EC">
        <w:rPr>
          <w:i/>
          <w:szCs w:val="24"/>
        </w:rPr>
        <w:t xml:space="preserve">Util. </w:t>
      </w:r>
      <w:proofErr w:type="spellStart"/>
      <w:r w:rsidRPr="00F259EC">
        <w:rPr>
          <w:i/>
          <w:szCs w:val="24"/>
        </w:rPr>
        <w:t>Comm</w:t>
      </w:r>
      <w:r w:rsidR="00033220">
        <w:rPr>
          <w:i/>
          <w:szCs w:val="24"/>
        </w:rPr>
        <w:t>’</w:t>
      </w:r>
      <w:r w:rsidRPr="00F259EC">
        <w:rPr>
          <w:i/>
          <w:szCs w:val="24"/>
        </w:rPr>
        <w:t>n</w:t>
      </w:r>
      <w:proofErr w:type="spellEnd"/>
      <w:r w:rsidR="008E5CF5">
        <w:rPr>
          <w:szCs w:val="24"/>
        </w:rPr>
        <w:t>, 808 A.2d 1044 (</w:t>
      </w:r>
      <w:proofErr w:type="spellStart"/>
      <w:r w:rsidR="008E5CF5">
        <w:rPr>
          <w:szCs w:val="24"/>
        </w:rPr>
        <w:t>Pa.</w:t>
      </w:r>
      <w:r w:rsidRPr="00F259EC">
        <w:rPr>
          <w:szCs w:val="24"/>
        </w:rPr>
        <w:t>Cmwlth</w:t>
      </w:r>
      <w:proofErr w:type="spellEnd"/>
      <w:r w:rsidRPr="00F259EC">
        <w:rPr>
          <w:szCs w:val="24"/>
        </w:rPr>
        <w:t xml:space="preserve">. 2002).  </w:t>
      </w:r>
    </w:p>
    <w:p w:rsidR="008E5CF5" w:rsidRDefault="008E5CF5" w:rsidP="008E5CF5">
      <w:pPr>
        <w:pStyle w:val="FootnoteText"/>
        <w:spacing w:after="0"/>
      </w:pPr>
    </w:p>
  </w:footnote>
  <w:footnote w:id="9">
    <w:p w:rsidR="00DF2BFF" w:rsidRDefault="00DF2BFF" w:rsidP="008E5CF5">
      <w:pPr>
        <w:pStyle w:val="FootnoteText"/>
        <w:spacing w:after="0"/>
        <w:rPr>
          <w:szCs w:val="24"/>
        </w:rPr>
      </w:pPr>
      <w:r>
        <w:rPr>
          <w:rStyle w:val="FootnoteReference"/>
        </w:rPr>
        <w:footnoteRef/>
      </w:r>
      <w:r>
        <w:t xml:space="preserve">  </w:t>
      </w:r>
      <w:r>
        <w:tab/>
      </w:r>
      <w:r w:rsidRPr="00DF2BFF">
        <w:rPr>
          <w:i/>
          <w:szCs w:val="24"/>
        </w:rPr>
        <w:t xml:space="preserve">Pennsylvania Electric Co. v. Pa. Pub. Util. </w:t>
      </w:r>
      <w:proofErr w:type="spellStart"/>
      <w:r w:rsidRPr="00DF2BFF">
        <w:rPr>
          <w:i/>
          <w:szCs w:val="24"/>
        </w:rPr>
        <w:t>Comm</w:t>
      </w:r>
      <w:r w:rsidR="00033220">
        <w:rPr>
          <w:i/>
          <w:szCs w:val="24"/>
        </w:rPr>
        <w:t>’</w:t>
      </w:r>
      <w:r w:rsidRPr="00DF2BFF">
        <w:rPr>
          <w:i/>
          <w:szCs w:val="24"/>
        </w:rPr>
        <w:t>n</w:t>
      </w:r>
      <w:proofErr w:type="spellEnd"/>
      <w:r w:rsidR="008E5CF5">
        <w:rPr>
          <w:szCs w:val="24"/>
        </w:rPr>
        <w:t>, 663 A.2d 281 (</w:t>
      </w:r>
      <w:proofErr w:type="spellStart"/>
      <w:r w:rsidR="008E5CF5">
        <w:rPr>
          <w:szCs w:val="24"/>
        </w:rPr>
        <w:t>Pa.</w:t>
      </w:r>
      <w:r w:rsidRPr="00F259EC">
        <w:rPr>
          <w:szCs w:val="24"/>
        </w:rPr>
        <w:t>Cmwlth</w:t>
      </w:r>
      <w:proofErr w:type="spellEnd"/>
      <w:r w:rsidRPr="00F259EC">
        <w:rPr>
          <w:szCs w:val="24"/>
        </w:rPr>
        <w:t>. 1995).</w:t>
      </w:r>
    </w:p>
    <w:p w:rsidR="008E5CF5" w:rsidRDefault="008E5CF5" w:rsidP="008E5CF5">
      <w:pPr>
        <w:pStyle w:val="FootnoteText"/>
        <w:spacing w:after="0"/>
      </w:pPr>
    </w:p>
  </w:footnote>
  <w:footnote w:id="10">
    <w:p w:rsidR="00DF2BFF" w:rsidRDefault="00DF2BFF" w:rsidP="008E5CF5">
      <w:pPr>
        <w:pStyle w:val="FootnoteText"/>
        <w:spacing w:after="0"/>
        <w:rPr>
          <w:szCs w:val="24"/>
        </w:rPr>
      </w:pPr>
      <w:r>
        <w:rPr>
          <w:rStyle w:val="FootnoteReference"/>
        </w:rPr>
        <w:footnoteRef/>
      </w:r>
      <w:r>
        <w:t xml:space="preserve">  </w:t>
      </w:r>
      <w:r>
        <w:tab/>
      </w:r>
      <w:r w:rsidRPr="005C7F1B">
        <w:rPr>
          <w:i/>
          <w:szCs w:val="24"/>
        </w:rPr>
        <w:t>Philadelphia Suburban Water Co. v. Pa. Pub</w:t>
      </w:r>
      <w:proofErr w:type="gramStart"/>
      <w:r w:rsidRPr="005C7F1B">
        <w:rPr>
          <w:i/>
          <w:szCs w:val="24"/>
        </w:rPr>
        <w:t xml:space="preserve">. </w:t>
      </w:r>
      <w:proofErr w:type="gramEnd"/>
      <w:r w:rsidRPr="005C7F1B">
        <w:rPr>
          <w:i/>
          <w:szCs w:val="24"/>
        </w:rPr>
        <w:t>U</w:t>
      </w:r>
      <w:r w:rsidR="008E5CF5" w:rsidRPr="005C7F1B">
        <w:rPr>
          <w:i/>
          <w:szCs w:val="24"/>
        </w:rPr>
        <w:t xml:space="preserve">til. </w:t>
      </w:r>
      <w:proofErr w:type="spellStart"/>
      <w:r w:rsidR="008E5CF5" w:rsidRPr="005C7F1B">
        <w:rPr>
          <w:i/>
          <w:szCs w:val="24"/>
        </w:rPr>
        <w:t>Comm</w:t>
      </w:r>
      <w:r w:rsidR="00033220">
        <w:rPr>
          <w:i/>
          <w:szCs w:val="24"/>
        </w:rPr>
        <w:t>’</w:t>
      </w:r>
      <w:r w:rsidR="008E5CF5" w:rsidRPr="005C7F1B">
        <w:rPr>
          <w:i/>
          <w:szCs w:val="24"/>
        </w:rPr>
        <w:t>n</w:t>
      </w:r>
      <w:proofErr w:type="spellEnd"/>
      <w:r w:rsidR="008E5CF5">
        <w:rPr>
          <w:szCs w:val="24"/>
        </w:rPr>
        <w:t>, 808 A.2d 1044 (</w:t>
      </w:r>
      <w:proofErr w:type="spellStart"/>
      <w:r w:rsidR="008E5CF5">
        <w:rPr>
          <w:szCs w:val="24"/>
        </w:rPr>
        <w:t>Pa.</w:t>
      </w:r>
      <w:r w:rsidRPr="00F259EC">
        <w:rPr>
          <w:szCs w:val="24"/>
        </w:rPr>
        <w:t>Cmwlth</w:t>
      </w:r>
      <w:proofErr w:type="spellEnd"/>
      <w:r w:rsidRPr="00F259EC">
        <w:rPr>
          <w:szCs w:val="24"/>
        </w:rPr>
        <w:t xml:space="preserve">. 2002).  </w:t>
      </w:r>
    </w:p>
    <w:p w:rsidR="008E5CF5" w:rsidRDefault="008E5CF5" w:rsidP="008E5CF5">
      <w:pPr>
        <w:pStyle w:val="FootnoteText"/>
        <w:spacing w:after="0"/>
      </w:pPr>
    </w:p>
  </w:footnote>
  <w:footnote w:id="11">
    <w:p w:rsidR="00DF2BFF" w:rsidRDefault="00DF2BFF" w:rsidP="008E5CF5">
      <w:pPr>
        <w:pStyle w:val="FootnoteText"/>
        <w:spacing w:after="0"/>
      </w:pPr>
      <w:r>
        <w:rPr>
          <w:rStyle w:val="FootnoteReference"/>
        </w:rPr>
        <w:footnoteRef/>
      </w:r>
      <w:r>
        <w:t xml:space="preserve">  </w:t>
      </w:r>
      <w:r>
        <w:tab/>
        <w:t>66 Pa.C.S</w:t>
      </w:r>
      <w:proofErr w:type="gramStart"/>
      <w:r>
        <w:t xml:space="preserve">. </w:t>
      </w:r>
      <w:proofErr w:type="gramEnd"/>
      <w:r>
        <w:t>§ 1303.</w:t>
      </w:r>
    </w:p>
  </w:footnote>
  <w:footnote w:id="12">
    <w:p w:rsidR="00DC3C11" w:rsidRDefault="00DC3C11">
      <w:pPr>
        <w:pStyle w:val="FootnoteText"/>
      </w:pPr>
      <w:r>
        <w:rPr>
          <w:rStyle w:val="FootnoteReference"/>
        </w:rPr>
        <w:footnoteRef/>
      </w:r>
      <w:r>
        <w:t xml:space="preserve">  </w:t>
      </w:r>
      <w:r>
        <w:tab/>
        <w:t>52 Pa.Code § 53.45.</w:t>
      </w:r>
    </w:p>
  </w:footnote>
  <w:footnote w:id="13">
    <w:p w:rsidR="00E321C3" w:rsidRDefault="00E321C3" w:rsidP="008E5CF5">
      <w:pPr>
        <w:pStyle w:val="FootnoteText"/>
        <w:spacing w:after="0"/>
      </w:pPr>
      <w:r>
        <w:rPr>
          <w:rStyle w:val="FootnoteReference"/>
        </w:rPr>
        <w:footnoteRef/>
      </w:r>
      <w:r>
        <w:t xml:space="preserve">  </w:t>
      </w:r>
      <w:r>
        <w:tab/>
        <w:t>52 Pa.Code § 53.45 (b)(i).</w:t>
      </w:r>
    </w:p>
    <w:p w:rsidR="00AE1E36" w:rsidRDefault="00AE1E36" w:rsidP="008E5CF5">
      <w:pPr>
        <w:pStyle w:val="FootnoteText"/>
        <w:spacing w:after="0"/>
      </w:pPr>
    </w:p>
  </w:footnote>
  <w:footnote w:id="14">
    <w:p w:rsidR="008712A7" w:rsidRDefault="008712A7" w:rsidP="008E5CF5">
      <w:pPr>
        <w:pStyle w:val="FootnoteText"/>
        <w:spacing w:after="0"/>
      </w:pPr>
      <w:r>
        <w:rPr>
          <w:rStyle w:val="FootnoteReference"/>
        </w:rPr>
        <w:footnoteRef/>
      </w:r>
      <w:r>
        <w:t xml:space="preserve">  </w:t>
      </w:r>
      <w:r>
        <w:tab/>
        <w:t>66 Pa.C.S. § 701.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04E36C"/>
    <w:lvl w:ilvl="0">
      <w:start w:val="1"/>
      <w:numFmt w:val="decimal"/>
      <w:lvlText w:val="%1."/>
      <w:lvlJc w:val="left"/>
      <w:pPr>
        <w:tabs>
          <w:tab w:val="num" w:pos="1800"/>
        </w:tabs>
        <w:ind w:left="1800" w:hanging="360"/>
      </w:pPr>
    </w:lvl>
  </w:abstractNum>
  <w:abstractNum w:abstractNumId="1">
    <w:nsid w:val="FFFFFF7D"/>
    <w:multiLevelType w:val="singleLevel"/>
    <w:tmpl w:val="657230A8"/>
    <w:lvl w:ilvl="0">
      <w:start w:val="1"/>
      <w:numFmt w:val="decimal"/>
      <w:lvlText w:val="%1."/>
      <w:lvlJc w:val="left"/>
      <w:pPr>
        <w:tabs>
          <w:tab w:val="num" w:pos="1440"/>
        </w:tabs>
        <w:ind w:left="1440" w:hanging="360"/>
      </w:pPr>
    </w:lvl>
  </w:abstractNum>
  <w:abstractNum w:abstractNumId="2">
    <w:nsid w:val="FFFFFF7E"/>
    <w:multiLevelType w:val="singleLevel"/>
    <w:tmpl w:val="59520F04"/>
    <w:lvl w:ilvl="0">
      <w:start w:val="1"/>
      <w:numFmt w:val="decimal"/>
      <w:lvlText w:val="%1."/>
      <w:lvlJc w:val="left"/>
      <w:pPr>
        <w:tabs>
          <w:tab w:val="num" w:pos="1080"/>
        </w:tabs>
        <w:ind w:left="1080" w:hanging="360"/>
      </w:pPr>
    </w:lvl>
  </w:abstractNum>
  <w:abstractNum w:abstractNumId="3">
    <w:nsid w:val="FFFFFF7F"/>
    <w:multiLevelType w:val="singleLevel"/>
    <w:tmpl w:val="2F88DF5E"/>
    <w:lvl w:ilvl="0">
      <w:start w:val="1"/>
      <w:numFmt w:val="decimal"/>
      <w:lvlText w:val="%1."/>
      <w:lvlJc w:val="left"/>
      <w:pPr>
        <w:tabs>
          <w:tab w:val="num" w:pos="720"/>
        </w:tabs>
        <w:ind w:left="720" w:hanging="360"/>
      </w:pPr>
    </w:lvl>
  </w:abstractNum>
  <w:abstractNum w:abstractNumId="4">
    <w:nsid w:val="FFFFFF80"/>
    <w:multiLevelType w:val="singleLevel"/>
    <w:tmpl w:val="8BCA50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A6E9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68A6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84AA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42D73C"/>
    <w:lvl w:ilvl="0">
      <w:start w:val="1"/>
      <w:numFmt w:val="decimal"/>
      <w:lvlText w:val="%1."/>
      <w:lvlJc w:val="left"/>
      <w:pPr>
        <w:tabs>
          <w:tab w:val="num" w:pos="360"/>
        </w:tabs>
        <w:ind w:left="360" w:hanging="360"/>
      </w:pPr>
    </w:lvl>
  </w:abstractNum>
  <w:abstractNum w:abstractNumId="9">
    <w:nsid w:val="FFFFFF89"/>
    <w:multiLevelType w:val="singleLevel"/>
    <w:tmpl w:val="3B1877FE"/>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257B16"/>
    <w:multiLevelType w:val="hybridMultilevel"/>
    <w:tmpl w:val="9F9006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345532"/>
    <w:multiLevelType w:val="hybridMultilevel"/>
    <w:tmpl w:val="FA44B2B4"/>
    <w:lvl w:ilvl="0" w:tplc="3AB0FC2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4"/>
  </w:num>
  <w:num w:numId="2">
    <w:abstractNumId w:val="26"/>
  </w:num>
  <w:num w:numId="3">
    <w:abstractNumId w:val="32"/>
  </w:num>
  <w:num w:numId="4">
    <w:abstractNumId w:val="36"/>
  </w:num>
  <w:num w:numId="5">
    <w:abstractNumId w:val="19"/>
  </w:num>
  <w:num w:numId="6">
    <w:abstractNumId w:val="16"/>
  </w:num>
  <w:num w:numId="7">
    <w:abstractNumId w:val="14"/>
  </w:num>
  <w:num w:numId="8">
    <w:abstractNumId w:val="35"/>
  </w:num>
  <w:num w:numId="9">
    <w:abstractNumId w:val="12"/>
  </w:num>
  <w:num w:numId="10">
    <w:abstractNumId w:val="28"/>
  </w:num>
  <w:num w:numId="11">
    <w:abstractNumId w:val="31"/>
  </w:num>
  <w:num w:numId="12">
    <w:abstractNumId w:val="23"/>
  </w:num>
  <w:num w:numId="13">
    <w:abstractNumId w:val="29"/>
  </w:num>
  <w:num w:numId="14">
    <w:abstractNumId w:val="33"/>
  </w:num>
  <w:num w:numId="15">
    <w:abstractNumId w:val="10"/>
  </w:num>
  <w:num w:numId="16">
    <w:abstractNumId w:val="27"/>
  </w:num>
  <w:num w:numId="17">
    <w:abstractNumId w:val="27"/>
  </w:num>
  <w:num w:numId="18">
    <w:abstractNumId w:val="18"/>
  </w:num>
  <w:num w:numId="19">
    <w:abstractNumId w:val="24"/>
  </w:num>
  <w:num w:numId="20">
    <w:abstractNumId w:val="37"/>
  </w:num>
  <w:num w:numId="21">
    <w:abstractNumId w:val="21"/>
  </w:num>
  <w:num w:numId="22">
    <w:abstractNumId w:val="13"/>
  </w:num>
  <w:num w:numId="23">
    <w:abstractNumId w:val="22"/>
  </w:num>
  <w:num w:numId="24">
    <w:abstractNumId w:val="39"/>
  </w:num>
  <w:num w:numId="25">
    <w:abstractNumId w:val="11"/>
  </w:num>
  <w:num w:numId="26">
    <w:abstractNumId w:val="15"/>
  </w:num>
  <w:num w:numId="27">
    <w:abstractNumId w:val="30"/>
  </w:num>
  <w:num w:numId="28">
    <w:abstractNumId w:val="20"/>
  </w:num>
  <w:num w:numId="29">
    <w:abstractNumId w:val="17"/>
  </w:num>
  <w:num w:numId="30">
    <w:abstractNumId w:val="38"/>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22"/>
    <w:rsid w:val="00004C37"/>
    <w:rsid w:val="000057E6"/>
    <w:rsid w:val="00005B9D"/>
    <w:rsid w:val="000136CC"/>
    <w:rsid w:val="00033220"/>
    <w:rsid w:val="00073593"/>
    <w:rsid w:val="000E3EDE"/>
    <w:rsid w:val="00133BE5"/>
    <w:rsid w:val="00170302"/>
    <w:rsid w:val="0018144D"/>
    <w:rsid w:val="001A21B6"/>
    <w:rsid w:val="001A719C"/>
    <w:rsid w:val="001B1CBA"/>
    <w:rsid w:val="001D2AF7"/>
    <w:rsid w:val="00207743"/>
    <w:rsid w:val="00213167"/>
    <w:rsid w:val="002209EC"/>
    <w:rsid w:val="002512F9"/>
    <w:rsid w:val="0026520D"/>
    <w:rsid w:val="002678A3"/>
    <w:rsid w:val="002A1E47"/>
    <w:rsid w:val="002D7735"/>
    <w:rsid w:val="002F17D4"/>
    <w:rsid w:val="003145FA"/>
    <w:rsid w:val="003263F1"/>
    <w:rsid w:val="00346726"/>
    <w:rsid w:val="00367A41"/>
    <w:rsid w:val="003825A9"/>
    <w:rsid w:val="00390012"/>
    <w:rsid w:val="00393C92"/>
    <w:rsid w:val="00397999"/>
    <w:rsid w:val="003A368F"/>
    <w:rsid w:val="003A3E09"/>
    <w:rsid w:val="0041136D"/>
    <w:rsid w:val="00423B83"/>
    <w:rsid w:val="00433822"/>
    <w:rsid w:val="00480E64"/>
    <w:rsid w:val="00485438"/>
    <w:rsid w:val="004D523C"/>
    <w:rsid w:val="004E733B"/>
    <w:rsid w:val="00516902"/>
    <w:rsid w:val="00525065"/>
    <w:rsid w:val="0055724D"/>
    <w:rsid w:val="0058173E"/>
    <w:rsid w:val="005A0AA7"/>
    <w:rsid w:val="005A1C17"/>
    <w:rsid w:val="005A2ABA"/>
    <w:rsid w:val="005B049A"/>
    <w:rsid w:val="005C3610"/>
    <w:rsid w:val="005C782F"/>
    <w:rsid w:val="005C7F1B"/>
    <w:rsid w:val="005D180A"/>
    <w:rsid w:val="005E7B69"/>
    <w:rsid w:val="006022B1"/>
    <w:rsid w:val="0061775F"/>
    <w:rsid w:val="006663B9"/>
    <w:rsid w:val="00696C0D"/>
    <w:rsid w:val="006F0329"/>
    <w:rsid w:val="00700807"/>
    <w:rsid w:val="0070335B"/>
    <w:rsid w:val="00712E58"/>
    <w:rsid w:val="00732103"/>
    <w:rsid w:val="0075197E"/>
    <w:rsid w:val="007615DD"/>
    <w:rsid w:val="0078184D"/>
    <w:rsid w:val="00792796"/>
    <w:rsid w:val="00796B64"/>
    <w:rsid w:val="007B0A80"/>
    <w:rsid w:val="007C3330"/>
    <w:rsid w:val="007E090B"/>
    <w:rsid w:val="007E6779"/>
    <w:rsid w:val="008038B4"/>
    <w:rsid w:val="0081266D"/>
    <w:rsid w:val="00820B4C"/>
    <w:rsid w:val="0083239D"/>
    <w:rsid w:val="00833973"/>
    <w:rsid w:val="008529D2"/>
    <w:rsid w:val="008712A7"/>
    <w:rsid w:val="00882199"/>
    <w:rsid w:val="0088284B"/>
    <w:rsid w:val="008C0D86"/>
    <w:rsid w:val="008E5CF5"/>
    <w:rsid w:val="00917DCA"/>
    <w:rsid w:val="009338B0"/>
    <w:rsid w:val="00941587"/>
    <w:rsid w:val="009B12C2"/>
    <w:rsid w:val="00A142CE"/>
    <w:rsid w:val="00A47096"/>
    <w:rsid w:val="00A57FC5"/>
    <w:rsid w:val="00AA2EC5"/>
    <w:rsid w:val="00AA7B96"/>
    <w:rsid w:val="00AB16E5"/>
    <w:rsid w:val="00AB4C73"/>
    <w:rsid w:val="00AD14AB"/>
    <w:rsid w:val="00AE1E36"/>
    <w:rsid w:val="00AE6F47"/>
    <w:rsid w:val="00AF219F"/>
    <w:rsid w:val="00AF76AC"/>
    <w:rsid w:val="00B01513"/>
    <w:rsid w:val="00B03DE3"/>
    <w:rsid w:val="00B22E7A"/>
    <w:rsid w:val="00B22EC4"/>
    <w:rsid w:val="00B25890"/>
    <w:rsid w:val="00B754C0"/>
    <w:rsid w:val="00B91E47"/>
    <w:rsid w:val="00BB0955"/>
    <w:rsid w:val="00BC6B21"/>
    <w:rsid w:val="00C0466E"/>
    <w:rsid w:val="00C152CC"/>
    <w:rsid w:val="00C54579"/>
    <w:rsid w:val="00C87E57"/>
    <w:rsid w:val="00CF4C21"/>
    <w:rsid w:val="00CF575F"/>
    <w:rsid w:val="00CF6143"/>
    <w:rsid w:val="00D66769"/>
    <w:rsid w:val="00D846E9"/>
    <w:rsid w:val="00D93B19"/>
    <w:rsid w:val="00D95B23"/>
    <w:rsid w:val="00DA306B"/>
    <w:rsid w:val="00DC3C11"/>
    <w:rsid w:val="00DD5C37"/>
    <w:rsid w:val="00DE0519"/>
    <w:rsid w:val="00DE25FA"/>
    <w:rsid w:val="00DF2BFF"/>
    <w:rsid w:val="00E078B9"/>
    <w:rsid w:val="00E24C56"/>
    <w:rsid w:val="00E321C3"/>
    <w:rsid w:val="00E3425B"/>
    <w:rsid w:val="00E4239A"/>
    <w:rsid w:val="00E73580"/>
    <w:rsid w:val="00E8452A"/>
    <w:rsid w:val="00E954CC"/>
    <w:rsid w:val="00EB60AA"/>
    <w:rsid w:val="00EC1CBA"/>
    <w:rsid w:val="00EE7801"/>
    <w:rsid w:val="00F11A19"/>
    <w:rsid w:val="00F12CC8"/>
    <w:rsid w:val="00F16554"/>
    <w:rsid w:val="00F17030"/>
    <w:rsid w:val="00F259EC"/>
    <w:rsid w:val="00F544E1"/>
    <w:rsid w:val="00F7228D"/>
    <w:rsid w:val="00F734FE"/>
    <w:rsid w:val="00F828E0"/>
    <w:rsid w:val="00FB3D5C"/>
    <w:rsid w:val="00FD5C10"/>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05B9D"/>
    <w:pPr>
      <w:numPr>
        <w:numId w:val="30"/>
      </w:numPr>
      <w:spacing w:before="0" w:after="0"/>
      <w:ind w:left="0" w:firstLine="1440"/>
    </w:pPr>
  </w:style>
  <w:style w:type="paragraph" w:styleId="FootnoteText">
    <w:name w:val="footnote text"/>
    <w:aliases w:val="Car"/>
    <w:link w:val="FootnoteTextChar"/>
    <w:autoRedefine/>
    <w:uiPriority w:val="99"/>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E3425B"/>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E3425B"/>
    <w:rPr>
      <w:rFonts w:ascii="Times New Roman" w:hAnsi="Times New Roman" w:cs="Times New Roman"/>
      <w:sz w:val="24"/>
      <w:szCs w:val="20"/>
    </w:rPr>
  </w:style>
  <w:style w:type="paragraph" w:styleId="Footer">
    <w:name w:val="footer"/>
    <w:basedOn w:val="Normal"/>
    <w:link w:val="FooterChar"/>
    <w:uiPriority w:val="99"/>
    <w:unhideWhenUsed/>
    <w:rsid w:val="00E3425B"/>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E3425B"/>
    <w:rPr>
      <w:rFonts w:ascii="Times New Roman" w:hAnsi="Times New Roman" w:cs="Times New Roman"/>
      <w:sz w:val="24"/>
      <w:szCs w:val="20"/>
    </w:rPr>
  </w:style>
  <w:style w:type="character" w:styleId="FootnoteReference">
    <w:name w:val="footnote reference"/>
    <w:basedOn w:val="DefaultParagraphFont"/>
    <w:uiPriority w:val="99"/>
    <w:unhideWhenUsed/>
    <w:rsid w:val="00346726"/>
    <w:rPr>
      <w:vertAlign w:val="superscript"/>
    </w:rPr>
  </w:style>
  <w:style w:type="paragraph" w:styleId="BalloonText">
    <w:name w:val="Balloon Text"/>
    <w:basedOn w:val="Normal"/>
    <w:link w:val="BalloonTextChar"/>
    <w:uiPriority w:val="99"/>
    <w:semiHidden/>
    <w:unhideWhenUsed/>
    <w:rsid w:val="00005B9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B64"/>
    <w:pPr>
      <w:tabs>
        <w:tab w:val="left" w:pos="1440"/>
      </w:tabs>
      <w:spacing w:before="360" w:after="36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05B9D"/>
    <w:pPr>
      <w:numPr>
        <w:numId w:val="30"/>
      </w:numPr>
      <w:spacing w:before="0" w:after="0"/>
      <w:ind w:left="0" w:firstLine="1440"/>
    </w:pPr>
  </w:style>
  <w:style w:type="paragraph" w:styleId="FootnoteText">
    <w:name w:val="footnote text"/>
    <w:aliases w:val="Car"/>
    <w:link w:val="FootnoteTextChar"/>
    <w:autoRedefine/>
    <w:uiPriority w:val="99"/>
    <w:unhideWhenUsed/>
    <w:qFormat/>
    <w:rsid w:val="003A3E0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E3425B"/>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E3425B"/>
    <w:rPr>
      <w:rFonts w:ascii="Times New Roman" w:hAnsi="Times New Roman" w:cs="Times New Roman"/>
      <w:sz w:val="24"/>
      <w:szCs w:val="20"/>
    </w:rPr>
  </w:style>
  <w:style w:type="paragraph" w:styleId="Footer">
    <w:name w:val="footer"/>
    <w:basedOn w:val="Normal"/>
    <w:link w:val="FooterChar"/>
    <w:uiPriority w:val="99"/>
    <w:unhideWhenUsed/>
    <w:rsid w:val="00E3425B"/>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E3425B"/>
    <w:rPr>
      <w:rFonts w:ascii="Times New Roman" w:hAnsi="Times New Roman" w:cs="Times New Roman"/>
      <w:sz w:val="24"/>
      <w:szCs w:val="20"/>
    </w:rPr>
  </w:style>
  <w:style w:type="character" w:styleId="FootnoteReference">
    <w:name w:val="footnote reference"/>
    <w:basedOn w:val="DefaultParagraphFont"/>
    <w:uiPriority w:val="99"/>
    <w:unhideWhenUsed/>
    <w:rsid w:val="00346726"/>
    <w:rPr>
      <w:vertAlign w:val="superscript"/>
    </w:rPr>
  </w:style>
  <w:style w:type="paragraph" w:styleId="BalloonText">
    <w:name w:val="Balloon Text"/>
    <w:basedOn w:val="Normal"/>
    <w:link w:val="BalloonTextChar"/>
    <w:uiPriority w:val="99"/>
    <w:semiHidden/>
    <w:unhideWhenUsed/>
    <w:rsid w:val="00005B9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1D72-28CC-4E05-92AA-D03FBE39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13</cp:revision>
  <cp:lastPrinted>2017-03-29T17:41:00Z</cp:lastPrinted>
  <dcterms:created xsi:type="dcterms:W3CDTF">2017-03-27T19:47:00Z</dcterms:created>
  <dcterms:modified xsi:type="dcterms:W3CDTF">2017-04-03T19:06:00Z</dcterms:modified>
</cp:coreProperties>
</file>