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C95" w:rsidRDefault="00756C95" w:rsidP="00756C95">
      <w:pPr>
        <w:pStyle w:val="Title"/>
        <w:tabs>
          <w:tab w:val="clear" w:pos="360"/>
          <w:tab w:val="left" w:pos="0"/>
        </w:tabs>
      </w:pPr>
      <w:r>
        <w:t>BEFORE THE</w:t>
      </w:r>
    </w:p>
    <w:p w:rsidR="00756C95" w:rsidRDefault="00756C95" w:rsidP="00756C9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756C95" w:rsidRDefault="00756C95" w:rsidP="00E6781C">
      <w:pPr>
        <w:tabs>
          <w:tab w:val="left" w:pos="0"/>
        </w:tabs>
        <w:spacing w:line="233" w:lineRule="auto"/>
        <w:jc w:val="both"/>
        <w:rPr>
          <w:b/>
          <w:sz w:val="24"/>
        </w:rPr>
      </w:pPr>
    </w:p>
    <w:p w:rsidR="00756C95" w:rsidRDefault="00756C95" w:rsidP="00E6781C">
      <w:pPr>
        <w:tabs>
          <w:tab w:val="left" w:pos="0"/>
        </w:tabs>
        <w:spacing w:line="233" w:lineRule="auto"/>
        <w:jc w:val="both"/>
        <w:rPr>
          <w:b/>
          <w:sz w:val="24"/>
        </w:rPr>
      </w:pPr>
    </w:p>
    <w:p w:rsidR="00756C95" w:rsidRDefault="00756C95" w:rsidP="00E6781C">
      <w:pPr>
        <w:tabs>
          <w:tab w:val="left" w:pos="0"/>
        </w:tabs>
        <w:spacing w:line="233" w:lineRule="auto"/>
        <w:jc w:val="both"/>
        <w:rPr>
          <w:b/>
          <w:sz w:val="24"/>
        </w:rPr>
      </w:pPr>
    </w:p>
    <w:p w:rsidR="00756C95" w:rsidRDefault="009C5FAA" w:rsidP="00330469">
      <w:pPr>
        <w:tabs>
          <w:tab w:val="left" w:pos="0"/>
        </w:tabs>
        <w:spacing w:line="233" w:lineRule="auto"/>
        <w:jc w:val="both"/>
        <w:rPr>
          <w:b/>
          <w:sz w:val="24"/>
        </w:rPr>
      </w:pPr>
      <w:r>
        <w:rPr>
          <w:sz w:val="24"/>
        </w:rPr>
        <w:t>Drucilla Thorpe</w:t>
      </w:r>
      <w:r w:rsidR="00122E5F">
        <w:rPr>
          <w:sz w:val="24"/>
        </w:rPr>
        <w:t xml:space="preserve"> </w:t>
      </w:r>
      <w:r w:rsidR="00756C95">
        <w:rPr>
          <w:sz w:val="24"/>
        </w:rPr>
        <w:tab/>
      </w:r>
      <w:r w:rsidR="00756C95">
        <w:rPr>
          <w:sz w:val="24"/>
        </w:rPr>
        <w:tab/>
      </w:r>
      <w:r w:rsidR="00756C95">
        <w:rPr>
          <w:sz w:val="24"/>
        </w:rPr>
        <w:tab/>
      </w:r>
      <w:r w:rsidR="00756C95">
        <w:rPr>
          <w:sz w:val="24"/>
        </w:rPr>
        <w:tab/>
      </w:r>
      <w:r w:rsidR="00756C95">
        <w:rPr>
          <w:sz w:val="24"/>
        </w:rPr>
        <w:tab/>
      </w:r>
      <w:r w:rsidR="00756C95" w:rsidRPr="00560DC5">
        <w:rPr>
          <w:sz w:val="24"/>
        </w:rPr>
        <w:t>:</w:t>
      </w:r>
    </w:p>
    <w:p w:rsidR="00756C95" w:rsidRPr="00560DC5" w:rsidRDefault="00756C95" w:rsidP="00330469">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756C95" w:rsidRDefault="00756C95" w:rsidP="00330469">
      <w:pPr>
        <w:tabs>
          <w:tab w:val="left" w:pos="0"/>
        </w:tabs>
        <w:spacing w:line="233" w:lineRule="auto"/>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sidR="002507BD" w:rsidRPr="00A71162">
        <w:rPr>
          <w:sz w:val="24"/>
        </w:rPr>
        <w:t>F</w:t>
      </w:r>
      <w:r w:rsidRPr="00A71162">
        <w:rPr>
          <w:sz w:val="24"/>
        </w:rPr>
        <w:t>-</w:t>
      </w:r>
      <w:r>
        <w:rPr>
          <w:sz w:val="24"/>
        </w:rPr>
        <w:t>201</w:t>
      </w:r>
      <w:r w:rsidR="009C5FAA">
        <w:rPr>
          <w:sz w:val="24"/>
        </w:rPr>
        <w:t>6</w:t>
      </w:r>
      <w:r>
        <w:rPr>
          <w:sz w:val="24"/>
        </w:rPr>
        <w:t>-</w:t>
      </w:r>
      <w:r w:rsidR="001B19BC">
        <w:rPr>
          <w:sz w:val="24"/>
        </w:rPr>
        <w:t>2</w:t>
      </w:r>
      <w:r w:rsidR="00122E5F">
        <w:rPr>
          <w:sz w:val="24"/>
        </w:rPr>
        <w:t>5</w:t>
      </w:r>
      <w:r w:rsidR="009C5FAA">
        <w:rPr>
          <w:sz w:val="24"/>
        </w:rPr>
        <w:t>7</w:t>
      </w:r>
      <w:r w:rsidR="00122E5F">
        <w:rPr>
          <w:sz w:val="24"/>
        </w:rPr>
        <w:t>02</w:t>
      </w:r>
      <w:r w:rsidR="009C5FAA">
        <w:rPr>
          <w:sz w:val="24"/>
        </w:rPr>
        <w:t>43</w:t>
      </w:r>
    </w:p>
    <w:p w:rsidR="00756C95" w:rsidRPr="00560DC5" w:rsidRDefault="00756C95" w:rsidP="00330469">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756C95" w:rsidRDefault="009C5FAA" w:rsidP="00330469">
      <w:pPr>
        <w:tabs>
          <w:tab w:val="left" w:pos="0"/>
        </w:tabs>
        <w:spacing w:line="233" w:lineRule="auto"/>
        <w:jc w:val="both"/>
        <w:rPr>
          <w:sz w:val="24"/>
        </w:rPr>
      </w:pPr>
      <w:r>
        <w:rPr>
          <w:sz w:val="24"/>
        </w:rPr>
        <w:t>Philadelphia Gas Works</w:t>
      </w:r>
      <w:r w:rsidR="00756C95">
        <w:rPr>
          <w:sz w:val="24"/>
        </w:rPr>
        <w:tab/>
      </w:r>
      <w:r w:rsidR="00756C95">
        <w:rPr>
          <w:sz w:val="24"/>
        </w:rPr>
        <w:tab/>
      </w:r>
      <w:r w:rsidR="00756C95">
        <w:rPr>
          <w:sz w:val="24"/>
        </w:rPr>
        <w:tab/>
      </w:r>
      <w:r w:rsidR="00756C95">
        <w:rPr>
          <w:sz w:val="24"/>
        </w:rPr>
        <w:tab/>
      </w:r>
      <w:r w:rsidR="00756C95" w:rsidRPr="00560DC5">
        <w:rPr>
          <w:sz w:val="24"/>
        </w:rPr>
        <w:t>:</w:t>
      </w:r>
    </w:p>
    <w:p w:rsidR="00756C95" w:rsidRDefault="00756C95" w:rsidP="00330469">
      <w:pPr>
        <w:tabs>
          <w:tab w:val="left" w:pos="0"/>
        </w:tabs>
        <w:spacing w:line="233" w:lineRule="auto"/>
        <w:jc w:val="both"/>
        <w:rPr>
          <w:sz w:val="24"/>
        </w:rPr>
      </w:pPr>
    </w:p>
    <w:p w:rsidR="00756C95" w:rsidRDefault="00756C95" w:rsidP="00E6781C">
      <w:pPr>
        <w:tabs>
          <w:tab w:val="left" w:pos="0"/>
        </w:tabs>
        <w:spacing w:line="233" w:lineRule="auto"/>
        <w:jc w:val="both"/>
        <w:rPr>
          <w:b/>
          <w:sz w:val="24"/>
        </w:rPr>
      </w:pPr>
    </w:p>
    <w:p w:rsidR="00756C95" w:rsidRDefault="00756C95" w:rsidP="00E6781C">
      <w:pPr>
        <w:tabs>
          <w:tab w:val="left" w:pos="0"/>
        </w:tabs>
        <w:spacing w:line="233" w:lineRule="auto"/>
        <w:jc w:val="both"/>
        <w:rPr>
          <w:b/>
          <w:sz w:val="24"/>
        </w:rPr>
      </w:pPr>
    </w:p>
    <w:p w:rsidR="009D3899" w:rsidRPr="00A414A7" w:rsidRDefault="00A414A7" w:rsidP="00330469">
      <w:pPr>
        <w:tabs>
          <w:tab w:val="left" w:pos="0"/>
        </w:tabs>
        <w:jc w:val="center"/>
        <w:rPr>
          <w:b/>
          <w:sz w:val="24"/>
          <w:u w:val="single"/>
        </w:rPr>
      </w:pPr>
      <w:r w:rsidRPr="00A414A7">
        <w:rPr>
          <w:b/>
          <w:sz w:val="24"/>
          <w:u w:val="single"/>
        </w:rPr>
        <w:t>INITIAL DECISION</w:t>
      </w:r>
    </w:p>
    <w:p w:rsidR="00A414A7" w:rsidRDefault="00A414A7" w:rsidP="00330469">
      <w:pPr>
        <w:tabs>
          <w:tab w:val="left" w:pos="0"/>
        </w:tabs>
        <w:jc w:val="center"/>
        <w:rPr>
          <w:b/>
          <w:sz w:val="24"/>
        </w:rPr>
      </w:pPr>
    </w:p>
    <w:p w:rsidR="00D22129" w:rsidRDefault="00D22129" w:rsidP="00330469">
      <w:pPr>
        <w:tabs>
          <w:tab w:val="left" w:pos="0"/>
        </w:tabs>
        <w:jc w:val="center"/>
        <w:rPr>
          <w:b/>
          <w:sz w:val="24"/>
        </w:rPr>
      </w:pPr>
    </w:p>
    <w:p w:rsidR="00A414A7" w:rsidRPr="00726680" w:rsidRDefault="00A414A7" w:rsidP="00A414A7">
      <w:pPr>
        <w:autoSpaceDE w:val="0"/>
        <w:autoSpaceDN w:val="0"/>
        <w:jc w:val="center"/>
        <w:rPr>
          <w:sz w:val="24"/>
          <w:szCs w:val="24"/>
        </w:rPr>
      </w:pPr>
      <w:r w:rsidRPr="00726680">
        <w:rPr>
          <w:sz w:val="24"/>
          <w:szCs w:val="24"/>
        </w:rPr>
        <w:t>Before</w:t>
      </w:r>
    </w:p>
    <w:p w:rsidR="00A414A7" w:rsidRPr="00726680" w:rsidRDefault="00A414A7" w:rsidP="00A414A7">
      <w:pPr>
        <w:autoSpaceDE w:val="0"/>
        <w:autoSpaceDN w:val="0"/>
        <w:jc w:val="center"/>
        <w:rPr>
          <w:sz w:val="24"/>
          <w:szCs w:val="24"/>
        </w:rPr>
      </w:pPr>
      <w:r w:rsidRPr="00726680">
        <w:rPr>
          <w:sz w:val="24"/>
          <w:szCs w:val="24"/>
        </w:rPr>
        <w:t>Conrad A. Johnson</w:t>
      </w:r>
    </w:p>
    <w:p w:rsidR="00A414A7" w:rsidRPr="00726680" w:rsidRDefault="00A414A7" w:rsidP="00A414A7">
      <w:pPr>
        <w:autoSpaceDE w:val="0"/>
        <w:autoSpaceDN w:val="0"/>
        <w:jc w:val="center"/>
        <w:rPr>
          <w:sz w:val="24"/>
          <w:szCs w:val="24"/>
        </w:rPr>
      </w:pPr>
      <w:r w:rsidRPr="00726680">
        <w:rPr>
          <w:sz w:val="24"/>
          <w:szCs w:val="24"/>
        </w:rPr>
        <w:t>Administrative Law Judge</w:t>
      </w:r>
    </w:p>
    <w:p w:rsidR="00A414A7" w:rsidRPr="00726680" w:rsidRDefault="00A414A7" w:rsidP="00A414A7">
      <w:pPr>
        <w:autoSpaceDE w:val="0"/>
        <w:autoSpaceDN w:val="0"/>
        <w:jc w:val="center"/>
        <w:rPr>
          <w:sz w:val="24"/>
          <w:szCs w:val="24"/>
        </w:rPr>
      </w:pPr>
    </w:p>
    <w:p w:rsidR="00A414A7" w:rsidRPr="00726680" w:rsidRDefault="00A414A7" w:rsidP="00A414A7">
      <w:pPr>
        <w:tabs>
          <w:tab w:val="left" w:pos="0"/>
        </w:tabs>
        <w:rPr>
          <w:rFonts w:eastAsia="SimSun"/>
          <w:sz w:val="24"/>
        </w:rPr>
      </w:pPr>
      <w:r w:rsidRPr="00726680">
        <w:rPr>
          <w:rFonts w:eastAsia="SimSun"/>
          <w:sz w:val="24"/>
        </w:rPr>
        <w:tab/>
      </w:r>
      <w:r w:rsidRPr="00726680">
        <w:rPr>
          <w:rFonts w:eastAsia="SimSun"/>
          <w:sz w:val="24"/>
        </w:rPr>
        <w:tab/>
      </w:r>
    </w:p>
    <w:p w:rsidR="00A414A7" w:rsidRPr="00726680" w:rsidRDefault="00A414A7" w:rsidP="00A414A7">
      <w:pPr>
        <w:tabs>
          <w:tab w:val="left" w:pos="0"/>
        </w:tabs>
        <w:rPr>
          <w:rFonts w:eastAsia="SimSun"/>
          <w:sz w:val="24"/>
        </w:rPr>
      </w:pPr>
      <w:r w:rsidRPr="00726680">
        <w:rPr>
          <w:rFonts w:eastAsia="SimSun"/>
          <w:sz w:val="24"/>
        </w:rPr>
        <w:tab/>
      </w:r>
      <w:r w:rsidRPr="00726680">
        <w:rPr>
          <w:rFonts w:eastAsia="SimSun"/>
          <w:sz w:val="24"/>
        </w:rPr>
        <w:tab/>
        <w:t>This decision dismisses the Complaint filed in this matter for lack of prosecution.</w:t>
      </w:r>
    </w:p>
    <w:p w:rsidR="00A414A7" w:rsidRPr="00726680" w:rsidRDefault="00A414A7" w:rsidP="00A414A7">
      <w:pPr>
        <w:autoSpaceDE w:val="0"/>
        <w:autoSpaceDN w:val="0"/>
        <w:jc w:val="center"/>
        <w:rPr>
          <w:sz w:val="24"/>
          <w:szCs w:val="24"/>
        </w:rPr>
      </w:pPr>
    </w:p>
    <w:p w:rsidR="00330469" w:rsidRDefault="00330469" w:rsidP="00330469">
      <w:pPr>
        <w:tabs>
          <w:tab w:val="left" w:pos="0"/>
        </w:tabs>
        <w:jc w:val="both"/>
        <w:rPr>
          <w:sz w:val="24"/>
        </w:rPr>
      </w:pPr>
    </w:p>
    <w:p w:rsidR="00B2111E" w:rsidRDefault="00B2111E" w:rsidP="00330469">
      <w:pPr>
        <w:spacing w:line="360" w:lineRule="auto"/>
        <w:jc w:val="center"/>
        <w:rPr>
          <w:rFonts w:eastAsia="Calibri"/>
          <w:sz w:val="24"/>
          <w:szCs w:val="24"/>
          <w:u w:val="single"/>
        </w:rPr>
      </w:pPr>
      <w:r>
        <w:rPr>
          <w:rFonts w:eastAsia="Calibri"/>
          <w:sz w:val="24"/>
          <w:szCs w:val="24"/>
          <w:u w:val="single"/>
        </w:rPr>
        <w:t>HISTORY OF THE PROCEEDING</w:t>
      </w:r>
    </w:p>
    <w:p w:rsidR="00330469" w:rsidRDefault="00330469" w:rsidP="00330469">
      <w:pPr>
        <w:spacing w:line="360" w:lineRule="auto"/>
        <w:jc w:val="center"/>
        <w:rPr>
          <w:rFonts w:eastAsia="Calibri"/>
          <w:sz w:val="24"/>
          <w:szCs w:val="24"/>
          <w:u w:val="single"/>
        </w:rPr>
      </w:pPr>
    </w:p>
    <w:p w:rsidR="00E94ABD" w:rsidRDefault="00B2111E" w:rsidP="00330469">
      <w:pPr>
        <w:spacing w:line="360" w:lineRule="auto"/>
        <w:rPr>
          <w:rFonts w:eastAsia="Calibri"/>
          <w:sz w:val="24"/>
          <w:szCs w:val="24"/>
        </w:rPr>
      </w:pPr>
      <w:r>
        <w:rPr>
          <w:rFonts w:eastAsia="Calibri"/>
          <w:sz w:val="24"/>
          <w:szCs w:val="24"/>
        </w:rPr>
        <w:tab/>
      </w:r>
      <w:r>
        <w:rPr>
          <w:rFonts w:eastAsia="Calibri"/>
          <w:sz w:val="24"/>
          <w:szCs w:val="24"/>
        </w:rPr>
        <w:tab/>
        <w:t xml:space="preserve">On </w:t>
      </w:r>
      <w:r w:rsidR="00122E5F">
        <w:rPr>
          <w:rFonts w:eastAsia="Calibri"/>
          <w:sz w:val="24"/>
          <w:szCs w:val="24"/>
        </w:rPr>
        <w:t xml:space="preserve">October </w:t>
      </w:r>
      <w:r w:rsidR="009C5FAA">
        <w:rPr>
          <w:rFonts w:eastAsia="Calibri"/>
          <w:sz w:val="24"/>
          <w:szCs w:val="24"/>
        </w:rPr>
        <w:t>7</w:t>
      </w:r>
      <w:r>
        <w:rPr>
          <w:rFonts w:eastAsia="Calibri"/>
          <w:sz w:val="24"/>
          <w:szCs w:val="24"/>
        </w:rPr>
        <w:t>, 201</w:t>
      </w:r>
      <w:r w:rsidR="009C5FAA">
        <w:rPr>
          <w:rFonts w:eastAsia="Calibri"/>
          <w:sz w:val="24"/>
          <w:szCs w:val="24"/>
        </w:rPr>
        <w:t>6</w:t>
      </w:r>
      <w:r>
        <w:rPr>
          <w:rFonts w:eastAsia="Calibri"/>
          <w:sz w:val="24"/>
          <w:szCs w:val="24"/>
        </w:rPr>
        <w:t xml:space="preserve">, Complainant </w:t>
      </w:r>
      <w:r w:rsidR="009C5FAA">
        <w:rPr>
          <w:rFonts w:eastAsia="Calibri"/>
          <w:sz w:val="24"/>
          <w:szCs w:val="24"/>
        </w:rPr>
        <w:t>Drucilla Thorpe</w:t>
      </w:r>
      <w:r w:rsidR="00FC3E48">
        <w:rPr>
          <w:rFonts w:eastAsia="Calibri"/>
          <w:sz w:val="24"/>
          <w:szCs w:val="24"/>
        </w:rPr>
        <w:t xml:space="preserve"> </w:t>
      </w:r>
      <w:r w:rsidR="005355EA">
        <w:rPr>
          <w:rFonts w:eastAsia="Calibri"/>
          <w:sz w:val="24"/>
          <w:szCs w:val="24"/>
        </w:rPr>
        <w:t>(Complainant</w:t>
      </w:r>
      <w:r w:rsidR="004328C1">
        <w:rPr>
          <w:rFonts w:eastAsia="Calibri"/>
          <w:sz w:val="24"/>
          <w:szCs w:val="24"/>
        </w:rPr>
        <w:t xml:space="preserve"> or M</w:t>
      </w:r>
      <w:r w:rsidR="009C5FAA">
        <w:rPr>
          <w:rFonts w:eastAsia="Calibri"/>
          <w:sz w:val="24"/>
          <w:szCs w:val="24"/>
        </w:rPr>
        <w:t>s</w:t>
      </w:r>
      <w:r w:rsidR="004328C1">
        <w:rPr>
          <w:rFonts w:eastAsia="Calibri"/>
          <w:sz w:val="24"/>
          <w:szCs w:val="24"/>
        </w:rPr>
        <w:t xml:space="preserve">. </w:t>
      </w:r>
      <w:r w:rsidR="009C5FAA">
        <w:rPr>
          <w:rFonts w:eastAsia="Calibri"/>
          <w:sz w:val="24"/>
          <w:szCs w:val="24"/>
        </w:rPr>
        <w:t>Thorpe</w:t>
      </w:r>
      <w:r w:rsidR="005355EA">
        <w:rPr>
          <w:rFonts w:eastAsia="Calibri"/>
          <w:sz w:val="24"/>
          <w:szCs w:val="24"/>
        </w:rPr>
        <w:t xml:space="preserve">) </w:t>
      </w:r>
      <w:r w:rsidR="00FC3E48">
        <w:rPr>
          <w:rFonts w:eastAsia="Calibri"/>
          <w:sz w:val="24"/>
          <w:szCs w:val="24"/>
        </w:rPr>
        <w:t xml:space="preserve">filed a </w:t>
      </w:r>
      <w:r w:rsidR="00122E5F">
        <w:rPr>
          <w:rFonts w:eastAsia="Calibri"/>
          <w:sz w:val="24"/>
          <w:szCs w:val="24"/>
        </w:rPr>
        <w:t>C</w:t>
      </w:r>
      <w:r w:rsidR="00FC3E48">
        <w:rPr>
          <w:rFonts w:eastAsia="Calibri"/>
          <w:sz w:val="24"/>
          <w:szCs w:val="24"/>
        </w:rPr>
        <w:t xml:space="preserve">omplaint </w:t>
      </w:r>
      <w:r w:rsidR="005355EA" w:rsidRPr="009E7B03">
        <w:rPr>
          <w:snapToGrid w:val="0"/>
          <w:sz w:val="24"/>
          <w:szCs w:val="24"/>
        </w:rPr>
        <w:t>seeking review of the Commission’s Bureau of Consumer Services’ (BCS)</w:t>
      </w:r>
      <w:r w:rsidR="005355EA" w:rsidRPr="005355EA">
        <w:rPr>
          <w:snapToGrid w:val="0"/>
          <w:sz w:val="24"/>
          <w:szCs w:val="24"/>
        </w:rPr>
        <w:t xml:space="preserve"> </w:t>
      </w:r>
      <w:r w:rsidR="009A1E5B">
        <w:rPr>
          <w:snapToGrid w:val="0"/>
          <w:sz w:val="24"/>
          <w:szCs w:val="24"/>
        </w:rPr>
        <w:t>August 9, 2016</w:t>
      </w:r>
      <w:r w:rsidR="005355EA" w:rsidRPr="009E7B03">
        <w:rPr>
          <w:snapToGrid w:val="0"/>
          <w:sz w:val="24"/>
          <w:szCs w:val="24"/>
        </w:rPr>
        <w:t xml:space="preserve"> denial of h</w:t>
      </w:r>
      <w:r w:rsidR="0083222F">
        <w:rPr>
          <w:snapToGrid w:val="0"/>
          <w:sz w:val="24"/>
          <w:szCs w:val="24"/>
        </w:rPr>
        <w:t>er</w:t>
      </w:r>
      <w:r w:rsidR="005355EA" w:rsidRPr="009E7B03">
        <w:rPr>
          <w:snapToGrid w:val="0"/>
          <w:sz w:val="24"/>
          <w:szCs w:val="24"/>
        </w:rPr>
        <w:t xml:space="preserve"> informal complaint</w:t>
      </w:r>
      <w:r w:rsidR="005355EA">
        <w:rPr>
          <w:snapToGrid w:val="0"/>
          <w:sz w:val="24"/>
          <w:szCs w:val="24"/>
        </w:rPr>
        <w:t xml:space="preserve"> against </w:t>
      </w:r>
      <w:r w:rsidR="005355EA">
        <w:rPr>
          <w:rFonts w:eastAsia="Calibri"/>
          <w:sz w:val="24"/>
          <w:szCs w:val="24"/>
        </w:rPr>
        <w:t xml:space="preserve">Respondent </w:t>
      </w:r>
      <w:r w:rsidR="009A1E5B">
        <w:rPr>
          <w:rFonts w:eastAsia="Calibri"/>
          <w:sz w:val="24"/>
          <w:szCs w:val="24"/>
        </w:rPr>
        <w:t>Philadelphia Gas Works</w:t>
      </w:r>
      <w:r w:rsidR="005355EA">
        <w:rPr>
          <w:rFonts w:eastAsia="Calibri"/>
          <w:sz w:val="24"/>
          <w:szCs w:val="24"/>
        </w:rPr>
        <w:t xml:space="preserve"> (</w:t>
      </w:r>
      <w:r w:rsidR="009A1E5B">
        <w:rPr>
          <w:rFonts w:eastAsia="Calibri"/>
          <w:sz w:val="24"/>
          <w:szCs w:val="24"/>
        </w:rPr>
        <w:t>PGW</w:t>
      </w:r>
      <w:r w:rsidR="00777110">
        <w:rPr>
          <w:rFonts w:eastAsia="Calibri"/>
          <w:sz w:val="24"/>
          <w:szCs w:val="24"/>
        </w:rPr>
        <w:t xml:space="preserve"> or Respondent</w:t>
      </w:r>
      <w:r w:rsidR="005355EA">
        <w:rPr>
          <w:rFonts w:eastAsia="Calibri"/>
          <w:sz w:val="24"/>
          <w:szCs w:val="24"/>
        </w:rPr>
        <w:t>)</w:t>
      </w:r>
      <w:r w:rsidR="005355EA">
        <w:rPr>
          <w:snapToGrid w:val="0"/>
          <w:sz w:val="24"/>
          <w:szCs w:val="24"/>
        </w:rPr>
        <w:t xml:space="preserve"> at BCS No. 3</w:t>
      </w:r>
      <w:r w:rsidR="00122E5F">
        <w:rPr>
          <w:snapToGrid w:val="0"/>
          <w:sz w:val="24"/>
          <w:szCs w:val="24"/>
        </w:rPr>
        <w:t>3</w:t>
      </w:r>
      <w:r w:rsidR="009A1E5B">
        <w:rPr>
          <w:snapToGrid w:val="0"/>
          <w:sz w:val="24"/>
          <w:szCs w:val="24"/>
        </w:rPr>
        <w:t>745485</w:t>
      </w:r>
      <w:r w:rsidR="005355EA">
        <w:rPr>
          <w:snapToGrid w:val="0"/>
          <w:sz w:val="24"/>
          <w:szCs w:val="24"/>
        </w:rPr>
        <w:t xml:space="preserve">.  </w:t>
      </w:r>
      <w:r w:rsidR="00FC3E48">
        <w:rPr>
          <w:rFonts w:eastAsia="Calibri"/>
          <w:sz w:val="24"/>
          <w:szCs w:val="24"/>
        </w:rPr>
        <w:t>Complainant alleged</w:t>
      </w:r>
      <w:r w:rsidR="00E94ABD">
        <w:rPr>
          <w:rFonts w:eastAsia="Calibri"/>
          <w:sz w:val="24"/>
          <w:szCs w:val="24"/>
        </w:rPr>
        <w:t xml:space="preserve"> in h</w:t>
      </w:r>
      <w:r w:rsidR="009A1E5B">
        <w:rPr>
          <w:rFonts w:eastAsia="Calibri"/>
          <w:sz w:val="24"/>
          <w:szCs w:val="24"/>
        </w:rPr>
        <w:t>er</w:t>
      </w:r>
      <w:r w:rsidR="00E94ABD">
        <w:rPr>
          <w:rFonts w:eastAsia="Calibri"/>
          <w:sz w:val="24"/>
          <w:szCs w:val="24"/>
        </w:rPr>
        <w:t xml:space="preserve"> Complaint</w:t>
      </w:r>
      <w:r w:rsidR="009A1E5B">
        <w:rPr>
          <w:rFonts w:eastAsia="Calibri"/>
          <w:sz w:val="24"/>
          <w:szCs w:val="24"/>
        </w:rPr>
        <w:t xml:space="preserve"> that PGW was threatening to terminate her service or had already terminated her service at </w:t>
      </w:r>
      <w:r w:rsidR="00521AA8">
        <w:rPr>
          <w:rFonts w:eastAsia="Calibri"/>
          <w:sz w:val="24"/>
          <w:szCs w:val="24"/>
        </w:rPr>
        <w:t>1</w:t>
      </w:r>
      <w:r w:rsidR="009A1E5B">
        <w:rPr>
          <w:rFonts w:eastAsia="Calibri"/>
          <w:sz w:val="24"/>
          <w:szCs w:val="24"/>
        </w:rPr>
        <w:t>612 N. 54</w:t>
      </w:r>
      <w:r w:rsidR="009A1E5B" w:rsidRPr="009A1E5B">
        <w:rPr>
          <w:rFonts w:eastAsia="Calibri"/>
          <w:sz w:val="24"/>
          <w:szCs w:val="24"/>
          <w:vertAlign w:val="superscript"/>
        </w:rPr>
        <w:t>th</w:t>
      </w:r>
      <w:r w:rsidR="009A1E5B">
        <w:rPr>
          <w:rFonts w:eastAsia="Calibri"/>
          <w:sz w:val="24"/>
          <w:szCs w:val="24"/>
        </w:rPr>
        <w:t xml:space="preserve"> Street, </w:t>
      </w:r>
      <w:r w:rsidR="00F52613">
        <w:rPr>
          <w:rFonts w:eastAsia="Calibri"/>
          <w:sz w:val="24"/>
          <w:szCs w:val="24"/>
        </w:rPr>
        <w:t>A</w:t>
      </w:r>
      <w:r w:rsidR="009A1E5B">
        <w:rPr>
          <w:rFonts w:eastAsia="Calibri"/>
          <w:sz w:val="24"/>
          <w:szCs w:val="24"/>
        </w:rPr>
        <w:t xml:space="preserve">partment </w:t>
      </w:r>
      <w:r w:rsidR="00F52613">
        <w:rPr>
          <w:rFonts w:eastAsia="Calibri"/>
          <w:sz w:val="24"/>
          <w:szCs w:val="24"/>
        </w:rPr>
        <w:t>5, 3</w:t>
      </w:r>
      <w:r w:rsidR="00F52613" w:rsidRPr="00F52613">
        <w:rPr>
          <w:rFonts w:eastAsia="Calibri"/>
          <w:sz w:val="24"/>
          <w:szCs w:val="24"/>
          <w:vertAlign w:val="superscript"/>
        </w:rPr>
        <w:t>rd</w:t>
      </w:r>
      <w:r w:rsidR="00F52613">
        <w:rPr>
          <w:rFonts w:eastAsia="Calibri"/>
          <w:sz w:val="24"/>
          <w:szCs w:val="24"/>
        </w:rPr>
        <w:t xml:space="preserve"> Floor, Philadelphia, Pennsylvania 19131</w:t>
      </w:r>
      <w:r w:rsidR="00521AA8">
        <w:rPr>
          <w:rFonts w:eastAsia="Calibri"/>
          <w:sz w:val="24"/>
          <w:szCs w:val="24"/>
        </w:rPr>
        <w:t xml:space="preserve"> (current address)</w:t>
      </w:r>
      <w:r w:rsidR="009A1E5B">
        <w:rPr>
          <w:rFonts w:eastAsia="Calibri"/>
          <w:sz w:val="24"/>
          <w:szCs w:val="24"/>
        </w:rPr>
        <w:t>.</w:t>
      </w:r>
      <w:r w:rsidR="0083222F">
        <w:rPr>
          <w:rFonts w:eastAsia="Calibri"/>
          <w:sz w:val="24"/>
          <w:szCs w:val="24"/>
        </w:rPr>
        <w:t xml:space="preserve"> </w:t>
      </w:r>
      <w:r w:rsidR="009A1E5B">
        <w:rPr>
          <w:rFonts w:eastAsia="Calibri"/>
          <w:sz w:val="24"/>
          <w:szCs w:val="24"/>
        </w:rPr>
        <w:t xml:space="preserve"> Complainant further alleged that there were incorrect charges on her bill </w:t>
      </w:r>
      <w:proofErr w:type="gramStart"/>
      <w:r w:rsidR="009A1E5B">
        <w:rPr>
          <w:rFonts w:eastAsia="Calibri"/>
          <w:sz w:val="24"/>
          <w:szCs w:val="24"/>
        </w:rPr>
        <w:t>in the amount of</w:t>
      </w:r>
      <w:proofErr w:type="gramEnd"/>
      <w:r w:rsidR="009A1E5B">
        <w:rPr>
          <w:rFonts w:eastAsia="Calibri"/>
          <w:sz w:val="24"/>
          <w:szCs w:val="24"/>
        </w:rPr>
        <w:t xml:space="preserve"> $2,389.34 for the period July 16, 2013 to </w:t>
      </w:r>
      <w:r w:rsidR="005B1B41">
        <w:rPr>
          <w:rFonts w:eastAsia="Calibri"/>
          <w:sz w:val="24"/>
          <w:szCs w:val="24"/>
        </w:rPr>
        <w:t>October 31</w:t>
      </w:r>
      <w:r w:rsidR="009A1E5B">
        <w:rPr>
          <w:rFonts w:eastAsia="Calibri"/>
          <w:sz w:val="24"/>
          <w:szCs w:val="24"/>
        </w:rPr>
        <w:t>, 2014</w:t>
      </w:r>
      <w:r w:rsidR="00F52613">
        <w:rPr>
          <w:rFonts w:eastAsia="Calibri"/>
          <w:sz w:val="24"/>
          <w:szCs w:val="24"/>
        </w:rPr>
        <w:t xml:space="preserve"> at her p</w:t>
      </w:r>
      <w:r w:rsidR="00C2451B">
        <w:rPr>
          <w:rFonts w:eastAsia="Calibri"/>
          <w:sz w:val="24"/>
          <w:szCs w:val="24"/>
        </w:rPr>
        <w:t>re</w:t>
      </w:r>
      <w:r w:rsidR="00F52613">
        <w:rPr>
          <w:rFonts w:eastAsia="Calibri"/>
          <w:sz w:val="24"/>
          <w:szCs w:val="24"/>
        </w:rPr>
        <w:t>vious service address, 1726 N. Peach Street, Philadelphia, Pennsylvania 19131</w:t>
      </w:r>
      <w:r w:rsidR="00521AA8">
        <w:rPr>
          <w:rFonts w:eastAsia="Calibri"/>
          <w:sz w:val="24"/>
          <w:szCs w:val="24"/>
        </w:rPr>
        <w:t xml:space="preserve"> (Service Address)</w:t>
      </w:r>
      <w:r w:rsidR="009A1E5B">
        <w:rPr>
          <w:rFonts w:eastAsia="Calibri"/>
          <w:sz w:val="24"/>
          <w:szCs w:val="24"/>
        </w:rPr>
        <w:t>.</w:t>
      </w:r>
      <w:r w:rsidR="0083222F">
        <w:rPr>
          <w:rFonts w:eastAsia="Calibri"/>
          <w:sz w:val="24"/>
          <w:szCs w:val="24"/>
        </w:rPr>
        <w:t xml:space="preserve"> </w:t>
      </w:r>
      <w:r w:rsidR="009A1E5B">
        <w:rPr>
          <w:rFonts w:eastAsia="Calibri"/>
          <w:sz w:val="24"/>
          <w:szCs w:val="24"/>
        </w:rPr>
        <w:t xml:space="preserve"> According to Complainant</w:t>
      </w:r>
      <w:r w:rsidR="0083222F">
        <w:rPr>
          <w:rFonts w:eastAsia="Calibri"/>
          <w:sz w:val="24"/>
          <w:szCs w:val="24"/>
        </w:rPr>
        <w:t>,</w:t>
      </w:r>
      <w:r w:rsidR="009A1E5B">
        <w:rPr>
          <w:rFonts w:eastAsia="Calibri"/>
          <w:sz w:val="24"/>
          <w:szCs w:val="24"/>
        </w:rPr>
        <w:t xml:space="preserve"> she had paid the outstanding amount from settlement proceeds</w:t>
      </w:r>
      <w:r w:rsidR="00F52613">
        <w:rPr>
          <w:rFonts w:eastAsia="Calibri"/>
          <w:sz w:val="24"/>
          <w:szCs w:val="24"/>
        </w:rPr>
        <w:t>, and she had request</w:t>
      </w:r>
      <w:r w:rsidR="0083222F">
        <w:rPr>
          <w:rFonts w:eastAsia="Calibri"/>
          <w:sz w:val="24"/>
          <w:szCs w:val="24"/>
        </w:rPr>
        <w:t>ed</w:t>
      </w:r>
      <w:r w:rsidR="00F52613">
        <w:rPr>
          <w:rFonts w:eastAsia="Calibri"/>
          <w:sz w:val="24"/>
          <w:szCs w:val="24"/>
        </w:rPr>
        <w:t xml:space="preserve"> service termination at </w:t>
      </w:r>
      <w:r w:rsidR="0083222F">
        <w:rPr>
          <w:rFonts w:eastAsia="Calibri"/>
          <w:sz w:val="24"/>
          <w:szCs w:val="24"/>
        </w:rPr>
        <w:t>the Service A</w:t>
      </w:r>
      <w:r w:rsidR="00F52613">
        <w:rPr>
          <w:rFonts w:eastAsia="Calibri"/>
          <w:sz w:val="24"/>
          <w:szCs w:val="24"/>
        </w:rPr>
        <w:t>ddress on July 13, 2013</w:t>
      </w:r>
      <w:r w:rsidR="00D22129">
        <w:rPr>
          <w:rFonts w:eastAsia="Calibri"/>
          <w:sz w:val="24"/>
          <w:szCs w:val="24"/>
        </w:rPr>
        <w:t xml:space="preserve">.  </w:t>
      </w:r>
      <w:r w:rsidR="00F52613">
        <w:rPr>
          <w:rFonts w:eastAsia="Calibri"/>
          <w:sz w:val="24"/>
          <w:szCs w:val="24"/>
        </w:rPr>
        <w:t>As relief, Complainant requested that the Commission determine whether PGW properly applied her settlement proceeds to her account.</w:t>
      </w:r>
    </w:p>
    <w:p w:rsidR="00F52613" w:rsidRDefault="00F52613" w:rsidP="008E5574">
      <w:pPr>
        <w:spacing w:line="360" w:lineRule="auto"/>
        <w:rPr>
          <w:rFonts w:eastAsia="Calibri"/>
          <w:sz w:val="24"/>
          <w:szCs w:val="24"/>
        </w:rPr>
      </w:pPr>
    </w:p>
    <w:p w:rsidR="0083222F" w:rsidRDefault="005C0937" w:rsidP="008E5574">
      <w:pPr>
        <w:spacing w:line="360" w:lineRule="auto"/>
        <w:rPr>
          <w:rFonts w:eastAsia="Calibri"/>
          <w:sz w:val="24"/>
          <w:szCs w:val="24"/>
        </w:rPr>
      </w:pPr>
      <w:r>
        <w:rPr>
          <w:rFonts w:eastAsia="Calibri"/>
          <w:sz w:val="24"/>
          <w:szCs w:val="24"/>
        </w:rPr>
        <w:lastRenderedPageBreak/>
        <w:tab/>
      </w:r>
      <w:r>
        <w:rPr>
          <w:rFonts w:eastAsia="Calibri"/>
          <w:sz w:val="24"/>
          <w:szCs w:val="24"/>
        </w:rPr>
        <w:tab/>
        <w:t xml:space="preserve">On </w:t>
      </w:r>
      <w:r w:rsidR="00521AA8">
        <w:rPr>
          <w:rFonts w:eastAsia="Calibri"/>
          <w:sz w:val="24"/>
          <w:szCs w:val="24"/>
        </w:rPr>
        <w:t xml:space="preserve">October 27, 2016, Respondent </w:t>
      </w:r>
      <w:r>
        <w:rPr>
          <w:rFonts w:eastAsia="Calibri"/>
          <w:sz w:val="24"/>
          <w:szCs w:val="24"/>
        </w:rPr>
        <w:t>filed an Answer</w:t>
      </w:r>
      <w:r w:rsidR="005355EA">
        <w:rPr>
          <w:rFonts w:eastAsia="Calibri"/>
          <w:sz w:val="24"/>
          <w:szCs w:val="24"/>
        </w:rPr>
        <w:t xml:space="preserve">. </w:t>
      </w:r>
      <w:r w:rsidR="0053789E">
        <w:rPr>
          <w:rFonts w:eastAsia="Calibri"/>
          <w:sz w:val="24"/>
          <w:szCs w:val="24"/>
        </w:rPr>
        <w:t xml:space="preserve"> </w:t>
      </w:r>
      <w:r w:rsidR="00521AA8">
        <w:rPr>
          <w:rFonts w:eastAsia="Calibri"/>
          <w:sz w:val="24"/>
          <w:szCs w:val="24"/>
        </w:rPr>
        <w:t xml:space="preserve">PGW admitted </w:t>
      </w:r>
      <w:r w:rsidR="00C1330A">
        <w:rPr>
          <w:rFonts w:eastAsia="Calibri"/>
          <w:sz w:val="24"/>
          <w:szCs w:val="24"/>
        </w:rPr>
        <w:t xml:space="preserve">that it </w:t>
      </w:r>
      <w:r w:rsidR="00521AA8">
        <w:rPr>
          <w:rFonts w:eastAsia="Calibri"/>
          <w:sz w:val="24"/>
          <w:szCs w:val="24"/>
        </w:rPr>
        <w:t>issued</w:t>
      </w:r>
    </w:p>
    <w:p w:rsidR="006469D2" w:rsidRDefault="00521AA8" w:rsidP="008E5574">
      <w:pPr>
        <w:spacing w:line="360" w:lineRule="auto"/>
        <w:rPr>
          <w:rFonts w:eastAsia="Calibri"/>
          <w:sz w:val="24"/>
          <w:szCs w:val="24"/>
        </w:rPr>
      </w:pPr>
      <w:proofErr w:type="gramStart"/>
      <w:r>
        <w:rPr>
          <w:rFonts w:eastAsia="Calibri"/>
          <w:sz w:val="24"/>
          <w:szCs w:val="24"/>
        </w:rPr>
        <w:t>a</w:t>
      </w:r>
      <w:proofErr w:type="gramEnd"/>
      <w:r>
        <w:rPr>
          <w:rFonts w:eastAsia="Calibri"/>
          <w:sz w:val="24"/>
          <w:szCs w:val="24"/>
        </w:rPr>
        <w:t xml:space="preserve"> shut</w:t>
      </w:r>
      <w:r w:rsidR="00D3733F">
        <w:rPr>
          <w:rFonts w:eastAsia="Calibri"/>
          <w:sz w:val="24"/>
          <w:szCs w:val="24"/>
        </w:rPr>
        <w:t>-</w:t>
      </w:r>
      <w:r>
        <w:rPr>
          <w:rFonts w:eastAsia="Calibri"/>
          <w:sz w:val="24"/>
          <w:szCs w:val="24"/>
        </w:rPr>
        <w:t xml:space="preserve">off notice for service at Ms. Thorpe’s current address. </w:t>
      </w:r>
      <w:r w:rsidR="00C1330A">
        <w:rPr>
          <w:rFonts w:eastAsia="Calibri"/>
          <w:sz w:val="24"/>
          <w:szCs w:val="24"/>
        </w:rPr>
        <w:t xml:space="preserve"> </w:t>
      </w:r>
      <w:r w:rsidR="005B1B41">
        <w:rPr>
          <w:rFonts w:eastAsia="Calibri"/>
          <w:sz w:val="24"/>
          <w:szCs w:val="24"/>
        </w:rPr>
        <w:t xml:space="preserve">PGW </w:t>
      </w:r>
      <w:r>
        <w:rPr>
          <w:rFonts w:eastAsia="Calibri"/>
          <w:sz w:val="24"/>
          <w:szCs w:val="24"/>
        </w:rPr>
        <w:t xml:space="preserve">denied that there were incorrect charges for </w:t>
      </w:r>
      <w:r w:rsidR="005B1B41">
        <w:rPr>
          <w:rFonts w:eastAsia="Calibri"/>
          <w:sz w:val="24"/>
          <w:szCs w:val="24"/>
        </w:rPr>
        <w:t>service from July 16, 2013 to October 31, 2014 on the bill for the Service Address</w:t>
      </w:r>
      <w:r w:rsidR="00C1330A">
        <w:rPr>
          <w:rFonts w:eastAsia="Calibri"/>
          <w:sz w:val="24"/>
          <w:szCs w:val="24"/>
        </w:rPr>
        <w:t>.  PGW further alleged, in part, that the Service Address was sold; however, Complainant never provided notice to discontinue service</w:t>
      </w:r>
      <w:r w:rsidR="00D22129">
        <w:rPr>
          <w:rFonts w:eastAsia="Calibri"/>
          <w:sz w:val="24"/>
          <w:szCs w:val="24"/>
        </w:rPr>
        <w:t xml:space="preserve">.  </w:t>
      </w:r>
      <w:r w:rsidR="00C1330A">
        <w:rPr>
          <w:rFonts w:eastAsia="Calibri"/>
          <w:sz w:val="24"/>
          <w:szCs w:val="24"/>
        </w:rPr>
        <w:t xml:space="preserve">“On July 15, 2014, PGW terminated the service at the Service Address for nonpayment,” PGW averred.  </w:t>
      </w:r>
      <w:r w:rsidR="005144D4">
        <w:rPr>
          <w:rFonts w:eastAsia="Calibri"/>
          <w:sz w:val="24"/>
          <w:szCs w:val="24"/>
        </w:rPr>
        <w:t xml:space="preserve">According to PGW, upon the sale of the Service Address, </w:t>
      </w:r>
      <w:r w:rsidR="00EC375D">
        <w:rPr>
          <w:rFonts w:eastAsia="Calibri"/>
          <w:sz w:val="24"/>
          <w:szCs w:val="24"/>
        </w:rPr>
        <w:t>“[t]</w:t>
      </w:r>
      <w:r w:rsidR="005144D4">
        <w:rPr>
          <w:rFonts w:eastAsia="Calibri"/>
          <w:sz w:val="24"/>
          <w:szCs w:val="24"/>
        </w:rPr>
        <w:t xml:space="preserve">he </w:t>
      </w:r>
      <w:r w:rsidR="00EC375D">
        <w:rPr>
          <w:rFonts w:eastAsia="Calibri"/>
          <w:sz w:val="24"/>
          <w:szCs w:val="24"/>
        </w:rPr>
        <w:t>other money reported on the [July 2013 settlement] pay-off was for other accounts at this address, therefor</w:t>
      </w:r>
      <w:r w:rsidR="00D3733F">
        <w:rPr>
          <w:rFonts w:eastAsia="Calibri"/>
          <w:sz w:val="24"/>
          <w:szCs w:val="24"/>
        </w:rPr>
        <w:t>e</w:t>
      </w:r>
      <w:r w:rsidR="00EC375D">
        <w:rPr>
          <w:rFonts w:eastAsia="Calibri"/>
          <w:sz w:val="24"/>
          <w:szCs w:val="24"/>
        </w:rPr>
        <w:t xml:space="preserve"> the money is owed.”  </w:t>
      </w:r>
      <w:r w:rsidR="006469D2">
        <w:rPr>
          <w:rFonts w:eastAsia="Calibri"/>
          <w:sz w:val="24"/>
          <w:szCs w:val="24"/>
        </w:rPr>
        <w:t>As</w:t>
      </w:r>
      <w:r w:rsidR="007622AA">
        <w:rPr>
          <w:rFonts w:eastAsia="Calibri"/>
          <w:sz w:val="24"/>
          <w:szCs w:val="24"/>
        </w:rPr>
        <w:t xml:space="preserve"> relief, </w:t>
      </w:r>
      <w:r w:rsidR="00EC375D">
        <w:rPr>
          <w:rFonts w:eastAsia="Calibri"/>
          <w:sz w:val="24"/>
          <w:szCs w:val="24"/>
        </w:rPr>
        <w:t>PGW request</w:t>
      </w:r>
      <w:r w:rsidR="007622AA">
        <w:rPr>
          <w:rFonts w:eastAsia="Calibri"/>
          <w:sz w:val="24"/>
          <w:szCs w:val="24"/>
        </w:rPr>
        <w:t xml:space="preserve">ed that the </w:t>
      </w:r>
      <w:r w:rsidR="006469D2">
        <w:rPr>
          <w:rFonts w:eastAsia="Calibri"/>
          <w:sz w:val="24"/>
          <w:szCs w:val="24"/>
        </w:rPr>
        <w:t>C</w:t>
      </w:r>
      <w:r w:rsidR="007622AA">
        <w:rPr>
          <w:rFonts w:eastAsia="Calibri"/>
          <w:sz w:val="24"/>
          <w:szCs w:val="24"/>
        </w:rPr>
        <w:t>omplaint be dismissed.</w:t>
      </w:r>
    </w:p>
    <w:p w:rsidR="00394E45" w:rsidRDefault="00394E45" w:rsidP="00394E45">
      <w:pPr>
        <w:spacing w:line="360" w:lineRule="auto"/>
        <w:rPr>
          <w:rFonts w:eastAsia="Calibri"/>
          <w:sz w:val="24"/>
          <w:szCs w:val="24"/>
        </w:rPr>
      </w:pPr>
    </w:p>
    <w:p w:rsidR="00394E45" w:rsidRPr="00C67A15" w:rsidRDefault="00394E45" w:rsidP="00394E45">
      <w:pPr>
        <w:autoSpaceDE w:val="0"/>
        <w:autoSpaceDN w:val="0"/>
        <w:spacing w:line="360" w:lineRule="auto"/>
        <w:rPr>
          <w:snapToGrid w:val="0"/>
          <w:sz w:val="24"/>
          <w:szCs w:val="24"/>
        </w:rPr>
      </w:pPr>
      <w:r w:rsidRPr="00C67A15">
        <w:rPr>
          <w:sz w:val="24"/>
          <w:szCs w:val="24"/>
        </w:rPr>
        <w:tab/>
      </w:r>
      <w:r w:rsidRPr="00C67A15">
        <w:rPr>
          <w:sz w:val="24"/>
          <w:szCs w:val="24"/>
        </w:rPr>
        <w:tab/>
        <w:t xml:space="preserve">By Call-In Telephone Hearing Notice (Hearing Notice) dated </w:t>
      </w:r>
      <w:r w:rsidR="005D29B6">
        <w:rPr>
          <w:sz w:val="24"/>
          <w:szCs w:val="24"/>
        </w:rPr>
        <w:t>November 1</w:t>
      </w:r>
      <w:r w:rsidRPr="00C67A15">
        <w:rPr>
          <w:sz w:val="24"/>
          <w:szCs w:val="24"/>
        </w:rPr>
        <w:t>, 201</w:t>
      </w:r>
      <w:r w:rsidR="005D29B6">
        <w:rPr>
          <w:sz w:val="24"/>
          <w:szCs w:val="24"/>
        </w:rPr>
        <w:t>6</w:t>
      </w:r>
      <w:r w:rsidRPr="00C67A15">
        <w:rPr>
          <w:sz w:val="24"/>
          <w:szCs w:val="24"/>
        </w:rPr>
        <w:t xml:space="preserve">, the </w:t>
      </w:r>
      <w:r w:rsidR="0083222F">
        <w:rPr>
          <w:sz w:val="24"/>
          <w:szCs w:val="24"/>
        </w:rPr>
        <w:t>P</w:t>
      </w:r>
      <w:r w:rsidRPr="00C67A15">
        <w:rPr>
          <w:sz w:val="24"/>
          <w:szCs w:val="24"/>
        </w:rPr>
        <w:t xml:space="preserve">arties were informed that the case was assigned to me pursuant to 52 Pa.Code § 56.173 for a telephonic hearing on </w:t>
      </w:r>
      <w:r w:rsidR="005D29B6">
        <w:rPr>
          <w:sz w:val="24"/>
          <w:szCs w:val="24"/>
        </w:rPr>
        <w:t>Mon</w:t>
      </w:r>
      <w:r>
        <w:rPr>
          <w:sz w:val="24"/>
          <w:szCs w:val="24"/>
        </w:rPr>
        <w:t xml:space="preserve">day, </w:t>
      </w:r>
      <w:r w:rsidR="005D29B6">
        <w:rPr>
          <w:sz w:val="24"/>
          <w:szCs w:val="24"/>
        </w:rPr>
        <w:t>December 5</w:t>
      </w:r>
      <w:r w:rsidRPr="00C67A15">
        <w:rPr>
          <w:sz w:val="24"/>
          <w:szCs w:val="24"/>
        </w:rPr>
        <w:t>, 201</w:t>
      </w:r>
      <w:r>
        <w:rPr>
          <w:sz w:val="24"/>
          <w:szCs w:val="24"/>
        </w:rPr>
        <w:t>6</w:t>
      </w:r>
      <w:r w:rsidRPr="00C67A15">
        <w:rPr>
          <w:sz w:val="24"/>
          <w:szCs w:val="24"/>
        </w:rPr>
        <w:t xml:space="preserve">, at 10:00 a.m.  The Hearing Notice advised the </w:t>
      </w:r>
      <w:r w:rsidR="0083222F">
        <w:rPr>
          <w:sz w:val="24"/>
          <w:szCs w:val="24"/>
        </w:rPr>
        <w:t>P</w:t>
      </w:r>
      <w:r w:rsidRPr="00C67A15">
        <w:rPr>
          <w:sz w:val="24"/>
          <w:szCs w:val="24"/>
        </w:rPr>
        <w:t>arties to dial the toll-free bridge number, and enter the PIN on the morning of the hearing in order to participate in the telephonic hearing.  The Hearing Notice further stated, “</w:t>
      </w:r>
      <w:r w:rsidRPr="00C67A15">
        <w:rPr>
          <w:i/>
          <w:sz w:val="24"/>
          <w:szCs w:val="24"/>
          <w:u w:val="single"/>
        </w:rPr>
        <w:t>Attention</w:t>
      </w:r>
      <w:r w:rsidRPr="00C67A15">
        <w:rPr>
          <w:i/>
          <w:sz w:val="24"/>
          <w:szCs w:val="24"/>
        </w:rPr>
        <w:t xml:space="preserve">: You may lose the case if you do not take part in this hearing and present facts on the issues raised.”  </w:t>
      </w:r>
      <w:r w:rsidRPr="00C67A15">
        <w:rPr>
          <w:snapToGrid w:val="0"/>
          <w:sz w:val="24"/>
          <w:szCs w:val="24"/>
        </w:rPr>
        <w:t xml:space="preserve">(Emphasis in original.) </w:t>
      </w:r>
    </w:p>
    <w:p w:rsidR="00394E45" w:rsidRPr="00C67A15" w:rsidRDefault="00394E45" w:rsidP="00394E45">
      <w:pPr>
        <w:autoSpaceDE w:val="0"/>
        <w:autoSpaceDN w:val="0"/>
        <w:spacing w:line="360" w:lineRule="auto"/>
        <w:rPr>
          <w:snapToGrid w:val="0"/>
          <w:sz w:val="24"/>
          <w:szCs w:val="24"/>
        </w:rPr>
      </w:pPr>
    </w:p>
    <w:p w:rsidR="00394E45" w:rsidRPr="00C67A15" w:rsidRDefault="00394E45" w:rsidP="00394E45">
      <w:pPr>
        <w:autoSpaceDE w:val="0"/>
        <w:autoSpaceDN w:val="0"/>
        <w:spacing w:line="360" w:lineRule="auto"/>
        <w:ind w:firstLine="1440"/>
        <w:rPr>
          <w:snapToGrid w:val="0"/>
          <w:sz w:val="24"/>
          <w:szCs w:val="24"/>
        </w:rPr>
      </w:pPr>
      <w:r w:rsidRPr="00C67A15">
        <w:rPr>
          <w:snapToGrid w:val="0"/>
          <w:sz w:val="24"/>
          <w:szCs w:val="24"/>
        </w:rPr>
        <w:t xml:space="preserve">On </w:t>
      </w:r>
      <w:r w:rsidR="005D29B6">
        <w:rPr>
          <w:snapToGrid w:val="0"/>
          <w:sz w:val="24"/>
          <w:szCs w:val="24"/>
        </w:rPr>
        <w:t>November 2</w:t>
      </w:r>
      <w:r w:rsidRPr="00C67A15">
        <w:rPr>
          <w:snapToGrid w:val="0"/>
          <w:sz w:val="24"/>
          <w:szCs w:val="24"/>
        </w:rPr>
        <w:t>, 201</w:t>
      </w:r>
      <w:r w:rsidR="005D29B6">
        <w:rPr>
          <w:snapToGrid w:val="0"/>
          <w:sz w:val="24"/>
          <w:szCs w:val="24"/>
        </w:rPr>
        <w:t>6</w:t>
      </w:r>
      <w:r w:rsidRPr="00C67A15">
        <w:rPr>
          <w:snapToGrid w:val="0"/>
          <w:sz w:val="24"/>
          <w:szCs w:val="24"/>
        </w:rPr>
        <w:t xml:space="preserve">, I issued a Prehearing Order, which provided the toll-free bridge number and the PIN in order to participate in the telephonic hearing.  The Prehearing Order stated as follows:  </w:t>
      </w:r>
      <w:r w:rsidRPr="00C67A15">
        <w:rPr>
          <w:b/>
          <w:snapToGrid w:val="0"/>
          <w:sz w:val="24"/>
          <w:szCs w:val="24"/>
        </w:rPr>
        <w:t>“</w:t>
      </w:r>
      <w:r w:rsidRPr="00C67A15">
        <w:rPr>
          <w:b/>
          <w:snapToGrid w:val="0"/>
          <w:sz w:val="24"/>
          <w:szCs w:val="24"/>
          <w:u w:val="single"/>
        </w:rPr>
        <w:t>You must call into the hearing on the scheduled day and time.  If you fail to do so, your case will be dismissed.  You will not be called by the Administrative Law Judge</w:t>
      </w:r>
      <w:r w:rsidRPr="00C67A15">
        <w:rPr>
          <w:b/>
          <w:snapToGrid w:val="0"/>
          <w:sz w:val="24"/>
          <w:szCs w:val="24"/>
        </w:rPr>
        <w:t>.”</w:t>
      </w:r>
      <w:r w:rsidRPr="00C67A15">
        <w:rPr>
          <w:snapToGrid w:val="0"/>
          <w:sz w:val="24"/>
          <w:szCs w:val="24"/>
        </w:rPr>
        <w:t xml:space="preserve">  (Emphasis in original.)  The Prehearing Order informed the </w:t>
      </w:r>
      <w:r w:rsidR="0083222F">
        <w:rPr>
          <w:snapToGrid w:val="0"/>
          <w:sz w:val="24"/>
          <w:szCs w:val="24"/>
        </w:rPr>
        <w:t>P</w:t>
      </w:r>
      <w:r w:rsidRPr="00C67A15">
        <w:rPr>
          <w:snapToGrid w:val="0"/>
          <w:sz w:val="24"/>
          <w:szCs w:val="24"/>
        </w:rPr>
        <w:t xml:space="preserve">arties about the applicable procedural rules, including the procedure to follow to request a hearing continuance.  </w:t>
      </w:r>
    </w:p>
    <w:p w:rsidR="00394E45" w:rsidRDefault="00394E45" w:rsidP="00394E45">
      <w:pPr>
        <w:autoSpaceDE w:val="0"/>
        <w:autoSpaceDN w:val="0"/>
        <w:spacing w:line="360" w:lineRule="auto"/>
        <w:ind w:firstLine="720"/>
        <w:rPr>
          <w:snapToGrid w:val="0"/>
          <w:sz w:val="24"/>
          <w:szCs w:val="24"/>
        </w:rPr>
      </w:pPr>
    </w:p>
    <w:p w:rsidR="005D29B6" w:rsidRDefault="005D29B6" w:rsidP="00394E45">
      <w:pPr>
        <w:autoSpaceDE w:val="0"/>
        <w:autoSpaceDN w:val="0"/>
        <w:spacing w:line="360" w:lineRule="auto"/>
        <w:ind w:firstLine="720"/>
        <w:rPr>
          <w:sz w:val="24"/>
          <w:szCs w:val="24"/>
        </w:rPr>
      </w:pPr>
      <w:r>
        <w:rPr>
          <w:snapToGrid w:val="0"/>
          <w:sz w:val="24"/>
          <w:szCs w:val="24"/>
        </w:rPr>
        <w:tab/>
        <w:t xml:space="preserve">The December 5, 2016 telephonic hearing convened as scheduled.  </w:t>
      </w:r>
      <w:r w:rsidR="00A72BC0" w:rsidRPr="00804985">
        <w:rPr>
          <w:sz w:val="24"/>
          <w:szCs w:val="24"/>
        </w:rPr>
        <w:t>M</w:t>
      </w:r>
      <w:r w:rsidR="00A72BC0">
        <w:rPr>
          <w:sz w:val="24"/>
          <w:szCs w:val="24"/>
        </w:rPr>
        <w:t>s</w:t>
      </w:r>
      <w:r w:rsidR="00A72BC0" w:rsidRPr="00804985">
        <w:rPr>
          <w:sz w:val="24"/>
          <w:szCs w:val="24"/>
        </w:rPr>
        <w:t xml:space="preserve">. </w:t>
      </w:r>
      <w:r w:rsidR="00A72BC0">
        <w:rPr>
          <w:sz w:val="24"/>
          <w:szCs w:val="24"/>
        </w:rPr>
        <w:t xml:space="preserve">Thorpe </w:t>
      </w:r>
      <w:r w:rsidR="00A72BC0" w:rsidRPr="00804985">
        <w:rPr>
          <w:sz w:val="24"/>
          <w:szCs w:val="24"/>
        </w:rPr>
        <w:t>represented h</w:t>
      </w:r>
      <w:r w:rsidR="00A72BC0">
        <w:rPr>
          <w:sz w:val="24"/>
          <w:szCs w:val="24"/>
        </w:rPr>
        <w:t>er</w:t>
      </w:r>
      <w:r w:rsidR="00A72BC0" w:rsidRPr="00804985">
        <w:rPr>
          <w:sz w:val="24"/>
          <w:szCs w:val="24"/>
        </w:rPr>
        <w:t>self</w:t>
      </w:r>
      <w:r w:rsidR="00A72BC0">
        <w:rPr>
          <w:sz w:val="24"/>
          <w:szCs w:val="24"/>
        </w:rPr>
        <w:t xml:space="preserve">.  PGW </w:t>
      </w:r>
      <w:r w:rsidR="00A72BC0" w:rsidRPr="00804985">
        <w:rPr>
          <w:sz w:val="24"/>
          <w:szCs w:val="24"/>
        </w:rPr>
        <w:t xml:space="preserve">was represented by </w:t>
      </w:r>
      <w:r w:rsidR="00A72BC0">
        <w:rPr>
          <w:sz w:val="24"/>
          <w:szCs w:val="24"/>
        </w:rPr>
        <w:t>Laureto Farinas</w:t>
      </w:r>
      <w:r w:rsidR="00A72BC0" w:rsidRPr="00804985">
        <w:rPr>
          <w:sz w:val="24"/>
          <w:szCs w:val="24"/>
        </w:rPr>
        <w:t>, Esquire</w:t>
      </w:r>
      <w:r w:rsidR="00A72BC0">
        <w:rPr>
          <w:sz w:val="24"/>
          <w:szCs w:val="24"/>
        </w:rPr>
        <w:t>, who was accompanied by PGW’s customer review officer, Joyshalyn Moore</w:t>
      </w:r>
      <w:r w:rsidR="00D22129">
        <w:rPr>
          <w:sz w:val="24"/>
          <w:szCs w:val="24"/>
        </w:rPr>
        <w:t xml:space="preserve">.  </w:t>
      </w:r>
      <w:r w:rsidR="00A72BC0">
        <w:rPr>
          <w:sz w:val="24"/>
          <w:szCs w:val="24"/>
        </w:rPr>
        <w:t>Prior to the receipt of testimony</w:t>
      </w:r>
      <w:r w:rsidR="0083222F">
        <w:rPr>
          <w:sz w:val="24"/>
          <w:szCs w:val="24"/>
        </w:rPr>
        <w:t>,</w:t>
      </w:r>
      <w:r w:rsidR="00A72BC0">
        <w:rPr>
          <w:sz w:val="24"/>
          <w:szCs w:val="24"/>
        </w:rPr>
        <w:t xml:space="preserve"> the Parties engaged in settlement discussions, resulting in a settlement of the Complaint.  On December 7, 2016, PGW filed a Certificate of Satisfaction and represented that the issues </w:t>
      </w:r>
      <w:r w:rsidR="0083222F">
        <w:rPr>
          <w:sz w:val="24"/>
          <w:szCs w:val="24"/>
        </w:rPr>
        <w:lastRenderedPageBreak/>
        <w:t xml:space="preserve">asserted </w:t>
      </w:r>
      <w:r w:rsidR="00A72BC0">
        <w:rPr>
          <w:sz w:val="24"/>
          <w:szCs w:val="24"/>
        </w:rPr>
        <w:t>in the Complaint ha</w:t>
      </w:r>
      <w:r w:rsidR="00D3733F">
        <w:rPr>
          <w:sz w:val="24"/>
          <w:szCs w:val="24"/>
        </w:rPr>
        <w:t>d</w:t>
      </w:r>
      <w:r w:rsidR="00A72BC0">
        <w:rPr>
          <w:sz w:val="24"/>
          <w:szCs w:val="24"/>
        </w:rPr>
        <w:t xml:space="preserve"> be</w:t>
      </w:r>
      <w:r w:rsidR="00D3733F">
        <w:rPr>
          <w:sz w:val="24"/>
          <w:szCs w:val="24"/>
        </w:rPr>
        <w:t>en</w:t>
      </w:r>
      <w:r w:rsidR="00A72BC0">
        <w:rPr>
          <w:sz w:val="24"/>
          <w:szCs w:val="24"/>
        </w:rPr>
        <w:t xml:space="preserve"> resolved to Complainant’s satisfaction.  The Certificate also advised the Complainant of her right to object to any part of the settlement in writing with the Commission within ten day</w:t>
      </w:r>
      <w:r w:rsidR="00D3733F">
        <w:rPr>
          <w:sz w:val="24"/>
          <w:szCs w:val="24"/>
        </w:rPr>
        <w:t>s</w:t>
      </w:r>
      <w:r w:rsidR="00A72BC0">
        <w:rPr>
          <w:sz w:val="24"/>
          <w:szCs w:val="24"/>
        </w:rPr>
        <w:t xml:space="preserve"> of </w:t>
      </w:r>
      <w:r w:rsidR="0083222F">
        <w:rPr>
          <w:sz w:val="24"/>
          <w:szCs w:val="24"/>
        </w:rPr>
        <w:t xml:space="preserve">the </w:t>
      </w:r>
      <w:r w:rsidR="00A72BC0">
        <w:rPr>
          <w:sz w:val="24"/>
          <w:szCs w:val="24"/>
        </w:rPr>
        <w:t xml:space="preserve">date of the Certificate. </w:t>
      </w:r>
    </w:p>
    <w:p w:rsidR="00A72BC0" w:rsidRPr="00C67A15" w:rsidRDefault="00A72BC0" w:rsidP="00394E45">
      <w:pPr>
        <w:autoSpaceDE w:val="0"/>
        <w:autoSpaceDN w:val="0"/>
        <w:spacing w:line="360" w:lineRule="auto"/>
        <w:ind w:firstLine="720"/>
        <w:rPr>
          <w:snapToGrid w:val="0"/>
          <w:sz w:val="24"/>
          <w:szCs w:val="24"/>
        </w:rPr>
      </w:pPr>
    </w:p>
    <w:p w:rsidR="00A72BC0" w:rsidRDefault="00525CA3" w:rsidP="00915A9B">
      <w:pPr>
        <w:autoSpaceDE w:val="0"/>
        <w:autoSpaceDN w:val="0"/>
        <w:spacing w:line="360" w:lineRule="auto"/>
        <w:ind w:firstLine="1440"/>
        <w:rPr>
          <w:snapToGrid w:val="0"/>
          <w:sz w:val="24"/>
          <w:szCs w:val="24"/>
        </w:rPr>
      </w:pPr>
      <w:r>
        <w:rPr>
          <w:snapToGrid w:val="0"/>
          <w:sz w:val="24"/>
          <w:szCs w:val="24"/>
        </w:rPr>
        <w:t xml:space="preserve">On December </w:t>
      </w:r>
      <w:r w:rsidR="00541551">
        <w:rPr>
          <w:snapToGrid w:val="0"/>
          <w:sz w:val="24"/>
          <w:szCs w:val="24"/>
        </w:rPr>
        <w:t>15</w:t>
      </w:r>
      <w:r>
        <w:rPr>
          <w:snapToGrid w:val="0"/>
          <w:sz w:val="24"/>
          <w:szCs w:val="24"/>
        </w:rPr>
        <w:t>, 2016, Ms. Th</w:t>
      </w:r>
      <w:r w:rsidR="00541551">
        <w:rPr>
          <w:snapToGrid w:val="0"/>
          <w:sz w:val="24"/>
          <w:szCs w:val="24"/>
        </w:rPr>
        <w:t>or</w:t>
      </w:r>
      <w:r>
        <w:rPr>
          <w:snapToGrid w:val="0"/>
          <w:sz w:val="24"/>
          <w:szCs w:val="24"/>
        </w:rPr>
        <w:t xml:space="preserve">pe filed a letter with the Commission’s Secretary’s Bureau objecting to the terms of the settlement.  As a result, a further hearing was scheduled in this case.  </w:t>
      </w:r>
    </w:p>
    <w:p w:rsidR="00525CA3" w:rsidRDefault="00525CA3" w:rsidP="00915A9B">
      <w:pPr>
        <w:autoSpaceDE w:val="0"/>
        <w:autoSpaceDN w:val="0"/>
        <w:spacing w:line="360" w:lineRule="auto"/>
        <w:ind w:firstLine="1440"/>
        <w:rPr>
          <w:snapToGrid w:val="0"/>
          <w:sz w:val="24"/>
          <w:szCs w:val="24"/>
        </w:rPr>
      </w:pPr>
    </w:p>
    <w:p w:rsidR="00525CA3" w:rsidRDefault="00525CA3" w:rsidP="00915A9B">
      <w:pPr>
        <w:autoSpaceDE w:val="0"/>
        <w:autoSpaceDN w:val="0"/>
        <w:spacing w:line="360" w:lineRule="auto"/>
        <w:ind w:firstLine="1440"/>
        <w:rPr>
          <w:snapToGrid w:val="0"/>
          <w:sz w:val="24"/>
          <w:szCs w:val="24"/>
        </w:rPr>
      </w:pPr>
      <w:r>
        <w:rPr>
          <w:snapToGrid w:val="0"/>
          <w:sz w:val="24"/>
          <w:szCs w:val="24"/>
        </w:rPr>
        <w:t>By Further Hearing Notice date January 17, 2017, the Parties were informed that a Further Call</w:t>
      </w:r>
      <w:r w:rsidR="0083222F">
        <w:rPr>
          <w:snapToGrid w:val="0"/>
          <w:sz w:val="24"/>
          <w:szCs w:val="24"/>
        </w:rPr>
        <w:t>-</w:t>
      </w:r>
      <w:r>
        <w:rPr>
          <w:snapToGrid w:val="0"/>
          <w:sz w:val="24"/>
          <w:szCs w:val="24"/>
        </w:rPr>
        <w:t xml:space="preserve">In Telephonic Hearing was scheduled </w:t>
      </w:r>
      <w:r w:rsidR="0083222F">
        <w:rPr>
          <w:snapToGrid w:val="0"/>
          <w:sz w:val="24"/>
          <w:szCs w:val="24"/>
        </w:rPr>
        <w:t xml:space="preserve">before me </w:t>
      </w:r>
      <w:r>
        <w:rPr>
          <w:snapToGrid w:val="0"/>
          <w:sz w:val="24"/>
          <w:szCs w:val="24"/>
        </w:rPr>
        <w:t xml:space="preserve">for Tuesday, March 7, 2017, at 10:00 a.m.  </w:t>
      </w:r>
    </w:p>
    <w:p w:rsidR="00A72BC0" w:rsidRDefault="00A72BC0" w:rsidP="00915A9B">
      <w:pPr>
        <w:autoSpaceDE w:val="0"/>
        <w:autoSpaceDN w:val="0"/>
        <w:spacing w:line="360" w:lineRule="auto"/>
        <w:ind w:firstLine="1440"/>
        <w:rPr>
          <w:snapToGrid w:val="0"/>
          <w:sz w:val="24"/>
          <w:szCs w:val="24"/>
        </w:rPr>
      </w:pPr>
    </w:p>
    <w:p w:rsidR="00525CA3" w:rsidRPr="00C67A15" w:rsidRDefault="00525CA3" w:rsidP="00525CA3">
      <w:pPr>
        <w:autoSpaceDE w:val="0"/>
        <w:autoSpaceDN w:val="0"/>
        <w:spacing w:line="360" w:lineRule="auto"/>
        <w:rPr>
          <w:snapToGrid w:val="0"/>
          <w:sz w:val="24"/>
          <w:szCs w:val="24"/>
        </w:rPr>
      </w:pPr>
      <w:r>
        <w:rPr>
          <w:sz w:val="24"/>
          <w:szCs w:val="24"/>
        </w:rPr>
        <w:tab/>
      </w:r>
      <w:r>
        <w:rPr>
          <w:sz w:val="24"/>
          <w:szCs w:val="24"/>
        </w:rPr>
        <w:tab/>
      </w:r>
      <w:r w:rsidRPr="00C67A15">
        <w:rPr>
          <w:sz w:val="24"/>
          <w:szCs w:val="24"/>
        </w:rPr>
        <w:t xml:space="preserve">The </w:t>
      </w:r>
      <w:r>
        <w:rPr>
          <w:sz w:val="24"/>
          <w:szCs w:val="24"/>
        </w:rPr>
        <w:t xml:space="preserve">Further Hearing </w:t>
      </w:r>
      <w:r w:rsidRPr="00C67A15">
        <w:rPr>
          <w:sz w:val="24"/>
          <w:szCs w:val="24"/>
        </w:rPr>
        <w:t xml:space="preserve">Notice </w:t>
      </w:r>
      <w:r>
        <w:rPr>
          <w:sz w:val="24"/>
          <w:szCs w:val="24"/>
        </w:rPr>
        <w:t xml:space="preserve">again </w:t>
      </w:r>
      <w:r w:rsidRPr="00C67A15">
        <w:rPr>
          <w:sz w:val="24"/>
          <w:szCs w:val="24"/>
        </w:rPr>
        <w:t xml:space="preserve">advised the </w:t>
      </w:r>
      <w:r>
        <w:rPr>
          <w:sz w:val="24"/>
          <w:szCs w:val="24"/>
        </w:rPr>
        <w:t>P</w:t>
      </w:r>
      <w:r w:rsidRPr="00C67A15">
        <w:rPr>
          <w:sz w:val="24"/>
          <w:szCs w:val="24"/>
        </w:rPr>
        <w:t xml:space="preserve">arties to dial the toll-free bridge number, and enter the PIN on the morning of the </w:t>
      </w:r>
      <w:r>
        <w:rPr>
          <w:sz w:val="24"/>
          <w:szCs w:val="24"/>
        </w:rPr>
        <w:t xml:space="preserve">further </w:t>
      </w:r>
      <w:r w:rsidRPr="00C67A15">
        <w:rPr>
          <w:sz w:val="24"/>
          <w:szCs w:val="24"/>
        </w:rPr>
        <w:t xml:space="preserve">hearing in order to participate in the telephonic hearing.  The </w:t>
      </w:r>
      <w:r>
        <w:rPr>
          <w:sz w:val="24"/>
          <w:szCs w:val="24"/>
        </w:rPr>
        <w:t xml:space="preserve">Further Hearing </w:t>
      </w:r>
      <w:r w:rsidRPr="00C67A15">
        <w:rPr>
          <w:sz w:val="24"/>
          <w:szCs w:val="24"/>
        </w:rPr>
        <w:t xml:space="preserve">Notice </w:t>
      </w:r>
      <w:r>
        <w:rPr>
          <w:sz w:val="24"/>
          <w:szCs w:val="24"/>
        </w:rPr>
        <w:t>again</w:t>
      </w:r>
      <w:r w:rsidRPr="00C67A15">
        <w:rPr>
          <w:sz w:val="24"/>
          <w:szCs w:val="24"/>
        </w:rPr>
        <w:t xml:space="preserve"> stated, “</w:t>
      </w:r>
      <w:r w:rsidRPr="00C67A15">
        <w:rPr>
          <w:i/>
          <w:sz w:val="24"/>
          <w:szCs w:val="24"/>
          <w:u w:val="single"/>
        </w:rPr>
        <w:t>Attention</w:t>
      </w:r>
      <w:r w:rsidRPr="00C67A15">
        <w:rPr>
          <w:i/>
          <w:sz w:val="24"/>
          <w:szCs w:val="24"/>
        </w:rPr>
        <w:t xml:space="preserve">: You may lose the case if you do not take part in this hearing and present facts on the issues raised.”  </w:t>
      </w:r>
      <w:r w:rsidRPr="00C67A15">
        <w:rPr>
          <w:snapToGrid w:val="0"/>
          <w:sz w:val="24"/>
          <w:szCs w:val="24"/>
        </w:rPr>
        <w:t xml:space="preserve">(Emphasis in original.) </w:t>
      </w:r>
    </w:p>
    <w:p w:rsidR="00525CA3" w:rsidRDefault="00525CA3" w:rsidP="00915A9B">
      <w:pPr>
        <w:autoSpaceDE w:val="0"/>
        <w:autoSpaceDN w:val="0"/>
        <w:spacing w:line="360" w:lineRule="auto"/>
        <w:ind w:firstLine="1440"/>
        <w:rPr>
          <w:snapToGrid w:val="0"/>
          <w:sz w:val="24"/>
          <w:szCs w:val="24"/>
        </w:rPr>
      </w:pPr>
    </w:p>
    <w:p w:rsidR="00915A9B" w:rsidRPr="00C67A15" w:rsidRDefault="005D29B6" w:rsidP="00915A9B">
      <w:pPr>
        <w:autoSpaceDE w:val="0"/>
        <w:autoSpaceDN w:val="0"/>
        <w:spacing w:line="360" w:lineRule="auto"/>
        <w:ind w:firstLine="1440"/>
        <w:rPr>
          <w:snapToGrid w:val="0"/>
          <w:sz w:val="24"/>
          <w:szCs w:val="24"/>
        </w:rPr>
      </w:pPr>
      <w:r>
        <w:rPr>
          <w:snapToGrid w:val="0"/>
          <w:sz w:val="24"/>
          <w:szCs w:val="24"/>
        </w:rPr>
        <w:t>T</w:t>
      </w:r>
      <w:r w:rsidR="00915A9B" w:rsidRPr="00C67A15">
        <w:rPr>
          <w:snapToGrid w:val="0"/>
          <w:sz w:val="24"/>
          <w:szCs w:val="24"/>
        </w:rPr>
        <w:t xml:space="preserve">he </w:t>
      </w:r>
      <w:r w:rsidR="00525CA3">
        <w:rPr>
          <w:snapToGrid w:val="0"/>
          <w:sz w:val="24"/>
          <w:szCs w:val="24"/>
        </w:rPr>
        <w:t xml:space="preserve">Further Hearing </w:t>
      </w:r>
      <w:r w:rsidR="00915A9B" w:rsidRPr="00C67A15">
        <w:rPr>
          <w:snapToGrid w:val="0"/>
          <w:sz w:val="24"/>
          <w:szCs w:val="24"/>
        </w:rPr>
        <w:t>Notice</w:t>
      </w:r>
      <w:r w:rsidR="00525CA3">
        <w:rPr>
          <w:snapToGrid w:val="0"/>
          <w:sz w:val="24"/>
          <w:szCs w:val="24"/>
        </w:rPr>
        <w:t xml:space="preserve"> in</w:t>
      </w:r>
      <w:r w:rsidR="00915A9B" w:rsidRPr="00C67A15">
        <w:rPr>
          <w:snapToGrid w:val="0"/>
          <w:sz w:val="24"/>
          <w:szCs w:val="24"/>
        </w:rPr>
        <w:t xml:space="preserve">forming the </w:t>
      </w:r>
      <w:r w:rsidR="00525CA3">
        <w:rPr>
          <w:snapToGrid w:val="0"/>
          <w:sz w:val="24"/>
          <w:szCs w:val="24"/>
        </w:rPr>
        <w:t>P</w:t>
      </w:r>
      <w:r w:rsidR="00915A9B" w:rsidRPr="00C67A15">
        <w:rPr>
          <w:snapToGrid w:val="0"/>
          <w:sz w:val="24"/>
          <w:szCs w:val="24"/>
        </w:rPr>
        <w:t>arties about the telephonic hearing w</w:t>
      </w:r>
      <w:r w:rsidR="0083222F">
        <w:rPr>
          <w:snapToGrid w:val="0"/>
          <w:sz w:val="24"/>
          <w:szCs w:val="24"/>
        </w:rPr>
        <w:t>as</w:t>
      </w:r>
      <w:r w:rsidR="00915A9B" w:rsidRPr="00C67A15">
        <w:rPr>
          <w:snapToGrid w:val="0"/>
          <w:sz w:val="24"/>
          <w:szCs w:val="24"/>
        </w:rPr>
        <w:t xml:space="preserve"> mailed in the ordinary course of the Commission’s business to Complainant at the address provided in h</w:t>
      </w:r>
      <w:r w:rsidR="00525CA3">
        <w:rPr>
          <w:snapToGrid w:val="0"/>
          <w:sz w:val="24"/>
          <w:szCs w:val="24"/>
        </w:rPr>
        <w:t>er</w:t>
      </w:r>
      <w:r w:rsidR="00915A9B" w:rsidRPr="00C67A15">
        <w:rPr>
          <w:snapToGrid w:val="0"/>
          <w:sz w:val="24"/>
          <w:szCs w:val="24"/>
        </w:rPr>
        <w:t xml:space="preserve"> Complaint.  The </w:t>
      </w:r>
      <w:r w:rsidR="00525CA3">
        <w:rPr>
          <w:snapToGrid w:val="0"/>
          <w:sz w:val="24"/>
          <w:szCs w:val="24"/>
        </w:rPr>
        <w:t xml:space="preserve">Further </w:t>
      </w:r>
      <w:r w:rsidR="00915A9B" w:rsidRPr="00C67A15">
        <w:rPr>
          <w:snapToGrid w:val="0"/>
          <w:sz w:val="24"/>
          <w:szCs w:val="24"/>
        </w:rPr>
        <w:t>Hearing Notice w</w:t>
      </w:r>
      <w:r w:rsidR="00525CA3">
        <w:rPr>
          <w:snapToGrid w:val="0"/>
          <w:sz w:val="24"/>
          <w:szCs w:val="24"/>
        </w:rPr>
        <w:t>as</w:t>
      </w:r>
      <w:r w:rsidR="00915A9B" w:rsidRPr="00C67A15">
        <w:rPr>
          <w:snapToGrid w:val="0"/>
          <w:sz w:val="24"/>
          <w:szCs w:val="24"/>
        </w:rPr>
        <w:t xml:space="preserve"> not returned by the U.S. Postal Service as undeliverable to Complainant.</w:t>
      </w:r>
    </w:p>
    <w:p w:rsidR="00915A9B" w:rsidRDefault="00915A9B" w:rsidP="00915A9B">
      <w:pPr>
        <w:spacing w:line="360" w:lineRule="auto"/>
        <w:rPr>
          <w:rFonts w:eastAsia="Calibri"/>
          <w:sz w:val="24"/>
          <w:szCs w:val="24"/>
        </w:rPr>
      </w:pPr>
    </w:p>
    <w:p w:rsidR="00777110" w:rsidRDefault="00777110" w:rsidP="00777110">
      <w:pPr>
        <w:autoSpaceDE w:val="0"/>
        <w:autoSpaceDN w:val="0"/>
        <w:spacing w:line="360" w:lineRule="auto"/>
        <w:ind w:firstLine="1440"/>
        <w:rPr>
          <w:snapToGrid w:val="0"/>
          <w:sz w:val="24"/>
          <w:szCs w:val="24"/>
        </w:rPr>
      </w:pPr>
      <w:r w:rsidRPr="00C67A15">
        <w:rPr>
          <w:snapToGrid w:val="0"/>
          <w:sz w:val="24"/>
          <w:szCs w:val="24"/>
        </w:rPr>
        <w:t xml:space="preserve">On </w:t>
      </w:r>
      <w:r w:rsidR="00525CA3">
        <w:rPr>
          <w:snapToGrid w:val="0"/>
          <w:sz w:val="24"/>
          <w:szCs w:val="24"/>
        </w:rPr>
        <w:t>March 7, 2017</w:t>
      </w:r>
      <w:r w:rsidRPr="00C67A15">
        <w:rPr>
          <w:snapToGrid w:val="0"/>
          <w:sz w:val="24"/>
          <w:szCs w:val="24"/>
        </w:rPr>
        <w:t>, by 10:0</w:t>
      </w:r>
      <w:r w:rsidR="00525CA3">
        <w:rPr>
          <w:snapToGrid w:val="0"/>
          <w:sz w:val="24"/>
          <w:szCs w:val="24"/>
        </w:rPr>
        <w:t>3</w:t>
      </w:r>
      <w:r w:rsidRPr="00C67A15">
        <w:rPr>
          <w:snapToGrid w:val="0"/>
          <w:sz w:val="24"/>
          <w:szCs w:val="24"/>
        </w:rPr>
        <w:t xml:space="preserve"> a.m., counsel for Respondent, </w:t>
      </w:r>
      <w:r w:rsidR="00525CA3">
        <w:rPr>
          <w:snapToGrid w:val="0"/>
          <w:sz w:val="24"/>
          <w:szCs w:val="24"/>
        </w:rPr>
        <w:t>Attorney Farinas</w:t>
      </w:r>
      <w:r w:rsidRPr="00C67A15">
        <w:rPr>
          <w:snapToGrid w:val="0"/>
          <w:sz w:val="24"/>
          <w:szCs w:val="24"/>
        </w:rPr>
        <w:t>, and h</w:t>
      </w:r>
      <w:r w:rsidR="00525CA3">
        <w:rPr>
          <w:snapToGrid w:val="0"/>
          <w:sz w:val="24"/>
          <w:szCs w:val="24"/>
        </w:rPr>
        <w:t>is</w:t>
      </w:r>
      <w:r w:rsidRPr="00C67A15">
        <w:rPr>
          <w:snapToGrid w:val="0"/>
          <w:sz w:val="24"/>
          <w:szCs w:val="24"/>
        </w:rPr>
        <w:t xml:space="preserve"> witness, </w:t>
      </w:r>
      <w:r w:rsidR="00525CA3">
        <w:rPr>
          <w:snapToGrid w:val="0"/>
          <w:sz w:val="24"/>
          <w:szCs w:val="24"/>
        </w:rPr>
        <w:t>Ms. Moore</w:t>
      </w:r>
      <w:r w:rsidRPr="00C67A15">
        <w:rPr>
          <w:snapToGrid w:val="0"/>
          <w:sz w:val="24"/>
          <w:szCs w:val="24"/>
        </w:rPr>
        <w:t xml:space="preserve">, and I had dialed into the telephonic proceeding.  The court reporter was also present.  </w:t>
      </w:r>
      <w:r>
        <w:rPr>
          <w:snapToGrid w:val="0"/>
          <w:sz w:val="24"/>
          <w:szCs w:val="24"/>
        </w:rPr>
        <w:t>Com</w:t>
      </w:r>
      <w:r w:rsidRPr="00C67A15">
        <w:rPr>
          <w:snapToGrid w:val="0"/>
          <w:sz w:val="24"/>
          <w:szCs w:val="24"/>
        </w:rPr>
        <w:t xml:space="preserve">plainant had not dialed into the telephonic proceeding.  </w:t>
      </w:r>
      <w:r>
        <w:rPr>
          <w:snapToGrid w:val="0"/>
          <w:sz w:val="24"/>
          <w:szCs w:val="24"/>
        </w:rPr>
        <w:t>I had not received a request from Complainant for a continuance of the scheduled hearing, nor had Complainant filed a request to withdraw h</w:t>
      </w:r>
      <w:r w:rsidR="0067299B">
        <w:rPr>
          <w:snapToGrid w:val="0"/>
          <w:sz w:val="24"/>
          <w:szCs w:val="24"/>
        </w:rPr>
        <w:t>er</w:t>
      </w:r>
      <w:r>
        <w:rPr>
          <w:snapToGrid w:val="0"/>
          <w:sz w:val="24"/>
          <w:szCs w:val="24"/>
        </w:rPr>
        <w:t xml:space="preserve"> Complaint.</w:t>
      </w:r>
    </w:p>
    <w:p w:rsidR="00777110" w:rsidRDefault="00777110" w:rsidP="00777110">
      <w:pPr>
        <w:autoSpaceDE w:val="0"/>
        <w:autoSpaceDN w:val="0"/>
        <w:spacing w:line="360" w:lineRule="auto"/>
        <w:ind w:firstLine="1440"/>
        <w:rPr>
          <w:snapToGrid w:val="0"/>
          <w:sz w:val="24"/>
          <w:szCs w:val="24"/>
        </w:rPr>
      </w:pPr>
    </w:p>
    <w:p w:rsidR="00777110" w:rsidRDefault="00777110" w:rsidP="00777110">
      <w:pPr>
        <w:autoSpaceDE w:val="0"/>
        <w:autoSpaceDN w:val="0"/>
        <w:spacing w:line="360" w:lineRule="auto"/>
        <w:ind w:firstLine="1440"/>
        <w:rPr>
          <w:snapToGrid w:val="0"/>
          <w:sz w:val="24"/>
          <w:szCs w:val="24"/>
        </w:rPr>
      </w:pPr>
      <w:r>
        <w:rPr>
          <w:snapToGrid w:val="0"/>
          <w:sz w:val="24"/>
          <w:szCs w:val="24"/>
        </w:rPr>
        <w:lastRenderedPageBreak/>
        <w:t>Accordingly</w:t>
      </w:r>
      <w:r w:rsidRPr="00C67A15">
        <w:rPr>
          <w:snapToGrid w:val="0"/>
          <w:sz w:val="24"/>
          <w:szCs w:val="24"/>
        </w:rPr>
        <w:t>, I recessed the hearing at 10:</w:t>
      </w:r>
      <w:r>
        <w:rPr>
          <w:snapToGrid w:val="0"/>
          <w:sz w:val="24"/>
          <w:szCs w:val="24"/>
        </w:rPr>
        <w:t>0</w:t>
      </w:r>
      <w:r w:rsidR="006352FD">
        <w:rPr>
          <w:snapToGrid w:val="0"/>
          <w:sz w:val="24"/>
          <w:szCs w:val="24"/>
        </w:rPr>
        <w:t>7</w:t>
      </w:r>
      <w:r w:rsidRPr="00C67A15">
        <w:rPr>
          <w:snapToGrid w:val="0"/>
          <w:sz w:val="24"/>
          <w:szCs w:val="24"/>
        </w:rPr>
        <w:t xml:space="preserve"> a.m. to permit additional time for Complainant to appear or to contact the Office of Administrative Law Judge (OALJ) in order to explain h</w:t>
      </w:r>
      <w:r w:rsidR="006352FD">
        <w:rPr>
          <w:snapToGrid w:val="0"/>
          <w:sz w:val="24"/>
          <w:szCs w:val="24"/>
        </w:rPr>
        <w:t>er</w:t>
      </w:r>
      <w:r w:rsidRPr="00C67A15">
        <w:rPr>
          <w:snapToGrid w:val="0"/>
          <w:sz w:val="24"/>
          <w:szCs w:val="24"/>
        </w:rPr>
        <w:t xml:space="preserve"> absence.  The telephonic proceeding remained open with counsel for Respondent and the court reporter in the telephonic hearing.  I then left the hearing room to determine whether </w:t>
      </w:r>
    </w:p>
    <w:p w:rsidR="00777110" w:rsidRPr="00C67A15" w:rsidRDefault="00777110" w:rsidP="00777110">
      <w:pPr>
        <w:autoSpaceDE w:val="0"/>
        <w:autoSpaceDN w:val="0"/>
        <w:spacing w:line="360" w:lineRule="auto"/>
        <w:rPr>
          <w:snapToGrid w:val="0"/>
          <w:sz w:val="24"/>
          <w:szCs w:val="24"/>
        </w:rPr>
      </w:pPr>
      <w:r w:rsidRPr="00C67A15">
        <w:rPr>
          <w:snapToGrid w:val="0"/>
          <w:sz w:val="24"/>
          <w:szCs w:val="24"/>
        </w:rPr>
        <w:t>Complainant had called into the OALJ.  Complainant had not called into the OALJ</w:t>
      </w:r>
      <w:r w:rsidR="00D22129" w:rsidRPr="00C67A15">
        <w:rPr>
          <w:snapToGrid w:val="0"/>
          <w:sz w:val="24"/>
          <w:szCs w:val="24"/>
        </w:rPr>
        <w:t>.</w:t>
      </w:r>
      <w:r w:rsidR="00D22129">
        <w:rPr>
          <w:snapToGrid w:val="0"/>
          <w:sz w:val="24"/>
          <w:szCs w:val="24"/>
        </w:rPr>
        <w:t xml:space="preserve">  </w:t>
      </w:r>
      <w:r w:rsidR="006352FD">
        <w:rPr>
          <w:snapToGrid w:val="0"/>
          <w:sz w:val="24"/>
          <w:szCs w:val="24"/>
        </w:rPr>
        <w:t>As a result, I directed my legal assistant to telephone Complainant at the home and mobile telephone numbers listed in her Complain</w:t>
      </w:r>
      <w:r w:rsidR="00C2451B">
        <w:rPr>
          <w:snapToGrid w:val="0"/>
          <w:sz w:val="24"/>
          <w:szCs w:val="24"/>
        </w:rPr>
        <w:t>t</w:t>
      </w:r>
      <w:r w:rsidR="006352FD">
        <w:rPr>
          <w:snapToGrid w:val="0"/>
          <w:sz w:val="24"/>
          <w:szCs w:val="24"/>
        </w:rPr>
        <w:t xml:space="preserve"> and instruct </w:t>
      </w:r>
      <w:r w:rsidR="00D3733F" w:rsidRPr="00D3733F">
        <w:rPr>
          <w:snapToGrid w:val="0"/>
          <w:sz w:val="24"/>
          <w:szCs w:val="24"/>
        </w:rPr>
        <w:t xml:space="preserve">her </w:t>
      </w:r>
      <w:r w:rsidR="006352FD">
        <w:rPr>
          <w:snapToGrid w:val="0"/>
          <w:sz w:val="24"/>
          <w:szCs w:val="24"/>
        </w:rPr>
        <w:t>to dial into the telephonic hearing.  Upon dialing the home telephone number, my legal assistant informed me that the number rang once and then automatically reverted to a di</w:t>
      </w:r>
      <w:r w:rsidR="0067299B">
        <w:rPr>
          <w:snapToGrid w:val="0"/>
          <w:sz w:val="24"/>
          <w:szCs w:val="24"/>
        </w:rPr>
        <w:t xml:space="preserve">al tone, thereby suggesting that Complainant’s home telephone </w:t>
      </w:r>
      <w:r w:rsidR="006352FD">
        <w:rPr>
          <w:snapToGrid w:val="0"/>
          <w:sz w:val="24"/>
          <w:szCs w:val="24"/>
        </w:rPr>
        <w:t xml:space="preserve">number was </w:t>
      </w:r>
      <w:r w:rsidR="006352FD" w:rsidRPr="0067299B">
        <w:rPr>
          <w:snapToGrid w:val="0"/>
          <w:sz w:val="24"/>
          <w:szCs w:val="24"/>
        </w:rPr>
        <w:t>disconnected.</w:t>
      </w:r>
      <w:r w:rsidR="0067299B">
        <w:rPr>
          <w:snapToGrid w:val="0"/>
          <w:sz w:val="24"/>
          <w:szCs w:val="24"/>
        </w:rPr>
        <w:t xml:space="preserve">  Upon dialing Complainant’s mobile telephone number, my legal assistant received an automated recording: </w:t>
      </w:r>
      <w:r w:rsidR="00C2451B">
        <w:rPr>
          <w:snapToGrid w:val="0"/>
          <w:sz w:val="24"/>
          <w:szCs w:val="24"/>
        </w:rPr>
        <w:t xml:space="preserve"> </w:t>
      </w:r>
      <w:r w:rsidR="0067299B">
        <w:rPr>
          <w:snapToGrid w:val="0"/>
          <w:sz w:val="24"/>
          <w:szCs w:val="24"/>
        </w:rPr>
        <w:t xml:space="preserve">“This number does not accept incoming calls.” </w:t>
      </w:r>
    </w:p>
    <w:p w:rsidR="00777110" w:rsidRDefault="00777110" w:rsidP="00777110">
      <w:pPr>
        <w:autoSpaceDE w:val="0"/>
        <w:autoSpaceDN w:val="0"/>
        <w:spacing w:line="360" w:lineRule="auto"/>
        <w:ind w:firstLine="1440"/>
        <w:rPr>
          <w:snapToGrid w:val="0"/>
          <w:sz w:val="24"/>
          <w:szCs w:val="24"/>
        </w:rPr>
      </w:pPr>
    </w:p>
    <w:p w:rsidR="00777110" w:rsidRPr="00C67A15" w:rsidRDefault="00777110" w:rsidP="00777110">
      <w:pPr>
        <w:autoSpaceDE w:val="0"/>
        <w:autoSpaceDN w:val="0"/>
        <w:spacing w:line="360" w:lineRule="auto"/>
        <w:ind w:firstLine="1440"/>
        <w:rPr>
          <w:snapToGrid w:val="0"/>
          <w:sz w:val="24"/>
          <w:szCs w:val="24"/>
        </w:rPr>
      </w:pPr>
      <w:r w:rsidRPr="00C67A15">
        <w:rPr>
          <w:snapToGrid w:val="0"/>
          <w:sz w:val="24"/>
          <w:szCs w:val="24"/>
        </w:rPr>
        <w:t>I returned to the hearing room at 10:</w:t>
      </w:r>
      <w:r>
        <w:rPr>
          <w:snapToGrid w:val="0"/>
          <w:sz w:val="24"/>
          <w:szCs w:val="24"/>
        </w:rPr>
        <w:t>2</w:t>
      </w:r>
      <w:r w:rsidR="0067299B">
        <w:rPr>
          <w:snapToGrid w:val="0"/>
          <w:sz w:val="24"/>
          <w:szCs w:val="24"/>
        </w:rPr>
        <w:t>7</w:t>
      </w:r>
      <w:r w:rsidRPr="00C67A15">
        <w:rPr>
          <w:snapToGrid w:val="0"/>
          <w:sz w:val="24"/>
          <w:szCs w:val="24"/>
        </w:rPr>
        <w:t xml:space="preserve"> a.m., and Complainant had not called into the telephonic hearing.  Accordingly, the hearing proceeded in Complainant’s absence.  No testimony or evidence was offered by Respondent.  Counsel for Respondent moved for dismissal of the Complaint for lack of prosecution.  I informed counsel that the motion would be taken under advisement and an initial decision would be issued.  The hearing was adjourned at 10:</w:t>
      </w:r>
      <w:r w:rsidR="0067299B">
        <w:rPr>
          <w:snapToGrid w:val="0"/>
          <w:sz w:val="24"/>
          <w:szCs w:val="24"/>
        </w:rPr>
        <w:t>31</w:t>
      </w:r>
      <w:r w:rsidRPr="00C67A15">
        <w:rPr>
          <w:snapToGrid w:val="0"/>
          <w:sz w:val="24"/>
          <w:szCs w:val="24"/>
        </w:rPr>
        <w:t xml:space="preserve"> a.m. </w:t>
      </w:r>
      <w:r>
        <w:rPr>
          <w:snapToGrid w:val="0"/>
          <w:sz w:val="24"/>
          <w:szCs w:val="24"/>
        </w:rPr>
        <w:t xml:space="preserve">on </w:t>
      </w:r>
      <w:r w:rsidR="0067299B">
        <w:rPr>
          <w:snapToGrid w:val="0"/>
          <w:sz w:val="24"/>
          <w:szCs w:val="24"/>
        </w:rPr>
        <w:t>March 7, 2017</w:t>
      </w:r>
      <w:r>
        <w:rPr>
          <w:snapToGrid w:val="0"/>
          <w:sz w:val="24"/>
          <w:szCs w:val="24"/>
        </w:rPr>
        <w:t>.</w:t>
      </w:r>
    </w:p>
    <w:p w:rsidR="00777110" w:rsidRPr="00C67A15" w:rsidRDefault="00777110" w:rsidP="00777110">
      <w:pPr>
        <w:autoSpaceDE w:val="0"/>
        <w:autoSpaceDN w:val="0"/>
        <w:spacing w:line="360" w:lineRule="auto"/>
        <w:ind w:firstLine="1440"/>
        <w:rPr>
          <w:snapToGrid w:val="0"/>
          <w:sz w:val="24"/>
          <w:szCs w:val="24"/>
        </w:rPr>
      </w:pPr>
    </w:p>
    <w:p w:rsidR="00777110" w:rsidRPr="00C67A15" w:rsidRDefault="00777110" w:rsidP="00777110">
      <w:pPr>
        <w:autoSpaceDE w:val="0"/>
        <w:autoSpaceDN w:val="0"/>
        <w:spacing w:line="360" w:lineRule="auto"/>
        <w:ind w:firstLine="1440"/>
        <w:rPr>
          <w:snapToGrid w:val="0"/>
          <w:sz w:val="24"/>
          <w:szCs w:val="24"/>
        </w:rPr>
      </w:pPr>
      <w:r w:rsidRPr="00C67A15">
        <w:rPr>
          <w:sz w:val="24"/>
          <w:szCs w:val="24"/>
        </w:rPr>
        <w:t>This decision grants Respondent’s motion to dismiss the Complaint.</w:t>
      </w:r>
      <w:r>
        <w:rPr>
          <w:sz w:val="24"/>
          <w:szCs w:val="24"/>
        </w:rPr>
        <w:t xml:space="preserve">  The record is hereby closed as of the date of the within decision, that is, </w:t>
      </w:r>
      <w:r w:rsidR="0067299B">
        <w:rPr>
          <w:sz w:val="24"/>
          <w:szCs w:val="24"/>
        </w:rPr>
        <w:t xml:space="preserve">March </w:t>
      </w:r>
      <w:r w:rsidR="00D3733F">
        <w:rPr>
          <w:sz w:val="24"/>
          <w:szCs w:val="24"/>
        </w:rPr>
        <w:t>9</w:t>
      </w:r>
      <w:r w:rsidR="0067299B">
        <w:rPr>
          <w:sz w:val="24"/>
          <w:szCs w:val="24"/>
        </w:rPr>
        <w:t>,</w:t>
      </w:r>
      <w:r>
        <w:rPr>
          <w:sz w:val="24"/>
          <w:szCs w:val="24"/>
        </w:rPr>
        <w:t xml:space="preserve"> 201</w:t>
      </w:r>
      <w:r w:rsidR="0067299B">
        <w:rPr>
          <w:sz w:val="24"/>
          <w:szCs w:val="24"/>
        </w:rPr>
        <w:t>7</w:t>
      </w:r>
      <w:r>
        <w:rPr>
          <w:sz w:val="24"/>
          <w:szCs w:val="24"/>
        </w:rPr>
        <w:t>.</w:t>
      </w:r>
      <w:r w:rsidRPr="00C67A15">
        <w:rPr>
          <w:snapToGrid w:val="0"/>
          <w:sz w:val="24"/>
          <w:szCs w:val="24"/>
        </w:rPr>
        <w:t xml:space="preserve"> </w:t>
      </w:r>
    </w:p>
    <w:p w:rsidR="00915A9B" w:rsidRDefault="00915A9B" w:rsidP="00C47134">
      <w:pPr>
        <w:spacing w:line="360" w:lineRule="auto"/>
        <w:rPr>
          <w:rFonts w:eastAsia="Calibri"/>
          <w:sz w:val="24"/>
          <w:szCs w:val="24"/>
        </w:rPr>
      </w:pPr>
    </w:p>
    <w:p w:rsidR="001F332E" w:rsidRPr="00C67A15" w:rsidRDefault="001F332E" w:rsidP="001F332E">
      <w:pPr>
        <w:autoSpaceDE w:val="0"/>
        <w:autoSpaceDN w:val="0"/>
        <w:spacing w:line="360" w:lineRule="auto"/>
        <w:jc w:val="center"/>
        <w:outlineLvl w:val="0"/>
        <w:rPr>
          <w:sz w:val="24"/>
          <w:szCs w:val="24"/>
          <w:u w:val="single"/>
        </w:rPr>
      </w:pPr>
      <w:r w:rsidRPr="00C67A15">
        <w:rPr>
          <w:sz w:val="24"/>
          <w:szCs w:val="24"/>
          <w:u w:val="single"/>
        </w:rPr>
        <w:t>FINDINGS OF FACT</w:t>
      </w:r>
    </w:p>
    <w:p w:rsidR="001F332E" w:rsidRPr="00C67A15" w:rsidRDefault="001F332E" w:rsidP="001F332E">
      <w:pPr>
        <w:autoSpaceDE w:val="0"/>
        <w:autoSpaceDN w:val="0"/>
        <w:spacing w:line="360" w:lineRule="auto"/>
        <w:jc w:val="center"/>
        <w:rPr>
          <w:sz w:val="24"/>
          <w:szCs w:val="24"/>
          <w:u w:val="single"/>
        </w:rPr>
      </w:pPr>
    </w:p>
    <w:p w:rsidR="001F332E" w:rsidRPr="00C67A15" w:rsidRDefault="001F332E" w:rsidP="001F332E">
      <w:pPr>
        <w:autoSpaceDE w:val="0"/>
        <w:autoSpaceDN w:val="0"/>
        <w:spacing w:line="360" w:lineRule="auto"/>
        <w:rPr>
          <w:sz w:val="24"/>
          <w:szCs w:val="24"/>
        </w:rPr>
      </w:pPr>
      <w:r w:rsidRPr="00C67A15">
        <w:rPr>
          <w:sz w:val="24"/>
          <w:szCs w:val="24"/>
        </w:rPr>
        <w:tab/>
      </w:r>
      <w:r w:rsidRPr="00C67A15">
        <w:rPr>
          <w:sz w:val="24"/>
          <w:szCs w:val="24"/>
        </w:rPr>
        <w:tab/>
        <w:t>1.</w:t>
      </w:r>
      <w:r w:rsidRPr="00C67A15">
        <w:rPr>
          <w:sz w:val="24"/>
          <w:szCs w:val="24"/>
        </w:rPr>
        <w:tab/>
        <w:t xml:space="preserve">Complainant in this case is </w:t>
      </w:r>
      <w:r w:rsidR="0067299B">
        <w:rPr>
          <w:sz w:val="24"/>
          <w:szCs w:val="24"/>
        </w:rPr>
        <w:t>Drucilla Thorpe</w:t>
      </w:r>
      <w:r w:rsidRPr="00C67A15">
        <w:rPr>
          <w:sz w:val="24"/>
          <w:szCs w:val="24"/>
        </w:rPr>
        <w:t>.</w:t>
      </w:r>
    </w:p>
    <w:p w:rsidR="001F332E" w:rsidRPr="00C67A15" w:rsidRDefault="001F332E" w:rsidP="001F332E">
      <w:pPr>
        <w:autoSpaceDE w:val="0"/>
        <w:autoSpaceDN w:val="0"/>
        <w:spacing w:line="360" w:lineRule="auto"/>
        <w:rPr>
          <w:sz w:val="24"/>
          <w:szCs w:val="24"/>
        </w:rPr>
      </w:pPr>
    </w:p>
    <w:p w:rsidR="001F332E" w:rsidRPr="00C67A15" w:rsidRDefault="001F332E" w:rsidP="001F332E">
      <w:pPr>
        <w:autoSpaceDE w:val="0"/>
        <w:autoSpaceDN w:val="0"/>
        <w:spacing w:line="360" w:lineRule="auto"/>
        <w:rPr>
          <w:sz w:val="24"/>
          <w:szCs w:val="24"/>
        </w:rPr>
      </w:pPr>
      <w:r w:rsidRPr="00C67A15">
        <w:rPr>
          <w:sz w:val="24"/>
          <w:szCs w:val="24"/>
        </w:rPr>
        <w:tab/>
      </w:r>
      <w:r w:rsidRPr="00C67A15">
        <w:rPr>
          <w:sz w:val="24"/>
          <w:szCs w:val="24"/>
        </w:rPr>
        <w:tab/>
        <w:t>2.</w:t>
      </w:r>
      <w:r w:rsidRPr="00C67A15">
        <w:rPr>
          <w:sz w:val="24"/>
          <w:szCs w:val="24"/>
        </w:rPr>
        <w:tab/>
        <w:t>Respondent</w:t>
      </w:r>
      <w:r w:rsidR="00DD5527">
        <w:rPr>
          <w:sz w:val="24"/>
          <w:szCs w:val="24"/>
        </w:rPr>
        <w:t xml:space="preserve">, </w:t>
      </w:r>
      <w:r w:rsidR="0067299B">
        <w:rPr>
          <w:sz w:val="24"/>
          <w:szCs w:val="24"/>
        </w:rPr>
        <w:t>Philadelphia Gas Works</w:t>
      </w:r>
      <w:r w:rsidR="00DD5527">
        <w:rPr>
          <w:sz w:val="24"/>
          <w:szCs w:val="24"/>
        </w:rPr>
        <w:t>,</w:t>
      </w:r>
      <w:r w:rsidRPr="00C67A15">
        <w:rPr>
          <w:sz w:val="24"/>
          <w:szCs w:val="24"/>
        </w:rPr>
        <w:t xml:space="preserve"> is a jurisdictional public utility providing </w:t>
      </w:r>
      <w:r w:rsidR="0067299B">
        <w:rPr>
          <w:sz w:val="24"/>
          <w:szCs w:val="24"/>
        </w:rPr>
        <w:t>gas</w:t>
      </w:r>
      <w:r w:rsidRPr="00C67A15">
        <w:rPr>
          <w:sz w:val="24"/>
          <w:szCs w:val="24"/>
        </w:rPr>
        <w:t xml:space="preserve"> service to Pennsylvania customers.</w:t>
      </w:r>
    </w:p>
    <w:p w:rsidR="001F332E" w:rsidRPr="00C67A15" w:rsidRDefault="001F332E" w:rsidP="001F332E">
      <w:pPr>
        <w:autoSpaceDE w:val="0"/>
        <w:autoSpaceDN w:val="0"/>
        <w:spacing w:line="360" w:lineRule="auto"/>
        <w:rPr>
          <w:sz w:val="24"/>
          <w:szCs w:val="24"/>
        </w:rPr>
      </w:pPr>
      <w:r w:rsidRPr="00C67A15">
        <w:rPr>
          <w:sz w:val="24"/>
          <w:szCs w:val="24"/>
        </w:rPr>
        <w:tab/>
      </w:r>
      <w:r w:rsidRPr="00C67A15">
        <w:rPr>
          <w:sz w:val="24"/>
          <w:szCs w:val="24"/>
        </w:rPr>
        <w:tab/>
      </w:r>
    </w:p>
    <w:p w:rsidR="001F332E" w:rsidRPr="00C67A15" w:rsidRDefault="001F332E" w:rsidP="001F332E">
      <w:pPr>
        <w:autoSpaceDE w:val="0"/>
        <w:autoSpaceDN w:val="0"/>
        <w:spacing w:line="360" w:lineRule="auto"/>
        <w:rPr>
          <w:sz w:val="24"/>
          <w:szCs w:val="24"/>
        </w:rPr>
      </w:pPr>
      <w:r w:rsidRPr="00C67A15">
        <w:rPr>
          <w:sz w:val="24"/>
          <w:szCs w:val="24"/>
        </w:rPr>
        <w:lastRenderedPageBreak/>
        <w:tab/>
      </w:r>
      <w:r w:rsidRPr="00C67A15">
        <w:rPr>
          <w:sz w:val="24"/>
          <w:szCs w:val="24"/>
        </w:rPr>
        <w:tab/>
        <w:t>3.</w:t>
      </w:r>
      <w:r w:rsidRPr="00C67A15">
        <w:rPr>
          <w:sz w:val="24"/>
          <w:szCs w:val="24"/>
        </w:rPr>
        <w:tab/>
        <w:t xml:space="preserve">On </w:t>
      </w:r>
      <w:r w:rsidR="00CF3B25">
        <w:rPr>
          <w:sz w:val="24"/>
          <w:szCs w:val="24"/>
        </w:rPr>
        <w:t xml:space="preserve">October </w:t>
      </w:r>
      <w:r w:rsidR="0067299B">
        <w:rPr>
          <w:sz w:val="24"/>
          <w:szCs w:val="24"/>
        </w:rPr>
        <w:t>7</w:t>
      </w:r>
      <w:r w:rsidR="00CF3B25">
        <w:rPr>
          <w:sz w:val="24"/>
          <w:szCs w:val="24"/>
        </w:rPr>
        <w:t>, 201</w:t>
      </w:r>
      <w:r w:rsidR="0067299B">
        <w:rPr>
          <w:sz w:val="24"/>
          <w:szCs w:val="24"/>
        </w:rPr>
        <w:t>6</w:t>
      </w:r>
      <w:r w:rsidRPr="00C67A15">
        <w:rPr>
          <w:sz w:val="24"/>
          <w:szCs w:val="24"/>
        </w:rPr>
        <w:t>, Complainant filed a Complaint with the Commission against Respondent.</w:t>
      </w:r>
    </w:p>
    <w:p w:rsidR="001F332E" w:rsidRPr="00C67A15" w:rsidRDefault="001F332E" w:rsidP="001F332E">
      <w:pPr>
        <w:autoSpaceDE w:val="0"/>
        <w:autoSpaceDN w:val="0"/>
        <w:spacing w:line="360" w:lineRule="auto"/>
        <w:rPr>
          <w:sz w:val="24"/>
          <w:szCs w:val="24"/>
        </w:rPr>
      </w:pPr>
    </w:p>
    <w:p w:rsidR="001F332E" w:rsidRPr="00C67A15" w:rsidRDefault="001F332E" w:rsidP="001F332E">
      <w:pPr>
        <w:autoSpaceDE w:val="0"/>
        <w:autoSpaceDN w:val="0"/>
        <w:spacing w:line="360" w:lineRule="auto"/>
        <w:rPr>
          <w:sz w:val="24"/>
          <w:szCs w:val="24"/>
        </w:rPr>
      </w:pPr>
      <w:r w:rsidRPr="00C67A15">
        <w:rPr>
          <w:sz w:val="24"/>
          <w:szCs w:val="24"/>
        </w:rPr>
        <w:tab/>
      </w:r>
      <w:r w:rsidRPr="00C67A15">
        <w:rPr>
          <w:sz w:val="24"/>
          <w:szCs w:val="24"/>
        </w:rPr>
        <w:tab/>
        <w:t>4.</w:t>
      </w:r>
      <w:r w:rsidRPr="00C67A15">
        <w:rPr>
          <w:sz w:val="24"/>
          <w:szCs w:val="24"/>
        </w:rPr>
        <w:tab/>
        <w:t xml:space="preserve">Respondent filed an Answer on </w:t>
      </w:r>
      <w:r w:rsidR="0067299B">
        <w:rPr>
          <w:sz w:val="24"/>
          <w:szCs w:val="24"/>
        </w:rPr>
        <w:t>October 27</w:t>
      </w:r>
      <w:r>
        <w:rPr>
          <w:sz w:val="24"/>
          <w:szCs w:val="24"/>
        </w:rPr>
        <w:t>, 201</w:t>
      </w:r>
      <w:r w:rsidR="0067299B">
        <w:rPr>
          <w:sz w:val="24"/>
          <w:szCs w:val="24"/>
        </w:rPr>
        <w:t>6</w:t>
      </w:r>
      <w:r w:rsidRPr="00C67A15">
        <w:rPr>
          <w:sz w:val="24"/>
          <w:szCs w:val="24"/>
        </w:rPr>
        <w:t xml:space="preserve">.  </w:t>
      </w:r>
    </w:p>
    <w:p w:rsidR="001F332E" w:rsidRPr="00C67A15" w:rsidRDefault="001F332E" w:rsidP="001F332E">
      <w:pPr>
        <w:autoSpaceDE w:val="0"/>
        <w:autoSpaceDN w:val="0"/>
        <w:spacing w:line="360" w:lineRule="auto"/>
        <w:rPr>
          <w:sz w:val="24"/>
          <w:szCs w:val="24"/>
        </w:rPr>
      </w:pPr>
    </w:p>
    <w:p w:rsidR="001F332E" w:rsidRDefault="001F332E" w:rsidP="001F332E">
      <w:pPr>
        <w:autoSpaceDE w:val="0"/>
        <w:autoSpaceDN w:val="0"/>
        <w:spacing w:line="360" w:lineRule="auto"/>
        <w:rPr>
          <w:sz w:val="24"/>
          <w:szCs w:val="24"/>
        </w:rPr>
      </w:pPr>
      <w:r w:rsidRPr="00C67A15">
        <w:rPr>
          <w:sz w:val="24"/>
          <w:szCs w:val="24"/>
        </w:rPr>
        <w:tab/>
      </w:r>
      <w:r w:rsidRPr="00C67A15">
        <w:rPr>
          <w:sz w:val="24"/>
          <w:szCs w:val="24"/>
        </w:rPr>
        <w:tab/>
        <w:t>5.</w:t>
      </w:r>
      <w:r w:rsidRPr="00C67A15">
        <w:rPr>
          <w:sz w:val="24"/>
          <w:szCs w:val="24"/>
        </w:rPr>
        <w:tab/>
        <w:t xml:space="preserve">By Hearing Notice dated </w:t>
      </w:r>
      <w:r w:rsidR="004A0965">
        <w:rPr>
          <w:sz w:val="24"/>
          <w:szCs w:val="24"/>
        </w:rPr>
        <w:t>November 1</w:t>
      </w:r>
      <w:r w:rsidR="00CF3B25">
        <w:rPr>
          <w:sz w:val="24"/>
          <w:szCs w:val="24"/>
        </w:rPr>
        <w:t>, 201</w:t>
      </w:r>
      <w:r w:rsidR="004A0965">
        <w:rPr>
          <w:sz w:val="24"/>
          <w:szCs w:val="24"/>
        </w:rPr>
        <w:t>6</w:t>
      </w:r>
      <w:r w:rsidRPr="00C67A15">
        <w:rPr>
          <w:sz w:val="24"/>
          <w:szCs w:val="24"/>
        </w:rPr>
        <w:t xml:space="preserve">, the Commission scheduled this matter for a telephonic hearing on </w:t>
      </w:r>
      <w:r w:rsidR="004A0965">
        <w:rPr>
          <w:sz w:val="24"/>
          <w:szCs w:val="24"/>
        </w:rPr>
        <w:t>December 5</w:t>
      </w:r>
      <w:r>
        <w:rPr>
          <w:sz w:val="24"/>
          <w:szCs w:val="24"/>
        </w:rPr>
        <w:t>, 201</w:t>
      </w:r>
      <w:r w:rsidR="004A0965">
        <w:rPr>
          <w:sz w:val="24"/>
          <w:szCs w:val="24"/>
        </w:rPr>
        <w:t>6</w:t>
      </w:r>
      <w:r w:rsidRPr="00C67A15">
        <w:rPr>
          <w:sz w:val="24"/>
          <w:szCs w:val="24"/>
        </w:rPr>
        <w:t>, at 10:00 a.m.</w:t>
      </w:r>
    </w:p>
    <w:p w:rsidR="0067299B" w:rsidRPr="00C67A15" w:rsidRDefault="0067299B" w:rsidP="001F332E">
      <w:pPr>
        <w:autoSpaceDE w:val="0"/>
        <w:autoSpaceDN w:val="0"/>
        <w:spacing w:line="360" w:lineRule="auto"/>
        <w:rPr>
          <w:sz w:val="24"/>
          <w:szCs w:val="24"/>
        </w:rPr>
      </w:pPr>
    </w:p>
    <w:p w:rsidR="004A0965" w:rsidRDefault="001F332E" w:rsidP="001F332E">
      <w:pPr>
        <w:autoSpaceDE w:val="0"/>
        <w:autoSpaceDN w:val="0"/>
        <w:spacing w:line="360" w:lineRule="auto"/>
        <w:rPr>
          <w:sz w:val="24"/>
          <w:szCs w:val="24"/>
        </w:rPr>
      </w:pPr>
      <w:r w:rsidRPr="00C67A15">
        <w:rPr>
          <w:sz w:val="24"/>
          <w:szCs w:val="24"/>
        </w:rPr>
        <w:tab/>
      </w:r>
      <w:r w:rsidRPr="00C67A15">
        <w:rPr>
          <w:sz w:val="24"/>
          <w:szCs w:val="24"/>
        </w:rPr>
        <w:tab/>
        <w:t>6.</w:t>
      </w:r>
      <w:r w:rsidRPr="00C67A15">
        <w:rPr>
          <w:sz w:val="24"/>
          <w:szCs w:val="24"/>
        </w:rPr>
        <w:tab/>
      </w:r>
      <w:r w:rsidR="004A0965">
        <w:rPr>
          <w:sz w:val="24"/>
          <w:szCs w:val="24"/>
        </w:rPr>
        <w:t>Complainant and Respondent appeared for the December 5, 2016 hearing and achieved a settlement of the Complaint prior to the receipt of any testimony or evidence.</w:t>
      </w:r>
    </w:p>
    <w:p w:rsidR="004A0965" w:rsidRDefault="004A0965" w:rsidP="001F332E">
      <w:pPr>
        <w:autoSpaceDE w:val="0"/>
        <w:autoSpaceDN w:val="0"/>
        <w:spacing w:line="360" w:lineRule="auto"/>
        <w:rPr>
          <w:sz w:val="24"/>
          <w:szCs w:val="24"/>
        </w:rPr>
      </w:pPr>
    </w:p>
    <w:p w:rsidR="004A0965" w:rsidRDefault="004A0965" w:rsidP="004A0965">
      <w:pPr>
        <w:autoSpaceDE w:val="0"/>
        <w:autoSpaceDN w:val="0"/>
        <w:spacing w:line="360" w:lineRule="auto"/>
        <w:ind w:firstLine="720"/>
        <w:rPr>
          <w:sz w:val="24"/>
          <w:szCs w:val="24"/>
        </w:rPr>
      </w:pPr>
      <w:r>
        <w:rPr>
          <w:sz w:val="24"/>
          <w:szCs w:val="24"/>
        </w:rPr>
        <w:tab/>
        <w:t>7.</w:t>
      </w:r>
      <w:r>
        <w:rPr>
          <w:sz w:val="24"/>
          <w:szCs w:val="24"/>
        </w:rPr>
        <w:tab/>
        <w:t>On December 7, 2016, Respondent filed a Certificate of Satisfaction and represented that the issues asserted in the Complaint ha</w:t>
      </w:r>
      <w:r w:rsidR="00D3733F">
        <w:rPr>
          <w:sz w:val="24"/>
          <w:szCs w:val="24"/>
        </w:rPr>
        <w:t>d</w:t>
      </w:r>
      <w:r>
        <w:rPr>
          <w:sz w:val="24"/>
          <w:szCs w:val="24"/>
        </w:rPr>
        <w:t xml:space="preserve"> be</w:t>
      </w:r>
      <w:r w:rsidR="00D3733F">
        <w:rPr>
          <w:sz w:val="24"/>
          <w:szCs w:val="24"/>
        </w:rPr>
        <w:t>en</w:t>
      </w:r>
      <w:r>
        <w:rPr>
          <w:sz w:val="24"/>
          <w:szCs w:val="24"/>
        </w:rPr>
        <w:t xml:space="preserve"> resolved to Complainant’s satisfaction.  </w:t>
      </w:r>
    </w:p>
    <w:p w:rsidR="004A0965" w:rsidRDefault="004A0965" w:rsidP="004A0965">
      <w:pPr>
        <w:autoSpaceDE w:val="0"/>
        <w:autoSpaceDN w:val="0"/>
        <w:spacing w:line="360" w:lineRule="auto"/>
        <w:ind w:firstLine="720"/>
        <w:rPr>
          <w:sz w:val="24"/>
          <w:szCs w:val="24"/>
        </w:rPr>
      </w:pPr>
    </w:p>
    <w:p w:rsidR="004A0965" w:rsidRDefault="004A0965" w:rsidP="004A0965">
      <w:pPr>
        <w:autoSpaceDE w:val="0"/>
        <w:autoSpaceDN w:val="0"/>
        <w:spacing w:line="360" w:lineRule="auto"/>
        <w:ind w:firstLine="720"/>
        <w:rPr>
          <w:sz w:val="24"/>
          <w:szCs w:val="24"/>
        </w:rPr>
      </w:pPr>
      <w:r>
        <w:rPr>
          <w:sz w:val="24"/>
          <w:szCs w:val="24"/>
        </w:rPr>
        <w:tab/>
        <w:t>8.</w:t>
      </w:r>
      <w:r>
        <w:rPr>
          <w:sz w:val="24"/>
          <w:szCs w:val="24"/>
        </w:rPr>
        <w:tab/>
        <w:t>The December 7, 2016 Certificate of Satisfaction advised the Complainant of her right to object to any part of the settlement in writing with the Commission within ten day</w:t>
      </w:r>
      <w:r w:rsidR="00D3733F">
        <w:rPr>
          <w:sz w:val="24"/>
          <w:szCs w:val="24"/>
        </w:rPr>
        <w:t>s</w:t>
      </w:r>
      <w:r>
        <w:rPr>
          <w:sz w:val="24"/>
          <w:szCs w:val="24"/>
        </w:rPr>
        <w:t xml:space="preserve"> of the date of the Certificate. </w:t>
      </w:r>
    </w:p>
    <w:p w:rsidR="004A0965" w:rsidRDefault="004A0965" w:rsidP="001F332E">
      <w:pPr>
        <w:autoSpaceDE w:val="0"/>
        <w:autoSpaceDN w:val="0"/>
        <w:spacing w:line="360" w:lineRule="auto"/>
        <w:rPr>
          <w:sz w:val="24"/>
          <w:szCs w:val="24"/>
        </w:rPr>
      </w:pPr>
    </w:p>
    <w:p w:rsidR="004A0965" w:rsidRDefault="004A0965" w:rsidP="004A0965">
      <w:pPr>
        <w:autoSpaceDE w:val="0"/>
        <w:autoSpaceDN w:val="0"/>
        <w:spacing w:line="360" w:lineRule="auto"/>
        <w:ind w:firstLine="1440"/>
        <w:rPr>
          <w:snapToGrid w:val="0"/>
          <w:sz w:val="24"/>
          <w:szCs w:val="24"/>
        </w:rPr>
      </w:pPr>
      <w:r>
        <w:rPr>
          <w:sz w:val="24"/>
          <w:szCs w:val="24"/>
        </w:rPr>
        <w:t>9.</w:t>
      </w:r>
      <w:r>
        <w:rPr>
          <w:sz w:val="24"/>
          <w:szCs w:val="24"/>
        </w:rPr>
        <w:tab/>
      </w:r>
      <w:r>
        <w:rPr>
          <w:snapToGrid w:val="0"/>
          <w:sz w:val="24"/>
          <w:szCs w:val="24"/>
        </w:rPr>
        <w:t xml:space="preserve">On December </w:t>
      </w:r>
      <w:r w:rsidR="00541551">
        <w:rPr>
          <w:snapToGrid w:val="0"/>
          <w:sz w:val="24"/>
          <w:szCs w:val="24"/>
        </w:rPr>
        <w:t>15</w:t>
      </w:r>
      <w:r>
        <w:rPr>
          <w:snapToGrid w:val="0"/>
          <w:sz w:val="24"/>
          <w:szCs w:val="24"/>
        </w:rPr>
        <w:t xml:space="preserve">, 2016, Complainant filed a letter with the Commission’s Secretary’s Bureau objecting to the terms of the settlement, resulting in the scheduling of a further telephonic hearing </w:t>
      </w:r>
    </w:p>
    <w:p w:rsidR="004A0965" w:rsidRDefault="004A0965" w:rsidP="004A0965">
      <w:pPr>
        <w:autoSpaceDE w:val="0"/>
        <w:autoSpaceDN w:val="0"/>
        <w:spacing w:line="360" w:lineRule="auto"/>
        <w:ind w:firstLine="1440"/>
        <w:rPr>
          <w:snapToGrid w:val="0"/>
          <w:sz w:val="24"/>
          <w:szCs w:val="24"/>
        </w:rPr>
      </w:pPr>
    </w:p>
    <w:p w:rsidR="004A0965" w:rsidRDefault="004A0965" w:rsidP="004A0965">
      <w:pPr>
        <w:autoSpaceDE w:val="0"/>
        <w:autoSpaceDN w:val="0"/>
        <w:spacing w:line="360" w:lineRule="auto"/>
        <w:ind w:firstLine="1440"/>
        <w:rPr>
          <w:snapToGrid w:val="0"/>
          <w:sz w:val="24"/>
          <w:szCs w:val="24"/>
        </w:rPr>
      </w:pPr>
      <w:r>
        <w:rPr>
          <w:snapToGrid w:val="0"/>
          <w:sz w:val="24"/>
          <w:szCs w:val="24"/>
        </w:rPr>
        <w:t>10.</w:t>
      </w:r>
      <w:r>
        <w:rPr>
          <w:snapToGrid w:val="0"/>
          <w:sz w:val="24"/>
          <w:szCs w:val="24"/>
        </w:rPr>
        <w:tab/>
        <w:t xml:space="preserve">By Further Hearing Notice date January 17, 2017, the Parties were informed that a Further Call-In Telephonic Hearing was scheduled before me for Tuesday, March 7, 2017, at 10:00 a.m.  </w:t>
      </w:r>
    </w:p>
    <w:p w:rsidR="004A0965" w:rsidRDefault="004A0965" w:rsidP="001F332E">
      <w:pPr>
        <w:autoSpaceDE w:val="0"/>
        <w:autoSpaceDN w:val="0"/>
        <w:spacing w:line="360" w:lineRule="auto"/>
        <w:rPr>
          <w:sz w:val="24"/>
          <w:szCs w:val="24"/>
        </w:rPr>
      </w:pPr>
    </w:p>
    <w:p w:rsidR="001F332E" w:rsidRPr="00C67A15" w:rsidRDefault="004A0965" w:rsidP="001F332E">
      <w:pPr>
        <w:autoSpaceDE w:val="0"/>
        <w:autoSpaceDN w:val="0"/>
        <w:spacing w:line="360" w:lineRule="auto"/>
        <w:rPr>
          <w:sz w:val="24"/>
          <w:szCs w:val="24"/>
        </w:rPr>
      </w:pPr>
      <w:r>
        <w:rPr>
          <w:sz w:val="24"/>
          <w:szCs w:val="24"/>
        </w:rPr>
        <w:tab/>
      </w:r>
      <w:r>
        <w:rPr>
          <w:sz w:val="24"/>
          <w:szCs w:val="24"/>
        </w:rPr>
        <w:tab/>
        <w:t>11.</w:t>
      </w:r>
      <w:r>
        <w:rPr>
          <w:sz w:val="24"/>
          <w:szCs w:val="24"/>
        </w:rPr>
        <w:tab/>
      </w:r>
      <w:r w:rsidR="001F332E" w:rsidRPr="00C67A15">
        <w:rPr>
          <w:sz w:val="24"/>
          <w:szCs w:val="24"/>
        </w:rPr>
        <w:t xml:space="preserve">The Commission sent the </w:t>
      </w:r>
      <w:r>
        <w:rPr>
          <w:sz w:val="24"/>
          <w:szCs w:val="24"/>
        </w:rPr>
        <w:t xml:space="preserve">Further </w:t>
      </w:r>
      <w:r w:rsidR="001F332E" w:rsidRPr="00C67A15">
        <w:rPr>
          <w:sz w:val="24"/>
          <w:szCs w:val="24"/>
        </w:rPr>
        <w:t>Hearing Notice of the telephonic hearing in this case to the Complainant by regular first-class mail to the address stated on the Complaint.</w:t>
      </w:r>
    </w:p>
    <w:p w:rsidR="001F332E" w:rsidRPr="00C67A15" w:rsidRDefault="001F332E" w:rsidP="001F332E">
      <w:pPr>
        <w:autoSpaceDE w:val="0"/>
        <w:autoSpaceDN w:val="0"/>
        <w:spacing w:line="360" w:lineRule="auto"/>
        <w:rPr>
          <w:sz w:val="24"/>
          <w:szCs w:val="24"/>
        </w:rPr>
      </w:pPr>
    </w:p>
    <w:p w:rsidR="001F332E" w:rsidRPr="00C67A15" w:rsidRDefault="001F332E" w:rsidP="001F332E">
      <w:pPr>
        <w:autoSpaceDE w:val="0"/>
        <w:autoSpaceDN w:val="0"/>
        <w:spacing w:line="360" w:lineRule="auto"/>
        <w:rPr>
          <w:sz w:val="24"/>
          <w:szCs w:val="24"/>
        </w:rPr>
      </w:pPr>
      <w:r w:rsidRPr="00C67A15">
        <w:rPr>
          <w:sz w:val="24"/>
          <w:szCs w:val="24"/>
        </w:rPr>
        <w:lastRenderedPageBreak/>
        <w:tab/>
      </w:r>
      <w:r w:rsidRPr="00C67A15">
        <w:rPr>
          <w:sz w:val="24"/>
          <w:szCs w:val="24"/>
        </w:rPr>
        <w:tab/>
      </w:r>
      <w:r w:rsidR="004A0965">
        <w:rPr>
          <w:sz w:val="24"/>
          <w:szCs w:val="24"/>
        </w:rPr>
        <w:t>12</w:t>
      </w:r>
      <w:r w:rsidRPr="00C67A15">
        <w:rPr>
          <w:sz w:val="24"/>
          <w:szCs w:val="24"/>
        </w:rPr>
        <w:t>.</w:t>
      </w:r>
      <w:r w:rsidRPr="00C67A15">
        <w:rPr>
          <w:sz w:val="24"/>
          <w:szCs w:val="24"/>
        </w:rPr>
        <w:tab/>
        <w:t xml:space="preserve">The Commission’s </w:t>
      </w:r>
      <w:r w:rsidR="004A0965">
        <w:rPr>
          <w:sz w:val="24"/>
          <w:szCs w:val="24"/>
        </w:rPr>
        <w:t xml:space="preserve">Further </w:t>
      </w:r>
      <w:r w:rsidRPr="00C67A15">
        <w:rPr>
          <w:sz w:val="24"/>
          <w:szCs w:val="24"/>
        </w:rPr>
        <w:t>Hearing Notice was not returned to the Commission by the U.S. Postal Service as undeliverable to Complainant.</w:t>
      </w:r>
    </w:p>
    <w:p w:rsidR="001F332E" w:rsidRPr="00C67A15" w:rsidRDefault="001F332E" w:rsidP="001F332E">
      <w:pPr>
        <w:autoSpaceDE w:val="0"/>
        <w:autoSpaceDN w:val="0"/>
        <w:spacing w:line="360" w:lineRule="auto"/>
        <w:rPr>
          <w:sz w:val="24"/>
          <w:szCs w:val="24"/>
        </w:rPr>
      </w:pPr>
    </w:p>
    <w:p w:rsidR="001F332E" w:rsidRPr="00C67A15" w:rsidRDefault="001F332E" w:rsidP="001F332E">
      <w:pPr>
        <w:autoSpaceDE w:val="0"/>
        <w:autoSpaceDN w:val="0"/>
        <w:spacing w:line="360" w:lineRule="auto"/>
        <w:rPr>
          <w:sz w:val="24"/>
          <w:szCs w:val="24"/>
        </w:rPr>
      </w:pPr>
      <w:r w:rsidRPr="00C67A15">
        <w:rPr>
          <w:sz w:val="24"/>
          <w:szCs w:val="24"/>
        </w:rPr>
        <w:tab/>
      </w:r>
      <w:r w:rsidRPr="00C67A15">
        <w:rPr>
          <w:sz w:val="24"/>
          <w:szCs w:val="24"/>
        </w:rPr>
        <w:tab/>
      </w:r>
      <w:r>
        <w:rPr>
          <w:sz w:val="24"/>
          <w:szCs w:val="24"/>
        </w:rPr>
        <w:t>1</w:t>
      </w:r>
      <w:r w:rsidR="00022E94">
        <w:rPr>
          <w:sz w:val="24"/>
          <w:szCs w:val="24"/>
        </w:rPr>
        <w:t>3</w:t>
      </w:r>
      <w:r>
        <w:rPr>
          <w:sz w:val="24"/>
          <w:szCs w:val="24"/>
        </w:rPr>
        <w:t>.</w:t>
      </w:r>
      <w:r>
        <w:rPr>
          <w:sz w:val="24"/>
          <w:szCs w:val="24"/>
        </w:rPr>
        <w:tab/>
        <w:t xml:space="preserve">The Complainant did not request a continuance of the scheduled </w:t>
      </w:r>
      <w:r w:rsidR="004A0965">
        <w:rPr>
          <w:sz w:val="24"/>
          <w:szCs w:val="24"/>
        </w:rPr>
        <w:t xml:space="preserve">further </w:t>
      </w:r>
      <w:r>
        <w:rPr>
          <w:sz w:val="24"/>
          <w:szCs w:val="24"/>
        </w:rPr>
        <w:t xml:space="preserve">hearing, nor did </w:t>
      </w:r>
      <w:r w:rsidR="004A0965">
        <w:rPr>
          <w:sz w:val="24"/>
          <w:szCs w:val="24"/>
        </w:rPr>
        <w:t>s</w:t>
      </w:r>
      <w:r>
        <w:rPr>
          <w:sz w:val="24"/>
          <w:szCs w:val="24"/>
        </w:rPr>
        <w:t>he withdraw h</w:t>
      </w:r>
      <w:r w:rsidR="004A0965">
        <w:rPr>
          <w:sz w:val="24"/>
          <w:szCs w:val="24"/>
        </w:rPr>
        <w:t>er</w:t>
      </w:r>
      <w:r>
        <w:rPr>
          <w:sz w:val="24"/>
          <w:szCs w:val="24"/>
        </w:rPr>
        <w:t xml:space="preserve"> Complaint.</w:t>
      </w:r>
    </w:p>
    <w:p w:rsidR="001F332E" w:rsidRPr="00C67A15" w:rsidRDefault="001F332E" w:rsidP="001F332E">
      <w:pPr>
        <w:autoSpaceDE w:val="0"/>
        <w:autoSpaceDN w:val="0"/>
        <w:spacing w:line="360" w:lineRule="auto"/>
        <w:rPr>
          <w:sz w:val="24"/>
          <w:szCs w:val="24"/>
        </w:rPr>
      </w:pPr>
    </w:p>
    <w:p w:rsidR="001F332E" w:rsidRPr="00C67A15" w:rsidRDefault="001F332E" w:rsidP="001F332E">
      <w:pPr>
        <w:autoSpaceDE w:val="0"/>
        <w:autoSpaceDN w:val="0"/>
        <w:spacing w:line="360" w:lineRule="auto"/>
        <w:rPr>
          <w:sz w:val="24"/>
          <w:szCs w:val="24"/>
        </w:rPr>
      </w:pPr>
      <w:r w:rsidRPr="00C67A15">
        <w:rPr>
          <w:sz w:val="24"/>
          <w:szCs w:val="24"/>
        </w:rPr>
        <w:tab/>
      </w:r>
      <w:r w:rsidRPr="00C67A15">
        <w:rPr>
          <w:sz w:val="24"/>
          <w:szCs w:val="24"/>
        </w:rPr>
        <w:tab/>
        <w:t>1</w:t>
      </w:r>
      <w:r w:rsidR="00022E94">
        <w:rPr>
          <w:sz w:val="24"/>
          <w:szCs w:val="24"/>
        </w:rPr>
        <w:t>4</w:t>
      </w:r>
      <w:r w:rsidRPr="00C67A15">
        <w:rPr>
          <w:sz w:val="24"/>
          <w:szCs w:val="24"/>
        </w:rPr>
        <w:t>.</w:t>
      </w:r>
      <w:r w:rsidRPr="00C67A15">
        <w:rPr>
          <w:sz w:val="24"/>
          <w:szCs w:val="24"/>
        </w:rPr>
        <w:tab/>
        <w:t xml:space="preserve">The Complainant failed to participate in the </w:t>
      </w:r>
      <w:r w:rsidR="004A0965">
        <w:rPr>
          <w:sz w:val="24"/>
          <w:szCs w:val="24"/>
        </w:rPr>
        <w:t xml:space="preserve">further </w:t>
      </w:r>
      <w:r w:rsidRPr="00C67A15">
        <w:rPr>
          <w:sz w:val="24"/>
          <w:szCs w:val="24"/>
        </w:rPr>
        <w:t>telephonic hearing.</w:t>
      </w:r>
    </w:p>
    <w:p w:rsidR="001F332E" w:rsidRDefault="001F332E" w:rsidP="001F332E">
      <w:pPr>
        <w:keepNext/>
        <w:spacing w:line="360" w:lineRule="auto"/>
        <w:jc w:val="center"/>
        <w:outlineLvl w:val="0"/>
        <w:rPr>
          <w:sz w:val="24"/>
          <w:szCs w:val="24"/>
          <w:u w:val="single"/>
        </w:rPr>
      </w:pPr>
    </w:p>
    <w:p w:rsidR="001F332E" w:rsidRPr="00C67A15" w:rsidRDefault="001F332E" w:rsidP="001F332E">
      <w:pPr>
        <w:keepNext/>
        <w:spacing w:line="360" w:lineRule="auto"/>
        <w:jc w:val="center"/>
        <w:outlineLvl w:val="0"/>
        <w:rPr>
          <w:sz w:val="24"/>
          <w:szCs w:val="24"/>
          <w:u w:val="single"/>
        </w:rPr>
      </w:pPr>
      <w:r w:rsidRPr="00C67A15">
        <w:rPr>
          <w:sz w:val="24"/>
          <w:szCs w:val="24"/>
          <w:u w:val="single"/>
        </w:rPr>
        <w:t>DISCUSSION</w:t>
      </w:r>
    </w:p>
    <w:p w:rsidR="001F332E" w:rsidRPr="00C67A15" w:rsidRDefault="001F332E" w:rsidP="001F332E">
      <w:pPr>
        <w:autoSpaceDE w:val="0"/>
        <w:autoSpaceDN w:val="0"/>
        <w:spacing w:line="360" w:lineRule="auto"/>
        <w:rPr>
          <w:sz w:val="24"/>
          <w:szCs w:val="24"/>
        </w:rPr>
      </w:pPr>
    </w:p>
    <w:p w:rsidR="001F332E" w:rsidRPr="00C67A15" w:rsidRDefault="001F332E" w:rsidP="001F332E">
      <w:pPr>
        <w:tabs>
          <w:tab w:val="left" w:pos="-1440"/>
          <w:tab w:val="left" w:pos="-720"/>
          <w:tab w:val="left" w:pos="0"/>
          <w:tab w:val="left" w:pos="720"/>
          <w:tab w:val="left" w:pos="1440"/>
        </w:tabs>
        <w:spacing w:line="360" w:lineRule="auto"/>
        <w:rPr>
          <w:sz w:val="24"/>
          <w:szCs w:val="24"/>
        </w:rPr>
      </w:pPr>
      <w:r w:rsidRPr="00C67A15">
        <w:rPr>
          <w:sz w:val="24"/>
          <w:szCs w:val="24"/>
        </w:rPr>
        <w:tab/>
      </w:r>
      <w:r w:rsidRPr="00C67A15">
        <w:rPr>
          <w:sz w:val="24"/>
          <w:szCs w:val="24"/>
        </w:rPr>
        <w:tab/>
        <w:t xml:space="preserve">Administrative agencies, such as the Commission, are required to provide due process to the parties appearing before them.  </w:t>
      </w:r>
      <w:r w:rsidRPr="00C67A15">
        <w:rPr>
          <w:i/>
          <w:sz w:val="24"/>
          <w:szCs w:val="24"/>
        </w:rPr>
        <w:t>Schneider v. Pa. Pub. Util. Comm’n</w:t>
      </w:r>
      <w:r w:rsidRPr="00C67A15">
        <w:rPr>
          <w:sz w:val="24"/>
          <w:szCs w:val="24"/>
        </w:rPr>
        <w:t>, 479 A.2d 10 (Pa.Cmwlth. 1984).  This due process requirement is satisfied, however, when the administrative agency provides the parties notice and the opportunity to be heard.</w:t>
      </w:r>
    </w:p>
    <w:p w:rsidR="001F332E" w:rsidRPr="00C67A15" w:rsidRDefault="001F332E" w:rsidP="001F332E">
      <w:pPr>
        <w:tabs>
          <w:tab w:val="left" w:pos="-1440"/>
          <w:tab w:val="left" w:pos="-720"/>
          <w:tab w:val="left" w:pos="0"/>
          <w:tab w:val="left" w:pos="720"/>
          <w:tab w:val="left" w:pos="1440"/>
        </w:tabs>
        <w:spacing w:line="360" w:lineRule="auto"/>
        <w:rPr>
          <w:sz w:val="24"/>
          <w:szCs w:val="24"/>
        </w:rPr>
      </w:pPr>
    </w:p>
    <w:p w:rsidR="00CF3B25" w:rsidRDefault="001F332E" w:rsidP="00823B9F">
      <w:pPr>
        <w:tabs>
          <w:tab w:val="left" w:pos="-1440"/>
          <w:tab w:val="left" w:pos="-720"/>
          <w:tab w:val="left" w:pos="0"/>
          <w:tab w:val="left" w:pos="720"/>
          <w:tab w:val="left" w:pos="1440"/>
        </w:tabs>
        <w:spacing w:line="360" w:lineRule="auto"/>
        <w:ind w:firstLine="1440"/>
        <w:rPr>
          <w:sz w:val="24"/>
          <w:szCs w:val="24"/>
        </w:rPr>
      </w:pPr>
      <w:r w:rsidRPr="00C67A15">
        <w:rPr>
          <w:sz w:val="24"/>
          <w:szCs w:val="24"/>
        </w:rPr>
        <w:t xml:space="preserve">The Commission sent a </w:t>
      </w:r>
      <w:r w:rsidR="00022E94">
        <w:rPr>
          <w:sz w:val="24"/>
          <w:szCs w:val="24"/>
        </w:rPr>
        <w:t xml:space="preserve">Further </w:t>
      </w:r>
      <w:r w:rsidRPr="00C67A15">
        <w:rPr>
          <w:sz w:val="24"/>
          <w:szCs w:val="24"/>
        </w:rPr>
        <w:t xml:space="preserve">Call-In Telephone Hearing Notice in this case to the Complainant on </w:t>
      </w:r>
      <w:r w:rsidR="00022E94">
        <w:rPr>
          <w:sz w:val="24"/>
          <w:szCs w:val="24"/>
        </w:rPr>
        <w:t>January 17</w:t>
      </w:r>
      <w:r w:rsidRPr="00C67A15">
        <w:rPr>
          <w:sz w:val="24"/>
          <w:szCs w:val="24"/>
        </w:rPr>
        <w:t>, 201</w:t>
      </w:r>
      <w:r w:rsidR="00022E94">
        <w:rPr>
          <w:sz w:val="24"/>
          <w:szCs w:val="24"/>
        </w:rPr>
        <w:t>7</w:t>
      </w:r>
      <w:r w:rsidRPr="00C67A15">
        <w:rPr>
          <w:sz w:val="24"/>
          <w:szCs w:val="24"/>
        </w:rPr>
        <w:t xml:space="preserve">, by regular first-class mail to the address stated on the Complaint.  In addition, on </w:t>
      </w:r>
      <w:r w:rsidR="00022E94">
        <w:rPr>
          <w:sz w:val="24"/>
          <w:szCs w:val="24"/>
        </w:rPr>
        <w:t>November 1</w:t>
      </w:r>
      <w:r w:rsidRPr="00C67A15">
        <w:rPr>
          <w:sz w:val="24"/>
          <w:szCs w:val="24"/>
        </w:rPr>
        <w:t>, 201</w:t>
      </w:r>
      <w:r w:rsidR="00022E94">
        <w:rPr>
          <w:sz w:val="24"/>
          <w:szCs w:val="24"/>
        </w:rPr>
        <w:t>6</w:t>
      </w:r>
      <w:r w:rsidRPr="00C67A15">
        <w:rPr>
          <w:sz w:val="24"/>
          <w:szCs w:val="24"/>
        </w:rPr>
        <w:t xml:space="preserve">, the Commission issued a Prehearing Order, which, </w:t>
      </w:r>
      <w:r w:rsidRPr="00C67A15">
        <w:rPr>
          <w:i/>
          <w:sz w:val="24"/>
          <w:szCs w:val="24"/>
        </w:rPr>
        <w:t>inter alia</w:t>
      </w:r>
      <w:r w:rsidR="00022E94">
        <w:rPr>
          <w:i/>
          <w:sz w:val="24"/>
          <w:szCs w:val="24"/>
        </w:rPr>
        <w:t>,</w:t>
      </w:r>
      <w:r w:rsidRPr="00C67A15">
        <w:rPr>
          <w:sz w:val="24"/>
          <w:szCs w:val="24"/>
        </w:rPr>
        <w:t xml:space="preserve"> informed the </w:t>
      </w:r>
      <w:r w:rsidR="00823B9F">
        <w:rPr>
          <w:sz w:val="24"/>
          <w:szCs w:val="24"/>
        </w:rPr>
        <w:t>P</w:t>
      </w:r>
      <w:r w:rsidRPr="00C67A15">
        <w:rPr>
          <w:sz w:val="24"/>
          <w:szCs w:val="24"/>
        </w:rPr>
        <w:t>arties about the procedure to request a hearing continuance.</w:t>
      </w:r>
    </w:p>
    <w:p w:rsidR="00CF3B25" w:rsidRDefault="00CF3B25" w:rsidP="001F332E">
      <w:pPr>
        <w:tabs>
          <w:tab w:val="left" w:pos="-1440"/>
          <w:tab w:val="left" w:pos="-720"/>
          <w:tab w:val="left" w:pos="0"/>
          <w:tab w:val="left" w:pos="720"/>
          <w:tab w:val="left" w:pos="1440"/>
        </w:tabs>
        <w:spacing w:line="360" w:lineRule="auto"/>
        <w:ind w:firstLine="1440"/>
        <w:rPr>
          <w:snapToGrid w:val="0"/>
          <w:sz w:val="24"/>
          <w:szCs w:val="24"/>
        </w:rPr>
      </w:pPr>
    </w:p>
    <w:p w:rsidR="001F332E" w:rsidRPr="00C67A15" w:rsidRDefault="001F332E" w:rsidP="001F332E">
      <w:pPr>
        <w:tabs>
          <w:tab w:val="left" w:pos="-1440"/>
          <w:tab w:val="left" w:pos="-720"/>
          <w:tab w:val="left" w:pos="0"/>
          <w:tab w:val="left" w:pos="720"/>
          <w:tab w:val="left" w:pos="1440"/>
        </w:tabs>
        <w:spacing w:line="360" w:lineRule="auto"/>
        <w:ind w:firstLine="1440"/>
        <w:rPr>
          <w:sz w:val="24"/>
          <w:szCs w:val="24"/>
        </w:rPr>
      </w:pPr>
      <w:r w:rsidRPr="00C67A15">
        <w:rPr>
          <w:snapToGrid w:val="0"/>
          <w:sz w:val="24"/>
          <w:szCs w:val="24"/>
        </w:rPr>
        <w:t xml:space="preserve">The </w:t>
      </w:r>
      <w:r w:rsidR="00823B9F">
        <w:rPr>
          <w:snapToGrid w:val="0"/>
          <w:sz w:val="24"/>
          <w:szCs w:val="24"/>
        </w:rPr>
        <w:t>January 17</w:t>
      </w:r>
      <w:r>
        <w:rPr>
          <w:snapToGrid w:val="0"/>
          <w:sz w:val="24"/>
          <w:szCs w:val="24"/>
        </w:rPr>
        <w:t xml:space="preserve">, </w:t>
      </w:r>
      <w:r w:rsidRPr="00C67A15">
        <w:rPr>
          <w:snapToGrid w:val="0"/>
          <w:sz w:val="24"/>
          <w:szCs w:val="24"/>
        </w:rPr>
        <w:t>201</w:t>
      </w:r>
      <w:r w:rsidR="00823B9F">
        <w:rPr>
          <w:snapToGrid w:val="0"/>
          <w:sz w:val="24"/>
          <w:szCs w:val="24"/>
        </w:rPr>
        <w:t>7</w:t>
      </w:r>
      <w:r w:rsidRPr="00C67A15">
        <w:rPr>
          <w:snapToGrid w:val="0"/>
          <w:sz w:val="24"/>
          <w:szCs w:val="24"/>
        </w:rPr>
        <w:t xml:space="preserve"> </w:t>
      </w:r>
      <w:r w:rsidR="00823B9F">
        <w:rPr>
          <w:snapToGrid w:val="0"/>
          <w:sz w:val="24"/>
          <w:szCs w:val="24"/>
        </w:rPr>
        <w:t xml:space="preserve">Further </w:t>
      </w:r>
      <w:r w:rsidRPr="00C67A15">
        <w:rPr>
          <w:snapToGrid w:val="0"/>
          <w:sz w:val="24"/>
          <w:szCs w:val="24"/>
        </w:rPr>
        <w:t>Hearing Notice w</w:t>
      </w:r>
      <w:r w:rsidR="00823B9F">
        <w:rPr>
          <w:snapToGrid w:val="0"/>
          <w:sz w:val="24"/>
          <w:szCs w:val="24"/>
        </w:rPr>
        <w:t>as</w:t>
      </w:r>
      <w:r w:rsidRPr="00C67A15">
        <w:rPr>
          <w:snapToGrid w:val="0"/>
          <w:sz w:val="24"/>
          <w:szCs w:val="24"/>
        </w:rPr>
        <w:t xml:space="preserve"> not returned to the Commission by the U.S. Postal Service.  </w:t>
      </w:r>
      <w:r w:rsidRPr="00C67A15">
        <w:rPr>
          <w:sz w:val="24"/>
          <w:szCs w:val="24"/>
        </w:rPr>
        <w:t xml:space="preserve">Accordingly, there is a presumption in the law that the </w:t>
      </w:r>
      <w:r w:rsidR="00823B9F">
        <w:rPr>
          <w:sz w:val="24"/>
          <w:szCs w:val="24"/>
        </w:rPr>
        <w:t xml:space="preserve">Further </w:t>
      </w:r>
      <w:r w:rsidRPr="00C67A15">
        <w:rPr>
          <w:sz w:val="24"/>
          <w:szCs w:val="24"/>
        </w:rPr>
        <w:t>Hearing Notice, which were sent in the ordinary course of business, w</w:t>
      </w:r>
      <w:r w:rsidR="00823B9F">
        <w:rPr>
          <w:sz w:val="24"/>
          <w:szCs w:val="24"/>
        </w:rPr>
        <w:t>as</w:t>
      </w:r>
      <w:r w:rsidRPr="00C67A15">
        <w:rPr>
          <w:sz w:val="24"/>
          <w:szCs w:val="24"/>
        </w:rPr>
        <w:t xml:space="preserve"> received by Complainant.  </w:t>
      </w:r>
      <w:r w:rsidRPr="00C67A15">
        <w:rPr>
          <w:i/>
          <w:sz w:val="24"/>
          <w:szCs w:val="24"/>
        </w:rPr>
        <w:t>Berkowitz v. Mayflower Securities, Inc.</w:t>
      </w:r>
      <w:r w:rsidRPr="00C67A15">
        <w:rPr>
          <w:sz w:val="24"/>
          <w:szCs w:val="24"/>
        </w:rPr>
        <w:t xml:space="preserve">, 317 A.2d 584 (Pa. 1974); </w:t>
      </w:r>
      <w:r w:rsidRPr="00C67A15">
        <w:rPr>
          <w:i/>
          <w:sz w:val="24"/>
          <w:szCs w:val="24"/>
        </w:rPr>
        <w:t>Meierdierck v. Miller</w:t>
      </w:r>
      <w:r w:rsidRPr="00C67A15">
        <w:rPr>
          <w:sz w:val="24"/>
          <w:szCs w:val="24"/>
        </w:rPr>
        <w:t xml:space="preserve">, 147 A.2d 406 (Pa. 1959); </w:t>
      </w:r>
      <w:r w:rsidRPr="00C67A15">
        <w:rPr>
          <w:i/>
          <w:sz w:val="24"/>
          <w:szCs w:val="24"/>
        </w:rPr>
        <w:t>Samaras v. Hartwick,</w:t>
      </w:r>
      <w:r w:rsidRPr="00C67A15">
        <w:rPr>
          <w:sz w:val="24"/>
          <w:szCs w:val="24"/>
        </w:rPr>
        <w:t xml:space="preserve"> 698 A.2d 71 (Pa.Super. 1997); </w:t>
      </w:r>
      <w:r w:rsidRPr="00C67A15">
        <w:rPr>
          <w:i/>
          <w:sz w:val="24"/>
          <w:szCs w:val="24"/>
        </w:rPr>
        <w:t>Judge v. Celina Mutual Insurance Co.,</w:t>
      </w:r>
      <w:r w:rsidRPr="00C67A15">
        <w:rPr>
          <w:sz w:val="24"/>
          <w:szCs w:val="24"/>
        </w:rPr>
        <w:t xml:space="preserve"> 444 A.2d 658 (Pa.Super. 1982).</w:t>
      </w:r>
    </w:p>
    <w:p w:rsidR="001F332E" w:rsidRPr="00C67A15" w:rsidRDefault="001F332E" w:rsidP="001F332E">
      <w:pPr>
        <w:tabs>
          <w:tab w:val="left" w:pos="-1440"/>
          <w:tab w:val="left" w:pos="-720"/>
          <w:tab w:val="left" w:pos="0"/>
          <w:tab w:val="left" w:pos="720"/>
          <w:tab w:val="left" w:pos="1440"/>
        </w:tabs>
        <w:spacing w:line="360" w:lineRule="auto"/>
        <w:ind w:firstLine="1440"/>
        <w:rPr>
          <w:sz w:val="24"/>
          <w:szCs w:val="24"/>
        </w:rPr>
      </w:pPr>
    </w:p>
    <w:p w:rsidR="001F332E" w:rsidRPr="00C67A15" w:rsidRDefault="001F332E" w:rsidP="001F332E">
      <w:pPr>
        <w:tabs>
          <w:tab w:val="left" w:pos="-1440"/>
          <w:tab w:val="left" w:pos="-720"/>
          <w:tab w:val="left" w:pos="0"/>
          <w:tab w:val="left" w:pos="720"/>
          <w:tab w:val="left" w:pos="1440"/>
        </w:tabs>
        <w:spacing w:line="360" w:lineRule="auto"/>
        <w:rPr>
          <w:sz w:val="24"/>
          <w:szCs w:val="24"/>
        </w:rPr>
      </w:pPr>
      <w:r w:rsidRPr="00C67A15">
        <w:rPr>
          <w:sz w:val="24"/>
          <w:szCs w:val="24"/>
        </w:rPr>
        <w:tab/>
      </w:r>
      <w:r w:rsidRPr="00C67A15">
        <w:rPr>
          <w:sz w:val="24"/>
          <w:szCs w:val="24"/>
        </w:rPr>
        <w:tab/>
        <w:t>Complainant did not participate in the scheduled</w:t>
      </w:r>
      <w:r w:rsidR="00823B9F">
        <w:rPr>
          <w:sz w:val="24"/>
          <w:szCs w:val="24"/>
        </w:rPr>
        <w:t xml:space="preserve"> further</w:t>
      </w:r>
      <w:r w:rsidRPr="00C67A15">
        <w:rPr>
          <w:sz w:val="24"/>
          <w:szCs w:val="24"/>
        </w:rPr>
        <w:t xml:space="preserve"> telephonic hearing.  Complainant did not request a hearing continuance, nor call the OALJ to explain h</w:t>
      </w:r>
      <w:r w:rsidR="0059513D">
        <w:rPr>
          <w:sz w:val="24"/>
          <w:szCs w:val="24"/>
        </w:rPr>
        <w:t>er</w:t>
      </w:r>
      <w:r w:rsidRPr="00C67A15">
        <w:rPr>
          <w:sz w:val="24"/>
          <w:szCs w:val="24"/>
        </w:rPr>
        <w:t xml:space="preserve"> absence.  Under these circumstances, Complainant had ample opportunity to participate and be heard in </w:t>
      </w:r>
      <w:r w:rsidRPr="00C67A15">
        <w:rPr>
          <w:sz w:val="24"/>
          <w:szCs w:val="24"/>
        </w:rPr>
        <w:lastRenderedPageBreak/>
        <w:t xml:space="preserve">this proceeding, but apparently elected not to participate in the </w:t>
      </w:r>
      <w:r w:rsidR="00823B9F">
        <w:rPr>
          <w:sz w:val="24"/>
          <w:szCs w:val="24"/>
        </w:rPr>
        <w:t xml:space="preserve">further </w:t>
      </w:r>
      <w:r w:rsidRPr="00C67A15">
        <w:rPr>
          <w:sz w:val="24"/>
          <w:szCs w:val="24"/>
        </w:rPr>
        <w:t xml:space="preserve">telephonic hearing.  Therefore, the due process rights of Complainant have been fully protected.  </w:t>
      </w:r>
      <w:r w:rsidRPr="00C67A15">
        <w:rPr>
          <w:i/>
          <w:sz w:val="24"/>
          <w:szCs w:val="24"/>
        </w:rPr>
        <w:t>Sentner v. Bell Telephone Co. of Pa.,</w:t>
      </w:r>
      <w:r w:rsidRPr="00C67A15">
        <w:rPr>
          <w:sz w:val="24"/>
          <w:szCs w:val="24"/>
        </w:rPr>
        <w:t xml:space="preserve"> Docket No. F</w:t>
      </w:r>
      <w:r w:rsidRPr="00C67A15">
        <w:rPr>
          <w:sz w:val="24"/>
          <w:szCs w:val="24"/>
        </w:rPr>
        <w:noBreakHyphen/>
        <w:t>00161106 (Opinion and Order entered October 25, 1993); 52 Pa.Code § 5.245.</w:t>
      </w:r>
    </w:p>
    <w:p w:rsidR="001F332E" w:rsidRPr="00C67A15" w:rsidRDefault="001F332E" w:rsidP="001F332E">
      <w:pPr>
        <w:tabs>
          <w:tab w:val="left" w:pos="-1440"/>
          <w:tab w:val="left" w:pos="-720"/>
          <w:tab w:val="left" w:pos="0"/>
          <w:tab w:val="left" w:pos="720"/>
          <w:tab w:val="left" w:pos="1440"/>
        </w:tabs>
        <w:spacing w:line="360" w:lineRule="auto"/>
        <w:rPr>
          <w:sz w:val="24"/>
          <w:szCs w:val="24"/>
        </w:rPr>
      </w:pPr>
    </w:p>
    <w:p w:rsidR="001F332E" w:rsidRPr="00C67A15" w:rsidRDefault="001F332E" w:rsidP="001F332E">
      <w:pPr>
        <w:tabs>
          <w:tab w:val="left" w:pos="-1440"/>
          <w:tab w:val="left" w:pos="-720"/>
          <w:tab w:val="left" w:pos="0"/>
          <w:tab w:val="left" w:pos="720"/>
          <w:tab w:val="left" w:pos="1440"/>
        </w:tabs>
        <w:spacing w:line="360" w:lineRule="auto"/>
        <w:rPr>
          <w:sz w:val="24"/>
          <w:szCs w:val="24"/>
        </w:rPr>
      </w:pPr>
      <w:r w:rsidRPr="00C67A15">
        <w:rPr>
          <w:sz w:val="24"/>
          <w:szCs w:val="24"/>
        </w:rPr>
        <w:tab/>
      </w:r>
      <w:r w:rsidRPr="00C67A15">
        <w:rPr>
          <w:sz w:val="24"/>
          <w:szCs w:val="24"/>
        </w:rPr>
        <w:tab/>
        <w:t xml:space="preserve">Section 332(a) of the Public Utility Code, 66 Pa.C.S. § 332(a), places the burden of proof upon the proponent of any request for relief.  As the </w:t>
      </w:r>
      <w:r w:rsidR="00823B9F">
        <w:rPr>
          <w:sz w:val="24"/>
          <w:szCs w:val="24"/>
        </w:rPr>
        <w:t>P</w:t>
      </w:r>
      <w:r w:rsidRPr="00C67A15">
        <w:rPr>
          <w:sz w:val="24"/>
          <w:szCs w:val="24"/>
        </w:rPr>
        <w:t xml:space="preserve">arty bringing this Complaint, Complainant bears the burden of proving by a preponderance of the evidence that </w:t>
      </w:r>
      <w:r w:rsidR="00823B9F">
        <w:rPr>
          <w:sz w:val="24"/>
          <w:szCs w:val="24"/>
        </w:rPr>
        <w:t>s</w:t>
      </w:r>
      <w:r w:rsidRPr="00C67A15">
        <w:rPr>
          <w:sz w:val="24"/>
          <w:szCs w:val="24"/>
        </w:rPr>
        <w:t>he is entitled to relief.  By failing to participate in the hearing and proffer any evidence to support h</w:t>
      </w:r>
      <w:r w:rsidR="00823B9F">
        <w:rPr>
          <w:sz w:val="24"/>
          <w:szCs w:val="24"/>
        </w:rPr>
        <w:t>er</w:t>
      </w:r>
      <w:r w:rsidRPr="00C67A15">
        <w:rPr>
          <w:sz w:val="24"/>
          <w:szCs w:val="24"/>
        </w:rPr>
        <w:t xml:space="preserve"> Complaint, the Complainant has failed to meet this burden of proof.  Under these circumstances, the Complaint may be dismissed with prejudice.  </w:t>
      </w:r>
      <w:r w:rsidRPr="00C67A15">
        <w:rPr>
          <w:i/>
          <w:sz w:val="24"/>
          <w:szCs w:val="24"/>
        </w:rPr>
        <w:t>Martin Jefferson v. UGI Utilities, Inc.</w:t>
      </w:r>
      <w:r w:rsidRPr="00C67A15">
        <w:rPr>
          <w:sz w:val="24"/>
          <w:szCs w:val="24"/>
        </w:rPr>
        <w:t>, Docket No. Z</w:t>
      </w:r>
      <w:r w:rsidRPr="00C67A15">
        <w:rPr>
          <w:sz w:val="24"/>
          <w:szCs w:val="24"/>
        </w:rPr>
        <w:noBreakHyphen/>
        <w:t>00269892 (Opinion and Order entered December 26, 1995); 52 Pa.Code § 5.245.</w:t>
      </w:r>
    </w:p>
    <w:p w:rsidR="001F332E" w:rsidRPr="00C67A15" w:rsidRDefault="001F332E" w:rsidP="001F332E">
      <w:pPr>
        <w:tabs>
          <w:tab w:val="left" w:pos="-1440"/>
          <w:tab w:val="left" w:pos="-720"/>
          <w:tab w:val="left" w:pos="0"/>
          <w:tab w:val="left" w:pos="720"/>
          <w:tab w:val="left" w:pos="1440"/>
        </w:tabs>
        <w:spacing w:line="360" w:lineRule="auto"/>
        <w:rPr>
          <w:sz w:val="24"/>
          <w:szCs w:val="24"/>
        </w:rPr>
      </w:pPr>
    </w:p>
    <w:p w:rsidR="001F332E" w:rsidRPr="00C67A15" w:rsidRDefault="001F332E" w:rsidP="001F332E">
      <w:pPr>
        <w:tabs>
          <w:tab w:val="left" w:pos="-1440"/>
          <w:tab w:val="left" w:pos="-720"/>
          <w:tab w:val="left" w:pos="0"/>
          <w:tab w:val="left" w:pos="720"/>
          <w:tab w:val="left" w:pos="1440"/>
        </w:tabs>
        <w:spacing w:line="360" w:lineRule="auto"/>
        <w:jc w:val="center"/>
        <w:rPr>
          <w:sz w:val="24"/>
          <w:szCs w:val="24"/>
        </w:rPr>
      </w:pPr>
      <w:r w:rsidRPr="00C67A15">
        <w:rPr>
          <w:sz w:val="24"/>
          <w:szCs w:val="24"/>
          <w:u w:val="single"/>
        </w:rPr>
        <w:t>CONCLUSIONS OF LAW</w:t>
      </w:r>
    </w:p>
    <w:p w:rsidR="001F332E" w:rsidRPr="00C67A15" w:rsidRDefault="001F332E" w:rsidP="001F332E">
      <w:pPr>
        <w:autoSpaceDE w:val="0"/>
        <w:autoSpaceDN w:val="0"/>
        <w:spacing w:line="360" w:lineRule="auto"/>
        <w:rPr>
          <w:snapToGrid w:val="0"/>
          <w:sz w:val="24"/>
          <w:szCs w:val="24"/>
        </w:rPr>
      </w:pPr>
    </w:p>
    <w:p w:rsidR="00CF3B25" w:rsidRDefault="001F332E" w:rsidP="001F332E">
      <w:pPr>
        <w:autoSpaceDE w:val="0"/>
        <w:autoSpaceDN w:val="0"/>
        <w:spacing w:line="360" w:lineRule="auto"/>
        <w:rPr>
          <w:snapToGrid w:val="0"/>
          <w:sz w:val="24"/>
          <w:szCs w:val="24"/>
        </w:rPr>
      </w:pPr>
      <w:r w:rsidRPr="00C67A15">
        <w:rPr>
          <w:snapToGrid w:val="0"/>
          <w:sz w:val="24"/>
          <w:szCs w:val="24"/>
        </w:rPr>
        <w:tab/>
      </w:r>
      <w:r w:rsidRPr="00C67A15">
        <w:rPr>
          <w:snapToGrid w:val="0"/>
          <w:sz w:val="24"/>
          <w:szCs w:val="24"/>
        </w:rPr>
        <w:tab/>
        <w:t>1.</w:t>
      </w:r>
      <w:r w:rsidRPr="00C67A15">
        <w:rPr>
          <w:snapToGrid w:val="0"/>
          <w:sz w:val="24"/>
          <w:szCs w:val="24"/>
        </w:rPr>
        <w:tab/>
        <w:t xml:space="preserve">The Commission has jurisdiction over the </w:t>
      </w:r>
      <w:r w:rsidR="00823B9F">
        <w:rPr>
          <w:snapToGrid w:val="0"/>
          <w:sz w:val="24"/>
          <w:szCs w:val="24"/>
        </w:rPr>
        <w:t>P</w:t>
      </w:r>
      <w:r w:rsidRPr="00C67A15">
        <w:rPr>
          <w:snapToGrid w:val="0"/>
          <w:sz w:val="24"/>
          <w:szCs w:val="24"/>
        </w:rPr>
        <w:t xml:space="preserve">arties and subject matter of </w:t>
      </w:r>
    </w:p>
    <w:p w:rsidR="001F332E" w:rsidRPr="00C67A15" w:rsidRDefault="001F332E" w:rsidP="001F332E">
      <w:pPr>
        <w:autoSpaceDE w:val="0"/>
        <w:autoSpaceDN w:val="0"/>
        <w:spacing w:line="360" w:lineRule="auto"/>
        <w:rPr>
          <w:bCs/>
          <w:snapToGrid w:val="0"/>
          <w:sz w:val="24"/>
          <w:szCs w:val="24"/>
        </w:rPr>
      </w:pPr>
      <w:r w:rsidRPr="00C67A15">
        <w:rPr>
          <w:snapToGrid w:val="0"/>
          <w:sz w:val="24"/>
          <w:szCs w:val="24"/>
        </w:rPr>
        <w:t xml:space="preserve">this proceeding.  66 Pa.C.S. </w:t>
      </w:r>
      <w:r w:rsidRPr="00C67A15">
        <w:rPr>
          <w:bCs/>
          <w:snapToGrid w:val="0"/>
          <w:sz w:val="24"/>
          <w:szCs w:val="24"/>
        </w:rPr>
        <w:t>§ 701.</w:t>
      </w:r>
    </w:p>
    <w:p w:rsidR="00823B9F" w:rsidRDefault="00823B9F" w:rsidP="001F332E">
      <w:pPr>
        <w:tabs>
          <w:tab w:val="left" w:pos="-1620"/>
        </w:tabs>
        <w:autoSpaceDE w:val="0"/>
        <w:autoSpaceDN w:val="0"/>
        <w:spacing w:line="360" w:lineRule="auto"/>
        <w:rPr>
          <w:snapToGrid w:val="0"/>
          <w:sz w:val="24"/>
          <w:szCs w:val="24"/>
        </w:rPr>
      </w:pPr>
    </w:p>
    <w:p w:rsidR="001F332E" w:rsidRPr="00C67A15" w:rsidRDefault="001F332E" w:rsidP="001F332E">
      <w:pPr>
        <w:tabs>
          <w:tab w:val="left" w:pos="-1620"/>
        </w:tabs>
        <w:autoSpaceDE w:val="0"/>
        <w:autoSpaceDN w:val="0"/>
        <w:spacing w:line="360" w:lineRule="auto"/>
        <w:rPr>
          <w:snapToGrid w:val="0"/>
          <w:sz w:val="24"/>
          <w:szCs w:val="24"/>
        </w:rPr>
      </w:pPr>
      <w:r w:rsidRPr="00C67A15">
        <w:rPr>
          <w:snapToGrid w:val="0"/>
          <w:sz w:val="24"/>
          <w:szCs w:val="24"/>
        </w:rPr>
        <w:tab/>
      </w:r>
      <w:r w:rsidRPr="00C67A15">
        <w:rPr>
          <w:snapToGrid w:val="0"/>
          <w:sz w:val="24"/>
          <w:szCs w:val="24"/>
        </w:rPr>
        <w:tab/>
        <w:t>2.</w:t>
      </w:r>
      <w:r w:rsidRPr="00C67A15">
        <w:rPr>
          <w:snapToGrid w:val="0"/>
          <w:sz w:val="24"/>
          <w:szCs w:val="24"/>
        </w:rPr>
        <w:tab/>
        <w:t>Complainant as the proponent of a rule or order has the burden of proof.  66 Pa.C.S. § 332(a).</w:t>
      </w:r>
    </w:p>
    <w:p w:rsidR="001F332E" w:rsidRPr="00C67A15" w:rsidRDefault="001F332E" w:rsidP="001F332E">
      <w:pPr>
        <w:tabs>
          <w:tab w:val="left" w:pos="-1620"/>
        </w:tabs>
        <w:autoSpaceDE w:val="0"/>
        <w:autoSpaceDN w:val="0"/>
        <w:spacing w:line="360" w:lineRule="auto"/>
        <w:rPr>
          <w:snapToGrid w:val="0"/>
          <w:sz w:val="24"/>
          <w:szCs w:val="24"/>
        </w:rPr>
      </w:pPr>
    </w:p>
    <w:p w:rsidR="001F332E" w:rsidRPr="00C67A15" w:rsidRDefault="001F332E" w:rsidP="001F332E">
      <w:pPr>
        <w:autoSpaceDE w:val="0"/>
        <w:autoSpaceDN w:val="0"/>
        <w:spacing w:line="360" w:lineRule="auto"/>
        <w:rPr>
          <w:sz w:val="24"/>
          <w:szCs w:val="24"/>
        </w:rPr>
      </w:pPr>
      <w:r w:rsidRPr="00C67A15">
        <w:rPr>
          <w:sz w:val="24"/>
          <w:szCs w:val="24"/>
        </w:rPr>
        <w:tab/>
      </w:r>
      <w:r w:rsidRPr="00C67A15">
        <w:rPr>
          <w:sz w:val="24"/>
          <w:szCs w:val="24"/>
        </w:rPr>
        <w:tab/>
        <w:t>3.</w:t>
      </w:r>
      <w:r w:rsidRPr="00C67A15">
        <w:rPr>
          <w:sz w:val="24"/>
          <w:szCs w:val="24"/>
        </w:rPr>
        <w:tab/>
        <w:t>When a complainant fails to appear for a scheduled conference or hearing,</w:t>
      </w:r>
      <w:r>
        <w:rPr>
          <w:sz w:val="24"/>
          <w:szCs w:val="24"/>
        </w:rPr>
        <w:t xml:space="preserve"> </w:t>
      </w:r>
      <w:r w:rsidRPr="00C67A15">
        <w:rPr>
          <w:sz w:val="24"/>
          <w:szCs w:val="24"/>
        </w:rPr>
        <w:t xml:space="preserve">the complaint may be dismissed with prejudice.  </w:t>
      </w:r>
      <w:r w:rsidRPr="00C67A15">
        <w:rPr>
          <w:i/>
          <w:sz w:val="24"/>
          <w:szCs w:val="24"/>
        </w:rPr>
        <w:t>Martin</w:t>
      </w:r>
      <w:r w:rsidRPr="00C67A15">
        <w:rPr>
          <w:sz w:val="24"/>
          <w:szCs w:val="24"/>
        </w:rPr>
        <w:t xml:space="preserve"> </w:t>
      </w:r>
      <w:r w:rsidRPr="00C67A15">
        <w:rPr>
          <w:i/>
          <w:sz w:val="24"/>
          <w:szCs w:val="24"/>
        </w:rPr>
        <w:t>Jefferson v. UGI Utilities, Inc.</w:t>
      </w:r>
      <w:r w:rsidRPr="00C67A15">
        <w:rPr>
          <w:sz w:val="24"/>
          <w:szCs w:val="24"/>
        </w:rPr>
        <w:t xml:space="preserve">, Docket No. Z-00269892 (Opinion and Order entered December 26, 1995); </w:t>
      </w:r>
      <w:r w:rsidR="0059513D" w:rsidRPr="00447887">
        <w:rPr>
          <w:i/>
          <w:color w:val="000000"/>
          <w:spacing w:val="4"/>
          <w:sz w:val="24"/>
          <w:szCs w:val="24"/>
        </w:rPr>
        <w:t>El-</w:t>
      </w:r>
      <w:proofErr w:type="spellStart"/>
      <w:r w:rsidR="0059513D" w:rsidRPr="00447887">
        <w:rPr>
          <w:i/>
          <w:color w:val="000000"/>
          <w:spacing w:val="4"/>
          <w:sz w:val="24"/>
          <w:szCs w:val="24"/>
        </w:rPr>
        <w:t>Ayazra</w:t>
      </w:r>
      <w:proofErr w:type="spellEnd"/>
      <w:r w:rsidR="0059513D" w:rsidRPr="00447887">
        <w:rPr>
          <w:i/>
          <w:color w:val="000000"/>
          <w:spacing w:val="4"/>
          <w:sz w:val="24"/>
          <w:szCs w:val="24"/>
        </w:rPr>
        <w:t xml:space="preserve"> v. West Penn Power Company,</w:t>
      </w:r>
      <w:r w:rsidR="0059513D" w:rsidRPr="00447887">
        <w:rPr>
          <w:color w:val="000000"/>
          <w:spacing w:val="4"/>
          <w:sz w:val="24"/>
          <w:szCs w:val="24"/>
        </w:rPr>
        <w:t xml:space="preserve"> Docket No</w:t>
      </w:r>
      <w:proofErr w:type="gramStart"/>
      <w:r w:rsidR="0059513D" w:rsidRPr="00447887">
        <w:rPr>
          <w:color w:val="000000"/>
          <w:spacing w:val="4"/>
          <w:sz w:val="24"/>
          <w:szCs w:val="24"/>
        </w:rPr>
        <w:t xml:space="preserve">. </w:t>
      </w:r>
      <w:proofErr w:type="gramEnd"/>
      <w:r w:rsidR="0059513D" w:rsidRPr="00447887">
        <w:rPr>
          <w:color w:val="000000"/>
          <w:spacing w:val="4"/>
          <w:sz w:val="24"/>
          <w:szCs w:val="24"/>
        </w:rPr>
        <w:t xml:space="preserve">F-2015-2509292 (Opinion and Order entered June 30, 2016); </w:t>
      </w:r>
      <w:r w:rsidRPr="00C67A15">
        <w:rPr>
          <w:sz w:val="24"/>
          <w:szCs w:val="24"/>
        </w:rPr>
        <w:t>52 Pa.Code § 5.245.</w:t>
      </w:r>
    </w:p>
    <w:p w:rsidR="001F332E" w:rsidRDefault="001F332E" w:rsidP="001F332E">
      <w:pPr>
        <w:autoSpaceDE w:val="0"/>
        <w:autoSpaceDN w:val="0"/>
        <w:spacing w:line="360" w:lineRule="auto"/>
        <w:rPr>
          <w:sz w:val="24"/>
          <w:szCs w:val="24"/>
        </w:rPr>
      </w:pPr>
    </w:p>
    <w:p w:rsidR="00541551" w:rsidRDefault="00541551" w:rsidP="001F332E">
      <w:pPr>
        <w:autoSpaceDE w:val="0"/>
        <w:autoSpaceDN w:val="0"/>
        <w:spacing w:line="360" w:lineRule="auto"/>
        <w:rPr>
          <w:sz w:val="24"/>
          <w:szCs w:val="24"/>
        </w:rPr>
      </w:pPr>
    </w:p>
    <w:p w:rsidR="00541551" w:rsidRDefault="00541551" w:rsidP="001F332E">
      <w:pPr>
        <w:autoSpaceDE w:val="0"/>
        <w:autoSpaceDN w:val="0"/>
        <w:spacing w:line="360" w:lineRule="auto"/>
        <w:rPr>
          <w:sz w:val="24"/>
          <w:szCs w:val="24"/>
        </w:rPr>
      </w:pPr>
    </w:p>
    <w:p w:rsidR="00541551" w:rsidRDefault="00541551" w:rsidP="001F332E">
      <w:pPr>
        <w:autoSpaceDE w:val="0"/>
        <w:autoSpaceDN w:val="0"/>
        <w:spacing w:line="360" w:lineRule="auto"/>
        <w:rPr>
          <w:sz w:val="24"/>
          <w:szCs w:val="24"/>
        </w:rPr>
      </w:pPr>
    </w:p>
    <w:p w:rsidR="001F332E" w:rsidRPr="00C67A15" w:rsidRDefault="001F332E" w:rsidP="001F332E">
      <w:pPr>
        <w:autoSpaceDE w:val="0"/>
        <w:autoSpaceDN w:val="0"/>
        <w:spacing w:line="360" w:lineRule="auto"/>
        <w:jc w:val="center"/>
        <w:rPr>
          <w:sz w:val="24"/>
          <w:szCs w:val="24"/>
          <w:u w:val="single"/>
        </w:rPr>
      </w:pPr>
      <w:r w:rsidRPr="00C67A15">
        <w:rPr>
          <w:sz w:val="24"/>
          <w:szCs w:val="24"/>
          <w:u w:val="single"/>
        </w:rPr>
        <w:lastRenderedPageBreak/>
        <w:t>ORDER</w:t>
      </w:r>
    </w:p>
    <w:p w:rsidR="001F332E" w:rsidRDefault="001F332E" w:rsidP="001F332E">
      <w:pPr>
        <w:autoSpaceDE w:val="0"/>
        <w:autoSpaceDN w:val="0"/>
        <w:spacing w:line="360" w:lineRule="auto"/>
        <w:rPr>
          <w:sz w:val="24"/>
          <w:szCs w:val="24"/>
        </w:rPr>
      </w:pPr>
      <w:bookmarkStart w:id="0" w:name="_GoBack"/>
      <w:bookmarkEnd w:id="0"/>
    </w:p>
    <w:p w:rsidR="00C2451B" w:rsidRPr="00C67A15" w:rsidRDefault="00C2451B" w:rsidP="001F332E">
      <w:pPr>
        <w:autoSpaceDE w:val="0"/>
        <w:autoSpaceDN w:val="0"/>
        <w:spacing w:line="360" w:lineRule="auto"/>
        <w:rPr>
          <w:sz w:val="24"/>
          <w:szCs w:val="24"/>
        </w:rPr>
      </w:pPr>
    </w:p>
    <w:p w:rsidR="001F332E" w:rsidRPr="00C67A15" w:rsidRDefault="001F332E" w:rsidP="001F332E">
      <w:pPr>
        <w:autoSpaceDE w:val="0"/>
        <w:autoSpaceDN w:val="0"/>
        <w:spacing w:line="360" w:lineRule="auto"/>
        <w:rPr>
          <w:sz w:val="24"/>
          <w:szCs w:val="24"/>
        </w:rPr>
      </w:pPr>
      <w:r w:rsidRPr="00C67A15">
        <w:rPr>
          <w:sz w:val="24"/>
          <w:szCs w:val="24"/>
        </w:rPr>
        <w:tab/>
      </w:r>
      <w:r w:rsidRPr="00C67A15">
        <w:rPr>
          <w:sz w:val="24"/>
          <w:szCs w:val="24"/>
        </w:rPr>
        <w:tab/>
        <w:t>THEREFORE,</w:t>
      </w:r>
    </w:p>
    <w:p w:rsidR="001F332E" w:rsidRPr="00C67A15" w:rsidRDefault="001F332E" w:rsidP="001F332E">
      <w:pPr>
        <w:tabs>
          <w:tab w:val="left" w:pos="-1440"/>
          <w:tab w:val="left" w:pos="-720"/>
          <w:tab w:val="left" w:pos="0"/>
          <w:tab w:val="left" w:pos="720"/>
          <w:tab w:val="left" w:pos="1440"/>
        </w:tabs>
        <w:spacing w:line="360" w:lineRule="auto"/>
        <w:rPr>
          <w:sz w:val="24"/>
          <w:szCs w:val="24"/>
        </w:rPr>
      </w:pPr>
    </w:p>
    <w:p w:rsidR="001F332E" w:rsidRPr="00C67A15" w:rsidRDefault="001F332E" w:rsidP="001F332E">
      <w:pPr>
        <w:tabs>
          <w:tab w:val="left" w:pos="-1440"/>
          <w:tab w:val="left" w:pos="-720"/>
          <w:tab w:val="left" w:pos="0"/>
          <w:tab w:val="left" w:pos="720"/>
          <w:tab w:val="left" w:pos="1440"/>
        </w:tabs>
        <w:spacing w:line="360" w:lineRule="auto"/>
        <w:rPr>
          <w:sz w:val="24"/>
          <w:szCs w:val="24"/>
        </w:rPr>
      </w:pPr>
      <w:r w:rsidRPr="00C67A15">
        <w:rPr>
          <w:sz w:val="24"/>
          <w:szCs w:val="24"/>
        </w:rPr>
        <w:tab/>
      </w:r>
      <w:r w:rsidRPr="00C67A15">
        <w:rPr>
          <w:sz w:val="24"/>
          <w:szCs w:val="24"/>
        </w:rPr>
        <w:tab/>
        <w:t>IT IS ORDERED:</w:t>
      </w:r>
    </w:p>
    <w:p w:rsidR="001F332E" w:rsidRPr="00C67A15" w:rsidRDefault="001F332E" w:rsidP="001F332E">
      <w:pPr>
        <w:tabs>
          <w:tab w:val="left" w:pos="-1440"/>
          <w:tab w:val="left" w:pos="-720"/>
          <w:tab w:val="left" w:pos="0"/>
          <w:tab w:val="left" w:pos="720"/>
          <w:tab w:val="left" w:pos="1440"/>
        </w:tabs>
        <w:spacing w:line="360" w:lineRule="auto"/>
        <w:rPr>
          <w:sz w:val="24"/>
          <w:szCs w:val="24"/>
        </w:rPr>
      </w:pPr>
    </w:p>
    <w:p w:rsidR="001F332E" w:rsidRPr="00C67A15" w:rsidRDefault="001F332E" w:rsidP="001F332E">
      <w:pPr>
        <w:tabs>
          <w:tab w:val="left" w:pos="-1440"/>
          <w:tab w:val="left" w:pos="-720"/>
          <w:tab w:val="left" w:pos="0"/>
          <w:tab w:val="left" w:pos="720"/>
          <w:tab w:val="left" w:pos="1440"/>
        </w:tabs>
        <w:spacing w:line="360" w:lineRule="auto"/>
        <w:rPr>
          <w:sz w:val="24"/>
          <w:szCs w:val="24"/>
        </w:rPr>
      </w:pPr>
      <w:r w:rsidRPr="00C67A15">
        <w:rPr>
          <w:sz w:val="24"/>
          <w:szCs w:val="24"/>
        </w:rPr>
        <w:tab/>
      </w:r>
      <w:r w:rsidRPr="00C67A15">
        <w:rPr>
          <w:sz w:val="24"/>
          <w:szCs w:val="24"/>
        </w:rPr>
        <w:tab/>
        <w:t>1.</w:t>
      </w:r>
      <w:r w:rsidRPr="00C67A15">
        <w:rPr>
          <w:sz w:val="24"/>
          <w:szCs w:val="24"/>
        </w:rPr>
        <w:tab/>
        <w:t xml:space="preserve">That the motion of </w:t>
      </w:r>
      <w:r w:rsidR="0059513D">
        <w:rPr>
          <w:sz w:val="24"/>
          <w:szCs w:val="24"/>
        </w:rPr>
        <w:t xml:space="preserve">Respondent Philadelphia Gas Works </w:t>
      </w:r>
      <w:r w:rsidRPr="00C67A15">
        <w:rPr>
          <w:sz w:val="24"/>
          <w:szCs w:val="24"/>
        </w:rPr>
        <w:t xml:space="preserve">to dismiss the Complaint filed by </w:t>
      </w:r>
      <w:r w:rsidR="0059513D">
        <w:rPr>
          <w:sz w:val="24"/>
          <w:szCs w:val="24"/>
        </w:rPr>
        <w:t xml:space="preserve">Drucilla Thorpe </w:t>
      </w:r>
      <w:r w:rsidRPr="00C67A15">
        <w:rPr>
          <w:sz w:val="24"/>
          <w:szCs w:val="24"/>
        </w:rPr>
        <w:t xml:space="preserve">at Docket No. </w:t>
      </w:r>
      <w:r>
        <w:rPr>
          <w:spacing w:val="-3"/>
          <w:sz w:val="24"/>
          <w:szCs w:val="24"/>
        </w:rPr>
        <w:t>F-201</w:t>
      </w:r>
      <w:r w:rsidR="0059513D">
        <w:rPr>
          <w:spacing w:val="-3"/>
          <w:sz w:val="24"/>
          <w:szCs w:val="24"/>
        </w:rPr>
        <w:t>6</w:t>
      </w:r>
      <w:r>
        <w:rPr>
          <w:spacing w:val="-3"/>
          <w:sz w:val="24"/>
          <w:szCs w:val="24"/>
        </w:rPr>
        <w:t>-25</w:t>
      </w:r>
      <w:r w:rsidR="0059513D">
        <w:rPr>
          <w:spacing w:val="-3"/>
          <w:sz w:val="24"/>
          <w:szCs w:val="24"/>
        </w:rPr>
        <w:t>70243</w:t>
      </w:r>
      <w:r w:rsidRPr="00C67A15">
        <w:rPr>
          <w:sz w:val="24"/>
          <w:szCs w:val="24"/>
        </w:rPr>
        <w:t xml:space="preserve"> is granted.</w:t>
      </w:r>
    </w:p>
    <w:p w:rsidR="001F332E" w:rsidRPr="00C67A15" w:rsidRDefault="001F332E" w:rsidP="001F332E">
      <w:pPr>
        <w:tabs>
          <w:tab w:val="left" w:pos="-1440"/>
          <w:tab w:val="left" w:pos="-720"/>
          <w:tab w:val="left" w:pos="0"/>
          <w:tab w:val="left" w:pos="720"/>
          <w:tab w:val="left" w:pos="1440"/>
        </w:tabs>
        <w:spacing w:line="360" w:lineRule="auto"/>
        <w:jc w:val="both"/>
        <w:rPr>
          <w:sz w:val="24"/>
          <w:szCs w:val="24"/>
        </w:rPr>
      </w:pPr>
    </w:p>
    <w:p w:rsidR="001F332E" w:rsidRPr="00C67A15" w:rsidRDefault="001F332E" w:rsidP="001F332E">
      <w:pPr>
        <w:tabs>
          <w:tab w:val="left" w:pos="-1440"/>
          <w:tab w:val="left" w:pos="-720"/>
          <w:tab w:val="left" w:pos="0"/>
          <w:tab w:val="left" w:pos="720"/>
          <w:tab w:val="left" w:pos="1440"/>
        </w:tabs>
        <w:spacing w:line="360" w:lineRule="auto"/>
        <w:rPr>
          <w:sz w:val="24"/>
          <w:szCs w:val="24"/>
        </w:rPr>
      </w:pPr>
      <w:r w:rsidRPr="00C67A15">
        <w:rPr>
          <w:sz w:val="24"/>
          <w:szCs w:val="24"/>
        </w:rPr>
        <w:tab/>
      </w:r>
      <w:r w:rsidRPr="00C67A15">
        <w:rPr>
          <w:sz w:val="24"/>
          <w:szCs w:val="24"/>
        </w:rPr>
        <w:tab/>
        <w:t>2.</w:t>
      </w:r>
      <w:r w:rsidRPr="00C67A15">
        <w:rPr>
          <w:sz w:val="24"/>
          <w:szCs w:val="24"/>
        </w:rPr>
        <w:tab/>
        <w:t xml:space="preserve">That the Complaint of </w:t>
      </w:r>
      <w:r w:rsidR="0059513D">
        <w:rPr>
          <w:sz w:val="24"/>
          <w:szCs w:val="24"/>
        </w:rPr>
        <w:t xml:space="preserve">Drucilla Thorpe </w:t>
      </w:r>
      <w:r w:rsidRPr="00C67A15">
        <w:rPr>
          <w:sz w:val="24"/>
          <w:szCs w:val="24"/>
        </w:rPr>
        <w:t xml:space="preserve">against </w:t>
      </w:r>
      <w:r w:rsidR="0059513D">
        <w:rPr>
          <w:sz w:val="24"/>
          <w:szCs w:val="24"/>
        </w:rPr>
        <w:t>Philadelphia Gas Works</w:t>
      </w:r>
      <w:r w:rsidR="00DD5527">
        <w:rPr>
          <w:sz w:val="24"/>
          <w:szCs w:val="24"/>
        </w:rPr>
        <w:t xml:space="preserve"> </w:t>
      </w:r>
      <w:r w:rsidRPr="00C67A15">
        <w:rPr>
          <w:sz w:val="24"/>
          <w:szCs w:val="24"/>
        </w:rPr>
        <w:t xml:space="preserve">at Docket No. </w:t>
      </w:r>
      <w:r>
        <w:rPr>
          <w:spacing w:val="-3"/>
          <w:sz w:val="24"/>
          <w:szCs w:val="24"/>
        </w:rPr>
        <w:t>F-2015-25</w:t>
      </w:r>
      <w:r w:rsidR="0059513D">
        <w:rPr>
          <w:spacing w:val="-3"/>
          <w:sz w:val="24"/>
          <w:szCs w:val="24"/>
        </w:rPr>
        <w:t>7</w:t>
      </w:r>
      <w:r>
        <w:rPr>
          <w:spacing w:val="-3"/>
          <w:sz w:val="24"/>
          <w:szCs w:val="24"/>
        </w:rPr>
        <w:t>0</w:t>
      </w:r>
      <w:r w:rsidR="0059513D">
        <w:rPr>
          <w:spacing w:val="-3"/>
          <w:sz w:val="24"/>
          <w:szCs w:val="24"/>
        </w:rPr>
        <w:t>243</w:t>
      </w:r>
      <w:r w:rsidRPr="00C67A15">
        <w:rPr>
          <w:sz w:val="24"/>
          <w:szCs w:val="24"/>
        </w:rPr>
        <w:t xml:space="preserve"> is dismissed with prejudice for h</w:t>
      </w:r>
      <w:r w:rsidR="0059513D">
        <w:rPr>
          <w:sz w:val="24"/>
          <w:szCs w:val="24"/>
        </w:rPr>
        <w:t>er</w:t>
      </w:r>
      <w:r w:rsidRPr="00C67A15">
        <w:rPr>
          <w:sz w:val="24"/>
          <w:szCs w:val="24"/>
        </w:rPr>
        <w:t xml:space="preserve"> failure to prosecute h</w:t>
      </w:r>
      <w:r w:rsidR="0059513D">
        <w:rPr>
          <w:sz w:val="24"/>
          <w:szCs w:val="24"/>
        </w:rPr>
        <w:t>er</w:t>
      </w:r>
      <w:r w:rsidRPr="00C67A15">
        <w:rPr>
          <w:sz w:val="24"/>
          <w:szCs w:val="24"/>
        </w:rPr>
        <w:t xml:space="preserve"> Complaint.</w:t>
      </w:r>
    </w:p>
    <w:p w:rsidR="001F332E" w:rsidRPr="00C67A15" w:rsidRDefault="001F332E" w:rsidP="001F332E">
      <w:pPr>
        <w:tabs>
          <w:tab w:val="left" w:pos="-1440"/>
          <w:tab w:val="left" w:pos="-720"/>
          <w:tab w:val="left" w:pos="0"/>
          <w:tab w:val="left" w:pos="720"/>
          <w:tab w:val="left" w:pos="1440"/>
        </w:tabs>
        <w:spacing w:line="360" w:lineRule="auto"/>
        <w:rPr>
          <w:sz w:val="24"/>
          <w:szCs w:val="24"/>
        </w:rPr>
      </w:pPr>
    </w:p>
    <w:p w:rsidR="001F332E" w:rsidRPr="00C67A15" w:rsidRDefault="001F332E" w:rsidP="001F332E">
      <w:pPr>
        <w:tabs>
          <w:tab w:val="left" w:pos="-1440"/>
          <w:tab w:val="left" w:pos="-720"/>
          <w:tab w:val="left" w:pos="0"/>
          <w:tab w:val="left" w:pos="720"/>
          <w:tab w:val="left" w:pos="1440"/>
        </w:tabs>
        <w:spacing w:line="360" w:lineRule="auto"/>
        <w:rPr>
          <w:snapToGrid w:val="0"/>
          <w:sz w:val="24"/>
          <w:szCs w:val="24"/>
        </w:rPr>
      </w:pPr>
      <w:r w:rsidRPr="00C67A15">
        <w:rPr>
          <w:sz w:val="24"/>
          <w:szCs w:val="24"/>
        </w:rPr>
        <w:tab/>
      </w:r>
      <w:r w:rsidRPr="00C67A15">
        <w:rPr>
          <w:sz w:val="24"/>
          <w:szCs w:val="24"/>
        </w:rPr>
        <w:tab/>
        <w:t>3.</w:t>
      </w:r>
      <w:r w:rsidRPr="00C67A15">
        <w:rPr>
          <w:sz w:val="24"/>
          <w:szCs w:val="24"/>
        </w:rPr>
        <w:tab/>
      </w:r>
      <w:r w:rsidRPr="00C67A15">
        <w:rPr>
          <w:snapToGrid w:val="0"/>
          <w:sz w:val="24"/>
          <w:szCs w:val="24"/>
        </w:rPr>
        <w:t xml:space="preserve">That the Commission’s Secretary’s Bureau shall mark Docket No. </w:t>
      </w:r>
      <w:r w:rsidR="00D3733F">
        <w:rPr>
          <w:snapToGrid w:val="0"/>
          <w:sz w:val="24"/>
          <w:szCs w:val="24"/>
        </w:rPr>
        <w:t> </w:t>
      </w:r>
      <w:r w:rsidR="00DD5527">
        <w:rPr>
          <w:spacing w:val="-3"/>
          <w:sz w:val="24"/>
          <w:szCs w:val="24"/>
        </w:rPr>
        <w:t>F-201</w:t>
      </w:r>
      <w:r w:rsidR="0059513D">
        <w:rPr>
          <w:spacing w:val="-3"/>
          <w:sz w:val="24"/>
          <w:szCs w:val="24"/>
        </w:rPr>
        <w:t>6</w:t>
      </w:r>
      <w:r w:rsidR="00DD5527">
        <w:rPr>
          <w:spacing w:val="-3"/>
          <w:sz w:val="24"/>
          <w:szCs w:val="24"/>
        </w:rPr>
        <w:t>-25</w:t>
      </w:r>
      <w:r w:rsidR="0059513D">
        <w:rPr>
          <w:spacing w:val="-3"/>
          <w:sz w:val="24"/>
          <w:szCs w:val="24"/>
        </w:rPr>
        <w:t>7</w:t>
      </w:r>
      <w:r w:rsidR="00DD5527">
        <w:rPr>
          <w:spacing w:val="-3"/>
          <w:sz w:val="24"/>
          <w:szCs w:val="24"/>
        </w:rPr>
        <w:t>02</w:t>
      </w:r>
      <w:r w:rsidR="0059513D">
        <w:rPr>
          <w:spacing w:val="-3"/>
          <w:sz w:val="24"/>
          <w:szCs w:val="24"/>
        </w:rPr>
        <w:t>43</w:t>
      </w:r>
      <w:r w:rsidR="00DD5527" w:rsidRPr="00C67A15">
        <w:rPr>
          <w:sz w:val="24"/>
          <w:szCs w:val="24"/>
        </w:rPr>
        <w:t xml:space="preserve"> </w:t>
      </w:r>
      <w:r w:rsidRPr="00C67A15">
        <w:rPr>
          <w:snapToGrid w:val="0"/>
          <w:sz w:val="24"/>
          <w:szCs w:val="24"/>
        </w:rPr>
        <w:t>closed.</w:t>
      </w:r>
    </w:p>
    <w:p w:rsidR="001F332E" w:rsidRPr="00C67A15" w:rsidRDefault="001F332E" w:rsidP="001F332E">
      <w:pPr>
        <w:tabs>
          <w:tab w:val="left" w:pos="0"/>
        </w:tabs>
        <w:autoSpaceDE w:val="0"/>
        <w:autoSpaceDN w:val="0"/>
        <w:spacing w:line="360" w:lineRule="auto"/>
        <w:jc w:val="both"/>
        <w:rPr>
          <w:rFonts w:eastAsia="Calibri"/>
          <w:sz w:val="24"/>
          <w:szCs w:val="24"/>
        </w:rPr>
      </w:pPr>
    </w:p>
    <w:p w:rsidR="001F332E" w:rsidRPr="00C67A15" w:rsidRDefault="001F332E" w:rsidP="001F332E">
      <w:pPr>
        <w:tabs>
          <w:tab w:val="left" w:pos="0"/>
        </w:tabs>
        <w:autoSpaceDE w:val="0"/>
        <w:autoSpaceDN w:val="0"/>
        <w:spacing w:line="360" w:lineRule="auto"/>
        <w:jc w:val="both"/>
        <w:rPr>
          <w:rFonts w:eastAsia="Calibri"/>
          <w:sz w:val="24"/>
          <w:szCs w:val="24"/>
        </w:rPr>
      </w:pPr>
    </w:p>
    <w:p w:rsidR="00D3733F" w:rsidRPr="00D3733F" w:rsidRDefault="001F332E" w:rsidP="00D3733F">
      <w:pPr>
        <w:tabs>
          <w:tab w:val="left" w:pos="720"/>
          <w:tab w:val="left" w:pos="2880"/>
          <w:tab w:val="left" w:pos="5040"/>
        </w:tabs>
        <w:spacing w:line="257" w:lineRule="exact"/>
        <w:textAlignment w:val="baseline"/>
        <w:rPr>
          <w:color w:val="000000"/>
          <w:sz w:val="24"/>
          <w:szCs w:val="24"/>
        </w:rPr>
      </w:pPr>
      <w:r w:rsidRPr="00C67A15">
        <w:rPr>
          <w:rFonts w:eastAsia="Calibri"/>
          <w:sz w:val="24"/>
          <w:szCs w:val="24"/>
        </w:rPr>
        <w:t xml:space="preserve">Date:  </w:t>
      </w:r>
      <w:r w:rsidR="0059513D" w:rsidRPr="0059513D">
        <w:rPr>
          <w:rFonts w:eastAsia="Calibri"/>
          <w:sz w:val="24"/>
          <w:szCs w:val="24"/>
          <w:u w:val="single"/>
        </w:rPr>
        <w:t xml:space="preserve">March </w:t>
      </w:r>
      <w:r w:rsidR="00943349">
        <w:rPr>
          <w:rFonts w:eastAsia="Calibri"/>
          <w:sz w:val="24"/>
          <w:szCs w:val="24"/>
          <w:u w:val="single"/>
        </w:rPr>
        <w:t>9</w:t>
      </w:r>
      <w:r w:rsidR="0059513D" w:rsidRPr="0059513D">
        <w:rPr>
          <w:rFonts w:eastAsia="Calibri"/>
          <w:sz w:val="24"/>
          <w:szCs w:val="24"/>
          <w:u w:val="single"/>
        </w:rPr>
        <w:t>, 2017</w:t>
      </w:r>
      <w:r w:rsidRPr="00C67A15">
        <w:rPr>
          <w:rFonts w:eastAsia="Calibri"/>
          <w:sz w:val="24"/>
          <w:szCs w:val="24"/>
        </w:rPr>
        <w:tab/>
      </w:r>
      <w:r w:rsidR="0059513D">
        <w:rPr>
          <w:rFonts w:eastAsia="Calibri"/>
          <w:sz w:val="24"/>
          <w:szCs w:val="24"/>
        </w:rPr>
        <w:tab/>
      </w:r>
      <w:r w:rsidR="00D3733F" w:rsidRPr="00D3733F">
        <w:rPr>
          <w:sz w:val="24"/>
          <w:szCs w:val="24"/>
          <w:u w:val="single"/>
        </w:rPr>
        <w:tab/>
      </w:r>
      <w:r w:rsidR="00D3733F" w:rsidRPr="00D3733F">
        <w:rPr>
          <w:sz w:val="24"/>
          <w:szCs w:val="24"/>
          <w:u w:val="single"/>
        </w:rPr>
        <w:tab/>
        <w:t>/s/</w:t>
      </w:r>
      <w:r w:rsidR="00D3733F" w:rsidRPr="00D3733F">
        <w:rPr>
          <w:sz w:val="24"/>
          <w:szCs w:val="24"/>
          <w:u w:val="single"/>
        </w:rPr>
        <w:tab/>
      </w:r>
      <w:r w:rsidR="00D3733F" w:rsidRPr="00D3733F">
        <w:rPr>
          <w:sz w:val="24"/>
          <w:szCs w:val="24"/>
          <w:u w:val="single"/>
        </w:rPr>
        <w:tab/>
      </w:r>
      <w:r w:rsidR="00D3733F" w:rsidRPr="00D3733F">
        <w:rPr>
          <w:sz w:val="24"/>
          <w:szCs w:val="24"/>
          <w:u w:val="single"/>
        </w:rPr>
        <w:tab/>
      </w:r>
      <w:r w:rsidR="00C2451B" w:rsidRPr="00C2451B">
        <w:rPr>
          <w:sz w:val="24"/>
          <w:szCs w:val="24"/>
          <w:u w:val="single"/>
        </w:rPr>
        <w:tab/>
      </w:r>
    </w:p>
    <w:p w:rsidR="00D3733F" w:rsidRPr="00D3733F" w:rsidRDefault="00D3733F" w:rsidP="00D3733F">
      <w:pPr>
        <w:tabs>
          <w:tab w:val="left" w:pos="5040"/>
        </w:tabs>
        <w:spacing w:line="258" w:lineRule="exact"/>
        <w:textAlignment w:val="baseline"/>
        <w:rPr>
          <w:color w:val="000000"/>
          <w:spacing w:val="4"/>
          <w:sz w:val="24"/>
          <w:szCs w:val="24"/>
        </w:rPr>
      </w:pPr>
      <w:r w:rsidRPr="00D3733F">
        <w:rPr>
          <w:b/>
          <w:color w:val="000000"/>
          <w:spacing w:val="4"/>
          <w:sz w:val="24"/>
          <w:szCs w:val="24"/>
        </w:rPr>
        <w:tab/>
      </w:r>
      <w:r w:rsidRPr="00D3733F">
        <w:rPr>
          <w:color w:val="000000"/>
          <w:spacing w:val="4"/>
          <w:sz w:val="24"/>
          <w:szCs w:val="24"/>
        </w:rPr>
        <w:t>Conrad A. Johnson</w:t>
      </w:r>
    </w:p>
    <w:p w:rsidR="00D3733F" w:rsidRPr="00D3733F" w:rsidRDefault="00D3733F" w:rsidP="00D3733F">
      <w:pPr>
        <w:tabs>
          <w:tab w:val="left" w:pos="5040"/>
        </w:tabs>
        <w:spacing w:line="258" w:lineRule="exact"/>
        <w:textAlignment w:val="baseline"/>
        <w:rPr>
          <w:color w:val="000000"/>
          <w:spacing w:val="4"/>
          <w:sz w:val="24"/>
          <w:szCs w:val="24"/>
        </w:rPr>
      </w:pPr>
      <w:r w:rsidRPr="00D3733F">
        <w:rPr>
          <w:color w:val="000000"/>
          <w:spacing w:val="4"/>
          <w:sz w:val="24"/>
          <w:szCs w:val="24"/>
        </w:rPr>
        <w:tab/>
        <w:t>Administrative Law Judge</w:t>
      </w:r>
    </w:p>
    <w:p w:rsidR="001F332E" w:rsidRPr="00C67A15" w:rsidRDefault="001F332E" w:rsidP="00D3733F">
      <w:pPr>
        <w:tabs>
          <w:tab w:val="left" w:pos="0"/>
        </w:tabs>
        <w:autoSpaceDE w:val="0"/>
        <w:autoSpaceDN w:val="0"/>
        <w:jc w:val="both"/>
        <w:rPr>
          <w:rFonts w:eastAsia="Calibri"/>
          <w:sz w:val="24"/>
          <w:szCs w:val="24"/>
        </w:rPr>
      </w:pPr>
    </w:p>
    <w:sectPr w:rsidR="001F332E" w:rsidRPr="00C67A15" w:rsidSect="00E6781C">
      <w:footerReference w:type="even" r:id="rId9"/>
      <w:footerReference w:type="default" r:id="rId10"/>
      <w:pgSz w:w="12240" w:h="15840"/>
      <w:pgMar w:top="1440" w:right="1440" w:bottom="1440" w:left="1440" w:header="720" w:footer="144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49F" w:rsidRDefault="0049649F">
      <w:r>
        <w:separator/>
      </w:r>
    </w:p>
  </w:endnote>
  <w:endnote w:type="continuationSeparator" w:id="0">
    <w:p w:rsidR="0049649F" w:rsidRDefault="0049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527" w:rsidRDefault="00DD55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D5527" w:rsidRDefault="00DD55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8175392"/>
      <w:docPartObj>
        <w:docPartGallery w:val="Page Numbers (Bottom of Page)"/>
        <w:docPartUnique/>
      </w:docPartObj>
    </w:sdtPr>
    <w:sdtEndPr>
      <w:rPr>
        <w:noProof/>
      </w:rPr>
    </w:sdtEndPr>
    <w:sdtContent>
      <w:p w:rsidR="00DD5527" w:rsidRDefault="00DD5527">
        <w:pPr>
          <w:pStyle w:val="Footer"/>
          <w:jc w:val="center"/>
        </w:pPr>
        <w:r>
          <w:fldChar w:fldCharType="begin"/>
        </w:r>
        <w:r>
          <w:instrText xml:space="preserve"> PAGE   \* MERGEFORMAT </w:instrText>
        </w:r>
        <w:r>
          <w:fldChar w:fldCharType="separate"/>
        </w:r>
        <w:r w:rsidR="00C2451B">
          <w:rPr>
            <w:noProof/>
          </w:rPr>
          <w:t>8</w:t>
        </w:r>
        <w:r>
          <w:rPr>
            <w:noProof/>
          </w:rPr>
          <w:fldChar w:fldCharType="end"/>
        </w:r>
      </w:p>
    </w:sdtContent>
  </w:sdt>
  <w:p w:rsidR="00DD5527" w:rsidRDefault="00DD55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49F" w:rsidRDefault="0049649F">
      <w:r>
        <w:separator/>
      </w:r>
    </w:p>
  </w:footnote>
  <w:footnote w:type="continuationSeparator" w:id="0">
    <w:p w:rsidR="0049649F" w:rsidRDefault="004964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03D39"/>
    <w:multiLevelType w:val="hybridMultilevel"/>
    <w:tmpl w:val="6C325A5A"/>
    <w:lvl w:ilvl="0" w:tplc="0409000F">
      <w:start w:val="1"/>
      <w:numFmt w:val="decimal"/>
      <w:lvlText w:val="%1."/>
      <w:lvlJc w:val="left"/>
      <w:pPr>
        <w:tabs>
          <w:tab w:val="num" w:pos="2226"/>
        </w:tabs>
        <w:ind w:left="2226" w:hanging="360"/>
      </w:pPr>
    </w:lvl>
    <w:lvl w:ilvl="1" w:tplc="04090019" w:tentative="1">
      <w:start w:val="1"/>
      <w:numFmt w:val="lowerLetter"/>
      <w:lvlText w:val="%2."/>
      <w:lvlJc w:val="left"/>
      <w:pPr>
        <w:tabs>
          <w:tab w:val="num" w:pos="2946"/>
        </w:tabs>
        <w:ind w:left="2946" w:hanging="360"/>
      </w:pPr>
    </w:lvl>
    <w:lvl w:ilvl="2" w:tplc="0409001B" w:tentative="1">
      <w:start w:val="1"/>
      <w:numFmt w:val="lowerRoman"/>
      <w:lvlText w:val="%3."/>
      <w:lvlJc w:val="right"/>
      <w:pPr>
        <w:tabs>
          <w:tab w:val="num" w:pos="3666"/>
        </w:tabs>
        <w:ind w:left="3666" w:hanging="180"/>
      </w:pPr>
    </w:lvl>
    <w:lvl w:ilvl="3" w:tplc="0409000F" w:tentative="1">
      <w:start w:val="1"/>
      <w:numFmt w:val="decimal"/>
      <w:lvlText w:val="%4."/>
      <w:lvlJc w:val="left"/>
      <w:pPr>
        <w:tabs>
          <w:tab w:val="num" w:pos="4386"/>
        </w:tabs>
        <w:ind w:left="4386" w:hanging="360"/>
      </w:pPr>
    </w:lvl>
    <w:lvl w:ilvl="4" w:tplc="04090019" w:tentative="1">
      <w:start w:val="1"/>
      <w:numFmt w:val="lowerLetter"/>
      <w:lvlText w:val="%5."/>
      <w:lvlJc w:val="left"/>
      <w:pPr>
        <w:tabs>
          <w:tab w:val="num" w:pos="5106"/>
        </w:tabs>
        <w:ind w:left="5106" w:hanging="360"/>
      </w:pPr>
    </w:lvl>
    <w:lvl w:ilvl="5" w:tplc="0409001B" w:tentative="1">
      <w:start w:val="1"/>
      <w:numFmt w:val="lowerRoman"/>
      <w:lvlText w:val="%6."/>
      <w:lvlJc w:val="right"/>
      <w:pPr>
        <w:tabs>
          <w:tab w:val="num" w:pos="5826"/>
        </w:tabs>
        <w:ind w:left="5826" w:hanging="180"/>
      </w:pPr>
    </w:lvl>
    <w:lvl w:ilvl="6" w:tplc="0409000F" w:tentative="1">
      <w:start w:val="1"/>
      <w:numFmt w:val="decimal"/>
      <w:lvlText w:val="%7."/>
      <w:lvlJc w:val="left"/>
      <w:pPr>
        <w:tabs>
          <w:tab w:val="num" w:pos="6546"/>
        </w:tabs>
        <w:ind w:left="6546" w:hanging="360"/>
      </w:pPr>
    </w:lvl>
    <w:lvl w:ilvl="7" w:tplc="04090019" w:tentative="1">
      <w:start w:val="1"/>
      <w:numFmt w:val="lowerLetter"/>
      <w:lvlText w:val="%8."/>
      <w:lvlJc w:val="left"/>
      <w:pPr>
        <w:tabs>
          <w:tab w:val="num" w:pos="7266"/>
        </w:tabs>
        <w:ind w:left="7266" w:hanging="360"/>
      </w:pPr>
    </w:lvl>
    <w:lvl w:ilvl="8" w:tplc="0409001B" w:tentative="1">
      <w:start w:val="1"/>
      <w:numFmt w:val="lowerRoman"/>
      <w:lvlText w:val="%9."/>
      <w:lvlJc w:val="right"/>
      <w:pPr>
        <w:tabs>
          <w:tab w:val="num" w:pos="7986"/>
        </w:tabs>
        <w:ind w:left="7986" w:hanging="18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1"/>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C95"/>
    <w:rsid w:val="00002A61"/>
    <w:rsid w:val="00022E94"/>
    <w:rsid w:val="00053A8A"/>
    <w:rsid w:val="000859C2"/>
    <w:rsid w:val="0010577A"/>
    <w:rsid w:val="00122E5F"/>
    <w:rsid w:val="001246C9"/>
    <w:rsid w:val="001443F6"/>
    <w:rsid w:val="00166B57"/>
    <w:rsid w:val="00184A53"/>
    <w:rsid w:val="001A3674"/>
    <w:rsid w:val="001B19BC"/>
    <w:rsid w:val="001D4795"/>
    <w:rsid w:val="001F332E"/>
    <w:rsid w:val="0024588A"/>
    <w:rsid w:val="002507BD"/>
    <w:rsid w:val="002A59CA"/>
    <w:rsid w:val="002B63ED"/>
    <w:rsid w:val="002E1B6C"/>
    <w:rsid w:val="00304EAF"/>
    <w:rsid w:val="00330469"/>
    <w:rsid w:val="0035231F"/>
    <w:rsid w:val="0035629C"/>
    <w:rsid w:val="00394E45"/>
    <w:rsid w:val="0039587E"/>
    <w:rsid w:val="003A39EC"/>
    <w:rsid w:val="003B3A2B"/>
    <w:rsid w:val="003E6FF7"/>
    <w:rsid w:val="003F3434"/>
    <w:rsid w:val="003F6F28"/>
    <w:rsid w:val="0040011F"/>
    <w:rsid w:val="0041038E"/>
    <w:rsid w:val="004216B7"/>
    <w:rsid w:val="004328C1"/>
    <w:rsid w:val="00434AA2"/>
    <w:rsid w:val="00452BFF"/>
    <w:rsid w:val="00464FA0"/>
    <w:rsid w:val="00470F0E"/>
    <w:rsid w:val="0049649F"/>
    <w:rsid w:val="004A0965"/>
    <w:rsid w:val="004B3213"/>
    <w:rsid w:val="004C2ACE"/>
    <w:rsid w:val="004F1702"/>
    <w:rsid w:val="0050227F"/>
    <w:rsid w:val="005144D4"/>
    <w:rsid w:val="00521AA8"/>
    <w:rsid w:val="00524052"/>
    <w:rsid w:val="00525CA3"/>
    <w:rsid w:val="005305DA"/>
    <w:rsid w:val="005355EA"/>
    <w:rsid w:val="0053789E"/>
    <w:rsid w:val="00541551"/>
    <w:rsid w:val="00560237"/>
    <w:rsid w:val="0059513D"/>
    <w:rsid w:val="005B0E1E"/>
    <w:rsid w:val="005B1B41"/>
    <w:rsid w:val="005C0937"/>
    <w:rsid w:val="005D29B6"/>
    <w:rsid w:val="005E5F18"/>
    <w:rsid w:val="00617089"/>
    <w:rsid w:val="00630623"/>
    <w:rsid w:val="006352FD"/>
    <w:rsid w:val="00637EDA"/>
    <w:rsid w:val="006469D2"/>
    <w:rsid w:val="0067299B"/>
    <w:rsid w:val="0069270F"/>
    <w:rsid w:val="00696D94"/>
    <w:rsid w:val="006C7E65"/>
    <w:rsid w:val="006D5EC9"/>
    <w:rsid w:val="007068F1"/>
    <w:rsid w:val="007253E4"/>
    <w:rsid w:val="00741888"/>
    <w:rsid w:val="00756C95"/>
    <w:rsid w:val="007622AA"/>
    <w:rsid w:val="00777110"/>
    <w:rsid w:val="00796021"/>
    <w:rsid w:val="007B56E8"/>
    <w:rsid w:val="007C2290"/>
    <w:rsid w:val="007D5F18"/>
    <w:rsid w:val="00823B9F"/>
    <w:rsid w:val="0083222F"/>
    <w:rsid w:val="00836FC2"/>
    <w:rsid w:val="00853063"/>
    <w:rsid w:val="008703C6"/>
    <w:rsid w:val="00880474"/>
    <w:rsid w:val="00896D42"/>
    <w:rsid w:val="008C0F48"/>
    <w:rsid w:val="008D6568"/>
    <w:rsid w:val="008E5574"/>
    <w:rsid w:val="0090599C"/>
    <w:rsid w:val="00910D8F"/>
    <w:rsid w:val="00915A9B"/>
    <w:rsid w:val="00941D87"/>
    <w:rsid w:val="00943349"/>
    <w:rsid w:val="00962149"/>
    <w:rsid w:val="0096379E"/>
    <w:rsid w:val="009A1E5B"/>
    <w:rsid w:val="009C5FAA"/>
    <w:rsid w:val="009D3899"/>
    <w:rsid w:val="00A13C50"/>
    <w:rsid w:val="00A27781"/>
    <w:rsid w:val="00A414A7"/>
    <w:rsid w:val="00A65D8A"/>
    <w:rsid w:val="00A71162"/>
    <w:rsid w:val="00A72BC0"/>
    <w:rsid w:val="00A94628"/>
    <w:rsid w:val="00A94F30"/>
    <w:rsid w:val="00A96DEE"/>
    <w:rsid w:val="00AC3EA1"/>
    <w:rsid w:val="00B2111E"/>
    <w:rsid w:val="00B7678F"/>
    <w:rsid w:val="00B931BE"/>
    <w:rsid w:val="00BA2830"/>
    <w:rsid w:val="00BA3C16"/>
    <w:rsid w:val="00BC5D76"/>
    <w:rsid w:val="00BD2945"/>
    <w:rsid w:val="00C1330A"/>
    <w:rsid w:val="00C17E2E"/>
    <w:rsid w:val="00C2451B"/>
    <w:rsid w:val="00C42688"/>
    <w:rsid w:val="00C47134"/>
    <w:rsid w:val="00C50F4D"/>
    <w:rsid w:val="00C65DDC"/>
    <w:rsid w:val="00C8164F"/>
    <w:rsid w:val="00C84040"/>
    <w:rsid w:val="00CF3B25"/>
    <w:rsid w:val="00CF66CC"/>
    <w:rsid w:val="00D1334E"/>
    <w:rsid w:val="00D22129"/>
    <w:rsid w:val="00D3733F"/>
    <w:rsid w:val="00D51ECD"/>
    <w:rsid w:val="00DB0666"/>
    <w:rsid w:val="00DD5527"/>
    <w:rsid w:val="00E14DC1"/>
    <w:rsid w:val="00E175D0"/>
    <w:rsid w:val="00E33E84"/>
    <w:rsid w:val="00E44E2D"/>
    <w:rsid w:val="00E6781C"/>
    <w:rsid w:val="00E94ABD"/>
    <w:rsid w:val="00E94CFB"/>
    <w:rsid w:val="00EC336D"/>
    <w:rsid w:val="00EC375D"/>
    <w:rsid w:val="00EF1330"/>
    <w:rsid w:val="00EF6D7D"/>
    <w:rsid w:val="00F020D0"/>
    <w:rsid w:val="00F274E1"/>
    <w:rsid w:val="00F52613"/>
    <w:rsid w:val="00F841AE"/>
    <w:rsid w:val="00F91193"/>
    <w:rsid w:val="00FB306D"/>
    <w:rsid w:val="00FC24A1"/>
    <w:rsid w:val="00FC3E48"/>
    <w:rsid w:val="00FC69AD"/>
    <w:rsid w:val="00FE1C2C"/>
    <w:rsid w:val="00FF20E5"/>
    <w:rsid w:val="00FF6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C95"/>
    <w:pPr>
      <w:spacing w:after="0" w:line="240" w:lineRule="auto"/>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56C95"/>
    <w:pPr>
      <w:tabs>
        <w:tab w:val="center" w:pos="4320"/>
        <w:tab w:val="right" w:pos="8640"/>
      </w:tabs>
    </w:pPr>
  </w:style>
  <w:style w:type="character" w:customStyle="1" w:styleId="FooterChar">
    <w:name w:val="Footer Char"/>
    <w:basedOn w:val="DefaultParagraphFont"/>
    <w:link w:val="Footer"/>
    <w:uiPriority w:val="99"/>
    <w:rsid w:val="00756C95"/>
    <w:rPr>
      <w:rFonts w:eastAsia="Times New Roman"/>
      <w:sz w:val="20"/>
      <w:szCs w:val="20"/>
    </w:rPr>
  </w:style>
  <w:style w:type="paragraph" w:styleId="Title">
    <w:name w:val="Title"/>
    <w:basedOn w:val="Normal"/>
    <w:link w:val="TitleChar"/>
    <w:qFormat/>
    <w:rsid w:val="00756C95"/>
    <w:pPr>
      <w:tabs>
        <w:tab w:val="left" w:pos="360"/>
      </w:tabs>
      <w:spacing w:line="233" w:lineRule="auto"/>
      <w:jc w:val="center"/>
    </w:pPr>
    <w:rPr>
      <w:b/>
      <w:sz w:val="24"/>
    </w:rPr>
  </w:style>
  <w:style w:type="character" w:customStyle="1" w:styleId="TitleChar">
    <w:name w:val="Title Char"/>
    <w:basedOn w:val="DefaultParagraphFont"/>
    <w:link w:val="Title"/>
    <w:rsid w:val="00756C95"/>
    <w:rPr>
      <w:rFonts w:eastAsia="Times New Roman"/>
      <w:b/>
      <w:szCs w:val="20"/>
    </w:rPr>
  </w:style>
  <w:style w:type="paragraph" w:styleId="ListParagraph">
    <w:name w:val="List Paragraph"/>
    <w:basedOn w:val="Normal"/>
    <w:uiPriority w:val="34"/>
    <w:qFormat/>
    <w:rsid w:val="00756C95"/>
    <w:pPr>
      <w:ind w:left="720"/>
      <w:contextualSpacing/>
    </w:pPr>
  </w:style>
  <w:style w:type="paragraph" w:styleId="Header">
    <w:name w:val="header"/>
    <w:basedOn w:val="Normal"/>
    <w:link w:val="HeaderChar"/>
    <w:rsid w:val="00756C95"/>
    <w:pPr>
      <w:widowControl w:val="0"/>
      <w:tabs>
        <w:tab w:val="center" w:pos="4680"/>
        <w:tab w:val="right" w:pos="9360"/>
      </w:tabs>
      <w:autoSpaceDE w:val="0"/>
      <w:autoSpaceDN w:val="0"/>
      <w:adjustRightInd w:val="0"/>
    </w:pPr>
    <w:rPr>
      <w:rFonts w:ascii="Courier New" w:hAnsi="Courier New" w:cs="Courier New"/>
    </w:rPr>
  </w:style>
  <w:style w:type="character" w:customStyle="1" w:styleId="HeaderChar">
    <w:name w:val="Header Char"/>
    <w:basedOn w:val="DefaultParagraphFont"/>
    <w:link w:val="Header"/>
    <w:rsid w:val="00756C95"/>
    <w:rPr>
      <w:rFonts w:ascii="Courier New" w:eastAsia="Times New Roman" w:hAnsi="Courier New" w:cs="Courier New"/>
      <w:sz w:val="20"/>
      <w:szCs w:val="20"/>
    </w:rPr>
  </w:style>
  <w:style w:type="paragraph" w:customStyle="1" w:styleId="ParaTab1">
    <w:name w:val="ParaTab 1"/>
    <w:rsid w:val="00756C95"/>
    <w:pPr>
      <w:tabs>
        <w:tab w:val="left" w:pos="-720"/>
      </w:tabs>
      <w:suppressAutoHyphens/>
      <w:autoSpaceDE w:val="0"/>
      <w:autoSpaceDN w:val="0"/>
      <w:spacing w:after="0" w:line="240" w:lineRule="auto"/>
      <w:ind w:firstLine="1440"/>
    </w:pPr>
    <w:rPr>
      <w:rFonts w:ascii="CG Times" w:eastAsia="Times New Roman" w:hAnsi="CG Times" w:cs="CG Times"/>
      <w:szCs w:val="24"/>
    </w:rPr>
  </w:style>
  <w:style w:type="character" w:styleId="PageNumber">
    <w:name w:val="page number"/>
    <w:basedOn w:val="DefaultParagraphFont"/>
    <w:rsid w:val="00A71162"/>
  </w:style>
  <w:style w:type="paragraph" w:styleId="BalloonText">
    <w:name w:val="Balloon Text"/>
    <w:basedOn w:val="Normal"/>
    <w:link w:val="BalloonTextChar"/>
    <w:uiPriority w:val="99"/>
    <w:semiHidden/>
    <w:unhideWhenUsed/>
    <w:rsid w:val="00A71162"/>
    <w:rPr>
      <w:rFonts w:ascii="Tahoma" w:hAnsi="Tahoma" w:cs="Tahoma"/>
      <w:sz w:val="16"/>
      <w:szCs w:val="16"/>
    </w:rPr>
  </w:style>
  <w:style w:type="character" w:customStyle="1" w:styleId="BalloonTextChar">
    <w:name w:val="Balloon Text Char"/>
    <w:basedOn w:val="DefaultParagraphFont"/>
    <w:link w:val="BalloonText"/>
    <w:uiPriority w:val="99"/>
    <w:semiHidden/>
    <w:rsid w:val="00A71162"/>
    <w:rPr>
      <w:rFonts w:ascii="Tahoma" w:eastAsia="Times New Roman" w:hAnsi="Tahoma" w:cs="Tahoma"/>
      <w:sz w:val="16"/>
      <w:szCs w:val="16"/>
    </w:rPr>
  </w:style>
  <w:style w:type="paragraph" w:styleId="FootnoteText">
    <w:name w:val="footnote text"/>
    <w:basedOn w:val="Normal"/>
    <w:link w:val="FootnoteTextChar"/>
    <w:unhideWhenUsed/>
    <w:rsid w:val="00B2111E"/>
    <w:rPr>
      <w:rFonts w:ascii="Calibri" w:eastAsia="Calibri" w:hAnsi="Calibri"/>
    </w:rPr>
  </w:style>
  <w:style w:type="character" w:customStyle="1" w:styleId="FootnoteTextChar">
    <w:name w:val="Footnote Text Char"/>
    <w:basedOn w:val="DefaultParagraphFont"/>
    <w:link w:val="FootnoteText"/>
    <w:rsid w:val="00B2111E"/>
    <w:rPr>
      <w:rFonts w:ascii="Calibri" w:eastAsia="Calibri" w:hAnsi="Calibri"/>
      <w:sz w:val="20"/>
      <w:szCs w:val="20"/>
    </w:rPr>
  </w:style>
  <w:style w:type="character" w:styleId="FootnoteReference">
    <w:name w:val="footnote reference"/>
    <w:unhideWhenUsed/>
    <w:rsid w:val="00B2111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C95"/>
    <w:pPr>
      <w:spacing w:after="0" w:line="240" w:lineRule="auto"/>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56C95"/>
    <w:pPr>
      <w:tabs>
        <w:tab w:val="center" w:pos="4320"/>
        <w:tab w:val="right" w:pos="8640"/>
      </w:tabs>
    </w:pPr>
  </w:style>
  <w:style w:type="character" w:customStyle="1" w:styleId="FooterChar">
    <w:name w:val="Footer Char"/>
    <w:basedOn w:val="DefaultParagraphFont"/>
    <w:link w:val="Footer"/>
    <w:uiPriority w:val="99"/>
    <w:rsid w:val="00756C95"/>
    <w:rPr>
      <w:rFonts w:eastAsia="Times New Roman"/>
      <w:sz w:val="20"/>
      <w:szCs w:val="20"/>
    </w:rPr>
  </w:style>
  <w:style w:type="paragraph" w:styleId="Title">
    <w:name w:val="Title"/>
    <w:basedOn w:val="Normal"/>
    <w:link w:val="TitleChar"/>
    <w:qFormat/>
    <w:rsid w:val="00756C95"/>
    <w:pPr>
      <w:tabs>
        <w:tab w:val="left" w:pos="360"/>
      </w:tabs>
      <w:spacing w:line="233" w:lineRule="auto"/>
      <w:jc w:val="center"/>
    </w:pPr>
    <w:rPr>
      <w:b/>
      <w:sz w:val="24"/>
    </w:rPr>
  </w:style>
  <w:style w:type="character" w:customStyle="1" w:styleId="TitleChar">
    <w:name w:val="Title Char"/>
    <w:basedOn w:val="DefaultParagraphFont"/>
    <w:link w:val="Title"/>
    <w:rsid w:val="00756C95"/>
    <w:rPr>
      <w:rFonts w:eastAsia="Times New Roman"/>
      <w:b/>
      <w:szCs w:val="20"/>
    </w:rPr>
  </w:style>
  <w:style w:type="paragraph" w:styleId="ListParagraph">
    <w:name w:val="List Paragraph"/>
    <w:basedOn w:val="Normal"/>
    <w:uiPriority w:val="34"/>
    <w:qFormat/>
    <w:rsid w:val="00756C95"/>
    <w:pPr>
      <w:ind w:left="720"/>
      <w:contextualSpacing/>
    </w:pPr>
  </w:style>
  <w:style w:type="paragraph" w:styleId="Header">
    <w:name w:val="header"/>
    <w:basedOn w:val="Normal"/>
    <w:link w:val="HeaderChar"/>
    <w:rsid w:val="00756C95"/>
    <w:pPr>
      <w:widowControl w:val="0"/>
      <w:tabs>
        <w:tab w:val="center" w:pos="4680"/>
        <w:tab w:val="right" w:pos="9360"/>
      </w:tabs>
      <w:autoSpaceDE w:val="0"/>
      <w:autoSpaceDN w:val="0"/>
      <w:adjustRightInd w:val="0"/>
    </w:pPr>
    <w:rPr>
      <w:rFonts w:ascii="Courier New" w:hAnsi="Courier New" w:cs="Courier New"/>
    </w:rPr>
  </w:style>
  <w:style w:type="character" w:customStyle="1" w:styleId="HeaderChar">
    <w:name w:val="Header Char"/>
    <w:basedOn w:val="DefaultParagraphFont"/>
    <w:link w:val="Header"/>
    <w:rsid w:val="00756C95"/>
    <w:rPr>
      <w:rFonts w:ascii="Courier New" w:eastAsia="Times New Roman" w:hAnsi="Courier New" w:cs="Courier New"/>
      <w:sz w:val="20"/>
      <w:szCs w:val="20"/>
    </w:rPr>
  </w:style>
  <w:style w:type="paragraph" w:customStyle="1" w:styleId="ParaTab1">
    <w:name w:val="ParaTab 1"/>
    <w:rsid w:val="00756C95"/>
    <w:pPr>
      <w:tabs>
        <w:tab w:val="left" w:pos="-720"/>
      </w:tabs>
      <w:suppressAutoHyphens/>
      <w:autoSpaceDE w:val="0"/>
      <w:autoSpaceDN w:val="0"/>
      <w:spacing w:after="0" w:line="240" w:lineRule="auto"/>
      <w:ind w:firstLine="1440"/>
    </w:pPr>
    <w:rPr>
      <w:rFonts w:ascii="CG Times" w:eastAsia="Times New Roman" w:hAnsi="CG Times" w:cs="CG Times"/>
      <w:szCs w:val="24"/>
    </w:rPr>
  </w:style>
  <w:style w:type="character" w:styleId="PageNumber">
    <w:name w:val="page number"/>
    <w:basedOn w:val="DefaultParagraphFont"/>
    <w:rsid w:val="00A71162"/>
  </w:style>
  <w:style w:type="paragraph" w:styleId="BalloonText">
    <w:name w:val="Balloon Text"/>
    <w:basedOn w:val="Normal"/>
    <w:link w:val="BalloonTextChar"/>
    <w:uiPriority w:val="99"/>
    <w:semiHidden/>
    <w:unhideWhenUsed/>
    <w:rsid w:val="00A71162"/>
    <w:rPr>
      <w:rFonts w:ascii="Tahoma" w:hAnsi="Tahoma" w:cs="Tahoma"/>
      <w:sz w:val="16"/>
      <w:szCs w:val="16"/>
    </w:rPr>
  </w:style>
  <w:style w:type="character" w:customStyle="1" w:styleId="BalloonTextChar">
    <w:name w:val="Balloon Text Char"/>
    <w:basedOn w:val="DefaultParagraphFont"/>
    <w:link w:val="BalloonText"/>
    <w:uiPriority w:val="99"/>
    <w:semiHidden/>
    <w:rsid w:val="00A71162"/>
    <w:rPr>
      <w:rFonts w:ascii="Tahoma" w:eastAsia="Times New Roman" w:hAnsi="Tahoma" w:cs="Tahoma"/>
      <w:sz w:val="16"/>
      <w:szCs w:val="16"/>
    </w:rPr>
  </w:style>
  <w:style w:type="paragraph" w:styleId="FootnoteText">
    <w:name w:val="footnote text"/>
    <w:basedOn w:val="Normal"/>
    <w:link w:val="FootnoteTextChar"/>
    <w:unhideWhenUsed/>
    <w:rsid w:val="00B2111E"/>
    <w:rPr>
      <w:rFonts w:ascii="Calibri" w:eastAsia="Calibri" w:hAnsi="Calibri"/>
    </w:rPr>
  </w:style>
  <w:style w:type="character" w:customStyle="1" w:styleId="FootnoteTextChar">
    <w:name w:val="Footnote Text Char"/>
    <w:basedOn w:val="DefaultParagraphFont"/>
    <w:link w:val="FootnoteText"/>
    <w:rsid w:val="00B2111E"/>
    <w:rPr>
      <w:rFonts w:ascii="Calibri" w:eastAsia="Calibri" w:hAnsi="Calibri"/>
      <w:sz w:val="20"/>
      <w:szCs w:val="20"/>
    </w:rPr>
  </w:style>
  <w:style w:type="character" w:styleId="FootnoteReference">
    <w:name w:val="footnote reference"/>
    <w:unhideWhenUsed/>
    <w:rsid w:val="00B211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41AB6-F2D0-40A9-BACD-3C6CC92B9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1891</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Pallas, Dan</cp:lastModifiedBy>
  <cp:revision>5</cp:revision>
  <cp:lastPrinted>2017-03-08T19:55:00Z</cp:lastPrinted>
  <dcterms:created xsi:type="dcterms:W3CDTF">2017-03-08T19:35:00Z</dcterms:created>
  <dcterms:modified xsi:type="dcterms:W3CDTF">2017-03-08T20:48:00Z</dcterms:modified>
</cp:coreProperties>
</file>