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5" w:rsidRPr="00727712" w:rsidRDefault="00851605" w:rsidP="00EF6427">
      <w:pPr>
        <w:jc w:val="center"/>
        <w:rPr>
          <w:rFonts w:ascii="Times New Roman" w:hAnsi="Times New Roman"/>
          <w:b/>
          <w:sz w:val="26"/>
          <w:szCs w:val="26"/>
        </w:rPr>
      </w:pPr>
      <w:r w:rsidRPr="00727712">
        <w:rPr>
          <w:rFonts w:ascii="Times New Roman" w:hAnsi="Times New Roman"/>
          <w:b/>
          <w:sz w:val="26"/>
          <w:szCs w:val="26"/>
        </w:rPr>
        <w:t>PENNSYLVANIA</w:t>
      </w:r>
    </w:p>
    <w:p w:rsidR="00851605" w:rsidRPr="00727712" w:rsidRDefault="00851605" w:rsidP="00EF6427">
      <w:pPr>
        <w:jc w:val="center"/>
        <w:rPr>
          <w:rFonts w:ascii="Times New Roman" w:hAnsi="Times New Roman"/>
          <w:b/>
          <w:sz w:val="26"/>
          <w:szCs w:val="26"/>
        </w:rPr>
      </w:pPr>
      <w:r w:rsidRPr="00727712">
        <w:rPr>
          <w:rFonts w:ascii="Times New Roman" w:hAnsi="Times New Roman"/>
          <w:b/>
          <w:sz w:val="26"/>
          <w:szCs w:val="26"/>
        </w:rPr>
        <w:t>PUBLIC UTILTY COMMISSION</w:t>
      </w:r>
    </w:p>
    <w:p w:rsidR="00851605" w:rsidRPr="00727712" w:rsidRDefault="00851605" w:rsidP="00EF6427">
      <w:pPr>
        <w:jc w:val="center"/>
        <w:rPr>
          <w:rFonts w:ascii="Times New Roman" w:hAnsi="Times New Roman"/>
          <w:b/>
          <w:sz w:val="26"/>
          <w:szCs w:val="26"/>
        </w:rPr>
      </w:pPr>
      <w:r w:rsidRPr="00727712">
        <w:rPr>
          <w:rFonts w:ascii="Times New Roman" w:hAnsi="Times New Roman"/>
          <w:b/>
          <w:sz w:val="26"/>
          <w:szCs w:val="26"/>
        </w:rPr>
        <w:t>Harrisburg, PA  17105-3265</w:t>
      </w:r>
    </w:p>
    <w:p w:rsidR="00B173A3" w:rsidRDefault="00B173A3" w:rsidP="00EF6427">
      <w:pPr>
        <w:jc w:val="center"/>
        <w:rPr>
          <w:rFonts w:ascii="Times New Roman" w:hAnsi="Times New Roman"/>
          <w:sz w:val="26"/>
          <w:szCs w:val="26"/>
        </w:rPr>
      </w:pPr>
    </w:p>
    <w:p w:rsidR="00247028" w:rsidRPr="00727712" w:rsidRDefault="00247028" w:rsidP="00EF6427">
      <w:pPr>
        <w:jc w:val="center"/>
        <w:rPr>
          <w:rFonts w:ascii="Times New Roman" w:hAnsi="Times New Roman"/>
          <w:sz w:val="26"/>
          <w:szCs w:val="26"/>
        </w:rPr>
      </w:pPr>
    </w:p>
    <w:p w:rsidR="00247028" w:rsidRPr="00B17A37" w:rsidRDefault="00247028" w:rsidP="00EF6427">
      <w:pPr>
        <w:jc w:val="right"/>
        <w:rPr>
          <w:rFonts w:ascii="Times New Roman" w:hAnsi="Times New Roman"/>
          <w:sz w:val="26"/>
          <w:szCs w:val="26"/>
        </w:rPr>
      </w:pPr>
      <w:r w:rsidRPr="00B17A37">
        <w:rPr>
          <w:rFonts w:ascii="Times New Roman" w:hAnsi="Times New Roman"/>
          <w:sz w:val="26"/>
          <w:szCs w:val="26"/>
        </w:rPr>
        <w:t xml:space="preserve">Public Meeting held </w:t>
      </w:r>
      <w:r>
        <w:rPr>
          <w:rFonts w:ascii="Times New Roman" w:hAnsi="Times New Roman"/>
          <w:sz w:val="26"/>
          <w:szCs w:val="26"/>
        </w:rPr>
        <w:t>March</w:t>
      </w:r>
      <w:r w:rsidRPr="00B17A37">
        <w:rPr>
          <w:rFonts w:ascii="Times New Roman" w:hAnsi="Times New Roman"/>
          <w:sz w:val="26"/>
          <w:szCs w:val="26"/>
        </w:rPr>
        <w:t xml:space="preserve"> 2</w:t>
      </w:r>
      <w:r>
        <w:rPr>
          <w:rFonts w:ascii="Times New Roman" w:hAnsi="Times New Roman"/>
          <w:sz w:val="26"/>
          <w:szCs w:val="26"/>
        </w:rPr>
        <w:t>, 2017</w:t>
      </w:r>
    </w:p>
    <w:p w:rsidR="00247028" w:rsidRPr="00B17A37" w:rsidRDefault="00247028" w:rsidP="00EF6427">
      <w:pPr>
        <w:rPr>
          <w:rFonts w:ascii="Times New Roman" w:hAnsi="Times New Roman"/>
          <w:sz w:val="26"/>
          <w:szCs w:val="26"/>
        </w:rPr>
      </w:pPr>
    </w:p>
    <w:p w:rsidR="00247028" w:rsidRPr="00B17A37" w:rsidRDefault="00247028" w:rsidP="00EF6427">
      <w:pPr>
        <w:rPr>
          <w:rFonts w:ascii="Times New Roman" w:hAnsi="Times New Roman"/>
          <w:sz w:val="26"/>
          <w:szCs w:val="26"/>
        </w:rPr>
      </w:pPr>
      <w:r w:rsidRPr="00B17A37">
        <w:rPr>
          <w:rFonts w:ascii="Times New Roman" w:hAnsi="Times New Roman"/>
          <w:sz w:val="26"/>
          <w:szCs w:val="26"/>
        </w:rPr>
        <w:t>Commissioners Present:</w:t>
      </w:r>
    </w:p>
    <w:p w:rsidR="00247028" w:rsidRPr="00B17A37" w:rsidRDefault="00247028" w:rsidP="00EF6427">
      <w:pPr>
        <w:rPr>
          <w:rFonts w:ascii="Times New Roman" w:hAnsi="Times New Roman"/>
          <w:sz w:val="26"/>
          <w:szCs w:val="26"/>
        </w:rPr>
      </w:pPr>
    </w:p>
    <w:p w:rsidR="00247028" w:rsidRPr="00B17A37" w:rsidRDefault="00247028" w:rsidP="00EF6427">
      <w:pPr>
        <w:rPr>
          <w:rFonts w:ascii="Times New Roman" w:eastAsia="Times New Roman" w:hAnsi="Times New Roman"/>
          <w:bCs/>
          <w:sz w:val="26"/>
          <w:szCs w:val="26"/>
        </w:rPr>
      </w:pPr>
      <w:r w:rsidRPr="00B17A37">
        <w:rPr>
          <w:rFonts w:ascii="Times New Roman" w:hAnsi="Times New Roman"/>
          <w:sz w:val="26"/>
          <w:szCs w:val="26"/>
        </w:rPr>
        <w:tab/>
      </w:r>
      <w:r w:rsidRPr="00B17A37">
        <w:rPr>
          <w:rFonts w:ascii="Times New Roman" w:eastAsia="Times New Roman" w:hAnsi="Times New Roman"/>
          <w:bCs/>
          <w:sz w:val="26"/>
          <w:szCs w:val="26"/>
        </w:rPr>
        <w:t>Gladys M. Brown, Chairman</w:t>
      </w:r>
    </w:p>
    <w:p w:rsidR="00247028" w:rsidRPr="00B17A37" w:rsidRDefault="00247028" w:rsidP="00EF6427">
      <w:pPr>
        <w:rPr>
          <w:rFonts w:ascii="Times New Roman" w:eastAsia="Times New Roman" w:hAnsi="Times New Roman"/>
          <w:bCs/>
          <w:sz w:val="26"/>
          <w:szCs w:val="26"/>
        </w:rPr>
      </w:pPr>
      <w:r w:rsidRPr="00B17A37">
        <w:rPr>
          <w:rFonts w:ascii="Times New Roman" w:eastAsia="Times New Roman" w:hAnsi="Times New Roman"/>
          <w:bCs/>
          <w:sz w:val="26"/>
          <w:szCs w:val="26"/>
        </w:rPr>
        <w:tab/>
        <w:t>Andrew G. Place, Vice Chairman</w:t>
      </w:r>
    </w:p>
    <w:p w:rsidR="00247028" w:rsidRDefault="00247028" w:rsidP="00EF6427">
      <w:pPr>
        <w:rPr>
          <w:rFonts w:ascii="Times New Roman" w:eastAsia="Times New Roman" w:hAnsi="Times New Roman"/>
          <w:bCs/>
          <w:sz w:val="26"/>
          <w:szCs w:val="26"/>
        </w:rPr>
      </w:pPr>
      <w:r w:rsidRPr="00B17A37">
        <w:rPr>
          <w:rFonts w:ascii="Times New Roman" w:eastAsia="Times New Roman" w:hAnsi="Times New Roman"/>
          <w:bCs/>
          <w:sz w:val="26"/>
          <w:szCs w:val="26"/>
        </w:rPr>
        <w:tab/>
        <w:t>John F. Coleman, Jr.</w:t>
      </w:r>
    </w:p>
    <w:p w:rsidR="00247028" w:rsidRPr="00B17A37" w:rsidRDefault="00247028" w:rsidP="00EF6427">
      <w:pPr>
        <w:rPr>
          <w:rFonts w:ascii="Times New Roman" w:eastAsia="Times New Roman" w:hAnsi="Times New Roman"/>
          <w:bCs/>
          <w:sz w:val="26"/>
          <w:szCs w:val="26"/>
        </w:rPr>
      </w:pPr>
      <w:r w:rsidRPr="00B17A37">
        <w:rPr>
          <w:rFonts w:ascii="Times New Roman" w:eastAsia="Times New Roman" w:hAnsi="Times New Roman"/>
          <w:bCs/>
          <w:sz w:val="26"/>
          <w:szCs w:val="26"/>
        </w:rPr>
        <w:tab/>
        <w:t>Robert F. Powelson</w:t>
      </w:r>
    </w:p>
    <w:p w:rsidR="00247028" w:rsidRPr="00B17A37" w:rsidRDefault="00247028" w:rsidP="00EF6427">
      <w:pPr>
        <w:rPr>
          <w:rFonts w:ascii="Times New Roman" w:eastAsia="Times New Roman" w:hAnsi="Times New Roman"/>
          <w:bCs/>
          <w:sz w:val="26"/>
          <w:szCs w:val="26"/>
        </w:rPr>
      </w:pPr>
      <w:r w:rsidRPr="00B17A37">
        <w:rPr>
          <w:rFonts w:ascii="Times New Roman" w:eastAsia="Times New Roman" w:hAnsi="Times New Roman"/>
          <w:bCs/>
          <w:sz w:val="26"/>
          <w:szCs w:val="26"/>
        </w:rPr>
        <w:tab/>
        <w:t>David W. Sweet</w:t>
      </w:r>
    </w:p>
    <w:p w:rsidR="00247028" w:rsidRPr="00B17A37" w:rsidRDefault="00247028" w:rsidP="00EF6427">
      <w:pPr>
        <w:rPr>
          <w:rFonts w:ascii="Times New Roman" w:hAnsi="Times New Roman"/>
          <w:sz w:val="26"/>
          <w:szCs w:val="26"/>
        </w:rPr>
      </w:pPr>
    </w:p>
    <w:p w:rsidR="00247028" w:rsidRPr="00B17A37" w:rsidRDefault="00247028" w:rsidP="00EF6427">
      <w:pPr>
        <w:rPr>
          <w:rFonts w:ascii="Times New Roman" w:hAnsi="Times New Roman"/>
          <w:sz w:val="26"/>
          <w:szCs w:val="26"/>
        </w:rPr>
      </w:pPr>
    </w:p>
    <w:p w:rsidR="00247028" w:rsidRPr="00B17A37" w:rsidRDefault="00247028" w:rsidP="00EF6427">
      <w:pPr>
        <w:rPr>
          <w:rFonts w:ascii="Times New Roman" w:hAnsi="Times New Roman"/>
          <w:sz w:val="26"/>
          <w:szCs w:val="26"/>
        </w:rPr>
      </w:pPr>
    </w:p>
    <w:p w:rsidR="00247028" w:rsidRPr="00B17A37" w:rsidRDefault="00247028" w:rsidP="00EF6427">
      <w:pPr>
        <w:tabs>
          <w:tab w:val="left" w:pos="720"/>
          <w:tab w:val="left" w:pos="2160"/>
          <w:tab w:val="left" w:pos="5040"/>
        </w:tabs>
        <w:autoSpaceDE w:val="0"/>
        <w:autoSpaceDN w:val="0"/>
        <w:jc w:val="both"/>
        <w:rPr>
          <w:rFonts w:ascii="Times New Roman" w:eastAsia="SimSun" w:hAnsi="Times New Roman"/>
          <w:sz w:val="26"/>
          <w:szCs w:val="26"/>
        </w:rPr>
      </w:pPr>
      <w:r>
        <w:rPr>
          <w:rFonts w:ascii="Times New Roman" w:eastAsia="SimSun" w:hAnsi="Times New Roman"/>
          <w:sz w:val="26"/>
          <w:szCs w:val="26"/>
        </w:rPr>
        <w:t>Elease Slaughter</w:t>
      </w:r>
      <w:r w:rsidRPr="00B17A37">
        <w:rPr>
          <w:rFonts w:ascii="Times New Roman" w:eastAsia="SimSun" w:hAnsi="Times New Roman"/>
          <w:sz w:val="26"/>
          <w:szCs w:val="26"/>
        </w:rPr>
        <w:tab/>
      </w:r>
      <w:r>
        <w:rPr>
          <w:rFonts w:ascii="Times New Roman" w:eastAsia="SimSun" w:hAnsi="Times New Roman"/>
          <w:sz w:val="26"/>
          <w:szCs w:val="26"/>
        </w:rPr>
        <w:tab/>
      </w:r>
      <w:r>
        <w:rPr>
          <w:rFonts w:ascii="Times New Roman" w:eastAsia="SimSun" w:hAnsi="Times New Roman"/>
          <w:sz w:val="26"/>
          <w:szCs w:val="26"/>
        </w:rPr>
        <w:tab/>
      </w:r>
      <w:r>
        <w:rPr>
          <w:rFonts w:ascii="Times New Roman" w:eastAsia="SimSun" w:hAnsi="Times New Roman"/>
          <w:sz w:val="26"/>
          <w:szCs w:val="26"/>
        </w:rPr>
        <w:tab/>
      </w:r>
      <w:r>
        <w:rPr>
          <w:rFonts w:ascii="Times New Roman" w:eastAsia="SimSun" w:hAnsi="Times New Roman"/>
          <w:sz w:val="26"/>
          <w:szCs w:val="26"/>
        </w:rPr>
        <w:tab/>
      </w:r>
      <w:r w:rsidRPr="00B17A37">
        <w:rPr>
          <w:rFonts w:ascii="Times New Roman" w:eastAsia="SimSun" w:hAnsi="Times New Roman"/>
          <w:spacing w:val="-3"/>
          <w:sz w:val="26"/>
          <w:szCs w:val="26"/>
        </w:rPr>
        <w:t>C-201</w:t>
      </w:r>
      <w:r>
        <w:rPr>
          <w:rFonts w:ascii="Times New Roman" w:eastAsia="SimSun" w:hAnsi="Times New Roman"/>
          <w:spacing w:val="-3"/>
          <w:sz w:val="26"/>
          <w:szCs w:val="26"/>
        </w:rPr>
        <w:t>6</w:t>
      </w:r>
      <w:r w:rsidRPr="00B17A37">
        <w:rPr>
          <w:rFonts w:ascii="Times New Roman" w:eastAsia="SimSun" w:hAnsi="Times New Roman"/>
          <w:spacing w:val="-3"/>
          <w:sz w:val="26"/>
          <w:szCs w:val="26"/>
        </w:rPr>
        <w:t>-25</w:t>
      </w:r>
      <w:r>
        <w:rPr>
          <w:rFonts w:ascii="Times New Roman" w:eastAsia="SimSun" w:hAnsi="Times New Roman"/>
          <w:spacing w:val="-3"/>
          <w:sz w:val="26"/>
          <w:szCs w:val="26"/>
        </w:rPr>
        <w:t>41771</w:t>
      </w:r>
    </w:p>
    <w:p w:rsidR="00247028" w:rsidRPr="00B17A37" w:rsidRDefault="00247028" w:rsidP="00EF6427">
      <w:pPr>
        <w:tabs>
          <w:tab w:val="left" w:pos="720"/>
          <w:tab w:val="left" w:pos="2160"/>
          <w:tab w:val="left" w:pos="5040"/>
        </w:tabs>
        <w:autoSpaceDE w:val="0"/>
        <w:autoSpaceDN w:val="0"/>
        <w:jc w:val="both"/>
        <w:rPr>
          <w:rFonts w:ascii="Times New Roman" w:eastAsia="SimSun" w:hAnsi="Times New Roman"/>
          <w:sz w:val="26"/>
          <w:szCs w:val="26"/>
        </w:rPr>
      </w:pPr>
    </w:p>
    <w:p w:rsidR="00247028" w:rsidRDefault="00247028" w:rsidP="00EF6427">
      <w:pPr>
        <w:tabs>
          <w:tab w:val="left" w:pos="720"/>
          <w:tab w:val="left" w:pos="2160"/>
          <w:tab w:val="left" w:pos="5040"/>
          <w:tab w:val="left" w:pos="5760"/>
          <w:tab w:val="left" w:pos="6480"/>
        </w:tabs>
        <w:autoSpaceDE w:val="0"/>
        <w:autoSpaceDN w:val="0"/>
        <w:jc w:val="both"/>
        <w:rPr>
          <w:rFonts w:ascii="Times New Roman" w:eastAsia="SimSun" w:hAnsi="Times New Roman"/>
          <w:sz w:val="26"/>
          <w:szCs w:val="26"/>
        </w:rPr>
      </w:pPr>
      <w:r w:rsidRPr="00B17A37">
        <w:rPr>
          <w:rFonts w:ascii="Times New Roman" w:eastAsia="SimSun" w:hAnsi="Times New Roman"/>
          <w:sz w:val="26"/>
          <w:szCs w:val="26"/>
        </w:rPr>
        <w:tab/>
      </w:r>
      <w:r>
        <w:rPr>
          <w:rFonts w:ascii="Times New Roman" w:eastAsia="SimSun" w:hAnsi="Times New Roman"/>
          <w:sz w:val="26"/>
          <w:szCs w:val="26"/>
        </w:rPr>
        <w:t xml:space="preserve">    v.</w:t>
      </w:r>
    </w:p>
    <w:p w:rsidR="00247028" w:rsidRPr="00B17A37" w:rsidRDefault="00247028" w:rsidP="00EF6427">
      <w:pPr>
        <w:tabs>
          <w:tab w:val="left" w:pos="720"/>
          <w:tab w:val="left" w:pos="2160"/>
          <w:tab w:val="left" w:pos="5040"/>
          <w:tab w:val="left" w:pos="5760"/>
          <w:tab w:val="left" w:pos="6480"/>
        </w:tabs>
        <w:autoSpaceDE w:val="0"/>
        <w:autoSpaceDN w:val="0"/>
        <w:jc w:val="both"/>
        <w:rPr>
          <w:rFonts w:ascii="Times New Roman" w:eastAsia="SimSun" w:hAnsi="Times New Roman"/>
          <w:sz w:val="26"/>
          <w:szCs w:val="26"/>
        </w:rPr>
      </w:pPr>
    </w:p>
    <w:p w:rsidR="00247028" w:rsidRPr="00B17A37" w:rsidRDefault="00247028" w:rsidP="00EF6427">
      <w:pPr>
        <w:tabs>
          <w:tab w:val="left" w:pos="720"/>
          <w:tab w:val="left" w:pos="2160"/>
          <w:tab w:val="left" w:pos="5040"/>
        </w:tabs>
        <w:autoSpaceDE w:val="0"/>
        <w:autoSpaceDN w:val="0"/>
        <w:jc w:val="both"/>
        <w:rPr>
          <w:rFonts w:ascii="Times New Roman" w:eastAsia="SimSun" w:hAnsi="Times New Roman"/>
          <w:sz w:val="26"/>
          <w:szCs w:val="26"/>
        </w:rPr>
      </w:pPr>
      <w:r>
        <w:rPr>
          <w:rFonts w:ascii="Times New Roman" w:eastAsia="SimSun" w:hAnsi="Times New Roman"/>
          <w:sz w:val="26"/>
          <w:szCs w:val="26"/>
        </w:rPr>
        <w:t>Philadelphia Gas Works</w:t>
      </w:r>
      <w:r w:rsidRPr="00B17A37">
        <w:rPr>
          <w:rFonts w:ascii="Times New Roman" w:eastAsia="SimSun" w:hAnsi="Times New Roman"/>
          <w:sz w:val="26"/>
          <w:szCs w:val="26"/>
        </w:rPr>
        <w:t xml:space="preserve"> </w:t>
      </w:r>
      <w:r w:rsidRPr="00B17A37">
        <w:rPr>
          <w:rFonts w:ascii="Times New Roman" w:eastAsia="SimSun" w:hAnsi="Times New Roman"/>
          <w:sz w:val="26"/>
          <w:szCs w:val="26"/>
        </w:rPr>
        <w:tab/>
      </w:r>
    </w:p>
    <w:p w:rsidR="00247028" w:rsidRPr="00B17A37" w:rsidRDefault="00247028" w:rsidP="00EF6427">
      <w:pPr>
        <w:rPr>
          <w:rFonts w:ascii="Times New Roman" w:hAnsi="Times New Roman"/>
          <w:sz w:val="26"/>
          <w:szCs w:val="26"/>
        </w:rPr>
      </w:pPr>
    </w:p>
    <w:p w:rsidR="00247028" w:rsidRPr="00B17A37" w:rsidRDefault="00247028" w:rsidP="00EF6427">
      <w:pPr>
        <w:rPr>
          <w:rFonts w:ascii="Times New Roman" w:hAnsi="Times New Roman"/>
          <w:sz w:val="26"/>
          <w:szCs w:val="26"/>
        </w:rPr>
      </w:pPr>
    </w:p>
    <w:p w:rsidR="00247028" w:rsidRPr="00B17A37" w:rsidRDefault="00247028" w:rsidP="00EF6427">
      <w:pPr>
        <w:rPr>
          <w:rFonts w:ascii="Times New Roman" w:hAnsi="Times New Roman"/>
          <w:sz w:val="26"/>
          <w:szCs w:val="26"/>
        </w:rPr>
      </w:pPr>
    </w:p>
    <w:p w:rsidR="00247028" w:rsidRPr="00B17A37" w:rsidRDefault="00247028" w:rsidP="00EF6427">
      <w:pPr>
        <w:jc w:val="center"/>
        <w:rPr>
          <w:rFonts w:ascii="Times New Roman" w:hAnsi="Times New Roman"/>
          <w:b/>
          <w:sz w:val="26"/>
          <w:szCs w:val="26"/>
          <w:u w:val="single"/>
        </w:rPr>
      </w:pPr>
      <w:r>
        <w:rPr>
          <w:rFonts w:ascii="Times New Roman" w:hAnsi="Times New Roman"/>
          <w:b/>
          <w:sz w:val="26"/>
          <w:szCs w:val="26"/>
        </w:rPr>
        <w:t xml:space="preserve">OPINION AND </w:t>
      </w:r>
      <w:r w:rsidRPr="00B17A37">
        <w:rPr>
          <w:rFonts w:ascii="Times New Roman" w:hAnsi="Times New Roman"/>
          <w:b/>
          <w:sz w:val="26"/>
          <w:szCs w:val="26"/>
        </w:rPr>
        <w:t>ORDER</w:t>
      </w:r>
    </w:p>
    <w:p w:rsidR="00247028" w:rsidRPr="00B17A37" w:rsidRDefault="00247028" w:rsidP="00EF6427">
      <w:pPr>
        <w:jc w:val="center"/>
        <w:rPr>
          <w:rFonts w:ascii="Times New Roman" w:hAnsi="Times New Roman"/>
          <w:sz w:val="26"/>
          <w:szCs w:val="26"/>
        </w:rPr>
      </w:pPr>
    </w:p>
    <w:p w:rsidR="00247028" w:rsidRPr="00B17A37" w:rsidRDefault="00247028" w:rsidP="00EF6427">
      <w:pPr>
        <w:jc w:val="center"/>
        <w:rPr>
          <w:rFonts w:ascii="Times New Roman" w:hAnsi="Times New Roman"/>
          <w:sz w:val="26"/>
          <w:szCs w:val="26"/>
        </w:rPr>
      </w:pPr>
    </w:p>
    <w:p w:rsidR="00247028" w:rsidRPr="00F922C5" w:rsidRDefault="00247028" w:rsidP="00EF6427">
      <w:pPr>
        <w:rPr>
          <w:rFonts w:ascii="Times New Roman" w:hAnsi="Times New Roman"/>
          <w:b/>
          <w:sz w:val="26"/>
          <w:szCs w:val="26"/>
        </w:rPr>
      </w:pPr>
      <w:r w:rsidRPr="00F922C5">
        <w:rPr>
          <w:rFonts w:ascii="Times New Roman" w:hAnsi="Times New Roman"/>
          <w:b/>
          <w:sz w:val="26"/>
          <w:szCs w:val="26"/>
        </w:rPr>
        <w:t>BY THE COMMISSION:</w:t>
      </w:r>
    </w:p>
    <w:p w:rsidR="00247028" w:rsidRPr="00B17A37" w:rsidRDefault="00247028" w:rsidP="00EF6427">
      <w:pPr>
        <w:spacing w:line="360" w:lineRule="auto"/>
        <w:rPr>
          <w:rFonts w:ascii="Times New Roman" w:hAnsi="Times New Roman"/>
          <w:sz w:val="26"/>
          <w:szCs w:val="26"/>
        </w:rPr>
      </w:pPr>
    </w:p>
    <w:p w:rsidR="00247028" w:rsidRDefault="00247028" w:rsidP="000730AC">
      <w:pPr>
        <w:spacing w:line="360" w:lineRule="auto"/>
        <w:rPr>
          <w:rFonts w:ascii="Times New Roman" w:eastAsiaTheme="minorHAnsi" w:hAnsi="Times New Roman"/>
          <w:sz w:val="26"/>
          <w:szCs w:val="26"/>
        </w:rPr>
      </w:pPr>
      <w:r w:rsidRPr="00B17A37">
        <w:rPr>
          <w:rFonts w:ascii="Times New Roman" w:hAnsi="Times New Roman"/>
          <w:sz w:val="26"/>
          <w:szCs w:val="26"/>
        </w:rPr>
        <w:tab/>
      </w:r>
      <w:r w:rsidRPr="00B17A37">
        <w:rPr>
          <w:rFonts w:ascii="Times New Roman" w:hAnsi="Times New Roman"/>
          <w:sz w:val="26"/>
          <w:szCs w:val="26"/>
        </w:rPr>
        <w:tab/>
      </w:r>
      <w:r>
        <w:rPr>
          <w:rFonts w:ascii="Times New Roman" w:hAnsi="Times New Roman"/>
          <w:sz w:val="26"/>
          <w:szCs w:val="26"/>
        </w:rPr>
        <w:t xml:space="preserve">Before the Public Utility Commission for consideration is the Initial Decision </w:t>
      </w:r>
      <w:r w:rsidR="009B10AD">
        <w:rPr>
          <w:rFonts w:ascii="Times New Roman" w:hAnsi="Times New Roman"/>
          <w:sz w:val="26"/>
          <w:szCs w:val="26"/>
        </w:rPr>
        <w:t xml:space="preserve">(I.D.) </w:t>
      </w:r>
      <w:r w:rsidRPr="00B17A37">
        <w:rPr>
          <w:rFonts w:ascii="Times New Roman" w:hAnsi="Times New Roman"/>
          <w:sz w:val="26"/>
          <w:szCs w:val="26"/>
        </w:rPr>
        <w:t xml:space="preserve">of Administrative Law Judge </w:t>
      </w:r>
      <w:r>
        <w:rPr>
          <w:rFonts w:ascii="Times New Roman" w:hAnsi="Times New Roman"/>
          <w:sz w:val="26"/>
          <w:szCs w:val="26"/>
        </w:rPr>
        <w:t>(ALJ) Conrad</w:t>
      </w:r>
      <w:r w:rsidRPr="00B17A37">
        <w:rPr>
          <w:rFonts w:ascii="Times New Roman" w:hAnsi="Times New Roman"/>
          <w:sz w:val="26"/>
          <w:szCs w:val="26"/>
        </w:rPr>
        <w:t xml:space="preserve"> </w:t>
      </w:r>
      <w:r>
        <w:rPr>
          <w:rFonts w:ascii="Times New Roman" w:hAnsi="Times New Roman"/>
          <w:sz w:val="26"/>
          <w:szCs w:val="26"/>
        </w:rPr>
        <w:t>A.</w:t>
      </w:r>
      <w:r w:rsidRPr="00B17A37">
        <w:rPr>
          <w:rFonts w:ascii="Times New Roman" w:hAnsi="Times New Roman"/>
          <w:sz w:val="26"/>
          <w:szCs w:val="26"/>
        </w:rPr>
        <w:t xml:space="preserve"> </w:t>
      </w:r>
      <w:r>
        <w:rPr>
          <w:rFonts w:ascii="Times New Roman" w:hAnsi="Times New Roman"/>
          <w:sz w:val="26"/>
          <w:szCs w:val="26"/>
        </w:rPr>
        <w:t>Johnson</w:t>
      </w:r>
      <w:r w:rsidRPr="00B17A37">
        <w:rPr>
          <w:rFonts w:ascii="Times New Roman" w:hAnsi="Times New Roman"/>
          <w:sz w:val="26"/>
          <w:szCs w:val="26"/>
        </w:rPr>
        <w:t xml:space="preserve">, </w:t>
      </w:r>
      <w:r>
        <w:rPr>
          <w:rFonts w:ascii="Times New Roman" w:hAnsi="Times New Roman"/>
          <w:sz w:val="26"/>
          <w:szCs w:val="26"/>
        </w:rPr>
        <w:t>issued on</w:t>
      </w:r>
      <w:r w:rsidRPr="00B17A37">
        <w:rPr>
          <w:rFonts w:ascii="Times New Roman" w:hAnsi="Times New Roman"/>
          <w:sz w:val="26"/>
          <w:szCs w:val="26"/>
        </w:rPr>
        <w:t xml:space="preserve"> </w:t>
      </w:r>
      <w:r>
        <w:rPr>
          <w:rFonts w:ascii="Times New Roman" w:hAnsi="Times New Roman"/>
          <w:sz w:val="26"/>
          <w:szCs w:val="26"/>
        </w:rPr>
        <w:t>January</w:t>
      </w:r>
      <w:r w:rsidRPr="00B17A37">
        <w:rPr>
          <w:rFonts w:ascii="Times New Roman" w:hAnsi="Times New Roman"/>
          <w:sz w:val="26"/>
          <w:szCs w:val="26"/>
        </w:rPr>
        <w:t xml:space="preserve"> </w:t>
      </w:r>
      <w:r>
        <w:rPr>
          <w:rFonts w:ascii="Times New Roman" w:hAnsi="Times New Roman"/>
          <w:sz w:val="26"/>
          <w:szCs w:val="26"/>
        </w:rPr>
        <w:t>4</w:t>
      </w:r>
      <w:r w:rsidRPr="00B17A37">
        <w:rPr>
          <w:rFonts w:ascii="Times New Roman" w:hAnsi="Times New Roman"/>
          <w:sz w:val="26"/>
          <w:szCs w:val="26"/>
        </w:rPr>
        <w:t>, 201</w:t>
      </w:r>
      <w:r>
        <w:rPr>
          <w:rFonts w:ascii="Times New Roman" w:hAnsi="Times New Roman"/>
          <w:sz w:val="26"/>
          <w:szCs w:val="26"/>
        </w:rPr>
        <w:t>7</w:t>
      </w:r>
      <w:r w:rsidR="009B10AD">
        <w:rPr>
          <w:rFonts w:ascii="Times New Roman" w:hAnsi="Times New Roman"/>
          <w:sz w:val="26"/>
          <w:szCs w:val="26"/>
        </w:rPr>
        <w:t>.</w:t>
      </w:r>
      <w:r>
        <w:rPr>
          <w:rFonts w:ascii="Times New Roman" w:hAnsi="Times New Roman"/>
          <w:sz w:val="26"/>
          <w:szCs w:val="26"/>
        </w:rPr>
        <w:t xml:space="preserve"> </w:t>
      </w:r>
      <w:r w:rsidR="009B10AD">
        <w:rPr>
          <w:rFonts w:ascii="Times New Roman" w:hAnsi="Times New Roman"/>
          <w:sz w:val="26"/>
          <w:szCs w:val="26"/>
        </w:rPr>
        <w:t xml:space="preserve"> The proceeding concerned the Formal Complaint (Complaint) filed by Elease Slaughter </w:t>
      </w:r>
      <w:r w:rsidR="004258ED">
        <w:rPr>
          <w:rFonts w:ascii="Times New Roman" w:hAnsi="Times New Roman"/>
          <w:sz w:val="26"/>
          <w:szCs w:val="26"/>
        </w:rPr>
        <w:t xml:space="preserve">(Complainant) </w:t>
      </w:r>
      <w:r w:rsidR="009B10AD">
        <w:rPr>
          <w:rFonts w:ascii="Times New Roman" w:hAnsi="Times New Roman"/>
          <w:sz w:val="26"/>
          <w:szCs w:val="26"/>
        </w:rPr>
        <w:t>against Philadelphia Gas Works (PGW)</w:t>
      </w:r>
      <w:r>
        <w:rPr>
          <w:rFonts w:ascii="Times New Roman" w:hAnsi="Times New Roman"/>
          <w:sz w:val="26"/>
          <w:szCs w:val="26"/>
        </w:rPr>
        <w:t xml:space="preserve">.  </w:t>
      </w:r>
      <w:r w:rsidR="009B10AD">
        <w:rPr>
          <w:rFonts w:ascii="Times New Roman" w:hAnsi="Times New Roman"/>
          <w:sz w:val="26"/>
          <w:szCs w:val="26"/>
        </w:rPr>
        <w:t xml:space="preserve">The Initial Decision dismissed the Complaint for failure </w:t>
      </w:r>
      <w:r w:rsidR="00E031FE">
        <w:rPr>
          <w:rFonts w:ascii="Times New Roman" w:hAnsi="Times New Roman"/>
          <w:sz w:val="26"/>
          <w:szCs w:val="26"/>
        </w:rPr>
        <w:t xml:space="preserve">of </w:t>
      </w:r>
      <w:r w:rsidR="00FC272B">
        <w:rPr>
          <w:rFonts w:ascii="Times New Roman" w:hAnsi="Times New Roman"/>
          <w:sz w:val="26"/>
          <w:szCs w:val="26"/>
        </w:rPr>
        <w:t xml:space="preserve">the </w:t>
      </w:r>
      <w:r w:rsidR="00E031FE">
        <w:rPr>
          <w:rFonts w:ascii="Times New Roman" w:hAnsi="Times New Roman"/>
          <w:sz w:val="26"/>
          <w:szCs w:val="26"/>
        </w:rPr>
        <w:t xml:space="preserve">Complainant </w:t>
      </w:r>
      <w:r w:rsidR="009B10AD">
        <w:rPr>
          <w:rFonts w:ascii="Times New Roman" w:hAnsi="Times New Roman"/>
          <w:sz w:val="26"/>
          <w:szCs w:val="26"/>
        </w:rPr>
        <w:t xml:space="preserve">to meet </w:t>
      </w:r>
      <w:r w:rsidR="00FC272B">
        <w:rPr>
          <w:rFonts w:ascii="Times New Roman" w:hAnsi="Times New Roman"/>
          <w:sz w:val="26"/>
          <w:szCs w:val="26"/>
        </w:rPr>
        <w:t>her</w:t>
      </w:r>
      <w:r w:rsidR="009B10AD">
        <w:rPr>
          <w:rFonts w:ascii="Times New Roman" w:hAnsi="Times New Roman"/>
          <w:sz w:val="26"/>
          <w:szCs w:val="26"/>
        </w:rPr>
        <w:t xml:space="preserve"> burden of proof</w:t>
      </w:r>
      <w:r w:rsidRPr="004C063E">
        <w:rPr>
          <w:rFonts w:ascii="Times New Roman" w:eastAsiaTheme="minorHAnsi" w:hAnsi="Times New Roman"/>
          <w:sz w:val="26"/>
          <w:szCs w:val="26"/>
        </w:rPr>
        <w:t xml:space="preserve">.  </w:t>
      </w:r>
      <w:r w:rsidR="009B10AD">
        <w:rPr>
          <w:rFonts w:ascii="Times New Roman" w:eastAsiaTheme="minorHAnsi" w:hAnsi="Times New Roman"/>
          <w:sz w:val="26"/>
          <w:szCs w:val="26"/>
        </w:rPr>
        <w:t>The I.D. also denied the Complainant’s request for a Commission</w:t>
      </w:r>
      <w:r w:rsidR="00FC272B">
        <w:rPr>
          <w:rFonts w:ascii="Times New Roman" w:eastAsiaTheme="minorHAnsi" w:hAnsi="Times New Roman"/>
          <w:sz w:val="26"/>
          <w:szCs w:val="26"/>
        </w:rPr>
        <w:t>-</w:t>
      </w:r>
      <w:r w:rsidR="009B10AD">
        <w:rPr>
          <w:rFonts w:ascii="Times New Roman" w:eastAsiaTheme="minorHAnsi" w:hAnsi="Times New Roman"/>
          <w:sz w:val="26"/>
          <w:szCs w:val="26"/>
        </w:rPr>
        <w:t xml:space="preserve">issued payment arrangement.  No exceptions were filed.  </w:t>
      </w:r>
      <w:r w:rsidRPr="004C063E">
        <w:rPr>
          <w:rFonts w:ascii="Times New Roman" w:eastAsiaTheme="minorHAnsi" w:hAnsi="Times New Roman"/>
          <w:sz w:val="26"/>
          <w:szCs w:val="26"/>
        </w:rPr>
        <w:t xml:space="preserve">However, we exercised our right to review the Initial Decision pursuant to Section 332(h) of the Public Utility Code (Code), 66 Pa. C.S. </w:t>
      </w:r>
      <w:r w:rsidRPr="004C063E">
        <w:rPr>
          <w:rFonts w:ascii="Times New Roman" w:eastAsiaTheme="minorHAnsi" w:hAnsi="Times New Roman"/>
          <w:sz w:val="26"/>
          <w:szCs w:val="26"/>
        </w:rPr>
        <w:lastRenderedPageBreak/>
        <w:t>§ 332(h).</w:t>
      </w:r>
      <w:r>
        <w:rPr>
          <w:rFonts w:ascii="Times New Roman" w:eastAsiaTheme="minorHAnsi" w:hAnsi="Times New Roman"/>
          <w:sz w:val="26"/>
          <w:szCs w:val="26"/>
        </w:rPr>
        <w:t xml:space="preserve">  For the reasons stated below, we shall adopt the ALJ’s Initial Decision as modified.  </w:t>
      </w:r>
    </w:p>
    <w:p w:rsidR="000730AC" w:rsidRDefault="000730AC" w:rsidP="000730AC">
      <w:pPr>
        <w:spacing w:line="360" w:lineRule="auto"/>
        <w:rPr>
          <w:rFonts w:ascii="Times New Roman" w:eastAsiaTheme="minorHAnsi" w:hAnsi="Times New Roman"/>
          <w:sz w:val="26"/>
          <w:szCs w:val="26"/>
        </w:rPr>
      </w:pPr>
    </w:p>
    <w:p w:rsidR="00727712" w:rsidRPr="00A55568" w:rsidRDefault="00727712" w:rsidP="00474AF2">
      <w:pPr>
        <w:keepNext/>
        <w:keepLines/>
        <w:spacing w:line="360" w:lineRule="auto"/>
        <w:ind w:firstLine="720"/>
        <w:jc w:val="center"/>
        <w:rPr>
          <w:rFonts w:ascii="Times New Roman" w:hAnsi="Times New Roman"/>
          <w:b/>
          <w:sz w:val="26"/>
          <w:szCs w:val="26"/>
        </w:rPr>
      </w:pPr>
      <w:bookmarkStart w:id="0" w:name="OLE_LINK1"/>
      <w:bookmarkStart w:id="1" w:name="OLE_LINK2"/>
      <w:r w:rsidRPr="00A55568">
        <w:rPr>
          <w:rFonts w:ascii="Times New Roman" w:hAnsi="Times New Roman"/>
          <w:b/>
          <w:sz w:val="26"/>
          <w:szCs w:val="26"/>
        </w:rPr>
        <w:t>History of the Proceeding</w:t>
      </w:r>
    </w:p>
    <w:p w:rsidR="00727712" w:rsidRPr="00A55568" w:rsidRDefault="00727712" w:rsidP="00474AF2">
      <w:pPr>
        <w:keepNext/>
        <w:keepLines/>
        <w:spacing w:line="360" w:lineRule="auto"/>
        <w:rPr>
          <w:rFonts w:ascii="Times New Roman" w:hAnsi="Times New Roman"/>
          <w:sz w:val="26"/>
          <w:szCs w:val="26"/>
        </w:rPr>
      </w:pPr>
    </w:p>
    <w:p w:rsidR="00DC0F85" w:rsidRDefault="00727712" w:rsidP="000730AC">
      <w:pPr>
        <w:pStyle w:val="BodyText"/>
        <w:tabs>
          <w:tab w:val="clear" w:pos="1980"/>
        </w:tabs>
        <w:spacing w:line="360" w:lineRule="auto"/>
        <w:ind w:firstLine="720"/>
        <w:jc w:val="left"/>
        <w:rPr>
          <w:rFonts w:ascii="Times New Roman" w:hAnsi="Times New Roman"/>
          <w:sz w:val="26"/>
          <w:szCs w:val="26"/>
        </w:rPr>
      </w:pPr>
      <w:r w:rsidRPr="00391110">
        <w:rPr>
          <w:rFonts w:ascii="Times New Roman" w:hAnsi="Times New Roman"/>
          <w:sz w:val="26"/>
          <w:szCs w:val="26"/>
        </w:rPr>
        <w:tab/>
      </w:r>
      <w:r w:rsidR="00391110" w:rsidRPr="001745BF">
        <w:rPr>
          <w:rFonts w:ascii="Times New Roman" w:hAnsi="Times New Roman"/>
          <w:sz w:val="26"/>
          <w:szCs w:val="26"/>
        </w:rPr>
        <w:t xml:space="preserve">On </w:t>
      </w:r>
      <w:r w:rsidR="00741DBC">
        <w:rPr>
          <w:rFonts w:ascii="Times New Roman" w:hAnsi="Times New Roman"/>
          <w:sz w:val="26"/>
          <w:szCs w:val="26"/>
        </w:rPr>
        <w:t>April</w:t>
      </w:r>
      <w:r w:rsidR="00391110" w:rsidRPr="001745BF">
        <w:rPr>
          <w:rFonts w:ascii="Times New Roman" w:hAnsi="Times New Roman"/>
          <w:sz w:val="26"/>
          <w:szCs w:val="26"/>
        </w:rPr>
        <w:t xml:space="preserve"> </w:t>
      </w:r>
      <w:r w:rsidR="00741DBC">
        <w:rPr>
          <w:rFonts w:ascii="Times New Roman" w:hAnsi="Times New Roman"/>
          <w:sz w:val="26"/>
          <w:szCs w:val="26"/>
        </w:rPr>
        <w:t>18</w:t>
      </w:r>
      <w:r w:rsidR="00391110" w:rsidRPr="001745BF">
        <w:rPr>
          <w:rFonts w:ascii="Times New Roman" w:hAnsi="Times New Roman"/>
          <w:sz w:val="26"/>
          <w:szCs w:val="26"/>
        </w:rPr>
        <w:t>, 201</w:t>
      </w:r>
      <w:r w:rsidR="00741DBC">
        <w:rPr>
          <w:rFonts w:ascii="Times New Roman" w:hAnsi="Times New Roman"/>
          <w:sz w:val="26"/>
          <w:szCs w:val="26"/>
        </w:rPr>
        <w:t>6</w:t>
      </w:r>
      <w:r w:rsidR="00391110" w:rsidRPr="001745BF">
        <w:rPr>
          <w:rFonts w:ascii="Times New Roman" w:hAnsi="Times New Roman"/>
          <w:sz w:val="26"/>
          <w:szCs w:val="26"/>
        </w:rPr>
        <w:t xml:space="preserve">, Complainant filed a </w:t>
      </w:r>
      <w:r w:rsidR="00E26EBE">
        <w:rPr>
          <w:rFonts w:ascii="Times New Roman" w:hAnsi="Times New Roman"/>
          <w:sz w:val="26"/>
          <w:szCs w:val="26"/>
        </w:rPr>
        <w:t xml:space="preserve">Complaint </w:t>
      </w:r>
      <w:r w:rsidR="00391110" w:rsidRPr="001745BF">
        <w:rPr>
          <w:rFonts w:ascii="Times New Roman" w:hAnsi="Times New Roman"/>
          <w:sz w:val="26"/>
          <w:szCs w:val="26"/>
        </w:rPr>
        <w:t>with the Commission against PGW</w:t>
      </w:r>
      <w:r w:rsidR="006D6FA1">
        <w:rPr>
          <w:rFonts w:ascii="Times New Roman" w:hAnsi="Times New Roman"/>
          <w:sz w:val="26"/>
          <w:szCs w:val="26"/>
        </w:rPr>
        <w:t xml:space="preserve"> </w:t>
      </w:r>
      <w:r w:rsidR="00B87C79">
        <w:rPr>
          <w:rFonts w:ascii="Times New Roman" w:hAnsi="Times New Roman"/>
          <w:sz w:val="26"/>
          <w:szCs w:val="26"/>
        </w:rPr>
        <w:t xml:space="preserve">in which she </w:t>
      </w:r>
      <w:r w:rsidR="00391110" w:rsidRPr="001745BF">
        <w:rPr>
          <w:rFonts w:ascii="Times New Roman" w:hAnsi="Times New Roman"/>
          <w:sz w:val="26"/>
          <w:szCs w:val="26"/>
        </w:rPr>
        <w:t>alleg</w:t>
      </w:r>
      <w:r w:rsidR="00B87C79">
        <w:rPr>
          <w:rFonts w:ascii="Times New Roman" w:hAnsi="Times New Roman"/>
          <w:sz w:val="26"/>
          <w:szCs w:val="26"/>
        </w:rPr>
        <w:t>ed</w:t>
      </w:r>
      <w:r w:rsidR="00391110" w:rsidRPr="001745BF">
        <w:rPr>
          <w:rFonts w:ascii="Times New Roman" w:hAnsi="Times New Roman"/>
          <w:sz w:val="26"/>
          <w:szCs w:val="26"/>
        </w:rPr>
        <w:t xml:space="preserve"> that </w:t>
      </w:r>
      <w:r w:rsidR="00D712F0">
        <w:rPr>
          <w:rFonts w:ascii="Times New Roman" w:hAnsi="Times New Roman"/>
          <w:sz w:val="26"/>
          <w:szCs w:val="26"/>
        </w:rPr>
        <w:t>PGW</w:t>
      </w:r>
      <w:r w:rsidR="00AE2ED5">
        <w:rPr>
          <w:rFonts w:ascii="Times New Roman" w:hAnsi="Times New Roman"/>
          <w:sz w:val="26"/>
          <w:szCs w:val="26"/>
        </w:rPr>
        <w:t xml:space="preserve"> was threatening to </w:t>
      </w:r>
      <w:r w:rsidR="00391110" w:rsidRPr="001745BF">
        <w:rPr>
          <w:rFonts w:ascii="Times New Roman" w:hAnsi="Times New Roman"/>
          <w:sz w:val="26"/>
          <w:szCs w:val="26"/>
        </w:rPr>
        <w:t>terminate</w:t>
      </w:r>
      <w:r w:rsidR="00AE2ED5">
        <w:rPr>
          <w:rFonts w:ascii="Times New Roman" w:hAnsi="Times New Roman"/>
          <w:sz w:val="26"/>
          <w:szCs w:val="26"/>
        </w:rPr>
        <w:t xml:space="preserve"> her utility service or had already terminated her service</w:t>
      </w:r>
      <w:r w:rsidR="00DC0F85">
        <w:rPr>
          <w:rFonts w:ascii="Times New Roman" w:hAnsi="Times New Roman"/>
          <w:sz w:val="26"/>
          <w:szCs w:val="26"/>
        </w:rPr>
        <w:t>.</w:t>
      </w:r>
      <w:r w:rsidR="00391110" w:rsidRPr="001745BF">
        <w:rPr>
          <w:rFonts w:ascii="Times New Roman" w:hAnsi="Times New Roman"/>
          <w:sz w:val="26"/>
          <w:szCs w:val="26"/>
        </w:rPr>
        <w:t xml:space="preserve"> </w:t>
      </w:r>
      <w:r w:rsidR="00E031FE">
        <w:rPr>
          <w:rFonts w:ascii="Times New Roman" w:hAnsi="Times New Roman"/>
          <w:sz w:val="26"/>
          <w:szCs w:val="26"/>
        </w:rPr>
        <w:t xml:space="preserve"> </w:t>
      </w:r>
      <w:r w:rsidR="00DC0F85">
        <w:rPr>
          <w:rFonts w:ascii="Times New Roman" w:hAnsi="Times New Roman"/>
          <w:sz w:val="26"/>
          <w:szCs w:val="26"/>
        </w:rPr>
        <w:t>The Complainant</w:t>
      </w:r>
      <w:r w:rsidR="00DC0F85" w:rsidRPr="001745BF">
        <w:rPr>
          <w:rFonts w:ascii="Times New Roman" w:hAnsi="Times New Roman"/>
          <w:sz w:val="26"/>
          <w:szCs w:val="26"/>
        </w:rPr>
        <w:t xml:space="preserve"> </w:t>
      </w:r>
      <w:r w:rsidR="00DC0F85">
        <w:rPr>
          <w:rFonts w:ascii="Times New Roman" w:hAnsi="Times New Roman"/>
          <w:sz w:val="26"/>
          <w:szCs w:val="26"/>
        </w:rPr>
        <w:t>also</w:t>
      </w:r>
      <w:r w:rsidR="00DC0F85" w:rsidRPr="00DC0F85">
        <w:rPr>
          <w:rFonts w:ascii="Times New Roman" w:hAnsi="Times New Roman"/>
          <w:sz w:val="26"/>
          <w:szCs w:val="26"/>
        </w:rPr>
        <w:t xml:space="preserve"> alleged that PGW failed </w:t>
      </w:r>
      <w:r w:rsidR="00DC0F85">
        <w:rPr>
          <w:rFonts w:ascii="Times New Roman" w:hAnsi="Times New Roman"/>
          <w:sz w:val="26"/>
          <w:szCs w:val="26"/>
        </w:rPr>
        <w:t xml:space="preserve">to </w:t>
      </w:r>
      <w:r w:rsidR="00DC0F85" w:rsidRPr="00DC0F85">
        <w:rPr>
          <w:rFonts w:ascii="Times New Roman" w:hAnsi="Times New Roman"/>
          <w:sz w:val="26"/>
          <w:szCs w:val="26"/>
        </w:rPr>
        <w:t xml:space="preserve">shut off </w:t>
      </w:r>
      <w:r w:rsidR="001D673A">
        <w:rPr>
          <w:rFonts w:ascii="Times New Roman" w:hAnsi="Times New Roman"/>
          <w:sz w:val="26"/>
          <w:szCs w:val="26"/>
        </w:rPr>
        <w:t xml:space="preserve">her </w:t>
      </w:r>
      <w:r w:rsidR="00DC0F85">
        <w:rPr>
          <w:rFonts w:ascii="Times New Roman" w:hAnsi="Times New Roman"/>
          <w:sz w:val="26"/>
          <w:szCs w:val="26"/>
        </w:rPr>
        <w:t xml:space="preserve">service </w:t>
      </w:r>
      <w:r w:rsidR="00231D10">
        <w:rPr>
          <w:rFonts w:ascii="Times New Roman" w:hAnsi="Times New Roman"/>
          <w:sz w:val="26"/>
          <w:szCs w:val="26"/>
        </w:rPr>
        <w:t xml:space="preserve">after she moved </w:t>
      </w:r>
      <w:r w:rsidR="001D673A">
        <w:rPr>
          <w:rFonts w:ascii="Times New Roman" w:hAnsi="Times New Roman"/>
          <w:sz w:val="26"/>
          <w:szCs w:val="26"/>
        </w:rPr>
        <w:t>from</w:t>
      </w:r>
      <w:r w:rsidR="00DC0F85">
        <w:rPr>
          <w:rFonts w:ascii="Times New Roman" w:hAnsi="Times New Roman"/>
          <w:sz w:val="26"/>
          <w:szCs w:val="26"/>
        </w:rPr>
        <w:t xml:space="preserve"> </w:t>
      </w:r>
      <w:r w:rsidR="00E031FE">
        <w:rPr>
          <w:rFonts w:ascii="Times New Roman" w:hAnsi="Times New Roman"/>
          <w:sz w:val="26"/>
          <w:szCs w:val="26"/>
        </w:rPr>
        <w:t xml:space="preserve">a previous residence, </w:t>
      </w:r>
      <w:r w:rsidR="00DC0F85">
        <w:rPr>
          <w:rFonts w:ascii="Times New Roman" w:hAnsi="Times New Roman"/>
          <w:sz w:val="26"/>
          <w:szCs w:val="26"/>
        </w:rPr>
        <w:t xml:space="preserve">7039 Ardleigh Street, Philadelphia, </w:t>
      </w:r>
      <w:r w:rsidR="001D673A">
        <w:rPr>
          <w:rFonts w:ascii="Times New Roman" w:hAnsi="Times New Roman"/>
          <w:sz w:val="26"/>
          <w:szCs w:val="26"/>
        </w:rPr>
        <w:t xml:space="preserve">in the later part of 2007, </w:t>
      </w:r>
      <w:r w:rsidR="00231D10">
        <w:rPr>
          <w:rFonts w:ascii="Times New Roman" w:hAnsi="Times New Roman"/>
          <w:sz w:val="26"/>
          <w:szCs w:val="26"/>
        </w:rPr>
        <w:t>which</w:t>
      </w:r>
      <w:r w:rsidR="00DC0F85" w:rsidRPr="00DC0F85">
        <w:rPr>
          <w:rFonts w:ascii="Times New Roman" w:hAnsi="Times New Roman"/>
          <w:sz w:val="26"/>
          <w:szCs w:val="26"/>
        </w:rPr>
        <w:t xml:space="preserve"> resulted in</w:t>
      </w:r>
      <w:r w:rsidR="00DC0F85">
        <w:rPr>
          <w:rFonts w:ascii="Times New Roman" w:hAnsi="Times New Roman"/>
          <w:sz w:val="26"/>
          <w:szCs w:val="26"/>
        </w:rPr>
        <w:t xml:space="preserve"> </w:t>
      </w:r>
      <w:r w:rsidR="00DC0F85" w:rsidRPr="00DC0F85">
        <w:rPr>
          <w:rFonts w:ascii="Times New Roman" w:hAnsi="Times New Roman"/>
          <w:sz w:val="26"/>
          <w:szCs w:val="26"/>
        </w:rPr>
        <w:t xml:space="preserve">her being </w:t>
      </w:r>
      <w:r w:rsidR="00231D10">
        <w:rPr>
          <w:rFonts w:ascii="Times New Roman" w:hAnsi="Times New Roman"/>
          <w:sz w:val="26"/>
          <w:szCs w:val="26"/>
        </w:rPr>
        <w:t>billed</w:t>
      </w:r>
      <w:r w:rsidR="00DC0F85" w:rsidRPr="00DC0F85">
        <w:rPr>
          <w:rFonts w:ascii="Times New Roman" w:hAnsi="Times New Roman"/>
          <w:sz w:val="26"/>
          <w:szCs w:val="26"/>
        </w:rPr>
        <w:t xml:space="preserve"> for service</w:t>
      </w:r>
      <w:r w:rsidR="00231D10">
        <w:rPr>
          <w:rFonts w:ascii="Times New Roman" w:hAnsi="Times New Roman"/>
          <w:sz w:val="26"/>
          <w:szCs w:val="26"/>
        </w:rPr>
        <w:t xml:space="preserve"> used by “whoever purchased the property.”</w:t>
      </w:r>
      <w:r w:rsidR="00DC0F85">
        <w:rPr>
          <w:rFonts w:ascii="Times New Roman" w:hAnsi="Times New Roman"/>
          <w:sz w:val="26"/>
          <w:szCs w:val="26"/>
        </w:rPr>
        <w:t xml:space="preserve"> </w:t>
      </w:r>
      <w:r w:rsidR="00E031FE">
        <w:rPr>
          <w:rFonts w:ascii="Times New Roman" w:hAnsi="Times New Roman"/>
          <w:sz w:val="26"/>
          <w:szCs w:val="26"/>
        </w:rPr>
        <w:t xml:space="preserve"> I.D. at 1.</w:t>
      </w:r>
      <w:r w:rsidR="00DC0F85">
        <w:rPr>
          <w:rFonts w:ascii="Times New Roman" w:hAnsi="Times New Roman"/>
          <w:sz w:val="26"/>
          <w:szCs w:val="26"/>
        </w:rPr>
        <w:t xml:space="preserve">  </w:t>
      </w:r>
    </w:p>
    <w:p w:rsidR="00196123" w:rsidRDefault="00196123" w:rsidP="000730AC">
      <w:pPr>
        <w:pStyle w:val="BodyText"/>
        <w:tabs>
          <w:tab w:val="clear" w:pos="1980"/>
        </w:tabs>
        <w:spacing w:line="360" w:lineRule="auto"/>
        <w:jc w:val="left"/>
        <w:rPr>
          <w:rFonts w:ascii="Times New Roman" w:hAnsi="Times New Roman"/>
          <w:sz w:val="26"/>
          <w:szCs w:val="26"/>
        </w:rPr>
      </w:pPr>
    </w:p>
    <w:p w:rsidR="00727712" w:rsidRPr="00A55568" w:rsidRDefault="00196123" w:rsidP="000730AC">
      <w:pPr>
        <w:pStyle w:val="BodyText"/>
        <w:tabs>
          <w:tab w:val="clear" w:pos="1980"/>
        </w:tabs>
        <w:spacing w:line="360" w:lineRule="auto"/>
        <w:ind w:firstLine="720"/>
        <w:jc w:val="left"/>
        <w:rPr>
          <w:rFonts w:ascii="Times New Roman" w:hAnsi="Times New Roman"/>
          <w:sz w:val="26"/>
          <w:szCs w:val="26"/>
        </w:rPr>
      </w:pPr>
      <w:r>
        <w:rPr>
          <w:rFonts w:ascii="Times New Roman" w:hAnsi="Times New Roman"/>
          <w:sz w:val="26"/>
          <w:szCs w:val="26"/>
        </w:rPr>
        <w:tab/>
        <w:t xml:space="preserve">For </w:t>
      </w:r>
      <w:r w:rsidR="001745BF" w:rsidRPr="00A55568">
        <w:rPr>
          <w:rFonts w:ascii="Times New Roman" w:hAnsi="Times New Roman"/>
          <w:sz w:val="26"/>
          <w:szCs w:val="26"/>
        </w:rPr>
        <w:t xml:space="preserve">relief, </w:t>
      </w:r>
      <w:r w:rsidR="00704A09">
        <w:rPr>
          <w:rFonts w:ascii="Times New Roman" w:hAnsi="Times New Roman"/>
          <w:sz w:val="26"/>
          <w:szCs w:val="26"/>
        </w:rPr>
        <w:t xml:space="preserve">the </w:t>
      </w:r>
      <w:r w:rsidR="001745BF" w:rsidRPr="00A55568">
        <w:rPr>
          <w:rFonts w:ascii="Times New Roman" w:hAnsi="Times New Roman"/>
          <w:sz w:val="26"/>
          <w:szCs w:val="26"/>
        </w:rPr>
        <w:t>Complain</w:t>
      </w:r>
      <w:r w:rsidR="001745BF">
        <w:rPr>
          <w:rFonts w:ascii="Times New Roman" w:hAnsi="Times New Roman"/>
          <w:sz w:val="26"/>
          <w:szCs w:val="26"/>
        </w:rPr>
        <w:t xml:space="preserve">ant requested </w:t>
      </w:r>
      <w:r w:rsidR="00E814CC">
        <w:rPr>
          <w:rFonts w:ascii="Times New Roman" w:hAnsi="Times New Roman"/>
          <w:sz w:val="26"/>
          <w:szCs w:val="26"/>
        </w:rPr>
        <w:t xml:space="preserve">that </w:t>
      </w:r>
      <w:r w:rsidR="001745BF">
        <w:rPr>
          <w:rFonts w:ascii="Times New Roman" w:hAnsi="Times New Roman"/>
          <w:sz w:val="26"/>
          <w:szCs w:val="26"/>
        </w:rPr>
        <w:t xml:space="preserve">the Commission order PGW to </w:t>
      </w:r>
      <w:r w:rsidR="00F31B2D">
        <w:rPr>
          <w:rFonts w:ascii="Times New Roman" w:hAnsi="Times New Roman"/>
          <w:sz w:val="26"/>
          <w:szCs w:val="26"/>
        </w:rPr>
        <w:t xml:space="preserve">adjust her bill to reflect a credit for the time she was not </w:t>
      </w:r>
      <w:r w:rsidR="00704A09">
        <w:rPr>
          <w:rFonts w:ascii="Times New Roman" w:hAnsi="Times New Roman"/>
          <w:sz w:val="26"/>
          <w:szCs w:val="26"/>
        </w:rPr>
        <w:t xml:space="preserve">living </w:t>
      </w:r>
      <w:r w:rsidR="00F31B2D">
        <w:rPr>
          <w:rFonts w:ascii="Times New Roman" w:hAnsi="Times New Roman"/>
          <w:sz w:val="26"/>
          <w:szCs w:val="26"/>
        </w:rPr>
        <w:t>at the Ardleigh Street address</w:t>
      </w:r>
      <w:r w:rsidR="00E031FE">
        <w:rPr>
          <w:rFonts w:ascii="Times New Roman" w:hAnsi="Times New Roman"/>
          <w:sz w:val="26"/>
          <w:szCs w:val="26"/>
        </w:rPr>
        <w:t>,</w:t>
      </w:r>
      <w:r w:rsidR="00F31B2D">
        <w:rPr>
          <w:rFonts w:ascii="Times New Roman" w:hAnsi="Times New Roman"/>
          <w:sz w:val="26"/>
          <w:szCs w:val="26"/>
        </w:rPr>
        <w:t xml:space="preserve"> and </w:t>
      </w:r>
      <w:r w:rsidR="00704A09">
        <w:rPr>
          <w:rFonts w:ascii="Times New Roman" w:hAnsi="Times New Roman"/>
          <w:sz w:val="26"/>
          <w:szCs w:val="26"/>
        </w:rPr>
        <w:t xml:space="preserve">to enroll her </w:t>
      </w:r>
      <w:r w:rsidR="00F31B2D">
        <w:rPr>
          <w:rFonts w:ascii="Times New Roman" w:hAnsi="Times New Roman"/>
          <w:sz w:val="26"/>
          <w:szCs w:val="26"/>
        </w:rPr>
        <w:t xml:space="preserve">in PGW’s </w:t>
      </w:r>
      <w:r w:rsidR="00704A09">
        <w:rPr>
          <w:rFonts w:ascii="Times New Roman" w:hAnsi="Times New Roman"/>
          <w:sz w:val="26"/>
          <w:szCs w:val="26"/>
        </w:rPr>
        <w:t xml:space="preserve">customer assistance program known as the </w:t>
      </w:r>
      <w:r w:rsidR="00F31B2D">
        <w:rPr>
          <w:rFonts w:ascii="Times New Roman" w:hAnsi="Times New Roman"/>
          <w:sz w:val="26"/>
          <w:szCs w:val="26"/>
        </w:rPr>
        <w:t xml:space="preserve">Customer Responsibility Program </w:t>
      </w:r>
      <w:r w:rsidR="00704A09">
        <w:rPr>
          <w:rFonts w:ascii="Times New Roman" w:hAnsi="Times New Roman"/>
          <w:sz w:val="26"/>
          <w:szCs w:val="26"/>
        </w:rPr>
        <w:t>(CRP)</w:t>
      </w:r>
      <w:r w:rsidR="00F31B2D">
        <w:rPr>
          <w:rFonts w:ascii="Times New Roman" w:hAnsi="Times New Roman"/>
          <w:sz w:val="26"/>
          <w:szCs w:val="26"/>
        </w:rPr>
        <w:t>.</w:t>
      </w:r>
      <w:r w:rsidR="00391110" w:rsidRPr="001745BF">
        <w:rPr>
          <w:rFonts w:ascii="Times New Roman" w:hAnsi="Times New Roman"/>
          <w:sz w:val="26"/>
          <w:szCs w:val="26"/>
        </w:rPr>
        <w:t xml:space="preserve">  </w:t>
      </w:r>
      <w:r w:rsidR="00727712" w:rsidRPr="00A55568">
        <w:rPr>
          <w:rFonts w:ascii="Times New Roman" w:hAnsi="Times New Roman"/>
          <w:sz w:val="26"/>
          <w:szCs w:val="26"/>
        </w:rPr>
        <w:t xml:space="preserve">Complaint at </w:t>
      </w:r>
      <w:r w:rsidR="00F31B2D">
        <w:rPr>
          <w:rFonts w:ascii="Times New Roman" w:hAnsi="Times New Roman"/>
          <w:sz w:val="26"/>
          <w:szCs w:val="26"/>
        </w:rPr>
        <w:t>4-5</w:t>
      </w:r>
      <w:r w:rsidR="00704A09">
        <w:rPr>
          <w:rFonts w:ascii="Times New Roman" w:hAnsi="Times New Roman"/>
          <w:sz w:val="26"/>
          <w:szCs w:val="26"/>
        </w:rPr>
        <w:t>.</w:t>
      </w:r>
    </w:p>
    <w:p w:rsidR="00727712" w:rsidRPr="00A55568" w:rsidRDefault="00727712" w:rsidP="000730AC">
      <w:pPr>
        <w:spacing w:line="360" w:lineRule="auto"/>
        <w:rPr>
          <w:rFonts w:ascii="Times New Roman" w:hAnsi="Times New Roman"/>
          <w:sz w:val="26"/>
          <w:szCs w:val="26"/>
        </w:rPr>
      </w:pPr>
    </w:p>
    <w:p w:rsidR="008E4710" w:rsidRDefault="00727712" w:rsidP="000730AC">
      <w:pPr>
        <w:pStyle w:val="BodyText"/>
        <w:tabs>
          <w:tab w:val="clear" w:pos="1980"/>
        </w:tabs>
        <w:spacing w:line="360" w:lineRule="auto"/>
        <w:jc w:val="left"/>
        <w:rPr>
          <w:rFonts w:ascii="Times New Roman" w:hAnsi="Times New Roman"/>
          <w:sz w:val="26"/>
          <w:szCs w:val="26"/>
        </w:rPr>
      </w:pPr>
      <w:r w:rsidRPr="00A55568">
        <w:rPr>
          <w:rFonts w:ascii="Times New Roman" w:hAnsi="Times New Roman"/>
          <w:sz w:val="26"/>
          <w:szCs w:val="26"/>
        </w:rPr>
        <w:tab/>
      </w:r>
      <w:r w:rsidRPr="00A55568">
        <w:rPr>
          <w:rFonts w:ascii="Times New Roman" w:hAnsi="Times New Roman"/>
          <w:sz w:val="26"/>
          <w:szCs w:val="26"/>
        </w:rPr>
        <w:tab/>
      </w:r>
      <w:r w:rsidR="00E26EBE" w:rsidRPr="005D3788">
        <w:rPr>
          <w:rFonts w:ascii="Times New Roman" w:hAnsi="Times New Roman"/>
          <w:sz w:val="26"/>
          <w:szCs w:val="26"/>
        </w:rPr>
        <w:t xml:space="preserve">On </w:t>
      </w:r>
      <w:r w:rsidR="00F31B2D">
        <w:rPr>
          <w:rFonts w:ascii="Times New Roman" w:hAnsi="Times New Roman"/>
          <w:sz w:val="26"/>
          <w:szCs w:val="26"/>
        </w:rPr>
        <w:t>May</w:t>
      </w:r>
      <w:r w:rsidR="00E26EBE" w:rsidRPr="005D3788">
        <w:rPr>
          <w:rFonts w:ascii="Times New Roman" w:hAnsi="Times New Roman"/>
          <w:sz w:val="26"/>
          <w:szCs w:val="26"/>
        </w:rPr>
        <w:t xml:space="preserve"> 1</w:t>
      </w:r>
      <w:r w:rsidR="00F31B2D">
        <w:rPr>
          <w:rFonts w:ascii="Times New Roman" w:hAnsi="Times New Roman"/>
          <w:sz w:val="26"/>
          <w:szCs w:val="26"/>
        </w:rPr>
        <w:t>6</w:t>
      </w:r>
      <w:r w:rsidR="00E26EBE" w:rsidRPr="005D3788">
        <w:rPr>
          <w:rFonts w:ascii="Times New Roman" w:hAnsi="Times New Roman"/>
          <w:sz w:val="26"/>
          <w:szCs w:val="26"/>
        </w:rPr>
        <w:t>, 201</w:t>
      </w:r>
      <w:r w:rsidR="00F31B2D">
        <w:rPr>
          <w:rFonts w:ascii="Times New Roman" w:hAnsi="Times New Roman"/>
          <w:sz w:val="26"/>
          <w:szCs w:val="26"/>
        </w:rPr>
        <w:t>6</w:t>
      </w:r>
      <w:r w:rsidR="00E26EBE" w:rsidRPr="005D3788">
        <w:rPr>
          <w:rFonts w:ascii="Times New Roman" w:hAnsi="Times New Roman"/>
          <w:sz w:val="26"/>
          <w:szCs w:val="26"/>
        </w:rPr>
        <w:t>, PGW filed</w:t>
      </w:r>
      <w:r w:rsidR="00F31B2D">
        <w:rPr>
          <w:rFonts w:ascii="Times New Roman" w:hAnsi="Times New Roman"/>
          <w:sz w:val="26"/>
          <w:szCs w:val="26"/>
        </w:rPr>
        <w:t xml:space="preserve"> an</w:t>
      </w:r>
      <w:r w:rsidR="00E26EBE" w:rsidRPr="005D3788">
        <w:rPr>
          <w:rFonts w:ascii="Times New Roman" w:hAnsi="Times New Roman"/>
          <w:sz w:val="26"/>
          <w:szCs w:val="26"/>
        </w:rPr>
        <w:t xml:space="preserve"> </w:t>
      </w:r>
      <w:r w:rsidR="00E814CC">
        <w:rPr>
          <w:rFonts w:ascii="Times New Roman" w:hAnsi="Times New Roman"/>
          <w:sz w:val="26"/>
          <w:szCs w:val="26"/>
        </w:rPr>
        <w:t>A</w:t>
      </w:r>
      <w:r w:rsidR="00E26EBE" w:rsidRPr="005D3788">
        <w:rPr>
          <w:rFonts w:ascii="Times New Roman" w:hAnsi="Times New Roman"/>
          <w:sz w:val="26"/>
          <w:szCs w:val="26"/>
        </w:rPr>
        <w:t xml:space="preserve">nswer </w:t>
      </w:r>
      <w:r w:rsidR="00F31B2D">
        <w:rPr>
          <w:rFonts w:ascii="Times New Roman" w:hAnsi="Times New Roman"/>
          <w:sz w:val="26"/>
          <w:szCs w:val="26"/>
        </w:rPr>
        <w:t>and New Matter</w:t>
      </w:r>
      <w:r w:rsidR="00F07CEE">
        <w:rPr>
          <w:rFonts w:ascii="Times New Roman" w:hAnsi="Times New Roman"/>
          <w:sz w:val="26"/>
          <w:szCs w:val="26"/>
        </w:rPr>
        <w:t xml:space="preserve">, </w:t>
      </w:r>
      <w:r w:rsidR="00F31B2D">
        <w:rPr>
          <w:rFonts w:ascii="Times New Roman" w:hAnsi="Times New Roman"/>
          <w:sz w:val="26"/>
          <w:szCs w:val="26"/>
        </w:rPr>
        <w:t>Preliminary Objections and Motion to Strike</w:t>
      </w:r>
      <w:r w:rsidR="008B50D8">
        <w:rPr>
          <w:rFonts w:ascii="Times New Roman" w:hAnsi="Times New Roman"/>
          <w:sz w:val="26"/>
          <w:szCs w:val="26"/>
        </w:rPr>
        <w:t>,</w:t>
      </w:r>
      <w:r w:rsidR="00F31B2D">
        <w:rPr>
          <w:rFonts w:ascii="Times New Roman" w:hAnsi="Times New Roman"/>
          <w:sz w:val="26"/>
          <w:szCs w:val="26"/>
        </w:rPr>
        <w:t xml:space="preserve"> and a Motion for Summary Judgement.</w:t>
      </w:r>
      <w:r w:rsidR="00E26EBE" w:rsidRPr="005D3788">
        <w:rPr>
          <w:rFonts w:ascii="Times New Roman" w:hAnsi="Times New Roman"/>
          <w:sz w:val="26"/>
          <w:szCs w:val="26"/>
        </w:rPr>
        <w:t xml:space="preserve">  In its </w:t>
      </w:r>
      <w:r w:rsidR="00E814CC">
        <w:rPr>
          <w:rFonts w:ascii="Times New Roman" w:hAnsi="Times New Roman"/>
          <w:sz w:val="26"/>
          <w:szCs w:val="26"/>
        </w:rPr>
        <w:t>A</w:t>
      </w:r>
      <w:r w:rsidR="00E26EBE" w:rsidRPr="005D3788">
        <w:rPr>
          <w:rFonts w:ascii="Times New Roman" w:hAnsi="Times New Roman"/>
          <w:sz w:val="26"/>
          <w:szCs w:val="26"/>
        </w:rPr>
        <w:t xml:space="preserve">nswer, PGW admitted </w:t>
      </w:r>
      <w:r w:rsidR="00FD1919">
        <w:rPr>
          <w:rFonts w:ascii="Times New Roman" w:hAnsi="Times New Roman"/>
          <w:sz w:val="26"/>
          <w:szCs w:val="26"/>
        </w:rPr>
        <w:t>issuing</w:t>
      </w:r>
      <w:r w:rsidR="00E26EBE" w:rsidRPr="005D3788">
        <w:rPr>
          <w:rFonts w:ascii="Times New Roman" w:hAnsi="Times New Roman"/>
          <w:sz w:val="26"/>
          <w:szCs w:val="26"/>
        </w:rPr>
        <w:t xml:space="preserve"> </w:t>
      </w:r>
      <w:r w:rsidR="00E031FE">
        <w:rPr>
          <w:rFonts w:ascii="Times New Roman" w:hAnsi="Times New Roman"/>
          <w:sz w:val="26"/>
          <w:szCs w:val="26"/>
        </w:rPr>
        <w:t xml:space="preserve">a </w:t>
      </w:r>
      <w:r w:rsidR="00E26EBE" w:rsidRPr="005D3788">
        <w:rPr>
          <w:rFonts w:ascii="Times New Roman" w:hAnsi="Times New Roman"/>
          <w:sz w:val="26"/>
          <w:szCs w:val="26"/>
        </w:rPr>
        <w:t>terminat</w:t>
      </w:r>
      <w:r w:rsidR="00FD1919">
        <w:rPr>
          <w:rFonts w:ascii="Times New Roman" w:hAnsi="Times New Roman"/>
          <w:sz w:val="26"/>
          <w:szCs w:val="26"/>
        </w:rPr>
        <w:t>ion notice on March 28, 2016</w:t>
      </w:r>
      <w:r w:rsidR="00E031FE">
        <w:rPr>
          <w:rFonts w:ascii="Times New Roman" w:hAnsi="Times New Roman"/>
          <w:sz w:val="26"/>
          <w:szCs w:val="26"/>
        </w:rPr>
        <w:t>,</w:t>
      </w:r>
      <w:r w:rsidR="00FD1919">
        <w:rPr>
          <w:rFonts w:ascii="Times New Roman" w:hAnsi="Times New Roman"/>
          <w:sz w:val="26"/>
          <w:szCs w:val="26"/>
        </w:rPr>
        <w:t xml:space="preserve"> with a termination date to occur on or up to sixty days after April 11, 2016.  PGW also alleged </w:t>
      </w:r>
      <w:r w:rsidR="006F478A">
        <w:rPr>
          <w:rFonts w:ascii="Times New Roman" w:hAnsi="Times New Roman"/>
          <w:sz w:val="26"/>
          <w:szCs w:val="26"/>
        </w:rPr>
        <w:t>that o</w:t>
      </w:r>
      <w:r w:rsidR="00FD1919">
        <w:rPr>
          <w:rFonts w:ascii="Times New Roman" w:hAnsi="Times New Roman"/>
          <w:sz w:val="26"/>
          <w:szCs w:val="26"/>
        </w:rPr>
        <w:t xml:space="preserve">n </w:t>
      </w:r>
      <w:r w:rsidR="00F97437">
        <w:rPr>
          <w:rFonts w:ascii="Times New Roman" w:hAnsi="Times New Roman"/>
          <w:sz w:val="26"/>
          <w:szCs w:val="26"/>
        </w:rPr>
        <w:t>March</w:t>
      </w:r>
      <w:r w:rsidR="00FD1919">
        <w:rPr>
          <w:rFonts w:ascii="Times New Roman" w:hAnsi="Times New Roman"/>
          <w:sz w:val="26"/>
          <w:szCs w:val="26"/>
        </w:rPr>
        <w:t xml:space="preserve"> 28, 2008, </w:t>
      </w:r>
      <w:r w:rsidR="008E4710">
        <w:rPr>
          <w:rFonts w:ascii="Times New Roman" w:hAnsi="Times New Roman"/>
          <w:sz w:val="26"/>
          <w:szCs w:val="26"/>
        </w:rPr>
        <w:t>it</w:t>
      </w:r>
      <w:r w:rsidR="00FD1919">
        <w:rPr>
          <w:rFonts w:ascii="Times New Roman" w:hAnsi="Times New Roman"/>
          <w:sz w:val="26"/>
          <w:szCs w:val="26"/>
        </w:rPr>
        <w:t xml:space="preserve"> generated the closing bill for service at 7039 Ardleigh Street in the amount of $2,354.90</w:t>
      </w:r>
      <w:r w:rsidR="00E031FE">
        <w:rPr>
          <w:rFonts w:ascii="Times New Roman" w:hAnsi="Times New Roman"/>
          <w:sz w:val="26"/>
          <w:szCs w:val="26"/>
        </w:rPr>
        <w:t>,</w:t>
      </w:r>
      <w:r w:rsidR="006F478A">
        <w:rPr>
          <w:rFonts w:ascii="Times New Roman" w:hAnsi="Times New Roman"/>
          <w:sz w:val="26"/>
          <w:szCs w:val="26"/>
        </w:rPr>
        <w:t xml:space="preserve"> which amount remained on the Complainant account after she established new service </w:t>
      </w:r>
      <w:r w:rsidR="003E6189">
        <w:rPr>
          <w:rFonts w:ascii="Times New Roman" w:hAnsi="Times New Roman"/>
          <w:sz w:val="26"/>
          <w:szCs w:val="26"/>
        </w:rPr>
        <w:t xml:space="preserve">at another address </w:t>
      </w:r>
      <w:r w:rsidR="006F478A">
        <w:rPr>
          <w:rFonts w:ascii="Times New Roman" w:hAnsi="Times New Roman"/>
          <w:sz w:val="26"/>
          <w:szCs w:val="26"/>
        </w:rPr>
        <w:t>on</w:t>
      </w:r>
      <w:r w:rsidR="00FD1919">
        <w:rPr>
          <w:rFonts w:ascii="Times New Roman" w:hAnsi="Times New Roman"/>
          <w:sz w:val="26"/>
          <w:szCs w:val="26"/>
        </w:rPr>
        <w:t xml:space="preserve"> November 21, 2008.</w:t>
      </w:r>
      <w:r w:rsidR="00E031FE">
        <w:rPr>
          <w:rFonts w:ascii="Times New Roman" w:hAnsi="Times New Roman"/>
          <w:sz w:val="26"/>
          <w:szCs w:val="26"/>
        </w:rPr>
        <w:t xml:space="preserve">  I.D. at 2.</w:t>
      </w:r>
      <w:r w:rsidR="00FD1919">
        <w:rPr>
          <w:rFonts w:ascii="Times New Roman" w:hAnsi="Times New Roman"/>
          <w:sz w:val="26"/>
          <w:szCs w:val="26"/>
        </w:rPr>
        <w:t xml:space="preserve">  </w:t>
      </w:r>
    </w:p>
    <w:p w:rsidR="008E4710" w:rsidRDefault="008E4710" w:rsidP="000730AC">
      <w:pPr>
        <w:pStyle w:val="BodyText"/>
        <w:tabs>
          <w:tab w:val="clear" w:pos="1980"/>
        </w:tabs>
        <w:spacing w:line="360" w:lineRule="auto"/>
        <w:jc w:val="left"/>
        <w:rPr>
          <w:rFonts w:ascii="Times New Roman" w:hAnsi="Times New Roman"/>
          <w:sz w:val="26"/>
          <w:szCs w:val="26"/>
        </w:rPr>
      </w:pPr>
    </w:p>
    <w:p w:rsidR="008E4710" w:rsidRDefault="008E4710" w:rsidP="000730AC">
      <w:pPr>
        <w:pStyle w:val="BodyText"/>
        <w:tabs>
          <w:tab w:val="clear" w:pos="1980"/>
        </w:tabs>
        <w:spacing w:line="360" w:lineRule="auto"/>
        <w:ind w:firstLine="720"/>
        <w:jc w:val="left"/>
        <w:rPr>
          <w:rFonts w:ascii="Times New Roman" w:hAnsi="Times New Roman"/>
          <w:sz w:val="26"/>
          <w:szCs w:val="26"/>
        </w:rPr>
      </w:pPr>
      <w:r>
        <w:rPr>
          <w:rFonts w:ascii="Times New Roman" w:hAnsi="Times New Roman"/>
          <w:sz w:val="26"/>
          <w:szCs w:val="26"/>
        </w:rPr>
        <w:tab/>
        <w:t xml:space="preserve">In its </w:t>
      </w:r>
      <w:r w:rsidR="00E031FE">
        <w:rPr>
          <w:rFonts w:ascii="Times New Roman" w:hAnsi="Times New Roman"/>
          <w:sz w:val="26"/>
          <w:szCs w:val="26"/>
        </w:rPr>
        <w:t xml:space="preserve">New Matter and </w:t>
      </w:r>
      <w:r>
        <w:rPr>
          <w:rFonts w:ascii="Times New Roman" w:hAnsi="Times New Roman"/>
          <w:sz w:val="26"/>
          <w:szCs w:val="26"/>
        </w:rPr>
        <w:t>Preliminary Objections</w:t>
      </w:r>
      <w:r w:rsidR="00C07885">
        <w:rPr>
          <w:rFonts w:ascii="Times New Roman" w:hAnsi="Times New Roman"/>
          <w:sz w:val="26"/>
          <w:szCs w:val="26"/>
        </w:rPr>
        <w:t xml:space="preserve"> and Motion to Strike</w:t>
      </w:r>
      <w:r>
        <w:rPr>
          <w:rFonts w:ascii="Times New Roman" w:hAnsi="Times New Roman"/>
          <w:sz w:val="26"/>
          <w:szCs w:val="26"/>
        </w:rPr>
        <w:t>, PGW</w:t>
      </w:r>
      <w:r w:rsidR="004A1FA8">
        <w:rPr>
          <w:rFonts w:ascii="Times New Roman" w:hAnsi="Times New Roman"/>
          <w:sz w:val="26"/>
          <w:szCs w:val="26"/>
        </w:rPr>
        <w:t xml:space="preserve"> cite</w:t>
      </w:r>
      <w:r w:rsidR="00E031FE">
        <w:rPr>
          <w:rFonts w:ascii="Times New Roman" w:hAnsi="Times New Roman"/>
          <w:sz w:val="26"/>
          <w:szCs w:val="26"/>
        </w:rPr>
        <w:t>d</w:t>
      </w:r>
      <w:r w:rsidR="004A1FA8">
        <w:rPr>
          <w:rFonts w:ascii="Times New Roman" w:hAnsi="Times New Roman"/>
          <w:sz w:val="26"/>
          <w:szCs w:val="26"/>
        </w:rPr>
        <w:t xml:space="preserve"> to </w:t>
      </w:r>
      <w:r w:rsidR="00E031FE">
        <w:rPr>
          <w:rFonts w:ascii="Times New Roman" w:hAnsi="Times New Roman"/>
          <w:sz w:val="26"/>
          <w:szCs w:val="26"/>
        </w:rPr>
        <w:t>Section</w:t>
      </w:r>
      <w:r w:rsidR="004A1FA8">
        <w:rPr>
          <w:rFonts w:ascii="Times New Roman" w:hAnsi="Times New Roman"/>
          <w:sz w:val="26"/>
          <w:szCs w:val="26"/>
        </w:rPr>
        <w:t xml:space="preserve"> §3314</w:t>
      </w:r>
      <w:r>
        <w:rPr>
          <w:rFonts w:ascii="Times New Roman" w:hAnsi="Times New Roman"/>
          <w:sz w:val="26"/>
          <w:szCs w:val="26"/>
        </w:rPr>
        <w:t xml:space="preserve"> </w:t>
      </w:r>
      <w:r w:rsidR="00E031FE">
        <w:rPr>
          <w:rFonts w:ascii="Times New Roman" w:hAnsi="Times New Roman"/>
          <w:sz w:val="26"/>
          <w:szCs w:val="26"/>
        </w:rPr>
        <w:t>of the Code</w:t>
      </w:r>
      <w:r w:rsidR="003E6189">
        <w:rPr>
          <w:rFonts w:ascii="Times New Roman" w:hAnsi="Times New Roman"/>
          <w:sz w:val="26"/>
          <w:szCs w:val="26"/>
        </w:rPr>
        <w:t xml:space="preserve">, </w:t>
      </w:r>
      <w:r w:rsidR="004A1FA8">
        <w:rPr>
          <w:rFonts w:ascii="Times New Roman" w:hAnsi="Times New Roman"/>
          <w:sz w:val="26"/>
          <w:szCs w:val="26"/>
        </w:rPr>
        <w:t>66 Pa. C.S. §3314</w:t>
      </w:r>
      <w:r w:rsidR="003E6189">
        <w:rPr>
          <w:rFonts w:ascii="Times New Roman" w:hAnsi="Times New Roman"/>
          <w:sz w:val="26"/>
          <w:szCs w:val="26"/>
        </w:rPr>
        <w:t>,</w:t>
      </w:r>
      <w:r w:rsidR="004A1FA8">
        <w:rPr>
          <w:rFonts w:ascii="Times New Roman" w:hAnsi="Times New Roman"/>
          <w:sz w:val="26"/>
          <w:szCs w:val="26"/>
        </w:rPr>
        <w:t xml:space="preserve"> and sought dismissal of that part of the Complaint regarding the bill for gas service at 7039 Ardleigh Street, since it f</w:t>
      </w:r>
      <w:r w:rsidR="00E031FE">
        <w:rPr>
          <w:rFonts w:ascii="Times New Roman" w:hAnsi="Times New Roman"/>
          <w:sz w:val="26"/>
          <w:szCs w:val="26"/>
        </w:rPr>
        <w:t>ell</w:t>
      </w:r>
      <w:r w:rsidR="004A1FA8">
        <w:rPr>
          <w:rFonts w:ascii="Times New Roman" w:hAnsi="Times New Roman"/>
          <w:sz w:val="26"/>
          <w:szCs w:val="26"/>
        </w:rPr>
        <w:t xml:space="preserve"> outside of the statute of limitation</w:t>
      </w:r>
      <w:r w:rsidR="00E031FE">
        <w:rPr>
          <w:rFonts w:ascii="Times New Roman" w:hAnsi="Times New Roman"/>
          <w:sz w:val="26"/>
          <w:szCs w:val="26"/>
        </w:rPr>
        <w:t>s</w:t>
      </w:r>
      <w:r w:rsidR="004A1FA8">
        <w:rPr>
          <w:rFonts w:ascii="Times New Roman" w:hAnsi="Times New Roman"/>
          <w:sz w:val="26"/>
          <w:szCs w:val="26"/>
        </w:rPr>
        <w:t>.  PGW also asserted that Section 316 of the Code</w:t>
      </w:r>
      <w:r w:rsidR="003E6189">
        <w:rPr>
          <w:rFonts w:ascii="Times New Roman" w:hAnsi="Times New Roman"/>
          <w:sz w:val="26"/>
          <w:szCs w:val="26"/>
        </w:rPr>
        <w:t xml:space="preserve">, </w:t>
      </w:r>
      <w:r w:rsidR="004A1FA8">
        <w:rPr>
          <w:rFonts w:ascii="Times New Roman" w:hAnsi="Times New Roman"/>
          <w:sz w:val="26"/>
          <w:szCs w:val="26"/>
        </w:rPr>
        <w:lastRenderedPageBreak/>
        <w:t>66</w:t>
      </w:r>
      <w:r w:rsidR="00F07CEE">
        <w:rPr>
          <w:rFonts w:ascii="Times New Roman" w:hAnsi="Times New Roman"/>
          <w:sz w:val="26"/>
          <w:szCs w:val="26"/>
        </w:rPr>
        <w:t> </w:t>
      </w:r>
      <w:r w:rsidR="004A1FA8">
        <w:rPr>
          <w:rFonts w:ascii="Times New Roman" w:hAnsi="Times New Roman"/>
          <w:sz w:val="26"/>
          <w:szCs w:val="26"/>
        </w:rPr>
        <w:t>Pa. C.S. §316</w:t>
      </w:r>
      <w:r w:rsidR="003E6189">
        <w:rPr>
          <w:rFonts w:ascii="Times New Roman" w:hAnsi="Times New Roman"/>
          <w:sz w:val="26"/>
          <w:szCs w:val="26"/>
        </w:rPr>
        <w:t xml:space="preserve">, </w:t>
      </w:r>
      <w:r w:rsidR="004A1FA8">
        <w:rPr>
          <w:rFonts w:ascii="Times New Roman" w:hAnsi="Times New Roman"/>
          <w:sz w:val="26"/>
          <w:szCs w:val="26"/>
        </w:rPr>
        <w:t>precluded the Complainant from collaterally attac</w:t>
      </w:r>
      <w:r w:rsidR="0046405E">
        <w:rPr>
          <w:rFonts w:ascii="Times New Roman" w:hAnsi="Times New Roman"/>
          <w:sz w:val="26"/>
          <w:szCs w:val="26"/>
        </w:rPr>
        <w:t xml:space="preserve">king </w:t>
      </w:r>
      <w:r w:rsidR="004A1FA8">
        <w:rPr>
          <w:rFonts w:ascii="Times New Roman" w:hAnsi="Times New Roman"/>
          <w:sz w:val="26"/>
          <w:szCs w:val="26"/>
        </w:rPr>
        <w:t xml:space="preserve">the Final Order </w:t>
      </w:r>
      <w:r w:rsidR="0046405E">
        <w:rPr>
          <w:rFonts w:ascii="Times New Roman" w:hAnsi="Times New Roman"/>
          <w:sz w:val="26"/>
          <w:szCs w:val="26"/>
        </w:rPr>
        <w:t>that the C</w:t>
      </w:r>
      <w:r w:rsidR="004A1FA8">
        <w:rPr>
          <w:rFonts w:ascii="Times New Roman" w:hAnsi="Times New Roman"/>
          <w:sz w:val="26"/>
          <w:szCs w:val="26"/>
        </w:rPr>
        <w:t>ommission issue</w:t>
      </w:r>
      <w:r w:rsidR="0046405E">
        <w:rPr>
          <w:rFonts w:ascii="Times New Roman" w:hAnsi="Times New Roman"/>
          <w:sz w:val="26"/>
          <w:szCs w:val="26"/>
        </w:rPr>
        <w:t>d</w:t>
      </w:r>
      <w:r w:rsidR="004A1FA8">
        <w:rPr>
          <w:rFonts w:ascii="Times New Roman" w:hAnsi="Times New Roman"/>
          <w:sz w:val="26"/>
          <w:szCs w:val="26"/>
        </w:rPr>
        <w:t xml:space="preserve"> in </w:t>
      </w:r>
      <w:r w:rsidR="0046405E">
        <w:rPr>
          <w:rFonts w:ascii="Times New Roman" w:hAnsi="Times New Roman"/>
          <w:sz w:val="26"/>
          <w:szCs w:val="26"/>
        </w:rPr>
        <w:t xml:space="preserve">her </w:t>
      </w:r>
      <w:r w:rsidR="004A1FA8">
        <w:rPr>
          <w:rFonts w:ascii="Times New Roman" w:hAnsi="Times New Roman"/>
          <w:sz w:val="26"/>
          <w:szCs w:val="26"/>
        </w:rPr>
        <w:t xml:space="preserve">2010 complaint in which the Complainant raised the same billing and service issues </w:t>
      </w:r>
      <w:r w:rsidR="0046405E">
        <w:rPr>
          <w:rFonts w:ascii="Times New Roman" w:hAnsi="Times New Roman"/>
          <w:sz w:val="26"/>
          <w:szCs w:val="26"/>
        </w:rPr>
        <w:t xml:space="preserve">that </w:t>
      </w:r>
      <w:r w:rsidR="004A1FA8">
        <w:rPr>
          <w:rFonts w:ascii="Times New Roman" w:hAnsi="Times New Roman"/>
          <w:sz w:val="26"/>
          <w:szCs w:val="26"/>
        </w:rPr>
        <w:t xml:space="preserve">she </w:t>
      </w:r>
      <w:r w:rsidR="001265D6">
        <w:rPr>
          <w:rFonts w:ascii="Times New Roman" w:hAnsi="Times New Roman"/>
          <w:sz w:val="26"/>
          <w:szCs w:val="26"/>
        </w:rPr>
        <w:t>again raise</w:t>
      </w:r>
      <w:r w:rsidR="00F07CEE">
        <w:rPr>
          <w:rFonts w:ascii="Times New Roman" w:hAnsi="Times New Roman"/>
          <w:sz w:val="26"/>
          <w:szCs w:val="26"/>
        </w:rPr>
        <w:t>d</w:t>
      </w:r>
      <w:r w:rsidR="001265D6">
        <w:rPr>
          <w:rFonts w:ascii="Times New Roman" w:hAnsi="Times New Roman"/>
          <w:sz w:val="26"/>
          <w:szCs w:val="26"/>
        </w:rPr>
        <w:t xml:space="preserve"> in the present proceeding.</w:t>
      </w:r>
      <w:r w:rsidR="00E031FE">
        <w:rPr>
          <w:rFonts w:ascii="Times New Roman" w:hAnsi="Times New Roman"/>
          <w:sz w:val="26"/>
          <w:szCs w:val="26"/>
        </w:rPr>
        <w:t xml:space="preserve">  I.D. at</w:t>
      </w:r>
      <w:r w:rsidR="00F07CEE">
        <w:rPr>
          <w:rFonts w:ascii="Times New Roman" w:hAnsi="Times New Roman"/>
          <w:sz w:val="26"/>
          <w:szCs w:val="26"/>
        </w:rPr>
        <w:t> </w:t>
      </w:r>
      <w:r w:rsidR="00E031FE">
        <w:rPr>
          <w:rFonts w:ascii="Times New Roman" w:hAnsi="Times New Roman"/>
          <w:sz w:val="26"/>
          <w:szCs w:val="26"/>
        </w:rPr>
        <w:t>3</w:t>
      </w:r>
      <w:r w:rsidR="00F07CEE">
        <w:rPr>
          <w:rFonts w:ascii="Times New Roman" w:hAnsi="Times New Roman"/>
          <w:sz w:val="26"/>
          <w:szCs w:val="26"/>
        </w:rPr>
        <w:noBreakHyphen/>
      </w:r>
      <w:r w:rsidR="00E031FE">
        <w:rPr>
          <w:rFonts w:ascii="Times New Roman" w:hAnsi="Times New Roman"/>
          <w:sz w:val="26"/>
          <w:szCs w:val="26"/>
        </w:rPr>
        <w:t xml:space="preserve">4. </w:t>
      </w:r>
      <w:r w:rsidR="001265D6">
        <w:rPr>
          <w:rFonts w:ascii="Times New Roman" w:hAnsi="Times New Roman"/>
          <w:sz w:val="26"/>
          <w:szCs w:val="26"/>
        </w:rPr>
        <w:t xml:space="preserve"> The Complainant </w:t>
      </w:r>
      <w:r w:rsidR="00C07885">
        <w:rPr>
          <w:rFonts w:ascii="Times New Roman" w:hAnsi="Times New Roman"/>
          <w:sz w:val="26"/>
          <w:szCs w:val="26"/>
        </w:rPr>
        <w:t xml:space="preserve">did not file a </w:t>
      </w:r>
      <w:r w:rsidR="001265D6">
        <w:rPr>
          <w:rFonts w:ascii="Times New Roman" w:hAnsi="Times New Roman"/>
          <w:sz w:val="26"/>
          <w:szCs w:val="26"/>
        </w:rPr>
        <w:t>response</w:t>
      </w:r>
      <w:r w:rsidR="00E031FE">
        <w:rPr>
          <w:rFonts w:ascii="Times New Roman" w:hAnsi="Times New Roman"/>
          <w:sz w:val="26"/>
          <w:szCs w:val="26"/>
        </w:rPr>
        <w:t xml:space="preserve"> to </w:t>
      </w:r>
      <w:r w:rsidR="008B50D8">
        <w:rPr>
          <w:rFonts w:ascii="Times New Roman" w:hAnsi="Times New Roman"/>
          <w:sz w:val="26"/>
          <w:szCs w:val="26"/>
        </w:rPr>
        <w:t xml:space="preserve">PGW’s </w:t>
      </w:r>
      <w:r w:rsidR="00E031FE">
        <w:rPr>
          <w:rFonts w:ascii="Times New Roman" w:hAnsi="Times New Roman"/>
          <w:sz w:val="26"/>
          <w:szCs w:val="26"/>
        </w:rPr>
        <w:t>New Matter</w:t>
      </w:r>
      <w:r w:rsidR="0000126D">
        <w:rPr>
          <w:rFonts w:ascii="Times New Roman" w:hAnsi="Times New Roman"/>
          <w:sz w:val="26"/>
          <w:szCs w:val="26"/>
        </w:rPr>
        <w:t xml:space="preserve"> or its </w:t>
      </w:r>
      <w:r w:rsidR="00E031FE">
        <w:rPr>
          <w:rFonts w:ascii="Times New Roman" w:hAnsi="Times New Roman"/>
          <w:sz w:val="26"/>
          <w:szCs w:val="26"/>
        </w:rPr>
        <w:t xml:space="preserve">Preliminary Objections </w:t>
      </w:r>
      <w:r w:rsidR="00C07885">
        <w:rPr>
          <w:rFonts w:ascii="Times New Roman" w:hAnsi="Times New Roman"/>
          <w:sz w:val="26"/>
          <w:szCs w:val="26"/>
        </w:rPr>
        <w:t>and Motion to Strike</w:t>
      </w:r>
      <w:r w:rsidR="00F07CEE">
        <w:rPr>
          <w:rFonts w:ascii="Times New Roman" w:hAnsi="Times New Roman"/>
          <w:sz w:val="26"/>
          <w:szCs w:val="26"/>
        </w:rPr>
        <w:t>.</w:t>
      </w:r>
    </w:p>
    <w:p w:rsidR="00E031FE" w:rsidRDefault="00E031FE" w:rsidP="000730AC">
      <w:pPr>
        <w:pStyle w:val="BodyText"/>
        <w:tabs>
          <w:tab w:val="clear" w:pos="1980"/>
        </w:tabs>
        <w:spacing w:line="360" w:lineRule="auto"/>
        <w:ind w:firstLine="720"/>
        <w:jc w:val="left"/>
        <w:rPr>
          <w:rFonts w:ascii="Times New Roman" w:hAnsi="Times New Roman"/>
          <w:sz w:val="26"/>
          <w:szCs w:val="26"/>
        </w:rPr>
      </w:pPr>
    </w:p>
    <w:p w:rsidR="001265D6" w:rsidRDefault="001265D6" w:rsidP="000730AC">
      <w:pPr>
        <w:pStyle w:val="BodyText"/>
        <w:tabs>
          <w:tab w:val="clear" w:pos="1980"/>
        </w:tabs>
        <w:spacing w:line="360" w:lineRule="auto"/>
        <w:ind w:firstLine="720"/>
        <w:jc w:val="left"/>
        <w:rPr>
          <w:rFonts w:ascii="Times New Roman" w:hAnsi="Times New Roman"/>
          <w:sz w:val="26"/>
          <w:szCs w:val="26"/>
        </w:rPr>
      </w:pPr>
      <w:r>
        <w:rPr>
          <w:rFonts w:ascii="Times New Roman" w:hAnsi="Times New Roman"/>
          <w:sz w:val="26"/>
          <w:szCs w:val="26"/>
        </w:rPr>
        <w:tab/>
        <w:t xml:space="preserve">In its </w:t>
      </w:r>
      <w:r w:rsidR="008E4710">
        <w:rPr>
          <w:rFonts w:ascii="Times New Roman" w:hAnsi="Times New Roman"/>
          <w:sz w:val="26"/>
          <w:szCs w:val="26"/>
        </w:rPr>
        <w:t xml:space="preserve">Motion for Summary Judgment, PGW </w:t>
      </w:r>
      <w:r w:rsidR="00C07885">
        <w:rPr>
          <w:rFonts w:ascii="Times New Roman" w:hAnsi="Times New Roman"/>
          <w:sz w:val="26"/>
          <w:szCs w:val="26"/>
        </w:rPr>
        <w:t xml:space="preserve">repeated the material allegations of its New Matter and </w:t>
      </w:r>
      <w:r w:rsidR="008E4710">
        <w:rPr>
          <w:rFonts w:ascii="Times New Roman" w:hAnsi="Times New Roman"/>
          <w:sz w:val="26"/>
          <w:szCs w:val="26"/>
        </w:rPr>
        <w:t xml:space="preserve">argued that </w:t>
      </w:r>
      <w:r w:rsidR="0000126D">
        <w:rPr>
          <w:rFonts w:ascii="Times New Roman" w:hAnsi="Times New Roman"/>
          <w:sz w:val="26"/>
          <w:szCs w:val="26"/>
        </w:rPr>
        <w:t xml:space="preserve">the </w:t>
      </w:r>
      <w:r>
        <w:rPr>
          <w:rFonts w:ascii="Times New Roman" w:hAnsi="Times New Roman"/>
          <w:sz w:val="26"/>
          <w:szCs w:val="26"/>
        </w:rPr>
        <w:t>Complainant was estopped from raising the same allegation</w:t>
      </w:r>
      <w:r w:rsidR="00513F64">
        <w:rPr>
          <w:rFonts w:ascii="Times New Roman" w:hAnsi="Times New Roman"/>
          <w:sz w:val="26"/>
          <w:szCs w:val="26"/>
        </w:rPr>
        <w:t>s</w:t>
      </w:r>
      <w:r>
        <w:rPr>
          <w:rFonts w:ascii="Times New Roman" w:hAnsi="Times New Roman"/>
          <w:sz w:val="26"/>
          <w:szCs w:val="26"/>
        </w:rPr>
        <w:t xml:space="preserve"> she raised in 2010 </w:t>
      </w:r>
      <w:r w:rsidR="00513F64">
        <w:rPr>
          <w:rFonts w:ascii="Times New Roman" w:hAnsi="Times New Roman"/>
          <w:sz w:val="26"/>
          <w:szCs w:val="26"/>
        </w:rPr>
        <w:t xml:space="preserve">with the Commission </w:t>
      </w:r>
      <w:r>
        <w:rPr>
          <w:rFonts w:ascii="Times New Roman" w:hAnsi="Times New Roman"/>
          <w:sz w:val="26"/>
          <w:szCs w:val="26"/>
        </w:rPr>
        <w:t>at Docket No, C-2010-2152309.</w:t>
      </w:r>
      <w:r w:rsidR="00C07885">
        <w:rPr>
          <w:rFonts w:ascii="Times New Roman" w:hAnsi="Times New Roman"/>
          <w:sz w:val="26"/>
          <w:szCs w:val="26"/>
        </w:rPr>
        <w:t xml:space="preserve">  </w:t>
      </w:r>
      <w:proofErr w:type="gramStart"/>
      <w:r w:rsidR="00C07885">
        <w:rPr>
          <w:rFonts w:ascii="Times New Roman" w:hAnsi="Times New Roman"/>
          <w:sz w:val="26"/>
          <w:szCs w:val="26"/>
        </w:rPr>
        <w:t>I.D. at 4.</w:t>
      </w:r>
      <w:proofErr w:type="gramEnd"/>
      <w:r>
        <w:rPr>
          <w:rFonts w:ascii="Times New Roman" w:hAnsi="Times New Roman"/>
          <w:sz w:val="26"/>
          <w:szCs w:val="26"/>
        </w:rPr>
        <w:t xml:space="preserve">  </w:t>
      </w:r>
      <w:r w:rsidR="00513F64">
        <w:rPr>
          <w:rFonts w:ascii="Times New Roman" w:hAnsi="Times New Roman"/>
          <w:sz w:val="26"/>
          <w:szCs w:val="26"/>
        </w:rPr>
        <w:t xml:space="preserve">According to PGW, the doctrine of </w:t>
      </w:r>
      <w:r w:rsidR="00513F64" w:rsidRPr="00513F64">
        <w:rPr>
          <w:rFonts w:ascii="Times New Roman" w:hAnsi="Times New Roman"/>
          <w:i/>
          <w:sz w:val="26"/>
          <w:szCs w:val="26"/>
        </w:rPr>
        <w:t>res judicata</w:t>
      </w:r>
      <w:r w:rsidR="00513F64">
        <w:rPr>
          <w:rFonts w:ascii="Times New Roman" w:hAnsi="Times New Roman"/>
          <w:sz w:val="26"/>
          <w:szCs w:val="26"/>
        </w:rPr>
        <w:t xml:space="preserve"> applie</w:t>
      </w:r>
      <w:r w:rsidR="00C07885">
        <w:rPr>
          <w:rFonts w:ascii="Times New Roman" w:hAnsi="Times New Roman"/>
          <w:sz w:val="26"/>
          <w:szCs w:val="26"/>
        </w:rPr>
        <w:t>d</w:t>
      </w:r>
      <w:r w:rsidR="00513F64">
        <w:rPr>
          <w:rFonts w:ascii="Times New Roman" w:hAnsi="Times New Roman"/>
          <w:sz w:val="26"/>
          <w:szCs w:val="26"/>
        </w:rPr>
        <w:t xml:space="preserve"> to Complainant’s current Complaint</w:t>
      </w:r>
      <w:r w:rsidR="004F512F">
        <w:rPr>
          <w:rFonts w:ascii="Times New Roman" w:hAnsi="Times New Roman"/>
          <w:sz w:val="26"/>
          <w:szCs w:val="26"/>
        </w:rPr>
        <w:t xml:space="preserve"> and that the Complainant’s current claim </w:t>
      </w:r>
      <w:r w:rsidR="009D796A">
        <w:rPr>
          <w:rFonts w:ascii="Times New Roman" w:hAnsi="Times New Roman"/>
          <w:sz w:val="26"/>
          <w:szCs w:val="26"/>
        </w:rPr>
        <w:t>is</w:t>
      </w:r>
      <w:r w:rsidR="004F512F">
        <w:rPr>
          <w:rFonts w:ascii="Times New Roman" w:hAnsi="Times New Roman"/>
          <w:sz w:val="26"/>
          <w:szCs w:val="26"/>
        </w:rPr>
        <w:t xml:space="preserve"> therefore precluded by the 210 proceeding</w:t>
      </w:r>
      <w:r w:rsidR="00AB696F">
        <w:rPr>
          <w:rFonts w:ascii="Times New Roman" w:hAnsi="Times New Roman"/>
          <w:sz w:val="26"/>
          <w:szCs w:val="26"/>
        </w:rPr>
        <w:t xml:space="preserve">. </w:t>
      </w:r>
      <w:r w:rsidR="00C07885">
        <w:rPr>
          <w:rFonts w:ascii="Times New Roman" w:hAnsi="Times New Roman"/>
          <w:sz w:val="26"/>
          <w:szCs w:val="26"/>
        </w:rPr>
        <w:t xml:space="preserve"> </w:t>
      </w:r>
      <w:r w:rsidR="004F512F">
        <w:rPr>
          <w:rFonts w:ascii="Times New Roman" w:hAnsi="Times New Roman"/>
          <w:sz w:val="26"/>
          <w:szCs w:val="26"/>
        </w:rPr>
        <w:t xml:space="preserve">For this reason, </w:t>
      </w:r>
      <w:r w:rsidR="0000126D">
        <w:rPr>
          <w:rFonts w:ascii="Times New Roman" w:hAnsi="Times New Roman"/>
          <w:sz w:val="26"/>
          <w:szCs w:val="26"/>
        </w:rPr>
        <w:t>PGW requested that the Complaint be dismissed</w:t>
      </w:r>
      <w:r w:rsidR="004F512F">
        <w:rPr>
          <w:rFonts w:ascii="Times New Roman" w:hAnsi="Times New Roman"/>
          <w:sz w:val="26"/>
          <w:szCs w:val="26"/>
        </w:rPr>
        <w:t xml:space="preserve">. </w:t>
      </w:r>
      <w:r w:rsidR="00513F64">
        <w:rPr>
          <w:rFonts w:ascii="Times New Roman" w:hAnsi="Times New Roman"/>
          <w:sz w:val="26"/>
          <w:szCs w:val="26"/>
        </w:rPr>
        <w:t xml:space="preserve"> The Complainant filed no response to the Motion for Summary Judgment</w:t>
      </w:r>
      <w:r w:rsidR="00C07885">
        <w:rPr>
          <w:rFonts w:ascii="Times New Roman" w:hAnsi="Times New Roman"/>
          <w:sz w:val="26"/>
          <w:szCs w:val="26"/>
        </w:rPr>
        <w:t>.  I.D. at 4-5.</w:t>
      </w:r>
    </w:p>
    <w:p w:rsidR="001265D6" w:rsidRDefault="001265D6" w:rsidP="000730AC">
      <w:pPr>
        <w:pStyle w:val="BodyText"/>
        <w:tabs>
          <w:tab w:val="clear" w:pos="1980"/>
        </w:tabs>
        <w:spacing w:line="360" w:lineRule="auto"/>
        <w:ind w:firstLine="720"/>
        <w:jc w:val="left"/>
        <w:rPr>
          <w:rFonts w:ascii="Times New Roman" w:hAnsi="Times New Roman"/>
          <w:sz w:val="26"/>
          <w:szCs w:val="26"/>
        </w:rPr>
      </w:pPr>
    </w:p>
    <w:p w:rsidR="006F478A" w:rsidRDefault="00005B51" w:rsidP="000730AC">
      <w:pPr>
        <w:tabs>
          <w:tab w:val="left" w:pos="0"/>
        </w:tabs>
        <w:spacing w:line="360" w:lineRule="auto"/>
        <w:rPr>
          <w:rFonts w:ascii="Times New Roman" w:eastAsia="Times New Roman" w:hAnsi="Times New Roman"/>
          <w:sz w:val="26"/>
          <w:szCs w:val="26"/>
        </w:rPr>
      </w:pPr>
      <w:r>
        <w:rPr>
          <w:rFonts w:ascii="Times New Roman" w:eastAsia="Times New Roman" w:hAnsi="Times New Roman"/>
          <w:sz w:val="26"/>
          <w:szCs w:val="26"/>
        </w:rPr>
        <w:tab/>
      </w:r>
      <w:r>
        <w:rPr>
          <w:rFonts w:ascii="Times New Roman" w:eastAsia="Times New Roman" w:hAnsi="Times New Roman"/>
          <w:sz w:val="26"/>
          <w:szCs w:val="26"/>
        </w:rPr>
        <w:tab/>
      </w:r>
      <w:r w:rsidR="00C07885">
        <w:rPr>
          <w:rFonts w:ascii="Times New Roman" w:eastAsia="Times New Roman" w:hAnsi="Times New Roman"/>
          <w:sz w:val="26"/>
          <w:szCs w:val="26"/>
        </w:rPr>
        <w:t xml:space="preserve">The Preliminary Objections </w:t>
      </w:r>
      <w:r w:rsidR="004F512F">
        <w:rPr>
          <w:rFonts w:ascii="Times New Roman" w:eastAsia="Times New Roman" w:hAnsi="Times New Roman"/>
          <w:sz w:val="26"/>
          <w:szCs w:val="26"/>
        </w:rPr>
        <w:t xml:space="preserve">and Motion to Strike, </w:t>
      </w:r>
      <w:r w:rsidR="00C07885">
        <w:rPr>
          <w:rFonts w:ascii="Times New Roman" w:eastAsia="Times New Roman" w:hAnsi="Times New Roman"/>
          <w:sz w:val="26"/>
          <w:szCs w:val="26"/>
        </w:rPr>
        <w:t xml:space="preserve">and Motion for Summary Judgment were assigned to ALJ Johnson for ruling.  </w:t>
      </w:r>
      <w:r w:rsidR="001E49B0">
        <w:rPr>
          <w:rFonts w:ascii="Times New Roman" w:eastAsia="Times New Roman" w:hAnsi="Times New Roman"/>
          <w:sz w:val="26"/>
          <w:szCs w:val="26"/>
        </w:rPr>
        <w:t>In his F</w:t>
      </w:r>
      <w:r w:rsidR="005D0965">
        <w:rPr>
          <w:rFonts w:ascii="Times New Roman" w:eastAsia="Times New Roman" w:hAnsi="Times New Roman"/>
          <w:sz w:val="26"/>
          <w:szCs w:val="26"/>
        </w:rPr>
        <w:t xml:space="preserve">irst Interim Order </w:t>
      </w:r>
      <w:r w:rsidR="005D0965" w:rsidRPr="005D0965">
        <w:rPr>
          <w:rFonts w:ascii="Times New Roman" w:eastAsia="Times New Roman" w:hAnsi="Times New Roman"/>
          <w:sz w:val="26"/>
          <w:szCs w:val="26"/>
        </w:rPr>
        <w:t xml:space="preserve">issued </w:t>
      </w:r>
      <w:r w:rsidR="005D0965">
        <w:rPr>
          <w:rFonts w:ascii="Times New Roman" w:eastAsia="Times New Roman" w:hAnsi="Times New Roman"/>
          <w:sz w:val="26"/>
          <w:szCs w:val="26"/>
        </w:rPr>
        <w:t>July</w:t>
      </w:r>
      <w:r w:rsidR="009D796A">
        <w:rPr>
          <w:rFonts w:ascii="Times New Roman" w:eastAsia="Times New Roman" w:hAnsi="Times New Roman"/>
          <w:sz w:val="26"/>
          <w:szCs w:val="26"/>
        </w:rPr>
        <w:t> </w:t>
      </w:r>
      <w:r w:rsidR="005D0965">
        <w:rPr>
          <w:rFonts w:ascii="Times New Roman" w:eastAsia="Times New Roman" w:hAnsi="Times New Roman"/>
          <w:sz w:val="26"/>
          <w:szCs w:val="26"/>
        </w:rPr>
        <w:t>20, 2016</w:t>
      </w:r>
      <w:r w:rsidR="005D0965" w:rsidRPr="005D0965">
        <w:rPr>
          <w:rFonts w:ascii="Times New Roman" w:eastAsia="Times New Roman" w:hAnsi="Times New Roman"/>
          <w:sz w:val="26"/>
          <w:szCs w:val="26"/>
        </w:rPr>
        <w:t xml:space="preserve">, ALJ Johnson </w:t>
      </w:r>
      <w:r w:rsidR="008E4710">
        <w:rPr>
          <w:rFonts w:ascii="Times New Roman" w:eastAsia="Times New Roman" w:hAnsi="Times New Roman"/>
          <w:sz w:val="26"/>
          <w:szCs w:val="26"/>
        </w:rPr>
        <w:t>sustained</w:t>
      </w:r>
      <w:r w:rsidR="005D0965" w:rsidRPr="005D0965">
        <w:rPr>
          <w:rFonts w:ascii="Times New Roman" w:eastAsia="Times New Roman" w:hAnsi="Times New Roman"/>
          <w:sz w:val="26"/>
          <w:szCs w:val="26"/>
        </w:rPr>
        <w:t xml:space="preserve"> </w:t>
      </w:r>
      <w:r w:rsidR="005D0965">
        <w:rPr>
          <w:rFonts w:ascii="Times New Roman" w:eastAsia="Times New Roman" w:hAnsi="Times New Roman"/>
          <w:sz w:val="26"/>
          <w:szCs w:val="26"/>
        </w:rPr>
        <w:t xml:space="preserve">that part of </w:t>
      </w:r>
      <w:r w:rsidR="005D0965" w:rsidRPr="005D0965">
        <w:rPr>
          <w:rFonts w:ascii="Times New Roman" w:eastAsia="Times New Roman" w:hAnsi="Times New Roman"/>
          <w:sz w:val="26"/>
          <w:szCs w:val="26"/>
        </w:rPr>
        <w:t xml:space="preserve">PGW’s </w:t>
      </w:r>
      <w:r w:rsidR="001E49B0">
        <w:rPr>
          <w:rFonts w:ascii="Times New Roman" w:eastAsia="Times New Roman" w:hAnsi="Times New Roman"/>
          <w:sz w:val="26"/>
          <w:szCs w:val="26"/>
        </w:rPr>
        <w:t xml:space="preserve">Preliminary Objections </w:t>
      </w:r>
      <w:r w:rsidR="005D0965">
        <w:rPr>
          <w:rFonts w:ascii="Times New Roman" w:eastAsia="Times New Roman" w:hAnsi="Times New Roman"/>
          <w:sz w:val="26"/>
          <w:szCs w:val="26"/>
        </w:rPr>
        <w:t>pertaining to the Complainant’s billing charges dating back to 2007 on the basis that</w:t>
      </w:r>
      <w:r w:rsidR="001E49B0">
        <w:rPr>
          <w:rFonts w:ascii="Times New Roman" w:eastAsia="Times New Roman" w:hAnsi="Times New Roman"/>
          <w:sz w:val="26"/>
          <w:szCs w:val="26"/>
        </w:rPr>
        <w:t xml:space="preserve"> the</w:t>
      </w:r>
      <w:r w:rsidR="005D0965">
        <w:rPr>
          <w:rFonts w:ascii="Times New Roman" w:eastAsia="Times New Roman" w:hAnsi="Times New Roman"/>
          <w:sz w:val="26"/>
          <w:szCs w:val="26"/>
        </w:rPr>
        <w:t xml:space="preserve"> </w:t>
      </w:r>
      <w:r w:rsidR="009B678E">
        <w:rPr>
          <w:rFonts w:ascii="Times New Roman" w:eastAsia="Times New Roman" w:hAnsi="Times New Roman"/>
          <w:sz w:val="26"/>
          <w:szCs w:val="26"/>
        </w:rPr>
        <w:t>3</w:t>
      </w:r>
      <w:r w:rsidR="001E49B0">
        <w:rPr>
          <w:rFonts w:ascii="Times New Roman" w:eastAsia="Times New Roman" w:hAnsi="Times New Roman"/>
          <w:sz w:val="26"/>
          <w:szCs w:val="26"/>
        </w:rPr>
        <w:noBreakHyphen/>
      </w:r>
      <w:r w:rsidR="005D0965">
        <w:rPr>
          <w:rFonts w:ascii="Times New Roman" w:eastAsia="Times New Roman" w:hAnsi="Times New Roman"/>
          <w:sz w:val="26"/>
          <w:szCs w:val="26"/>
        </w:rPr>
        <w:t>year statute of limitation</w:t>
      </w:r>
      <w:r w:rsidR="009B678E">
        <w:rPr>
          <w:rFonts w:ascii="Times New Roman" w:eastAsia="Times New Roman" w:hAnsi="Times New Roman"/>
          <w:sz w:val="26"/>
          <w:szCs w:val="26"/>
        </w:rPr>
        <w:t xml:space="preserve"> </w:t>
      </w:r>
      <w:r w:rsidR="008E4710">
        <w:rPr>
          <w:rFonts w:ascii="Times New Roman" w:eastAsia="Times New Roman" w:hAnsi="Times New Roman"/>
          <w:sz w:val="26"/>
          <w:szCs w:val="26"/>
        </w:rPr>
        <w:t>ha</w:t>
      </w:r>
      <w:r w:rsidR="001D673A">
        <w:rPr>
          <w:rFonts w:ascii="Times New Roman" w:eastAsia="Times New Roman" w:hAnsi="Times New Roman"/>
          <w:sz w:val="26"/>
          <w:szCs w:val="26"/>
        </w:rPr>
        <w:t>d</w:t>
      </w:r>
      <w:r w:rsidR="008E4710">
        <w:rPr>
          <w:rFonts w:ascii="Times New Roman" w:eastAsia="Times New Roman" w:hAnsi="Times New Roman"/>
          <w:sz w:val="26"/>
          <w:szCs w:val="26"/>
        </w:rPr>
        <w:t xml:space="preserve"> run</w:t>
      </w:r>
      <w:r w:rsidR="005D0965" w:rsidRPr="005D0965">
        <w:rPr>
          <w:rFonts w:ascii="Times New Roman" w:eastAsia="Times New Roman" w:hAnsi="Times New Roman"/>
          <w:sz w:val="26"/>
          <w:szCs w:val="26"/>
        </w:rPr>
        <w:t xml:space="preserve">.  I.D. at </w:t>
      </w:r>
      <w:r w:rsidR="009B678E">
        <w:rPr>
          <w:rFonts w:ascii="Times New Roman" w:eastAsia="Times New Roman" w:hAnsi="Times New Roman"/>
          <w:sz w:val="26"/>
          <w:szCs w:val="26"/>
        </w:rPr>
        <w:t>5-9</w:t>
      </w:r>
      <w:r w:rsidR="005D0965" w:rsidRPr="005D0965">
        <w:rPr>
          <w:rFonts w:ascii="Times New Roman" w:eastAsia="Times New Roman" w:hAnsi="Times New Roman"/>
          <w:sz w:val="26"/>
          <w:szCs w:val="26"/>
        </w:rPr>
        <w:t xml:space="preserve">.  </w:t>
      </w:r>
      <w:r w:rsidR="00513F64">
        <w:rPr>
          <w:rFonts w:ascii="Times New Roman" w:eastAsia="Times New Roman" w:hAnsi="Times New Roman"/>
          <w:sz w:val="26"/>
          <w:szCs w:val="26"/>
        </w:rPr>
        <w:t>The ALJ</w:t>
      </w:r>
      <w:r w:rsidR="001E49B0">
        <w:rPr>
          <w:rFonts w:ascii="Times New Roman" w:eastAsia="Times New Roman" w:hAnsi="Times New Roman"/>
          <w:sz w:val="26"/>
          <w:szCs w:val="26"/>
        </w:rPr>
        <w:t xml:space="preserve">’s First Interim Order also </w:t>
      </w:r>
      <w:r w:rsidR="00513F64">
        <w:rPr>
          <w:rFonts w:ascii="Times New Roman" w:eastAsia="Times New Roman" w:hAnsi="Times New Roman"/>
          <w:sz w:val="26"/>
          <w:szCs w:val="26"/>
        </w:rPr>
        <w:t>denied PGW</w:t>
      </w:r>
      <w:r>
        <w:rPr>
          <w:rFonts w:ascii="Times New Roman" w:eastAsia="Times New Roman" w:hAnsi="Times New Roman"/>
          <w:sz w:val="26"/>
          <w:szCs w:val="26"/>
        </w:rPr>
        <w:t xml:space="preserve">’s </w:t>
      </w:r>
      <w:r w:rsidR="00513F64">
        <w:rPr>
          <w:rFonts w:ascii="Times New Roman" w:eastAsia="Times New Roman" w:hAnsi="Times New Roman"/>
          <w:sz w:val="26"/>
          <w:szCs w:val="26"/>
        </w:rPr>
        <w:t xml:space="preserve">Motion for Summary Judgment </w:t>
      </w:r>
      <w:r w:rsidR="001E49B0">
        <w:rPr>
          <w:rFonts w:ascii="Times New Roman" w:eastAsia="Times New Roman" w:hAnsi="Times New Roman"/>
          <w:sz w:val="26"/>
          <w:szCs w:val="26"/>
        </w:rPr>
        <w:t>because</w:t>
      </w:r>
      <w:r w:rsidR="00513F64">
        <w:rPr>
          <w:rFonts w:ascii="Times New Roman" w:eastAsia="Times New Roman" w:hAnsi="Times New Roman"/>
          <w:sz w:val="26"/>
          <w:szCs w:val="26"/>
        </w:rPr>
        <w:t xml:space="preserve"> </w:t>
      </w:r>
      <w:r w:rsidR="00926B8F">
        <w:rPr>
          <w:rFonts w:ascii="Times New Roman" w:eastAsia="Times New Roman" w:hAnsi="Times New Roman"/>
          <w:sz w:val="26"/>
          <w:szCs w:val="26"/>
        </w:rPr>
        <w:t xml:space="preserve">the Complaint contained genuine issues </w:t>
      </w:r>
      <w:r w:rsidR="00C07885">
        <w:rPr>
          <w:rFonts w:ascii="Times New Roman" w:eastAsia="Times New Roman" w:hAnsi="Times New Roman"/>
          <w:sz w:val="26"/>
          <w:szCs w:val="26"/>
        </w:rPr>
        <w:t xml:space="preserve">of material fact </w:t>
      </w:r>
      <w:r w:rsidR="00513F64">
        <w:rPr>
          <w:rFonts w:ascii="Times New Roman" w:eastAsia="Times New Roman" w:hAnsi="Times New Roman"/>
          <w:sz w:val="26"/>
          <w:szCs w:val="26"/>
        </w:rPr>
        <w:t xml:space="preserve">relevant to </w:t>
      </w:r>
      <w:r w:rsidR="001E49B0">
        <w:rPr>
          <w:rFonts w:ascii="Times New Roman" w:eastAsia="Times New Roman" w:hAnsi="Times New Roman"/>
          <w:sz w:val="26"/>
          <w:szCs w:val="26"/>
        </w:rPr>
        <w:t xml:space="preserve">the </w:t>
      </w:r>
      <w:r w:rsidR="001D673A">
        <w:rPr>
          <w:rFonts w:ascii="Times New Roman" w:eastAsia="Times New Roman" w:hAnsi="Times New Roman"/>
          <w:sz w:val="26"/>
          <w:szCs w:val="26"/>
        </w:rPr>
        <w:t>Complainant’s</w:t>
      </w:r>
      <w:r w:rsidR="00513F64">
        <w:rPr>
          <w:rFonts w:ascii="Times New Roman" w:eastAsia="Times New Roman" w:hAnsi="Times New Roman"/>
          <w:sz w:val="26"/>
          <w:szCs w:val="26"/>
        </w:rPr>
        <w:t xml:space="preserve"> service address.</w:t>
      </w:r>
      <w:r w:rsidR="006F478A">
        <w:rPr>
          <w:rFonts w:ascii="Times New Roman" w:eastAsia="Times New Roman" w:hAnsi="Times New Roman"/>
          <w:sz w:val="26"/>
          <w:szCs w:val="26"/>
        </w:rPr>
        <w:t xml:space="preserve"> </w:t>
      </w:r>
      <w:r w:rsidR="00926B8F">
        <w:rPr>
          <w:rFonts w:ascii="Times New Roman" w:eastAsia="Times New Roman" w:hAnsi="Times New Roman"/>
          <w:sz w:val="26"/>
          <w:szCs w:val="26"/>
        </w:rPr>
        <w:t xml:space="preserve"> </w:t>
      </w:r>
      <w:proofErr w:type="gramStart"/>
      <w:r w:rsidR="00926B8F">
        <w:rPr>
          <w:rFonts w:ascii="Times New Roman" w:eastAsia="Times New Roman" w:hAnsi="Times New Roman"/>
          <w:sz w:val="26"/>
          <w:szCs w:val="26"/>
        </w:rPr>
        <w:t>I.D. at 5.</w:t>
      </w:r>
      <w:proofErr w:type="gramEnd"/>
    </w:p>
    <w:p w:rsidR="006F478A" w:rsidRDefault="006F478A" w:rsidP="000730AC">
      <w:pPr>
        <w:tabs>
          <w:tab w:val="left" w:pos="0"/>
        </w:tabs>
        <w:spacing w:line="360" w:lineRule="auto"/>
        <w:rPr>
          <w:rFonts w:ascii="Times New Roman" w:eastAsia="Times New Roman" w:hAnsi="Times New Roman"/>
          <w:sz w:val="26"/>
          <w:szCs w:val="26"/>
        </w:rPr>
      </w:pPr>
    </w:p>
    <w:p w:rsidR="002F476C" w:rsidRPr="002F476C" w:rsidRDefault="00D3057F" w:rsidP="000730AC">
      <w:pPr>
        <w:tabs>
          <w:tab w:val="left" w:pos="0"/>
        </w:tabs>
        <w:spacing w:line="360" w:lineRule="auto"/>
        <w:rPr>
          <w:rFonts w:ascii="Times New Roman" w:eastAsia="Times New Roman" w:hAnsi="Times New Roman"/>
          <w:sz w:val="26"/>
          <w:szCs w:val="26"/>
        </w:rPr>
      </w:pPr>
      <w:r>
        <w:rPr>
          <w:rFonts w:ascii="Times New Roman" w:eastAsia="Times New Roman" w:hAnsi="Times New Roman"/>
          <w:sz w:val="26"/>
          <w:szCs w:val="26"/>
        </w:rPr>
        <w:tab/>
      </w:r>
      <w:r>
        <w:rPr>
          <w:rFonts w:ascii="Times New Roman" w:eastAsia="Times New Roman" w:hAnsi="Times New Roman"/>
          <w:sz w:val="26"/>
          <w:szCs w:val="26"/>
        </w:rPr>
        <w:tab/>
      </w:r>
      <w:r w:rsidR="001D673A">
        <w:rPr>
          <w:rFonts w:ascii="Times New Roman" w:eastAsia="Times New Roman" w:hAnsi="Times New Roman"/>
          <w:sz w:val="26"/>
          <w:szCs w:val="26"/>
        </w:rPr>
        <w:t>O</w:t>
      </w:r>
      <w:r w:rsidR="001D673A" w:rsidRPr="002F476C">
        <w:rPr>
          <w:rFonts w:ascii="Times New Roman" w:eastAsia="Times New Roman" w:hAnsi="Times New Roman"/>
          <w:sz w:val="26"/>
          <w:szCs w:val="26"/>
        </w:rPr>
        <w:t xml:space="preserve">n </w:t>
      </w:r>
      <w:r w:rsidR="001D673A">
        <w:rPr>
          <w:rFonts w:ascii="Times New Roman" w:eastAsia="Times New Roman" w:hAnsi="Times New Roman"/>
          <w:sz w:val="26"/>
          <w:szCs w:val="26"/>
        </w:rPr>
        <w:t xml:space="preserve">September 9, 2016, a telephonic </w:t>
      </w:r>
      <w:r w:rsidR="001D673A" w:rsidRPr="002F476C">
        <w:rPr>
          <w:rFonts w:ascii="Times New Roman" w:eastAsia="Times New Roman" w:hAnsi="Times New Roman"/>
          <w:sz w:val="26"/>
          <w:szCs w:val="26"/>
        </w:rPr>
        <w:t xml:space="preserve">hearing </w:t>
      </w:r>
      <w:r w:rsidR="001D673A">
        <w:rPr>
          <w:rFonts w:ascii="Times New Roman" w:eastAsia="Times New Roman" w:hAnsi="Times New Roman"/>
          <w:sz w:val="26"/>
          <w:szCs w:val="26"/>
        </w:rPr>
        <w:t xml:space="preserve">was </w:t>
      </w:r>
      <w:r w:rsidR="001A12D8">
        <w:rPr>
          <w:rFonts w:ascii="Times New Roman" w:eastAsia="Times New Roman" w:hAnsi="Times New Roman"/>
          <w:sz w:val="26"/>
          <w:szCs w:val="26"/>
        </w:rPr>
        <w:t xml:space="preserve">convened before </w:t>
      </w:r>
      <w:r w:rsidR="00502AE9">
        <w:rPr>
          <w:rFonts w:ascii="Times New Roman" w:eastAsia="Times New Roman" w:hAnsi="Times New Roman"/>
          <w:sz w:val="26"/>
          <w:szCs w:val="26"/>
        </w:rPr>
        <w:t xml:space="preserve">ALJ </w:t>
      </w:r>
      <w:r w:rsidR="00F23A54">
        <w:rPr>
          <w:rFonts w:ascii="Times New Roman" w:eastAsia="Times New Roman" w:hAnsi="Times New Roman"/>
          <w:sz w:val="26"/>
          <w:szCs w:val="26"/>
        </w:rPr>
        <w:t>Johnson</w:t>
      </w:r>
      <w:r w:rsidR="00502AE9">
        <w:rPr>
          <w:rFonts w:ascii="Times New Roman" w:eastAsia="Times New Roman" w:hAnsi="Times New Roman"/>
          <w:sz w:val="26"/>
          <w:szCs w:val="26"/>
        </w:rPr>
        <w:t>.</w:t>
      </w:r>
      <w:r w:rsidR="002F476C" w:rsidRPr="002F476C">
        <w:rPr>
          <w:rFonts w:ascii="Times New Roman" w:eastAsia="Times New Roman" w:hAnsi="Times New Roman"/>
          <w:sz w:val="26"/>
          <w:szCs w:val="26"/>
        </w:rPr>
        <w:t xml:space="preserve">  The Complainant appear</w:t>
      </w:r>
      <w:r w:rsidR="00926B8F">
        <w:rPr>
          <w:rFonts w:ascii="Times New Roman" w:eastAsia="Times New Roman" w:hAnsi="Times New Roman"/>
          <w:sz w:val="26"/>
          <w:szCs w:val="26"/>
        </w:rPr>
        <w:t xml:space="preserve">ed </w:t>
      </w:r>
      <w:r w:rsidR="00C07885">
        <w:rPr>
          <w:rFonts w:ascii="Times New Roman" w:eastAsia="Times New Roman" w:hAnsi="Times New Roman"/>
          <w:i/>
          <w:sz w:val="26"/>
          <w:szCs w:val="26"/>
        </w:rPr>
        <w:t>p</w:t>
      </w:r>
      <w:r w:rsidR="00926B8F" w:rsidRPr="00986F90">
        <w:rPr>
          <w:rFonts w:ascii="Times New Roman" w:eastAsia="Times New Roman" w:hAnsi="Times New Roman"/>
          <w:i/>
          <w:sz w:val="26"/>
          <w:szCs w:val="26"/>
        </w:rPr>
        <w:t>ro se</w:t>
      </w:r>
      <w:r w:rsidR="00926B8F">
        <w:rPr>
          <w:rFonts w:ascii="Times New Roman" w:eastAsia="Times New Roman" w:hAnsi="Times New Roman"/>
          <w:sz w:val="26"/>
          <w:szCs w:val="26"/>
        </w:rPr>
        <w:t xml:space="preserve"> and testified on </w:t>
      </w:r>
      <w:r w:rsidR="00F23A54">
        <w:rPr>
          <w:rFonts w:ascii="Times New Roman" w:eastAsia="Times New Roman" w:hAnsi="Times New Roman"/>
          <w:sz w:val="26"/>
          <w:szCs w:val="26"/>
        </w:rPr>
        <w:t xml:space="preserve">her own </w:t>
      </w:r>
      <w:r w:rsidR="00926B8F">
        <w:rPr>
          <w:rFonts w:ascii="Times New Roman" w:eastAsia="Times New Roman" w:hAnsi="Times New Roman"/>
          <w:sz w:val="26"/>
          <w:szCs w:val="26"/>
        </w:rPr>
        <w:t>behalf</w:t>
      </w:r>
      <w:r w:rsidR="002F476C" w:rsidRPr="002F476C">
        <w:rPr>
          <w:rFonts w:ascii="Times New Roman" w:eastAsia="Times New Roman" w:hAnsi="Times New Roman"/>
          <w:sz w:val="26"/>
          <w:szCs w:val="26"/>
        </w:rPr>
        <w:t xml:space="preserve">.  </w:t>
      </w:r>
      <w:r w:rsidR="0065414F">
        <w:rPr>
          <w:rFonts w:ascii="Times New Roman" w:eastAsia="Times New Roman" w:hAnsi="Times New Roman"/>
          <w:sz w:val="26"/>
          <w:szCs w:val="26"/>
        </w:rPr>
        <w:t xml:space="preserve">During the hearing, the Complainant clarified that </w:t>
      </w:r>
      <w:r w:rsidR="002234A9">
        <w:rPr>
          <w:rFonts w:ascii="Times New Roman" w:eastAsia="Times New Roman" w:hAnsi="Times New Roman"/>
          <w:sz w:val="26"/>
          <w:szCs w:val="26"/>
        </w:rPr>
        <w:t>with her</w:t>
      </w:r>
      <w:r w:rsidR="0065414F">
        <w:rPr>
          <w:rFonts w:ascii="Times New Roman" w:eastAsia="Times New Roman" w:hAnsi="Times New Roman"/>
          <w:sz w:val="26"/>
          <w:szCs w:val="26"/>
        </w:rPr>
        <w:t xml:space="preserve"> request</w:t>
      </w:r>
      <w:r w:rsidR="002234A9">
        <w:rPr>
          <w:rFonts w:ascii="Times New Roman" w:eastAsia="Times New Roman" w:hAnsi="Times New Roman"/>
          <w:sz w:val="26"/>
          <w:szCs w:val="26"/>
        </w:rPr>
        <w:t xml:space="preserve"> for</w:t>
      </w:r>
      <w:r w:rsidR="0065414F">
        <w:rPr>
          <w:rFonts w:ascii="Times New Roman" w:eastAsia="Times New Roman" w:hAnsi="Times New Roman"/>
          <w:sz w:val="26"/>
          <w:szCs w:val="26"/>
        </w:rPr>
        <w:t xml:space="preserve"> reinstatement into PGW’s CRP she was also seeking a Commission-ordered payment arrangement.  </w:t>
      </w:r>
      <w:proofErr w:type="gramStart"/>
      <w:r w:rsidR="002234A9">
        <w:rPr>
          <w:rFonts w:ascii="Times New Roman" w:eastAsia="Times New Roman" w:hAnsi="Times New Roman"/>
          <w:sz w:val="26"/>
          <w:szCs w:val="26"/>
        </w:rPr>
        <w:t>I.D. at 12.</w:t>
      </w:r>
      <w:proofErr w:type="gramEnd"/>
      <w:r w:rsidR="002234A9">
        <w:rPr>
          <w:rFonts w:ascii="Times New Roman" w:eastAsia="Times New Roman" w:hAnsi="Times New Roman"/>
          <w:sz w:val="26"/>
          <w:szCs w:val="26"/>
        </w:rPr>
        <w:t xml:space="preserve">  </w:t>
      </w:r>
      <w:r w:rsidR="002B16F0">
        <w:rPr>
          <w:rFonts w:ascii="Times New Roman" w:eastAsia="Times New Roman" w:hAnsi="Times New Roman"/>
          <w:sz w:val="26"/>
          <w:szCs w:val="26"/>
        </w:rPr>
        <w:t>PGW was represented by</w:t>
      </w:r>
      <w:r w:rsidR="00F23A54">
        <w:rPr>
          <w:rFonts w:ascii="Times New Roman" w:eastAsia="Times New Roman" w:hAnsi="Times New Roman"/>
          <w:sz w:val="26"/>
          <w:szCs w:val="26"/>
        </w:rPr>
        <w:t xml:space="preserve"> its counsel</w:t>
      </w:r>
      <w:r w:rsidR="002F476C" w:rsidRPr="002F476C">
        <w:rPr>
          <w:rFonts w:ascii="Times New Roman" w:eastAsia="Times New Roman" w:hAnsi="Times New Roman"/>
          <w:sz w:val="26"/>
          <w:szCs w:val="26"/>
        </w:rPr>
        <w:t xml:space="preserve">, </w:t>
      </w:r>
      <w:r w:rsidR="001A12D8">
        <w:rPr>
          <w:rFonts w:ascii="Times New Roman" w:eastAsia="Times New Roman" w:hAnsi="Times New Roman"/>
          <w:sz w:val="26"/>
          <w:szCs w:val="26"/>
        </w:rPr>
        <w:t>presented the testimony of o</w:t>
      </w:r>
      <w:r w:rsidR="00F23A54">
        <w:rPr>
          <w:rFonts w:ascii="Times New Roman" w:eastAsia="Times New Roman" w:hAnsi="Times New Roman"/>
          <w:sz w:val="26"/>
          <w:szCs w:val="26"/>
        </w:rPr>
        <w:t>ne witness</w:t>
      </w:r>
      <w:r w:rsidR="001A12D8">
        <w:rPr>
          <w:rFonts w:ascii="Times New Roman" w:eastAsia="Times New Roman" w:hAnsi="Times New Roman"/>
          <w:sz w:val="26"/>
          <w:szCs w:val="26"/>
        </w:rPr>
        <w:t>, Jessica Glace,</w:t>
      </w:r>
      <w:r w:rsidR="002F476C" w:rsidRPr="002F476C">
        <w:rPr>
          <w:rFonts w:ascii="Times New Roman" w:eastAsia="Times New Roman" w:hAnsi="Times New Roman"/>
          <w:sz w:val="26"/>
          <w:szCs w:val="26"/>
        </w:rPr>
        <w:t xml:space="preserve"> </w:t>
      </w:r>
      <w:r w:rsidR="00F23A54">
        <w:rPr>
          <w:rFonts w:ascii="Times New Roman" w:eastAsia="Times New Roman" w:hAnsi="Times New Roman"/>
          <w:sz w:val="26"/>
          <w:szCs w:val="26"/>
        </w:rPr>
        <w:t xml:space="preserve">and </w:t>
      </w:r>
      <w:r w:rsidR="001A12D8">
        <w:rPr>
          <w:rFonts w:ascii="Times New Roman" w:eastAsia="Times New Roman" w:hAnsi="Times New Roman"/>
          <w:sz w:val="26"/>
          <w:szCs w:val="26"/>
        </w:rPr>
        <w:t>introduced three Exhibits,</w:t>
      </w:r>
      <w:r w:rsidR="00F23A54" w:rsidRPr="00F23A54">
        <w:rPr>
          <w:rFonts w:ascii="Times New Roman" w:eastAsia="Times New Roman" w:hAnsi="Times New Roman"/>
          <w:sz w:val="26"/>
          <w:szCs w:val="26"/>
        </w:rPr>
        <w:t xml:space="preserve"> </w:t>
      </w:r>
      <w:r w:rsidR="001A12D8">
        <w:rPr>
          <w:rFonts w:ascii="Times New Roman" w:eastAsia="Times New Roman" w:hAnsi="Times New Roman"/>
          <w:sz w:val="26"/>
          <w:szCs w:val="26"/>
        </w:rPr>
        <w:t xml:space="preserve">which </w:t>
      </w:r>
      <w:r w:rsidR="00F23A54" w:rsidRPr="00F23A54">
        <w:rPr>
          <w:rFonts w:ascii="Times New Roman" w:eastAsia="Times New Roman" w:hAnsi="Times New Roman"/>
          <w:sz w:val="26"/>
          <w:szCs w:val="26"/>
        </w:rPr>
        <w:t xml:space="preserve">were </w:t>
      </w:r>
      <w:r w:rsidR="001A12D8">
        <w:rPr>
          <w:rFonts w:ascii="Times New Roman" w:eastAsia="Times New Roman" w:hAnsi="Times New Roman"/>
          <w:sz w:val="26"/>
          <w:szCs w:val="26"/>
        </w:rPr>
        <w:t xml:space="preserve">all </w:t>
      </w:r>
      <w:r w:rsidR="00F23A54" w:rsidRPr="00F23A54">
        <w:rPr>
          <w:rFonts w:ascii="Times New Roman" w:eastAsia="Times New Roman" w:hAnsi="Times New Roman"/>
          <w:sz w:val="26"/>
          <w:szCs w:val="26"/>
        </w:rPr>
        <w:t xml:space="preserve">admitted into the record. </w:t>
      </w:r>
      <w:r w:rsidR="00986F90">
        <w:rPr>
          <w:rFonts w:ascii="Times New Roman" w:eastAsia="Times New Roman" w:hAnsi="Times New Roman"/>
          <w:sz w:val="26"/>
          <w:szCs w:val="26"/>
        </w:rPr>
        <w:t xml:space="preserve"> After </w:t>
      </w:r>
      <w:r w:rsidR="00986F90">
        <w:rPr>
          <w:rFonts w:ascii="Times New Roman" w:eastAsia="Times New Roman" w:hAnsi="Times New Roman"/>
          <w:sz w:val="26"/>
          <w:szCs w:val="26"/>
        </w:rPr>
        <w:lastRenderedPageBreak/>
        <w:t>completion of her testimony and cross examination</w:t>
      </w:r>
      <w:r w:rsidR="00C07885">
        <w:rPr>
          <w:rFonts w:ascii="Times New Roman" w:eastAsia="Times New Roman" w:hAnsi="Times New Roman"/>
          <w:sz w:val="26"/>
          <w:szCs w:val="26"/>
        </w:rPr>
        <w:t>,</w:t>
      </w:r>
      <w:r w:rsidR="00986F90">
        <w:rPr>
          <w:rFonts w:ascii="Times New Roman" w:eastAsia="Times New Roman" w:hAnsi="Times New Roman"/>
          <w:sz w:val="26"/>
          <w:szCs w:val="26"/>
        </w:rPr>
        <w:t xml:space="preserve"> </w:t>
      </w:r>
      <w:r w:rsidR="009D796A">
        <w:rPr>
          <w:rFonts w:ascii="Times New Roman" w:eastAsia="Times New Roman" w:hAnsi="Times New Roman"/>
          <w:sz w:val="26"/>
          <w:szCs w:val="26"/>
        </w:rPr>
        <w:t xml:space="preserve">the </w:t>
      </w:r>
      <w:r w:rsidR="00986F90">
        <w:rPr>
          <w:rFonts w:ascii="Times New Roman" w:eastAsia="Times New Roman" w:hAnsi="Times New Roman"/>
          <w:sz w:val="26"/>
          <w:szCs w:val="26"/>
        </w:rPr>
        <w:t>Complainant ended her telephonic participation and left the hearing</w:t>
      </w:r>
      <w:r w:rsidR="00C07885">
        <w:rPr>
          <w:rFonts w:ascii="Times New Roman" w:eastAsia="Times New Roman" w:hAnsi="Times New Roman"/>
          <w:sz w:val="26"/>
          <w:szCs w:val="26"/>
        </w:rPr>
        <w:t xml:space="preserve"> prematurely during the direct examination of PGW witnesses</w:t>
      </w:r>
      <w:r w:rsidR="00986F90">
        <w:rPr>
          <w:rFonts w:ascii="Times New Roman" w:eastAsia="Times New Roman" w:hAnsi="Times New Roman"/>
          <w:sz w:val="26"/>
          <w:szCs w:val="26"/>
        </w:rPr>
        <w:t>.</w:t>
      </w:r>
      <w:r w:rsidR="0043306D">
        <w:rPr>
          <w:rStyle w:val="FootnoteReference"/>
          <w:rFonts w:ascii="Times New Roman" w:eastAsia="Times New Roman" w:hAnsi="Times New Roman"/>
          <w:sz w:val="26"/>
          <w:szCs w:val="26"/>
        </w:rPr>
        <w:footnoteReference w:id="1"/>
      </w:r>
      <w:r w:rsidR="00986F90">
        <w:rPr>
          <w:rFonts w:ascii="Times New Roman" w:eastAsia="Times New Roman" w:hAnsi="Times New Roman"/>
          <w:sz w:val="26"/>
          <w:szCs w:val="26"/>
        </w:rPr>
        <w:t xml:space="preserve">  </w:t>
      </w:r>
      <w:proofErr w:type="gramStart"/>
      <w:r w:rsidR="00986F90">
        <w:rPr>
          <w:rFonts w:ascii="Times New Roman" w:eastAsia="Times New Roman" w:hAnsi="Times New Roman"/>
          <w:sz w:val="26"/>
          <w:szCs w:val="26"/>
        </w:rPr>
        <w:t>Tr. 30.</w:t>
      </w:r>
      <w:proofErr w:type="gramEnd"/>
      <w:r w:rsidR="00986F90">
        <w:rPr>
          <w:rFonts w:ascii="Times New Roman" w:eastAsia="Times New Roman" w:hAnsi="Times New Roman"/>
          <w:sz w:val="26"/>
          <w:szCs w:val="26"/>
        </w:rPr>
        <w:t xml:space="preserve">  PGW</w:t>
      </w:r>
      <w:r w:rsidR="002F476C" w:rsidRPr="002F476C">
        <w:rPr>
          <w:rFonts w:ascii="Times New Roman" w:eastAsia="Times New Roman" w:hAnsi="Times New Roman"/>
          <w:sz w:val="26"/>
          <w:szCs w:val="26"/>
        </w:rPr>
        <w:t xml:space="preserve">’s counsel </w:t>
      </w:r>
      <w:r w:rsidR="00986F90">
        <w:rPr>
          <w:rFonts w:ascii="Times New Roman" w:eastAsia="Times New Roman" w:hAnsi="Times New Roman"/>
          <w:sz w:val="26"/>
          <w:szCs w:val="26"/>
        </w:rPr>
        <w:t xml:space="preserve">then </w:t>
      </w:r>
      <w:r w:rsidR="002F476C" w:rsidRPr="002F476C">
        <w:rPr>
          <w:rFonts w:ascii="Times New Roman" w:eastAsia="Times New Roman" w:hAnsi="Times New Roman"/>
          <w:sz w:val="26"/>
          <w:szCs w:val="26"/>
        </w:rPr>
        <w:t xml:space="preserve">moved to dismiss the </w:t>
      </w:r>
      <w:r w:rsidR="00E16E46">
        <w:rPr>
          <w:rFonts w:ascii="Times New Roman" w:eastAsia="Times New Roman" w:hAnsi="Times New Roman"/>
          <w:sz w:val="26"/>
          <w:szCs w:val="26"/>
        </w:rPr>
        <w:t>C</w:t>
      </w:r>
      <w:r w:rsidR="002F476C" w:rsidRPr="002F476C">
        <w:rPr>
          <w:rFonts w:ascii="Times New Roman" w:eastAsia="Times New Roman" w:hAnsi="Times New Roman"/>
          <w:sz w:val="26"/>
          <w:szCs w:val="26"/>
        </w:rPr>
        <w:t xml:space="preserve">omplaint </w:t>
      </w:r>
      <w:r w:rsidR="001A12D8">
        <w:rPr>
          <w:rFonts w:ascii="Times New Roman" w:eastAsia="Times New Roman" w:hAnsi="Times New Roman"/>
          <w:sz w:val="26"/>
          <w:szCs w:val="26"/>
        </w:rPr>
        <w:t xml:space="preserve">(Motion to Dismiss) </w:t>
      </w:r>
      <w:r w:rsidR="002F476C" w:rsidRPr="002F476C">
        <w:rPr>
          <w:rFonts w:ascii="Times New Roman" w:eastAsia="Times New Roman" w:hAnsi="Times New Roman"/>
          <w:sz w:val="26"/>
          <w:szCs w:val="26"/>
        </w:rPr>
        <w:t>for lack of prosecution</w:t>
      </w:r>
      <w:r w:rsidR="00C07885">
        <w:rPr>
          <w:rFonts w:ascii="Times New Roman" w:eastAsia="Times New Roman" w:hAnsi="Times New Roman"/>
          <w:sz w:val="26"/>
          <w:szCs w:val="26"/>
        </w:rPr>
        <w:t>.</w:t>
      </w:r>
      <w:r w:rsidR="00986F90">
        <w:rPr>
          <w:rFonts w:ascii="Times New Roman" w:eastAsia="Times New Roman" w:hAnsi="Times New Roman"/>
          <w:sz w:val="26"/>
          <w:szCs w:val="26"/>
        </w:rPr>
        <w:t xml:space="preserve"> </w:t>
      </w:r>
      <w:r w:rsidR="006D32E1">
        <w:rPr>
          <w:rFonts w:ascii="Times New Roman" w:eastAsia="Times New Roman" w:hAnsi="Times New Roman"/>
          <w:sz w:val="26"/>
          <w:szCs w:val="26"/>
        </w:rPr>
        <w:t xml:space="preserve"> </w:t>
      </w:r>
      <w:r w:rsidR="00C07885">
        <w:rPr>
          <w:rFonts w:ascii="Times New Roman" w:eastAsia="Times New Roman" w:hAnsi="Times New Roman"/>
          <w:sz w:val="26"/>
          <w:szCs w:val="26"/>
        </w:rPr>
        <w:t>T</w:t>
      </w:r>
      <w:r w:rsidR="00986F90">
        <w:rPr>
          <w:rFonts w:ascii="Times New Roman" w:eastAsia="Times New Roman" w:hAnsi="Times New Roman"/>
          <w:sz w:val="26"/>
          <w:szCs w:val="26"/>
        </w:rPr>
        <w:t xml:space="preserve">he ALJ took </w:t>
      </w:r>
      <w:r w:rsidR="004C3C65">
        <w:rPr>
          <w:rFonts w:ascii="Times New Roman" w:eastAsia="Times New Roman" w:hAnsi="Times New Roman"/>
          <w:sz w:val="26"/>
          <w:szCs w:val="26"/>
        </w:rPr>
        <w:t xml:space="preserve">PGW’s </w:t>
      </w:r>
      <w:r w:rsidR="004F058E">
        <w:rPr>
          <w:rFonts w:ascii="Times New Roman" w:eastAsia="Times New Roman" w:hAnsi="Times New Roman"/>
          <w:sz w:val="26"/>
          <w:szCs w:val="26"/>
        </w:rPr>
        <w:t xml:space="preserve">Motion to Dismiss </w:t>
      </w:r>
      <w:r w:rsidR="00C07885">
        <w:rPr>
          <w:rFonts w:ascii="Times New Roman" w:eastAsia="Times New Roman" w:hAnsi="Times New Roman"/>
          <w:sz w:val="26"/>
          <w:szCs w:val="26"/>
        </w:rPr>
        <w:t xml:space="preserve">under </w:t>
      </w:r>
      <w:r w:rsidR="00986F90">
        <w:rPr>
          <w:rFonts w:ascii="Times New Roman" w:eastAsia="Times New Roman" w:hAnsi="Times New Roman"/>
          <w:sz w:val="26"/>
          <w:szCs w:val="26"/>
        </w:rPr>
        <w:t>advisement</w:t>
      </w:r>
      <w:r w:rsidR="00502AE9">
        <w:rPr>
          <w:rFonts w:ascii="Times New Roman" w:eastAsia="Times New Roman" w:hAnsi="Times New Roman"/>
          <w:sz w:val="26"/>
          <w:szCs w:val="26"/>
        </w:rPr>
        <w:t xml:space="preserve">. </w:t>
      </w:r>
      <w:r w:rsidR="002F476C" w:rsidRPr="002F476C">
        <w:rPr>
          <w:rFonts w:ascii="Times New Roman" w:eastAsia="Times New Roman" w:hAnsi="Times New Roman"/>
          <w:sz w:val="26"/>
          <w:szCs w:val="26"/>
        </w:rPr>
        <w:t xml:space="preserve"> </w:t>
      </w:r>
      <w:r w:rsidR="00F23A54" w:rsidRPr="00F23A54">
        <w:rPr>
          <w:rFonts w:ascii="Times New Roman" w:eastAsia="Times New Roman" w:hAnsi="Times New Roman"/>
          <w:sz w:val="26"/>
          <w:szCs w:val="26"/>
        </w:rPr>
        <w:t xml:space="preserve">The hearing resulted in a transcript of </w:t>
      </w:r>
      <w:r w:rsidR="00F23A54">
        <w:rPr>
          <w:rFonts w:ascii="Times New Roman" w:eastAsia="Times New Roman" w:hAnsi="Times New Roman"/>
          <w:sz w:val="26"/>
          <w:szCs w:val="26"/>
        </w:rPr>
        <w:t>fifty-three</w:t>
      </w:r>
      <w:r w:rsidR="00F23A54" w:rsidRPr="00F23A54">
        <w:rPr>
          <w:rFonts w:ascii="Times New Roman" w:eastAsia="Times New Roman" w:hAnsi="Times New Roman"/>
          <w:sz w:val="26"/>
          <w:szCs w:val="26"/>
        </w:rPr>
        <w:t xml:space="preserve"> pages.  The record was closed on </w:t>
      </w:r>
      <w:r w:rsidR="00986F90">
        <w:rPr>
          <w:rFonts w:ascii="Times New Roman" w:eastAsia="Times New Roman" w:hAnsi="Times New Roman"/>
          <w:sz w:val="26"/>
          <w:szCs w:val="26"/>
        </w:rPr>
        <w:t>October</w:t>
      </w:r>
      <w:r w:rsidR="00F23A54" w:rsidRPr="00F23A54">
        <w:rPr>
          <w:rFonts w:ascii="Times New Roman" w:eastAsia="Times New Roman" w:hAnsi="Times New Roman"/>
          <w:sz w:val="26"/>
          <w:szCs w:val="26"/>
        </w:rPr>
        <w:t xml:space="preserve"> </w:t>
      </w:r>
      <w:r w:rsidR="00986F90">
        <w:rPr>
          <w:rFonts w:ascii="Times New Roman" w:eastAsia="Times New Roman" w:hAnsi="Times New Roman"/>
          <w:sz w:val="26"/>
          <w:szCs w:val="26"/>
        </w:rPr>
        <w:t>6</w:t>
      </w:r>
      <w:r w:rsidR="00F23A54" w:rsidRPr="00F23A54">
        <w:rPr>
          <w:rFonts w:ascii="Times New Roman" w:eastAsia="Times New Roman" w:hAnsi="Times New Roman"/>
          <w:sz w:val="26"/>
          <w:szCs w:val="26"/>
        </w:rPr>
        <w:t>, 2016.</w:t>
      </w:r>
      <w:r w:rsidR="004C3C65">
        <w:rPr>
          <w:rFonts w:ascii="Times New Roman" w:eastAsia="Times New Roman" w:hAnsi="Times New Roman"/>
          <w:sz w:val="26"/>
          <w:szCs w:val="26"/>
        </w:rPr>
        <w:t xml:space="preserve">  I.D. at</w:t>
      </w:r>
      <w:r w:rsidR="00C52CA4">
        <w:rPr>
          <w:rFonts w:ascii="Times New Roman" w:eastAsia="Times New Roman" w:hAnsi="Times New Roman"/>
          <w:sz w:val="26"/>
          <w:szCs w:val="26"/>
        </w:rPr>
        <w:t xml:space="preserve"> 5</w:t>
      </w:r>
      <w:r w:rsidR="0065414F">
        <w:rPr>
          <w:rFonts w:ascii="Times New Roman" w:eastAsia="Times New Roman" w:hAnsi="Times New Roman"/>
          <w:sz w:val="26"/>
          <w:szCs w:val="26"/>
        </w:rPr>
        <w:t xml:space="preserve">; </w:t>
      </w:r>
      <w:r w:rsidR="00C52CA4">
        <w:rPr>
          <w:rFonts w:ascii="Times New Roman" w:eastAsia="Times New Roman" w:hAnsi="Times New Roman"/>
          <w:sz w:val="26"/>
          <w:szCs w:val="26"/>
        </w:rPr>
        <w:t xml:space="preserve">6; </w:t>
      </w:r>
      <w:r w:rsidR="002F476C" w:rsidRPr="002F476C">
        <w:rPr>
          <w:rFonts w:ascii="Times New Roman" w:eastAsia="Times New Roman" w:hAnsi="Times New Roman"/>
          <w:sz w:val="26"/>
          <w:szCs w:val="26"/>
        </w:rPr>
        <w:t>Tr.</w:t>
      </w:r>
      <w:r w:rsidR="00227FB8">
        <w:rPr>
          <w:rFonts w:ascii="Times New Roman" w:eastAsia="Times New Roman" w:hAnsi="Times New Roman"/>
          <w:sz w:val="26"/>
          <w:szCs w:val="26"/>
        </w:rPr>
        <w:t xml:space="preserve"> </w:t>
      </w:r>
      <w:r w:rsidR="00502AE9">
        <w:rPr>
          <w:rFonts w:ascii="Times New Roman" w:eastAsia="Times New Roman" w:hAnsi="Times New Roman"/>
          <w:sz w:val="26"/>
          <w:szCs w:val="26"/>
        </w:rPr>
        <w:t>at</w:t>
      </w:r>
      <w:r w:rsidR="00C52CA4">
        <w:rPr>
          <w:rFonts w:ascii="Times New Roman" w:eastAsia="Times New Roman" w:hAnsi="Times New Roman"/>
          <w:sz w:val="26"/>
          <w:szCs w:val="26"/>
        </w:rPr>
        <w:t xml:space="preserve"> 38-47</w:t>
      </w:r>
      <w:r w:rsidR="002F476C" w:rsidRPr="002F476C">
        <w:rPr>
          <w:rFonts w:ascii="Times New Roman" w:eastAsia="Times New Roman" w:hAnsi="Times New Roman"/>
          <w:sz w:val="26"/>
          <w:szCs w:val="26"/>
        </w:rPr>
        <w:t>.</w:t>
      </w:r>
    </w:p>
    <w:p w:rsidR="002F476C" w:rsidRPr="002F476C" w:rsidRDefault="002F476C" w:rsidP="000730AC">
      <w:pPr>
        <w:tabs>
          <w:tab w:val="left" w:pos="-90"/>
          <w:tab w:val="left" w:pos="0"/>
        </w:tabs>
        <w:spacing w:line="360" w:lineRule="auto"/>
        <w:rPr>
          <w:rFonts w:ascii="Times New Roman" w:eastAsia="Times New Roman" w:hAnsi="Times New Roman"/>
          <w:sz w:val="26"/>
          <w:szCs w:val="26"/>
        </w:rPr>
      </w:pPr>
    </w:p>
    <w:p w:rsidR="00727712" w:rsidRDefault="002F476C" w:rsidP="000730AC">
      <w:pPr>
        <w:tabs>
          <w:tab w:val="left" w:pos="-90"/>
          <w:tab w:val="left" w:pos="1440"/>
        </w:tabs>
        <w:spacing w:line="360" w:lineRule="auto"/>
        <w:rPr>
          <w:rFonts w:ascii="Times New Roman" w:hAnsi="Times New Roman"/>
          <w:sz w:val="26"/>
          <w:szCs w:val="26"/>
        </w:rPr>
      </w:pPr>
      <w:r w:rsidRPr="002F476C">
        <w:rPr>
          <w:rFonts w:ascii="Times New Roman" w:eastAsia="Times New Roman" w:hAnsi="Times New Roman"/>
          <w:sz w:val="26"/>
          <w:szCs w:val="26"/>
        </w:rPr>
        <w:tab/>
      </w:r>
      <w:bookmarkEnd w:id="0"/>
      <w:bookmarkEnd w:id="1"/>
      <w:r w:rsidR="00E814CC">
        <w:rPr>
          <w:rFonts w:ascii="Times New Roman" w:hAnsi="Times New Roman"/>
          <w:sz w:val="26"/>
          <w:szCs w:val="26"/>
        </w:rPr>
        <w:t xml:space="preserve">On </w:t>
      </w:r>
      <w:r w:rsidR="00986F90">
        <w:rPr>
          <w:rFonts w:ascii="Times New Roman" w:hAnsi="Times New Roman"/>
          <w:sz w:val="26"/>
          <w:szCs w:val="26"/>
        </w:rPr>
        <w:t>January</w:t>
      </w:r>
      <w:r w:rsidR="00E814CC">
        <w:rPr>
          <w:rFonts w:ascii="Times New Roman" w:hAnsi="Times New Roman"/>
          <w:sz w:val="26"/>
          <w:szCs w:val="26"/>
        </w:rPr>
        <w:t xml:space="preserve"> </w:t>
      </w:r>
      <w:r w:rsidR="00986F90">
        <w:rPr>
          <w:rFonts w:ascii="Times New Roman" w:hAnsi="Times New Roman"/>
          <w:sz w:val="26"/>
          <w:szCs w:val="26"/>
        </w:rPr>
        <w:t>4</w:t>
      </w:r>
      <w:r w:rsidR="00E814CC">
        <w:rPr>
          <w:rFonts w:ascii="Times New Roman" w:hAnsi="Times New Roman"/>
          <w:sz w:val="26"/>
          <w:szCs w:val="26"/>
        </w:rPr>
        <w:t>, 201</w:t>
      </w:r>
      <w:r w:rsidR="00986F90">
        <w:rPr>
          <w:rFonts w:ascii="Times New Roman" w:hAnsi="Times New Roman"/>
          <w:sz w:val="26"/>
          <w:szCs w:val="26"/>
        </w:rPr>
        <w:t>7</w:t>
      </w:r>
      <w:r w:rsidR="00E814CC">
        <w:rPr>
          <w:rFonts w:ascii="Times New Roman" w:hAnsi="Times New Roman"/>
          <w:sz w:val="26"/>
          <w:szCs w:val="26"/>
        </w:rPr>
        <w:t xml:space="preserve">, the Commission issued the Initial Decision of ALJ </w:t>
      </w:r>
      <w:r w:rsidR="00986F90">
        <w:rPr>
          <w:rFonts w:ascii="Times New Roman" w:hAnsi="Times New Roman"/>
          <w:sz w:val="26"/>
          <w:szCs w:val="26"/>
        </w:rPr>
        <w:t>Johnson</w:t>
      </w:r>
      <w:r w:rsidR="001A12D8">
        <w:rPr>
          <w:rFonts w:ascii="Times New Roman" w:hAnsi="Times New Roman"/>
          <w:sz w:val="26"/>
          <w:szCs w:val="26"/>
        </w:rPr>
        <w:t xml:space="preserve">, </w:t>
      </w:r>
      <w:r w:rsidR="002234A9">
        <w:rPr>
          <w:rFonts w:ascii="Times New Roman" w:hAnsi="Times New Roman"/>
          <w:sz w:val="26"/>
          <w:szCs w:val="26"/>
        </w:rPr>
        <w:t xml:space="preserve">in </w:t>
      </w:r>
      <w:r w:rsidR="001A12D8">
        <w:rPr>
          <w:rFonts w:ascii="Times New Roman" w:hAnsi="Times New Roman"/>
          <w:sz w:val="26"/>
          <w:szCs w:val="26"/>
        </w:rPr>
        <w:t>which</w:t>
      </w:r>
      <w:r w:rsidR="00727712" w:rsidRPr="00A55568">
        <w:rPr>
          <w:rFonts w:ascii="Times New Roman" w:hAnsi="Times New Roman"/>
          <w:sz w:val="26"/>
          <w:szCs w:val="26"/>
        </w:rPr>
        <w:t xml:space="preserve"> </w:t>
      </w:r>
      <w:r w:rsidR="002234A9">
        <w:rPr>
          <w:rFonts w:ascii="Times New Roman" w:hAnsi="Times New Roman"/>
          <w:sz w:val="26"/>
          <w:szCs w:val="26"/>
        </w:rPr>
        <w:t xml:space="preserve">he </w:t>
      </w:r>
      <w:r w:rsidR="00986F90">
        <w:rPr>
          <w:rFonts w:ascii="Times New Roman" w:hAnsi="Times New Roman"/>
          <w:sz w:val="26"/>
          <w:szCs w:val="26"/>
        </w:rPr>
        <w:t>denied</w:t>
      </w:r>
      <w:r w:rsidR="004712F7">
        <w:rPr>
          <w:rFonts w:ascii="Times New Roman" w:hAnsi="Times New Roman"/>
          <w:sz w:val="26"/>
          <w:szCs w:val="26"/>
        </w:rPr>
        <w:t xml:space="preserve"> PGW’s Motion to </w:t>
      </w:r>
      <w:r w:rsidR="001A12D8">
        <w:rPr>
          <w:rFonts w:ascii="Times New Roman" w:hAnsi="Times New Roman"/>
          <w:sz w:val="26"/>
          <w:szCs w:val="26"/>
        </w:rPr>
        <w:t>D</w:t>
      </w:r>
      <w:r w:rsidR="004712F7">
        <w:rPr>
          <w:rFonts w:ascii="Times New Roman" w:hAnsi="Times New Roman"/>
          <w:sz w:val="26"/>
          <w:szCs w:val="26"/>
        </w:rPr>
        <w:t>ismiss</w:t>
      </w:r>
      <w:r w:rsidR="004F058E">
        <w:rPr>
          <w:rFonts w:ascii="Times New Roman" w:hAnsi="Times New Roman"/>
          <w:sz w:val="26"/>
          <w:szCs w:val="26"/>
        </w:rPr>
        <w:t xml:space="preserve"> </w:t>
      </w:r>
      <w:r w:rsidR="00C8667D">
        <w:rPr>
          <w:rFonts w:ascii="Times New Roman" w:hAnsi="Times New Roman"/>
          <w:sz w:val="26"/>
          <w:szCs w:val="26"/>
        </w:rPr>
        <w:t xml:space="preserve">the Complaint for lack of prosecution.  However, the ALJ dismissed the </w:t>
      </w:r>
      <w:r w:rsidR="00B923CE">
        <w:rPr>
          <w:rFonts w:ascii="Times New Roman" w:hAnsi="Times New Roman"/>
          <w:sz w:val="26"/>
          <w:szCs w:val="26"/>
        </w:rPr>
        <w:t>Complaint</w:t>
      </w:r>
      <w:r w:rsidR="00A052E1">
        <w:rPr>
          <w:rFonts w:ascii="Times New Roman" w:hAnsi="Times New Roman"/>
          <w:sz w:val="26"/>
          <w:szCs w:val="26"/>
        </w:rPr>
        <w:t xml:space="preserve"> for failure by the Complainant to carry her burden of proving that PGW </w:t>
      </w:r>
      <w:r w:rsidR="00A052E1" w:rsidRPr="00A052E1">
        <w:rPr>
          <w:rFonts w:ascii="Times New Roman" w:hAnsi="Times New Roman"/>
          <w:sz w:val="26"/>
          <w:szCs w:val="26"/>
        </w:rPr>
        <w:t>violated a Commission order, statute or regulation</w:t>
      </w:r>
      <w:r w:rsidR="00A052E1">
        <w:rPr>
          <w:rFonts w:ascii="Times New Roman" w:hAnsi="Times New Roman"/>
          <w:sz w:val="26"/>
          <w:szCs w:val="26"/>
        </w:rPr>
        <w:t xml:space="preserve"> and </w:t>
      </w:r>
      <w:r w:rsidR="00E0265C">
        <w:rPr>
          <w:rFonts w:ascii="Times New Roman" w:hAnsi="Times New Roman"/>
          <w:sz w:val="26"/>
          <w:szCs w:val="26"/>
        </w:rPr>
        <w:t xml:space="preserve">thus </w:t>
      </w:r>
      <w:r w:rsidR="00A052E1">
        <w:rPr>
          <w:rFonts w:ascii="Times New Roman" w:hAnsi="Times New Roman"/>
          <w:sz w:val="26"/>
          <w:szCs w:val="26"/>
        </w:rPr>
        <w:t xml:space="preserve">denied </w:t>
      </w:r>
      <w:r w:rsidR="00C8667D">
        <w:rPr>
          <w:rFonts w:ascii="Times New Roman" w:hAnsi="Times New Roman"/>
          <w:sz w:val="26"/>
          <w:szCs w:val="26"/>
        </w:rPr>
        <w:t xml:space="preserve">the </w:t>
      </w:r>
      <w:r w:rsidR="00B923CE">
        <w:rPr>
          <w:rFonts w:ascii="Times New Roman" w:hAnsi="Times New Roman"/>
          <w:sz w:val="26"/>
          <w:szCs w:val="26"/>
        </w:rPr>
        <w:t>Complainant’s request for a Commission</w:t>
      </w:r>
      <w:r w:rsidR="00154A65">
        <w:rPr>
          <w:rFonts w:ascii="Times New Roman" w:hAnsi="Times New Roman"/>
          <w:sz w:val="26"/>
          <w:szCs w:val="26"/>
        </w:rPr>
        <w:t>-issued payment arrangement.</w:t>
      </w:r>
    </w:p>
    <w:p w:rsidR="000730AC" w:rsidRDefault="000730AC" w:rsidP="000730AC">
      <w:pPr>
        <w:tabs>
          <w:tab w:val="left" w:pos="-90"/>
          <w:tab w:val="left" w:pos="1440"/>
        </w:tabs>
        <w:spacing w:line="360" w:lineRule="auto"/>
        <w:rPr>
          <w:rFonts w:ascii="Times New Roman" w:hAnsi="Times New Roman"/>
          <w:sz w:val="26"/>
          <w:szCs w:val="26"/>
        </w:rPr>
      </w:pPr>
    </w:p>
    <w:p w:rsidR="00727712" w:rsidRPr="00A55568" w:rsidRDefault="00727712" w:rsidP="00474AF2">
      <w:pPr>
        <w:keepNext/>
        <w:keepLines/>
        <w:spacing w:line="360" w:lineRule="auto"/>
        <w:jc w:val="center"/>
        <w:rPr>
          <w:rFonts w:ascii="Times New Roman" w:hAnsi="Times New Roman"/>
          <w:b/>
          <w:sz w:val="26"/>
          <w:szCs w:val="26"/>
        </w:rPr>
      </w:pPr>
      <w:r w:rsidRPr="00A55568">
        <w:rPr>
          <w:rFonts w:ascii="Times New Roman" w:hAnsi="Times New Roman"/>
          <w:b/>
          <w:sz w:val="26"/>
          <w:szCs w:val="26"/>
        </w:rPr>
        <w:t>Discussion</w:t>
      </w:r>
    </w:p>
    <w:p w:rsidR="00727712" w:rsidRPr="00A55568" w:rsidRDefault="00727712" w:rsidP="00474AF2">
      <w:pPr>
        <w:keepNext/>
        <w:keepLines/>
        <w:spacing w:line="360" w:lineRule="auto"/>
        <w:jc w:val="center"/>
        <w:rPr>
          <w:rFonts w:ascii="Times New Roman" w:hAnsi="Times New Roman"/>
          <w:b/>
          <w:sz w:val="26"/>
          <w:szCs w:val="26"/>
        </w:rPr>
      </w:pPr>
    </w:p>
    <w:p w:rsidR="00727712" w:rsidRPr="00A55568" w:rsidRDefault="00727712" w:rsidP="00474AF2">
      <w:pPr>
        <w:keepNext/>
        <w:keepLines/>
        <w:spacing w:line="360" w:lineRule="auto"/>
        <w:rPr>
          <w:rFonts w:ascii="Times New Roman" w:hAnsi="Times New Roman"/>
          <w:sz w:val="26"/>
          <w:szCs w:val="26"/>
        </w:rPr>
      </w:pPr>
      <w:r w:rsidRPr="00A55568">
        <w:rPr>
          <w:rFonts w:ascii="Times New Roman" w:hAnsi="Times New Roman"/>
          <w:b/>
          <w:sz w:val="26"/>
          <w:szCs w:val="26"/>
        </w:rPr>
        <w:t>Legal Standards</w:t>
      </w:r>
    </w:p>
    <w:p w:rsidR="00727712" w:rsidRPr="00A55568" w:rsidRDefault="00727712" w:rsidP="00474AF2">
      <w:pPr>
        <w:keepNext/>
        <w:keepLines/>
        <w:spacing w:line="360" w:lineRule="auto"/>
        <w:ind w:firstLine="1440"/>
        <w:rPr>
          <w:rFonts w:ascii="Times New Roman" w:hAnsi="Times New Roman"/>
          <w:sz w:val="26"/>
          <w:szCs w:val="26"/>
        </w:rPr>
      </w:pPr>
    </w:p>
    <w:p w:rsidR="00727712" w:rsidRPr="00A55568" w:rsidRDefault="00727712" w:rsidP="000730AC">
      <w:pPr>
        <w:spacing w:line="360" w:lineRule="auto"/>
        <w:ind w:firstLine="1440"/>
        <w:rPr>
          <w:rFonts w:ascii="Times New Roman" w:hAnsi="Times New Roman"/>
          <w:sz w:val="26"/>
          <w:szCs w:val="26"/>
        </w:rPr>
      </w:pPr>
      <w:r w:rsidRPr="00A55568">
        <w:rPr>
          <w:rFonts w:ascii="Times New Roman" w:hAnsi="Times New Roman"/>
          <w:sz w:val="26"/>
          <w:szCs w:val="26"/>
        </w:rPr>
        <w:t xml:space="preserve">As the proponent of a rule or order, the Complainant in this proceeding bears the burden of proof pursuant to Section 332(a) of the Code.  </w:t>
      </w:r>
      <w:proofErr w:type="gramStart"/>
      <w:r w:rsidRPr="00A55568">
        <w:rPr>
          <w:rFonts w:ascii="Times New Roman" w:hAnsi="Times New Roman"/>
          <w:sz w:val="26"/>
          <w:szCs w:val="26"/>
        </w:rPr>
        <w:t>66 Pa. C.S. § 332(a).</w:t>
      </w:r>
      <w:proofErr w:type="gramEnd"/>
      <w:r w:rsidRPr="00A55568">
        <w:rPr>
          <w:rFonts w:ascii="Times New Roman" w:hAnsi="Times New Roman"/>
          <w:sz w:val="26"/>
          <w:szCs w:val="26"/>
        </w:rPr>
        <w:t xml:space="preserve">  To establish a sufficient case and satisfy the burden of proof, the Complainant must show that the Respondent is responsible or accountable for the problem described in the Complaint.  </w:t>
      </w:r>
      <w:proofErr w:type="gramStart"/>
      <w:r w:rsidRPr="00A55568">
        <w:rPr>
          <w:rFonts w:ascii="Times New Roman" w:hAnsi="Times New Roman"/>
          <w:i/>
          <w:sz w:val="26"/>
          <w:szCs w:val="26"/>
        </w:rPr>
        <w:t>Patterson v.</w:t>
      </w:r>
      <w:proofErr w:type="gramEnd"/>
      <w:r w:rsidRPr="00A55568">
        <w:rPr>
          <w:rFonts w:ascii="Times New Roman" w:hAnsi="Times New Roman"/>
          <w:i/>
          <w:sz w:val="26"/>
          <w:szCs w:val="26"/>
        </w:rPr>
        <w:t xml:space="preserve"> </w:t>
      </w:r>
      <w:proofErr w:type="gramStart"/>
      <w:r w:rsidRPr="00A55568">
        <w:rPr>
          <w:rFonts w:ascii="Times New Roman" w:hAnsi="Times New Roman"/>
          <w:i/>
          <w:sz w:val="26"/>
          <w:szCs w:val="26"/>
        </w:rPr>
        <w:t>The Bell Telephone Company of Pennsylvania</w:t>
      </w:r>
      <w:r w:rsidRPr="00A55568">
        <w:rPr>
          <w:rFonts w:ascii="Times New Roman" w:hAnsi="Times New Roman"/>
          <w:sz w:val="26"/>
          <w:szCs w:val="26"/>
        </w:rPr>
        <w:t>, 72 Pa. P.U.C. 196 (1990).</w:t>
      </w:r>
      <w:proofErr w:type="gramEnd"/>
      <w:r w:rsidRPr="00A55568">
        <w:rPr>
          <w:rFonts w:ascii="Times New Roman" w:hAnsi="Times New Roman"/>
          <w:sz w:val="26"/>
          <w:szCs w:val="26"/>
        </w:rPr>
        <w:t xml:space="preserve">  Such a showing must be by a preponderance of the evidence.  </w:t>
      </w:r>
      <w:proofErr w:type="gramStart"/>
      <w:r w:rsidRPr="00A55568">
        <w:rPr>
          <w:rFonts w:ascii="Times New Roman" w:hAnsi="Times New Roman"/>
          <w:i/>
          <w:iCs/>
          <w:sz w:val="26"/>
          <w:szCs w:val="26"/>
        </w:rPr>
        <w:t>Samuel J. Lansberry, Inc. v. Pa. PUC</w:t>
      </w:r>
      <w:r w:rsidRPr="00A55568">
        <w:rPr>
          <w:rFonts w:ascii="Times New Roman" w:hAnsi="Times New Roman"/>
          <w:sz w:val="26"/>
          <w:szCs w:val="26"/>
        </w:rPr>
        <w:t xml:space="preserve">, 578 A.2d 600 (Pa. Cmwlth. 1990), </w:t>
      </w:r>
      <w:r w:rsidRPr="00A55568">
        <w:rPr>
          <w:rFonts w:ascii="Times New Roman" w:hAnsi="Times New Roman"/>
          <w:i/>
          <w:sz w:val="26"/>
          <w:szCs w:val="26"/>
        </w:rPr>
        <w:t>alloc.</w:t>
      </w:r>
      <w:proofErr w:type="gramEnd"/>
      <w:r w:rsidRPr="00A55568">
        <w:rPr>
          <w:rFonts w:ascii="Times New Roman" w:hAnsi="Times New Roman"/>
          <w:i/>
          <w:sz w:val="26"/>
          <w:szCs w:val="26"/>
        </w:rPr>
        <w:t xml:space="preserve"> </w:t>
      </w:r>
      <w:proofErr w:type="gramStart"/>
      <w:r w:rsidRPr="00A55568">
        <w:rPr>
          <w:rFonts w:ascii="Times New Roman" w:hAnsi="Times New Roman"/>
          <w:i/>
          <w:sz w:val="26"/>
          <w:szCs w:val="26"/>
        </w:rPr>
        <w:t>denied</w:t>
      </w:r>
      <w:proofErr w:type="gramEnd"/>
      <w:r w:rsidRPr="00A55568">
        <w:rPr>
          <w:rFonts w:ascii="Times New Roman" w:hAnsi="Times New Roman"/>
          <w:i/>
          <w:sz w:val="26"/>
          <w:szCs w:val="26"/>
        </w:rPr>
        <w:t>,</w:t>
      </w:r>
      <w:r w:rsidRPr="00A55568">
        <w:rPr>
          <w:rFonts w:ascii="Times New Roman" w:hAnsi="Times New Roman"/>
          <w:sz w:val="26"/>
          <w:szCs w:val="26"/>
        </w:rPr>
        <w:t xml:space="preserve"> 529 Pa. </w:t>
      </w:r>
      <w:r w:rsidRPr="00A55568">
        <w:rPr>
          <w:rFonts w:ascii="Times New Roman" w:hAnsi="Times New Roman"/>
          <w:sz w:val="26"/>
          <w:szCs w:val="26"/>
        </w:rPr>
        <w:lastRenderedPageBreak/>
        <w:t xml:space="preserve">654, 602 A.2d 863 (1992).  That is, the Complainant’s evidence must be more convincing, by even the smallest amount, than that presented by the Respondent.  </w:t>
      </w:r>
      <w:proofErr w:type="gramStart"/>
      <w:r w:rsidRPr="00A55568">
        <w:rPr>
          <w:rFonts w:ascii="Times New Roman" w:hAnsi="Times New Roman"/>
          <w:i/>
          <w:sz w:val="26"/>
          <w:szCs w:val="26"/>
        </w:rPr>
        <w:t>Se-Ling Hosiery, Inc. v. Margulies</w:t>
      </w:r>
      <w:r w:rsidRPr="00A55568">
        <w:rPr>
          <w:rFonts w:ascii="Times New Roman" w:hAnsi="Times New Roman"/>
          <w:sz w:val="26"/>
          <w:szCs w:val="26"/>
        </w:rPr>
        <w:t>, 364 Pa. 45, 70 A.2d 854 (1950).</w:t>
      </w:r>
      <w:proofErr w:type="gramEnd"/>
      <w:r w:rsidRPr="00A55568">
        <w:rPr>
          <w:rFonts w:ascii="Times New Roman" w:hAnsi="Times New Roman"/>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A55568">
        <w:rPr>
          <w:rFonts w:ascii="Times New Roman" w:hAnsi="Times New Roman"/>
          <w:i/>
          <w:sz w:val="26"/>
          <w:szCs w:val="26"/>
        </w:rPr>
        <w:t xml:space="preserve">Norfolk &amp; Western Ry. Co. v. Pa. PUC, </w:t>
      </w:r>
      <w:r w:rsidRPr="00A55568">
        <w:rPr>
          <w:rFonts w:ascii="Times New Roman" w:hAnsi="Times New Roman"/>
          <w:sz w:val="26"/>
          <w:szCs w:val="26"/>
        </w:rPr>
        <w:t>489 Pa. 109, 413 A.2d 1037 (1980).</w:t>
      </w:r>
      <w:proofErr w:type="gramEnd"/>
    </w:p>
    <w:p w:rsidR="00727712" w:rsidRPr="00A55568" w:rsidRDefault="00727712" w:rsidP="000730AC">
      <w:pPr>
        <w:spacing w:line="360" w:lineRule="auto"/>
        <w:rPr>
          <w:rFonts w:ascii="Times New Roman" w:hAnsi="Times New Roman"/>
          <w:sz w:val="26"/>
          <w:szCs w:val="26"/>
        </w:rPr>
      </w:pPr>
    </w:p>
    <w:p w:rsidR="00727712" w:rsidRDefault="00727712" w:rsidP="000730AC">
      <w:pPr>
        <w:spacing w:line="360" w:lineRule="auto"/>
        <w:ind w:firstLine="1440"/>
        <w:rPr>
          <w:rFonts w:ascii="Times New Roman" w:hAnsi="Times New Roman"/>
          <w:iCs/>
          <w:sz w:val="26"/>
          <w:szCs w:val="26"/>
        </w:rPr>
      </w:pPr>
      <w:r w:rsidRPr="00A55568">
        <w:rPr>
          <w:rFonts w:ascii="Times New Roman" w:hAnsi="Times New Roman"/>
          <w:sz w:val="26"/>
          <w:szCs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55568">
        <w:rPr>
          <w:rFonts w:ascii="Times New Roman" w:hAnsi="Times New Roman"/>
          <w:iCs/>
          <w:sz w:val="26"/>
          <w:szCs w:val="26"/>
        </w:rPr>
        <w:t xml:space="preserve"> </w:t>
      </w:r>
      <w:r w:rsidRPr="00B961AF">
        <w:rPr>
          <w:rFonts w:ascii="Times New Roman" w:hAnsi="Times New Roman"/>
          <w:i/>
          <w:iCs/>
          <w:sz w:val="26"/>
          <w:szCs w:val="26"/>
        </w:rPr>
        <w:t>Burleson v. Pa. PUC,</w:t>
      </w:r>
      <w:r w:rsidRPr="00B961AF">
        <w:rPr>
          <w:rFonts w:ascii="Times New Roman" w:hAnsi="Times New Roman"/>
          <w:iCs/>
          <w:sz w:val="26"/>
          <w:szCs w:val="26"/>
        </w:rPr>
        <w:t xml:space="preserve"> 443 A.2d 1373 (Pa. Cmwlth. 1982), </w:t>
      </w:r>
      <w:r w:rsidRPr="00B961AF">
        <w:rPr>
          <w:rFonts w:ascii="Times New Roman" w:hAnsi="Times New Roman"/>
          <w:i/>
          <w:iCs/>
          <w:sz w:val="26"/>
          <w:szCs w:val="26"/>
        </w:rPr>
        <w:t>aff’d,</w:t>
      </w:r>
      <w:r w:rsidRPr="00B961AF">
        <w:rPr>
          <w:rFonts w:ascii="Times New Roman" w:hAnsi="Times New Roman"/>
          <w:iCs/>
          <w:sz w:val="26"/>
          <w:szCs w:val="26"/>
        </w:rPr>
        <w:t xml:space="preserve"> 501 Pa. 433, 461 A.2d 1234 (1983).</w:t>
      </w:r>
    </w:p>
    <w:p w:rsidR="00785B7C" w:rsidRDefault="00785B7C" w:rsidP="000730AC">
      <w:pPr>
        <w:spacing w:line="360" w:lineRule="auto"/>
        <w:ind w:firstLine="1440"/>
        <w:rPr>
          <w:rFonts w:ascii="Times New Roman" w:hAnsi="Times New Roman"/>
          <w:iCs/>
          <w:sz w:val="26"/>
          <w:szCs w:val="26"/>
        </w:rPr>
      </w:pPr>
    </w:p>
    <w:p w:rsidR="00727712" w:rsidRPr="00A55568" w:rsidRDefault="00727712" w:rsidP="000730AC">
      <w:pPr>
        <w:spacing w:line="360" w:lineRule="auto"/>
        <w:ind w:firstLine="1440"/>
        <w:rPr>
          <w:rFonts w:ascii="Times New Roman" w:hAnsi="Times New Roman"/>
          <w:sz w:val="26"/>
          <w:szCs w:val="26"/>
        </w:rPr>
      </w:pPr>
      <w:r w:rsidRPr="00A55568">
        <w:rPr>
          <w:rFonts w:ascii="Times New Roman" w:hAnsi="Times New Roman"/>
          <w:sz w:val="26"/>
          <w:szCs w:val="26"/>
        </w:rPr>
        <w:t xml:space="preserve">While the burden of going forward with the evidence may </w:t>
      </w:r>
      <w:r w:rsidRPr="00220AE5">
        <w:rPr>
          <w:rStyle w:val="term1"/>
          <w:rFonts w:ascii="Times New Roman" w:hAnsi="Times New Roman"/>
          <w:b w:val="0"/>
          <w:sz w:val="26"/>
          <w:szCs w:val="26"/>
        </w:rPr>
        <w:t>shift</w:t>
      </w:r>
      <w:r w:rsidRPr="00220AE5">
        <w:rPr>
          <w:rFonts w:ascii="Times New Roman" w:hAnsi="Times New Roman"/>
          <w:b/>
          <w:sz w:val="26"/>
          <w:szCs w:val="26"/>
        </w:rPr>
        <w:t xml:space="preserve"> </w:t>
      </w:r>
      <w:r w:rsidRPr="00A55568">
        <w:rPr>
          <w:rFonts w:ascii="Times New Roman" w:hAnsi="Times New Roman"/>
          <w:sz w:val="26"/>
          <w:szCs w:val="26"/>
        </w:rPr>
        <w:t xml:space="preserve">back and forth during a proceeding, the </w:t>
      </w:r>
      <w:r w:rsidRPr="00220AE5">
        <w:rPr>
          <w:rStyle w:val="term1"/>
          <w:rFonts w:ascii="Times New Roman" w:hAnsi="Times New Roman"/>
          <w:b w:val="0"/>
          <w:sz w:val="26"/>
          <w:szCs w:val="26"/>
        </w:rPr>
        <w:t>burden of proof</w:t>
      </w:r>
      <w:r w:rsidRPr="00A55568">
        <w:rPr>
          <w:rFonts w:ascii="Times New Roman" w:hAnsi="Times New Roman"/>
          <w:sz w:val="26"/>
          <w:szCs w:val="26"/>
        </w:rPr>
        <w:t xml:space="preserve"> never </w:t>
      </w:r>
      <w:r w:rsidRPr="00220AE5">
        <w:rPr>
          <w:rStyle w:val="term1"/>
          <w:rFonts w:ascii="Times New Roman" w:hAnsi="Times New Roman"/>
          <w:b w:val="0"/>
          <w:sz w:val="26"/>
          <w:szCs w:val="26"/>
        </w:rPr>
        <w:t xml:space="preserve">shifts. </w:t>
      </w:r>
      <w:r w:rsidR="00C70E8F">
        <w:rPr>
          <w:rStyle w:val="term1"/>
          <w:rFonts w:ascii="Times New Roman" w:hAnsi="Times New Roman"/>
          <w:b w:val="0"/>
          <w:sz w:val="26"/>
          <w:szCs w:val="26"/>
        </w:rPr>
        <w:t xml:space="preserve"> </w:t>
      </w:r>
      <w:r w:rsidRPr="00220AE5">
        <w:rPr>
          <w:rStyle w:val="term1"/>
          <w:rFonts w:ascii="Times New Roman" w:hAnsi="Times New Roman"/>
          <w:b w:val="0"/>
          <w:sz w:val="26"/>
          <w:szCs w:val="26"/>
        </w:rPr>
        <w:t>The burden of proof</w:t>
      </w:r>
      <w:r w:rsidRPr="00220AE5">
        <w:rPr>
          <w:rFonts w:ascii="Times New Roman" w:hAnsi="Times New Roman"/>
          <w:b/>
          <w:sz w:val="26"/>
          <w:szCs w:val="26"/>
        </w:rPr>
        <w:t xml:space="preserve"> </w:t>
      </w:r>
      <w:r w:rsidRPr="00A55568">
        <w:rPr>
          <w:rFonts w:ascii="Times New Roman" w:hAnsi="Times New Roman"/>
          <w:sz w:val="26"/>
          <w:szCs w:val="26"/>
        </w:rPr>
        <w:t xml:space="preserve">always remains on the party seeking affirmative relief from the Commission.  </w:t>
      </w:r>
      <w:proofErr w:type="gramStart"/>
      <w:r w:rsidRPr="00A55568">
        <w:rPr>
          <w:rFonts w:ascii="Times New Roman" w:hAnsi="Times New Roman"/>
          <w:i/>
          <w:sz w:val="26"/>
          <w:szCs w:val="26"/>
        </w:rPr>
        <w:t xml:space="preserve">Milkie v. Pa. PUC, </w:t>
      </w:r>
      <w:r w:rsidRPr="00A55568">
        <w:rPr>
          <w:rFonts w:ascii="Times New Roman" w:hAnsi="Times New Roman"/>
          <w:sz w:val="26"/>
          <w:szCs w:val="26"/>
        </w:rPr>
        <w:t>768 A.2d 1217 (Pa. Cmwlth. 2001).</w:t>
      </w:r>
      <w:proofErr w:type="gramEnd"/>
    </w:p>
    <w:p w:rsidR="00727712" w:rsidRPr="00A55568" w:rsidRDefault="00727712" w:rsidP="000730AC">
      <w:pPr>
        <w:spacing w:line="360" w:lineRule="auto"/>
        <w:ind w:firstLine="1440"/>
        <w:rPr>
          <w:rFonts w:ascii="Times New Roman" w:hAnsi="Times New Roman"/>
          <w:sz w:val="26"/>
          <w:szCs w:val="26"/>
        </w:rPr>
      </w:pPr>
    </w:p>
    <w:p w:rsidR="00727712" w:rsidRPr="00A55568" w:rsidRDefault="00C07885" w:rsidP="000730AC">
      <w:pPr>
        <w:spacing w:line="360" w:lineRule="auto"/>
        <w:ind w:firstLine="1440"/>
        <w:rPr>
          <w:rFonts w:ascii="Times New Roman" w:hAnsi="Times New Roman"/>
          <w:color w:val="000000"/>
          <w:sz w:val="26"/>
          <w:szCs w:val="26"/>
        </w:rPr>
      </w:pPr>
      <w:r>
        <w:rPr>
          <w:rFonts w:ascii="Times New Roman" w:hAnsi="Times New Roman"/>
          <w:color w:val="000000"/>
          <w:sz w:val="26"/>
          <w:szCs w:val="26"/>
        </w:rPr>
        <w:t>Additionally, it</w:t>
      </w:r>
      <w:r w:rsidR="00727712" w:rsidRPr="00A55568">
        <w:rPr>
          <w:rFonts w:ascii="Times New Roman" w:hAnsi="Times New Roman"/>
          <w:color w:val="000000"/>
          <w:sz w:val="26"/>
          <w:szCs w:val="26"/>
        </w:rPr>
        <w:t xml:space="preserve"> is well settled that we are not required to consider, expressly or at length, each contention or argument raised by the parties.  </w:t>
      </w:r>
      <w:proofErr w:type="gramStart"/>
      <w:r w:rsidR="00727712" w:rsidRPr="00A55568">
        <w:rPr>
          <w:rFonts w:ascii="Times New Roman" w:hAnsi="Times New Roman"/>
          <w:i/>
          <w:color w:val="000000"/>
          <w:sz w:val="26"/>
          <w:szCs w:val="26"/>
        </w:rPr>
        <w:t>Consolidated Rail Corporation v. Pa. PUC</w:t>
      </w:r>
      <w:r w:rsidR="00727712" w:rsidRPr="00A55568">
        <w:rPr>
          <w:rFonts w:ascii="Times New Roman" w:hAnsi="Times New Roman"/>
          <w:color w:val="000000"/>
          <w:sz w:val="26"/>
          <w:szCs w:val="26"/>
        </w:rPr>
        <w:t xml:space="preserve">, 625 A.2d 741 (Pa. Cmwlth. 1993); see also, generally, </w:t>
      </w:r>
      <w:r w:rsidR="00727712" w:rsidRPr="00A55568">
        <w:rPr>
          <w:rFonts w:ascii="Times New Roman" w:hAnsi="Times New Roman"/>
          <w:i/>
          <w:color w:val="000000"/>
          <w:sz w:val="26"/>
          <w:szCs w:val="26"/>
        </w:rPr>
        <w:t>University of Pennsylvania v. Pa. PUC</w:t>
      </w:r>
      <w:r w:rsidR="00727712" w:rsidRPr="00A55568">
        <w:rPr>
          <w:rFonts w:ascii="Times New Roman" w:hAnsi="Times New Roman"/>
          <w:color w:val="000000"/>
          <w:sz w:val="26"/>
          <w:szCs w:val="26"/>
        </w:rPr>
        <w:t>, 485 A.2d 1217 (Pa. Cmwlth. 1984).</w:t>
      </w:r>
      <w:proofErr w:type="gramEnd"/>
    </w:p>
    <w:p w:rsidR="00727712" w:rsidRPr="00A55568" w:rsidRDefault="00727712" w:rsidP="000730AC">
      <w:pPr>
        <w:spacing w:line="360" w:lineRule="auto"/>
        <w:rPr>
          <w:rFonts w:ascii="Times New Roman" w:hAnsi="Times New Roman"/>
          <w:color w:val="000000"/>
          <w:sz w:val="26"/>
          <w:szCs w:val="26"/>
        </w:rPr>
      </w:pPr>
    </w:p>
    <w:p w:rsidR="00727712" w:rsidRPr="00A55568" w:rsidRDefault="00727712" w:rsidP="00474AF2">
      <w:pPr>
        <w:keepNext/>
        <w:keepLines/>
        <w:spacing w:line="360" w:lineRule="auto"/>
        <w:rPr>
          <w:rFonts w:ascii="Times New Roman" w:hAnsi="Times New Roman"/>
          <w:color w:val="000000"/>
          <w:sz w:val="26"/>
          <w:szCs w:val="26"/>
        </w:rPr>
      </w:pPr>
      <w:r w:rsidRPr="00A55568">
        <w:rPr>
          <w:rFonts w:ascii="Times New Roman" w:hAnsi="Times New Roman"/>
          <w:b/>
          <w:color w:val="000000"/>
          <w:sz w:val="26"/>
          <w:szCs w:val="26"/>
        </w:rPr>
        <w:lastRenderedPageBreak/>
        <w:t>ALJ’s Initial Decision</w:t>
      </w:r>
    </w:p>
    <w:p w:rsidR="00727712" w:rsidRPr="002234A9" w:rsidRDefault="00727712" w:rsidP="00474AF2">
      <w:pPr>
        <w:keepNext/>
        <w:keepLines/>
        <w:spacing w:line="360" w:lineRule="auto"/>
        <w:rPr>
          <w:rFonts w:ascii="Times New Roman" w:hAnsi="Times New Roman"/>
          <w:sz w:val="26"/>
          <w:szCs w:val="26"/>
        </w:rPr>
      </w:pPr>
    </w:p>
    <w:p w:rsidR="004712F7" w:rsidRPr="004712F7" w:rsidRDefault="004712F7" w:rsidP="000730A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4712F7">
        <w:rPr>
          <w:rFonts w:ascii="Times New Roman" w:hAnsi="Times New Roman"/>
          <w:sz w:val="26"/>
          <w:szCs w:val="26"/>
        </w:rPr>
        <w:t>In h</w:t>
      </w:r>
      <w:r w:rsidR="00C30A44">
        <w:rPr>
          <w:rFonts w:ascii="Times New Roman" w:hAnsi="Times New Roman"/>
          <w:sz w:val="26"/>
          <w:szCs w:val="26"/>
        </w:rPr>
        <w:t>is</w:t>
      </w:r>
      <w:r w:rsidRPr="004712F7">
        <w:rPr>
          <w:rFonts w:ascii="Times New Roman" w:hAnsi="Times New Roman"/>
          <w:sz w:val="26"/>
          <w:szCs w:val="26"/>
        </w:rPr>
        <w:t xml:space="preserve"> Initial Decision, ALJ </w:t>
      </w:r>
      <w:r w:rsidR="00C30A44">
        <w:rPr>
          <w:rFonts w:ascii="Times New Roman" w:hAnsi="Times New Roman"/>
          <w:sz w:val="26"/>
          <w:szCs w:val="26"/>
        </w:rPr>
        <w:t>Johnson</w:t>
      </w:r>
      <w:r w:rsidRPr="004712F7">
        <w:rPr>
          <w:rFonts w:ascii="Times New Roman" w:hAnsi="Times New Roman"/>
          <w:sz w:val="26"/>
          <w:szCs w:val="26"/>
        </w:rPr>
        <w:t xml:space="preserve"> made </w:t>
      </w:r>
      <w:r w:rsidR="00C30A44">
        <w:rPr>
          <w:rFonts w:ascii="Times New Roman" w:hAnsi="Times New Roman"/>
          <w:sz w:val="26"/>
          <w:szCs w:val="26"/>
        </w:rPr>
        <w:t>twenty-one Findings of Fact and reached seven</w:t>
      </w:r>
      <w:r w:rsidRPr="004712F7">
        <w:rPr>
          <w:rFonts w:ascii="Times New Roman" w:hAnsi="Times New Roman"/>
          <w:sz w:val="26"/>
          <w:szCs w:val="26"/>
        </w:rPr>
        <w:t xml:space="preserve"> Conclusions of Law.  I.D. at </w:t>
      </w:r>
      <w:r w:rsidR="00C30A44">
        <w:rPr>
          <w:rFonts w:ascii="Times New Roman" w:hAnsi="Times New Roman"/>
          <w:sz w:val="26"/>
          <w:szCs w:val="26"/>
        </w:rPr>
        <w:t>6-8</w:t>
      </w:r>
      <w:r w:rsidRPr="004712F7">
        <w:rPr>
          <w:rFonts w:ascii="Times New Roman" w:hAnsi="Times New Roman"/>
          <w:sz w:val="26"/>
          <w:szCs w:val="26"/>
        </w:rPr>
        <w:t xml:space="preserve">, </w:t>
      </w:r>
      <w:r w:rsidR="00C30A44">
        <w:rPr>
          <w:rFonts w:ascii="Times New Roman" w:hAnsi="Times New Roman"/>
          <w:sz w:val="26"/>
          <w:szCs w:val="26"/>
        </w:rPr>
        <w:t>14-15</w:t>
      </w:r>
      <w:r w:rsidRPr="004712F7">
        <w:rPr>
          <w:rFonts w:ascii="Times New Roman" w:hAnsi="Times New Roman"/>
          <w:sz w:val="26"/>
          <w:szCs w:val="26"/>
        </w:rPr>
        <w:t xml:space="preserve">.  </w:t>
      </w:r>
      <w:r w:rsidR="00502AE9">
        <w:rPr>
          <w:rFonts w:ascii="Times New Roman" w:hAnsi="Times New Roman"/>
          <w:sz w:val="26"/>
          <w:szCs w:val="26"/>
        </w:rPr>
        <w:t>The F</w:t>
      </w:r>
      <w:r w:rsidRPr="004712F7">
        <w:rPr>
          <w:rFonts w:ascii="Times New Roman" w:hAnsi="Times New Roman"/>
          <w:sz w:val="26"/>
          <w:szCs w:val="26"/>
        </w:rPr>
        <w:t>indings of Fact and Conclusions of Law</w:t>
      </w:r>
      <w:r w:rsidR="00502AE9">
        <w:rPr>
          <w:rFonts w:ascii="Times New Roman" w:hAnsi="Times New Roman"/>
          <w:sz w:val="26"/>
          <w:szCs w:val="26"/>
        </w:rPr>
        <w:t xml:space="preserve"> are incorporated herein by reference and are adopted, without comment </w:t>
      </w:r>
      <w:r w:rsidRPr="004712F7">
        <w:rPr>
          <w:rFonts w:ascii="Times New Roman" w:hAnsi="Times New Roman"/>
          <w:sz w:val="26"/>
          <w:szCs w:val="26"/>
        </w:rPr>
        <w:t xml:space="preserve">unless they are </w:t>
      </w:r>
      <w:r w:rsidR="00502AE9">
        <w:rPr>
          <w:rFonts w:ascii="Times New Roman" w:hAnsi="Times New Roman"/>
          <w:sz w:val="26"/>
          <w:szCs w:val="26"/>
        </w:rPr>
        <w:t>either expressly or by necessary implication rejected or modi</w:t>
      </w:r>
      <w:r w:rsidRPr="004712F7">
        <w:rPr>
          <w:rFonts w:ascii="Times New Roman" w:hAnsi="Times New Roman"/>
          <w:sz w:val="26"/>
          <w:szCs w:val="26"/>
        </w:rPr>
        <w:t>fied by this Opinion and Order</w:t>
      </w:r>
      <w:r w:rsidR="00502AE9">
        <w:rPr>
          <w:rFonts w:ascii="Times New Roman" w:hAnsi="Times New Roman"/>
          <w:sz w:val="26"/>
          <w:szCs w:val="26"/>
        </w:rPr>
        <w:t>.</w:t>
      </w:r>
    </w:p>
    <w:p w:rsidR="004712F7" w:rsidRPr="00A55568" w:rsidRDefault="004712F7" w:rsidP="000730AC">
      <w:pPr>
        <w:spacing w:line="360" w:lineRule="auto"/>
        <w:rPr>
          <w:rFonts w:ascii="Times New Roman" w:hAnsi="Times New Roman"/>
          <w:i/>
          <w:sz w:val="26"/>
          <w:szCs w:val="26"/>
        </w:rPr>
      </w:pPr>
    </w:p>
    <w:p w:rsidR="00C30A44" w:rsidRPr="00C76A28" w:rsidRDefault="00F1302E" w:rsidP="000730AC">
      <w:pPr>
        <w:spacing w:line="360" w:lineRule="auto"/>
        <w:ind w:firstLine="1440"/>
        <w:rPr>
          <w:rFonts w:ascii="Times New Roman" w:hAnsi="Times New Roman"/>
          <w:sz w:val="26"/>
          <w:szCs w:val="26"/>
        </w:rPr>
      </w:pPr>
      <w:r>
        <w:rPr>
          <w:rFonts w:ascii="Times New Roman" w:hAnsi="Times New Roman"/>
          <w:color w:val="000000"/>
          <w:sz w:val="26"/>
          <w:szCs w:val="26"/>
        </w:rPr>
        <w:t xml:space="preserve">As noted earlier, </w:t>
      </w:r>
      <w:r>
        <w:rPr>
          <w:rFonts w:ascii="Times New Roman" w:eastAsia="Times New Roman" w:hAnsi="Times New Roman"/>
          <w:sz w:val="26"/>
          <w:szCs w:val="26"/>
        </w:rPr>
        <w:t>PGW</w:t>
      </w:r>
      <w:r w:rsidRPr="002F476C">
        <w:rPr>
          <w:rFonts w:ascii="Times New Roman" w:eastAsia="Times New Roman" w:hAnsi="Times New Roman"/>
          <w:sz w:val="26"/>
          <w:szCs w:val="26"/>
        </w:rPr>
        <w:t xml:space="preserve">’s counsel moved to dismiss the </w:t>
      </w:r>
      <w:r>
        <w:rPr>
          <w:rFonts w:ascii="Times New Roman" w:eastAsia="Times New Roman" w:hAnsi="Times New Roman"/>
          <w:sz w:val="26"/>
          <w:szCs w:val="26"/>
        </w:rPr>
        <w:t>C</w:t>
      </w:r>
      <w:r w:rsidRPr="002F476C">
        <w:rPr>
          <w:rFonts w:ascii="Times New Roman" w:eastAsia="Times New Roman" w:hAnsi="Times New Roman"/>
          <w:sz w:val="26"/>
          <w:szCs w:val="26"/>
        </w:rPr>
        <w:t>omplaint for lack of prosecution</w:t>
      </w:r>
      <w:r>
        <w:rPr>
          <w:rFonts w:ascii="Times New Roman" w:eastAsia="Times New Roman" w:hAnsi="Times New Roman"/>
          <w:sz w:val="26"/>
          <w:szCs w:val="26"/>
        </w:rPr>
        <w:t xml:space="preserve"> after Complainant ended her telephonic participation and left the hearing after completion of her testimony and cross examination.</w:t>
      </w:r>
      <w:r>
        <w:rPr>
          <w:rFonts w:ascii="Times New Roman" w:hAnsi="Times New Roman"/>
          <w:color w:val="000000"/>
          <w:sz w:val="26"/>
          <w:szCs w:val="26"/>
        </w:rPr>
        <w:t xml:space="preserve">  </w:t>
      </w:r>
      <w:r w:rsidR="0043306D">
        <w:rPr>
          <w:rFonts w:ascii="Times New Roman" w:hAnsi="Times New Roman"/>
          <w:color w:val="000000"/>
          <w:sz w:val="26"/>
          <w:szCs w:val="26"/>
        </w:rPr>
        <w:t>In his Initial Decision, t</w:t>
      </w:r>
      <w:r w:rsidR="005D3788" w:rsidRPr="005D3788">
        <w:rPr>
          <w:rFonts w:ascii="Times New Roman" w:hAnsi="Times New Roman"/>
          <w:color w:val="000000"/>
          <w:sz w:val="26"/>
          <w:szCs w:val="26"/>
        </w:rPr>
        <w:t xml:space="preserve">he ALJ </w:t>
      </w:r>
      <w:r w:rsidR="00C30A44">
        <w:rPr>
          <w:rFonts w:ascii="Times New Roman" w:hAnsi="Times New Roman"/>
          <w:color w:val="000000"/>
          <w:sz w:val="26"/>
          <w:szCs w:val="26"/>
        </w:rPr>
        <w:t>denied</w:t>
      </w:r>
      <w:r w:rsidR="005D3788" w:rsidRPr="005D3788">
        <w:rPr>
          <w:rFonts w:ascii="Times New Roman" w:hAnsi="Times New Roman"/>
          <w:color w:val="000000"/>
          <w:sz w:val="26"/>
          <w:szCs w:val="26"/>
        </w:rPr>
        <w:t xml:space="preserve"> </w:t>
      </w:r>
      <w:r w:rsidR="002F476C">
        <w:rPr>
          <w:rFonts w:ascii="Times New Roman" w:hAnsi="Times New Roman"/>
          <w:color w:val="000000"/>
          <w:sz w:val="26"/>
          <w:szCs w:val="26"/>
        </w:rPr>
        <w:t xml:space="preserve">PGW’s </w:t>
      </w:r>
      <w:r w:rsidR="00C70E8F">
        <w:rPr>
          <w:rFonts w:ascii="Times New Roman" w:hAnsi="Times New Roman"/>
          <w:color w:val="000000"/>
          <w:sz w:val="26"/>
          <w:szCs w:val="26"/>
        </w:rPr>
        <w:t>Motion to Dismiss</w:t>
      </w:r>
      <w:r w:rsidR="005D3788" w:rsidRPr="005D3788">
        <w:rPr>
          <w:rFonts w:ascii="Times New Roman" w:hAnsi="Times New Roman"/>
          <w:color w:val="000000"/>
          <w:sz w:val="26"/>
          <w:szCs w:val="26"/>
        </w:rPr>
        <w:t xml:space="preserve"> </w:t>
      </w:r>
      <w:r>
        <w:rPr>
          <w:rFonts w:ascii="Times New Roman" w:hAnsi="Times New Roman"/>
          <w:color w:val="000000"/>
          <w:sz w:val="26"/>
          <w:szCs w:val="26"/>
        </w:rPr>
        <w:t>since</w:t>
      </w:r>
      <w:r w:rsidR="004C3C65">
        <w:rPr>
          <w:rFonts w:ascii="Times New Roman" w:hAnsi="Times New Roman"/>
          <w:sz w:val="26"/>
          <w:szCs w:val="26"/>
        </w:rPr>
        <w:t xml:space="preserve"> the Complainant </w:t>
      </w:r>
      <w:r w:rsidR="0043306D">
        <w:rPr>
          <w:rFonts w:ascii="Times New Roman" w:hAnsi="Times New Roman"/>
          <w:sz w:val="26"/>
          <w:szCs w:val="26"/>
        </w:rPr>
        <w:t>only left the hearing after she had participated in the hearing and</w:t>
      </w:r>
      <w:r w:rsidR="00C32AFC">
        <w:rPr>
          <w:rFonts w:ascii="Times New Roman" w:hAnsi="Times New Roman"/>
          <w:sz w:val="26"/>
          <w:szCs w:val="26"/>
        </w:rPr>
        <w:t xml:space="preserve"> </w:t>
      </w:r>
      <w:r w:rsidR="004C3C65">
        <w:rPr>
          <w:rFonts w:ascii="Times New Roman" w:hAnsi="Times New Roman"/>
          <w:sz w:val="26"/>
          <w:szCs w:val="26"/>
        </w:rPr>
        <w:t xml:space="preserve">presented her testimony and </w:t>
      </w:r>
      <w:r w:rsidR="005477C8">
        <w:rPr>
          <w:rFonts w:ascii="Times New Roman" w:hAnsi="Times New Roman"/>
          <w:sz w:val="26"/>
          <w:szCs w:val="26"/>
        </w:rPr>
        <w:t xml:space="preserve">was </w:t>
      </w:r>
      <w:r>
        <w:rPr>
          <w:rFonts w:ascii="Times New Roman" w:hAnsi="Times New Roman"/>
          <w:sz w:val="26"/>
          <w:szCs w:val="26"/>
        </w:rPr>
        <w:t>subjected</w:t>
      </w:r>
      <w:r w:rsidR="004C3C65">
        <w:rPr>
          <w:rFonts w:ascii="Times New Roman" w:hAnsi="Times New Roman"/>
          <w:sz w:val="26"/>
          <w:szCs w:val="26"/>
        </w:rPr>
        <w:t xml:space="preserve"> to cross-examination</w:t>
      </w:r>
      <w:r w:rsidR="00B76CC9">
        <w:rPr>
          <w:rFonts w:ascii="Times New Roman" w:hAnsi="Times New Roman"/>
          <w:sz w:val="26"/>
          <w:szCs w:val="26"/>
        </w:rPr>
        <w:t xml:space="preserve">. </w:t>
      </w:r>
      <w:r w:rsidR="005B6BAF">
        <w:rPr>
          <w:rFonts w:ascii="Times New Roman" w:hAnsi="Times New Roman"/>
          <w:sz w:val="26"/>
          <w:szCs w:val="26"/>
        </w:rPr>
        <w:t xml:space="preserve"> </w:t>
      </w:r>
      <w:r w:rsidR="00B76CC9">
        <w:rPr>
          <w:rFonts w:ascii="Times New Roman" w:hAnsi="Times New Roman"/>
          <w:sz w:val="26"/>
          <w:szCs w:val="26"/>
        </w:rPr>
        <w:t xml:space="preserve">The ALJ cites to Commission’s Opinion and Order </w:t>
      </w:r>
      <w:r>
        <w:rPr>
          <w:rFonts w:ascii="Times New Roman" w:hAnsi="Times New Roman"/>
          <w:i/>
          <w:sz w:val="26"/>
          <w:szCs w:val="26"/>
        </w:rPr>
        <w:t xml:space="preserve">Martin W. Jefferson v. UGI Utilities, Inc. </w:t>
      </w:r>
      <w:r w:rsidR="00B76CC9">
        <w:rPr>
          <w:rFonts w:ascii="Times New Roman" w:hAnsi="Times New Roman"/>
          <w:sz w:val="26"/>
          <w:szCs w:val="26"/>
        </w:rPr>
        <w:t xml:space="preserve">at Docket No. </w:t>
      </w:r>
      <w:proofErr w:type="gramStart"/>
      <w:r w:rsidR="00B76CC9">
        <w:rPr>
          <w:rFonts w:ascii="Times New Roman" w:hAnsi="Times New Roman"/>
          <w:sz w:val="26"/>
          <w:szCs w:val="26"/>
        </w:rPr>
        <w:t>Z</w:t>
      </w:r>
      <w:r>
        <w:rPr>
          <w:rFonts w:ascii="Times New Roman" w:hAnsi="Times New Roman"/>
          <w:sz w:val="26"/>
          <w:szCs w:val="26"/>
        </w:rPr>
        <w:noBreakHyphen/>
        <w:t xml:space="preserve">00269892, </w:t>
      </w:r>
      <w:r w:rsidR="00C07885">
        <w:rPr>
          <w:rFonts w:ascii="Times New Roman" w:hAnsi="Times New Roman"/>
          <w:sz w:val="26"/>
          <w:szCs w:val="26"/>
        </w:rPr>
        <w:t>(</w:t>
      </w:r>
      <w:r w:rsidR="00C32AFC">
        <w:rPr>
          <w:rFonts w:ascii="Times New Roman" w:hAnsi="Times New Roman"/>
          <w:sz w:val="26"/>
          <w:szCs w:val="26"/>
        </w:rPr>
        <w:t>Opinion and O</w:t>
      </w:r>
      <w:r>
        <w:rPr>
          <w:rFonts w:ascii="Times New Roman" w:hAnsi="Times New Roman"/>
          <w:sz w:val="26"/>
          <w:szCs w:val="26"/>
        </w:rPr>
        <w:t>rder e</w:t>
      </w:r>
      <w:r w:rsidR="00B76CC9">
        <w:rPr>
          <w:rFonts w:ascii="Times New Roman" w:hAnsi="Times New Roman"/>
          <w:sz w:val="26"/>
          <w:szCs w:val="26"/>
        </w:rPr>
        <w:t>ntered on December 26, 1995</w:t>
      </w:r>
      <w:r w:rsidR="00C07885">
        <w:rPr>
          <w:rFonts w:ascii="Times New Roman" w:hAnsi="Times New Roman"/>
          <w:sz w:val="26"/>
          <w:szCs w:val="26"/>
        </w:rPr>
        <w:t>)</w:t>
      </w:r>
      <w:r>
        <w:rPr>
          <w:rFonts w:ascii="Times New Roman" w:hAnsi="Times New Roman"/>
          <w:sz w:val="26"/>
          <w:szCs w:val="26"/>
        </w:rPr>
        <w:t>,</w:t>
      </w:r>
      <w:r w:rsidR="00B76CC9">
        <w:rPr>
          <w:rFonts w:ascii="Times New Roman" w:hAnsi="Times New Roman"/>
          <w:sz w:val="26"/>
          <w:szCs w:val="26"/>
        </w:rPr>
        <w:t xml:space="preserve"> and </w:t>
      </w:r>
      <w:r w:rsidRPr="00C32AFC">
        <w:rPr>
          <w:rFonts w:ascii="Times New Roman" w:hAnsi="Times New Roman"/>
          <w:i/>
          <w:sz w:val="26"/>
          <w:szCs w:val="26"/>
        </w:rPr>
        <w:t>Hanna El-Ayazra v. West Penn Power Company</w:t>
      </w:r>
      <w:r>
        <w:rPr>
          <w:rFonts w:ascii="Times New Roman" w:hAnsi="Times New Roman"/>
          <w:sz w:val="26"/>
          <w:szCs w:val="26"/>
        </w:rPr>
        <w:t xml:space="preserve"> at </w:t>
      </w:r>
      <w:r w:rsidR="00B76CC9">
        <w:rPr>
          <w:rFonts w:ascii="Times New Roman" w:hAnsi="Times New Roman"/>
          <w:sz w:val="26"/>
          <w:szCs w:val="26"/>
        </w:rPr>
        <w:t>Docket No.</w:t>
      </w:r>
      <w:proofErr w:type="gramEnd"/>
      <w:r w:rsidR="00B76CC9">
        <w:rPr>
          <w:rFonts w:ascii="Times New Roman" w:hAnsi="Times New Roman"/>
          <w:sz w:val="26"/>
          <w:szCs w:val="26"/>
        </w:rPr>
        <w:t xml:space="preserve"> F-2015-2509292</w:t>
      </w:r>
      <w:r>
        <w:rPr>
          <w:rFonts w:ascii="Times New Roman" w:hAnsi="Times New Roman"/>
          <w:sz w:val="26"/>
          <w:szCs w:val="26"/>
        </w:rPr>
        <w:t xml:space="preserve">, </w:t>
      </w:r>
      <w:r w:rsidR="00C07885">
        <w:rPr>
          <w:rFonts w:ascii="Times New Roman" w:hAnsi="Times New Roman"/>
          <w:sz w:val="26"/>
          <w:szCs w:val="26"/>
        </w:rPr>
        <w:t>(</w:t>
      </w:r>
      <w:r w:rsidR="00C32AFC">
        <w:rPr>
          <w:rFonts w:ascii="Times New Roman" w:hAnsi="Times New Roman"/>
          <w:sz w:val="26"/>
          <w:szCs w:val="26"/>
        </w:rPr>
        <w:t>Opinion O</w:t>
      </w:r>
      <w:r>
        <w:rPr>
          <w:rFonts w:ascii="Times New Roman" w:hAnsi="Times New Roman"/>
          <w:sz w:val="26"/>
          <w:szCs w:val="26"/>
        </w:rPr>
        <w:t>rder entered on June 30, 2016</w:t>
      </w:r>
      <w:r w:rsidR="00C07885">
        <w:rPr>
          <w:rFonts w:ascii="Times New Roman" w:hAnsi="Times New Roman"/>
          <w:sz w:val="26"/>
          <w:szCs w:val="26"/>
        </w:rPr>
        <w:t>)</w:t>
      </w:r>
      <w:r>
        <w:rPr>
          <w:rFonts w:ascii="Times New Roman" w:hAnsi="Times New Roman"/>
          <w:sz w:val="26"/>
          <w:szCs w:val="26"/>
        </w:rPr>
        <w:t>,</w:t>
      </w:r>
      <w:r w:rsidR="00C32AFC">
        <w:rPr>
          <w:rFonts w:ascii="Times New Roman" w:hAnsi="Times New Roman"/>
          <w:sz w:val="26"/>
          <w:szCs w:val="26"/>
        </w:rPr>
        <w:t xml:space="preserve"> </w:t>
      </w:r>
      <w:r w:rsidR="005B6BAF">
        <w:rPr>
          <w:rFonts w:ascii="Times New Roman" w:hAnsi="Times New Roman"/>
          <w:sz w:val="26"/>
          <w:szCs w:val="26"/>
        </w:rPr>
        <w:t xml:space="preserve">and </w:t>
      </w:r>
      <w:r w:rsidR="00C32AFC">
        <w:rPr>
          <w:rFonts w:ascii="Times New Roman" w:hAnsi="Times New Roman"/>
          <w:sz w:val="26"/>
          <w:szCs w:val="26"/>
        </w:rPr>
        <w:t xml:space="preserve">noted that a motion to dismiss for lack of prosecution is appropriate when the party with the burden of proof has failed to appear for the hearing, without explanation, or has failed to participate in the hearing in any manner.  The ALJ noted that </w:t>
      </w:r>
      <w:r w:rsidR="007D7FA0">
        <w:rPr>
          <w:rFonts w:ascii="Times New Roman" w:hAnsi="Times New Roman"/>
          <w:sz w:val="26"/>
          <w:szCs w:val="26"/>
        </w:rPr>
        <w:t xml:space="preserve">by exiting the hearing early </w:t>
      </w:r>
      <w:r w:rsidR="00C32AFC">
        <w:rPr>
          <w:rFonts w:ascii="Times New Roman" w:hAnsi="Times New Roman"/>
          <w:sz w:val="26"/>
          <w:szCs w:val="26"/>
        </w:rPr>
        <w:t xml:space="preserve">the Complainant waived her right to cross-examine PGW’s witness, but </w:t>
      </w:r>
      <w:r w:rsidR="007D7FA0">
        <w:rPr>
          <w:rFonts w:ascii="Times New Roman" w:hAnsi="Times New Roman"/>
          <w:sz w:val="26"/>
          <w:szCs w:val="26"/>
        </w:rPr>
        <w:t xml:space="preserve">it would be a blatant error </w:t>
      </w:r>
      <w:r w:rsidR="0043306D">
        <w:rPr>
          <w:rFonts w:ascii="Times New Roman" w:hAnsi="Times New Roman"/>
          <w:sz w:val="26"/>
          <w:szCs w:val="26"/>
        </w:rPr>
        <w:t>to conclude</w:t>
      </w:r>
      <w:r w:rsidR="00C32AFC">
        <w:rPr>
          <w:rFonts w:ascii="Times New Roman" w:hAnsi="Times New Roman"/>
          <w:sz w:val="26"/>
          <w:szCs w:val="26"/>
        </w:rPr>
        <w:t xml:space="preserve"> that she failed to prosecute.</w:t>
      </w:r>
      <w:r w:rsidR="00C76A28">
        <w:rPr>
          <w:rFonts w:ascii="Times New Roman" w:hAnsi="Times New Roman"/>
          <w:sz w:val="26"/>
          <w:szCs w:val="26"/>
        </w:rPr>
        <w:t xml:space="preserve">  </w:t>
      </w:r>
      <w:proofErr w:type="gramStart"/>
      <w:r w:rsidR="00C76A28">
        <w:rPr>
          <w:rFonts w:ascii="Times New Roman" w:hAnsi="Times New Roman"/>
          <w:sz w:val="26"/>
          <w:szCs w:val="26"/>
        </w:rPr>
        <w:t>I.D. at 12.</w:t>
      </w:r>
      <w:proofErr w:type="gramEnd"/>
      <w:r w:rsidR="00C32AFC">
        <w:rPr>
          <w:rFonts w:ascii="Times New Roman" w:hAnsi="Times New Roman"/>
          <w:sz w:val="26"/>
          <w:szCs w:val="26"/>
        </w:rPr>
        <w:t xml:space="preserve">  The ALJ further noted that </w:t>
      </w:r>
      <w:r w:rsidR="004C3C65">
        <w:rPr>
          <w:rFonts w:ascii="Times New Roman" w:hAnsi="Times New Roman"/>
          <w:sz w:val="26"/>
          <w:szCs w:val="26"/>
        </w:rPr>
        <w:t xml:space="preserve">there </w:t>
      </w:r>
      <w:r w:rsidR="00824F0F">
        <w:rPr>
          <w:rFonts w:ascii="Times New Roman" w:hAnsi="Times New Roman"/>
          <w:sz w:val="26"/>
          <w:szCs w:val="26"/>
        </w:rPr>
        <w:t>was</w:t>
      </w:r>
      <w:r w:rsidR="004C3C65">
        <w:rPr>
          <w:rFonts w:ascii="Times New Roman" w:hAnsi="Times New Roman"/>
          <w:sz w:val="26"/>
          <w:szCs w:val="26"/>
        </w:rPr>
        <w:t xml:space="preserve"> sufficient record evidence presented by PGW to base a decision in this case.</w:t>
      </w:r>
      <w:r w:rsidR="00C76A28">
        <w:rPr>
          <w:rFonts w:ascii="Times New Roman" w:hAnsi="Times New Roman"/>
          <w:sz w:val="26"/>
          <w:szCs w:val="26"/>
        </w:rPr>
        <w:t xml:space="preserve">  </w:t>
      </w:r>
      <w:r w:rsidR="00C76A28">
        <w:rPr>
          <w:rFonts w:ascii="Times New Roman" w:hAnsi="Times New Roman"/>
          <w:i/>
          <w:sz w:val="26"/>
          <w:szCs w:val="26"/>
        </w:rPr>
        <w:t>Id</w:t>
      </w:r>
      <w:r w:rsidR="00C76A28">
        <w:rPr>
          <w:rFonts w:ascii="Times New Roman" w:hAnsi="Times New Roman"/>
          <w:sz w:val="26"/>
          <w:szCs w:val="26"/>
        </w:rPr>
        <w:t>.</w:t>
      </w:r>
    </w:p>
    <w:p w:rsidR="0099578F" w:rsidRDefault="0099578F" w:rsidP="000730AC">
      <w:pPr>
        <w:spacing w:line="360" w:lineRule="auto"/>
        <w:ind w:firstLine="1440"/>
        <w:rPr>
          <w:rFonts w:ascii="Times New Roman" w:hAnsi="Times New Roman"/>
          <w:sz w:val="26"/>
          <w:szCs w:val="26"/>
        </w:rPr>
      </w:pPr>
    </w:p>
    <w:p w:rsidR="0043306D" w:rsidRDefault="005477C8" w:rsidP="000730AC">
      <w:pPr>
        <w:spacing w:line="360" w:lineRule="auto"/>
        <w:ind w:firstLine="1440"/>
        <w:rPr>
          <w:rFonts w:ascii="Times New Roman" w:hAnsi="Times New Roman"/>
          <w:sz w:val="26"/>
          <w:szCs w:val="26"/>
        </w:rPr>
      </w:pPr>
      <w:r>
        <w:rPr>
          <w:rFonts w:ascii="Times New Roman" w:hAnsi="Times New Roman"/>
          <w:sz w:val="26"/>
          <w:szCs w:val="26"/>
        </w:rPr>
        <w:t>As to the rem</w:t>
      </w:r>
      <w:r w:rsidR="006B5FD5">
        <w:rPr>
          <w:rFonts w:ascii="Times New Roman" w:hAnsi="Times New Roman"/>
          <w:sz w:val="26"/>
          <w:szCs w:val="26"/>
        </w:rPr>
        <w:t>a</w:t>
      </w:r>
      <w:r>
        <w:rPr>
          <w:rFonts w:ascii="Times New Roman" w:hAnsi="Times New Roman"/>
          <w:sz w:val="26"/>
          <w:szCs w:val="26"/>
        </w:rPr>
        <w:t>inder of the Complaint</w:t>
      </w:r>
      <w:r w:rsidR="005B6BAF">
        <w:rPr>
          <w:rFonts w:ascii="Times New Roman" w:hAnsi="Times New Roman"/>
          <w:sz w:val="26"/>
          <w:szCs w:val="26"/>
        </w:rPr>
        <w:t>, the ALJ noted that the Complainant raised three issues: service termination, billing charges dating back to 2007</w:t>
      </w:r>
      <w:r w:rsidR="006B5FD5">
        <w:rPr>
          <w:rFonts w:ascii="Times New Roman" w:hAnsi="Times New Roman"/>
          <w:sz w:val="26"/>
          <w:szCs w:val="26"/>
        </w:rPr>
        <w:t>,</w:t>
      </w:r>
      <w:r w:rsidR="005B6BAF">
        <w:rPr>
          <w:rFonts w:ascii="Times New Roman" w:hAnsi="Times New Roman"/>
          <w:sz w:val="26"/>
          <w:szCs w:val="26"/>
        </w:rPr>
        <w:t xml:space="preserve"> and reinstatement into PGW’s Customer Responsibility Program (CRP)</w:t>
      </w:r>
      <w:r w:rsidR="00B76CC9">
        <w:rPr>
          <w:rFonts w:ascii="Times New Roman" w:hAnsi="Times New Roman"/>
          <w:sz w:val="26"/>
          <w:szCs w:val="26"/>
        </w:rPr>
        <w:t xml:space="preserve">.  </w:t>
      </w:r>
      <w:r w:rsidR="0043306D">
        <w:rPr>
          <w:rFonts w:ascii="Times New Roman" w:hAnsi="Times New Roman"/>
          <w:sz w:val="26"/>
          <w:szCs w:val="26"/>
        </w:rPr>
        <w:t xml:space="preserve">The ALJ noted </w:t>
      </w:r>
      <w:r w:rsidR="00683614">
        <w:rPr>
          <w:rFonts w:ascii="Times New Roman" w:hAnsi="Times New Roman"/>
          <w:sz w:val="26"/>
          <w:szCs w:val="26"/>
        </w:rPr>
        <w:t xml:space="preserve">that </w:t>
      </w:r>
      <w:r w:rsidR="0043306D">
        <w:rPr>
          <w:rFonts w:ascii="Times New Roman" w:hAnsi="Times New Roman"/>
          <w:sz w:val="26"/>
          <w:szCs w:val="26"/>
        </w:rPr>
        <w:lastRenderedPageBreak/>
        <w:t xml:space="preserve">by his ruling on PGW’s preliminary objections he had dismissed </w:t>
      </w:r>
      <w:r w:rsidR="00683614">
        <w:rPr>
          <w:rFonts w:ascii="Times New Roman" w:hAnsi="Times New Roman"/>
          <w:sz w:val="26"/>
          <w:szCs w:val="26"/>
        </w:rPr>
        <w:t>t</w:t>
      </w:r>
      <w:r w:rsidR="004E4B28">
        <w:rPr>
          <w:rFonts w:ascii="Times New Roman" w:hAnsi="Times New Roman"/>
          <w:sz w:val="26"/>
          <w:szCs w:val="26"/>
        </w:rPr>
        <w:t>h</w:t>
      </w:r>
      <w:r w:rsidR="00683614">
        <w:rPr>
          <w:rFonts w:ascii="Times New Roman" w:hAnsi="Times New Roman"/>
          <w:sz w:val="26"/>
          <w:szCs w:val="26"/>
        </w:rPr>
        <w:t>e</w:t>
      </w:r>
      <w:r w:rsidR="005B6BAF">
        <w:rPr>
          <w:rFonts w:ascii="Times New Roman" w:hAnsi="Times New Roman"/>
          <w:sz w:val="26"/>
          <w:szCs w:val="26"/>
        </w:rPr>
        <w:t xml:space="preserve"> </w:t>
      </w:r>
      <w:r w:rsidR="00683614">
        <w:rPr>
          <w:rFonts w:ascii="Times New Roman" w:hAnsi="Times New Roman"/>
          <w:sz w:val="26"/>
          <w:szCs w:val="26"/>
        </w:rPr>
        <w:t xml:space="preserve">Complainant’s issue with </w:t>
      </w:r>
      <w:r w:rsidR="005B6BAF">
        <w:rPr>
          <w:rFonts w:ascii="Times New Roman" w:hAnsi="Times New Roman"/>
          <w:sz w:val="26"/>
          <w:szCs w:val="26"/>
        </w:rPr>
        <w:t>billing charges dating back to 2007</w:t>
      </w:r>
      <w:r w:rsidR="007D7FA0">
        <w:rPr>
          <w:rFonts w:ascii="Times New Roman" w:hAnsi="Times New Roman"/>
          <w:sz w:val="26"/>
          <w:szCs w:val="26"/>
        </w:rPr>
        <w:t>.</w:t>
      </w:r>
      <w:r w:rsidR="004E4B28">
        <w:rPr>
          <w:rStyle w:val="FootnoteReference"/>
          <w:rFonts w:ascii="Times New Roman" w:hAnsi="Times New Roman"/>
          <w:sz w:val="26"/>
          <w:szCs w:val="26"/>
        </w:rPr>
        <w:footnoteReference w:id="2"/>
      </w:r>
      <w:r w:rsidR="005B6BAF">
        <w:rPr>
          <w:rFonts w:ascii="Times New Roman" w:hAnsi="Times New Roman"/>
          <w:sz w:val="26"/>
          <w:szCs w:val="26"/>
        </w:rPr>
        <w:t xml:space="preserve"> </w:t>
      </w:r>
      <w:r w:rsidR="00C76A28">
        <w:rPr>
          <w:rFonts w:ascii="Times New Roman" w:hAnsi="Times New Roman"/>
          <w:sz w:val="26"/>
          <w:szCs w:val="26"/>
        </w:rPr>
        <w:t xml:space="preserve"> </w:t>
      </w:r>
      <w:proofErr w:type="gramStart"/>
      <w:r w:rsidR="00C76A28">
        <w:rPr>
          <w:rFonts w:ascii="Times New Roman" w:hAnsi="Times New Roman"/>
          <w:sz w:val="26"/>
          <w:szCs w:val="26"/>
        </w:rPr>
        <w:t>I.D. at 12.</w:t>
      </w:r>
      <w:proofErr w:type="gramEnd"/>
      <w:r w:rsidR="005B6BAF">
        <w:rPr>
          <w:rFonts w:ascii="Times New Roman" w:hAnsi="Times New Roman"/>
          <w:sz w:val="26"/>
          <w:szCs w:val="26"/>
        </w:rPr>
        <w:t xml:space="preserve"> </w:t>
      </w:r>
    </w:p>
    <w:p w:rsidR="0043306D" w:rsidRDefault="0043306D" w:rsidP="000730AC">
      <w:pPr>
        <w:spacing w:line="360" w:lineRule="auto"/>
        <w:ind w:firstLine="1440"/>
        <w:rPr>
          <w:rFonts w:ascii="Times New Roman" w:hAnsi="Times New Roman"/>
          <w:sz w:val="26"/>
          <w:szCs w:val="26"/>
        </w:rPr>
      </w:pPr>
    </w:p>
    <w:p w:rsidR="0099578F" w:rsidRDefault="005B6BAF" w:rsidP="000730AC">
      <w:pPr>
        <w:spacing w:line="360" w:lineRule="auto"/>
        <w:ind w:firstLine="1440"/>
        <w:rPr>
          <w:rFonts w:ascii="Times New Roman" w:hAnsi="Times New Roman"/>
          <w:sz w:val="26"/>
          <w:szCs w:val="26"/>
        </w:rPr>
      </w:pPr>
      <w:r>
        <w:rPr>
          <w:rFonts w:ascii="Times New Roman" w:hAnsi="Times New Roman"/>
          <w:sz w:val="26"/>
          <w:szCs w:val="26"/>
        </w:rPr>
        <w:t xml:space="preserve">With regard to the Complainant’s service termination issue, the ALJ found that the Complainant admitted </w:t>
      </w:r>
      <w:r w:rsidR="003E01A8">
        <w:rPr>
          <w:rFonts w:ascii="Times New Roman" w:hAnsi="Times New Roman"/>
          <w:sz w:val="26"/>
          <w:szCs w:val="26"/>
        </w:rPr>
        <w:t xml:space="preserve">that she </w:t>
      </w:r>
      <w:r>
        <w:rPr>
          <w:rFonts w:ascii="Times New Roman" w:hAnsi="Times New Roman"/>
          <w:sz w:val="26"/>
          <w:szCs w:val="26"/>
        </w:rPr>
        <w:t>receiv</w:t>
      </w:r>
      <w:r w:rsidR="0043306D">
        <w:rPr>
          <w:rFonts w:ascii="Times New Roman" w:hAnsi="Times New Roman"/>
          <w:sz w:val="26"/>
          <w:szCs w:val="26"/>
        </w:rPr>
        <w:t>ed</w:t>
      </w:r>
      <w:r>
        <w:rPr>
          <w:rFonts w:ascii="Times New Roman" w:hAnsi="Times New Roman"/>
          <w:sz w:val="26"/>
          <w:szCs w:val="26"/>
        </w:rPr>
        <w:t xml:space="preserve"> a ten-day service termination notice</w:t>
      </w:r>
      <w:r w:rsidR="0043306D">
        <w:rPr>
          <w:rFonts w:ascii="Times New Roman" w:hAnsi="Times New Roman"/>
          <w:sz w:val="26"/>
          <w:szCs w:val="26"/>
        </w:rPr>
        <w:t>,</w:t>
      </w:r>
      <w:r w:rsidR="0043306D">
        <w:rPr>
          <w:rStyle w:val="FootnoteReference"/>
          <w:rFonts w:ascii="Times New Roman" w:hAnsi="Times New Roman"/>
          <w:sz w:val="26"/>
          <w:szCs w:val="26"/>
        </w:rPr>
        <w:footnoteReference w:id="3"/>
      </w:r>
      <w:r>
        <w:rPr>
          <w:rFonts w:ascii="Times New Roman" w:hAnsi="Times New Roman"/>
          <w:sz w:val="26"/>
          <w:szCs w:val="26"/>
        </w:rPr>
        <w:t xml:space="preserve"> and </w:t>
      </w:r>
      <w:r w:rsidR="00683614">
        <w:rPr>
          <w:rFonts w:ascii="Times New Roman" w:hAnsi="Times New Roman"/>
          <w:sz w:val="26"/>
          <w:szCs w:val="26"/>
        </w:rPr>
        <w:t xml:space="preserve">that she </w:t>
      </w:r>
      <w:r w:rsidR="0043306D">
        <w:rPr>
          <w:rFonts w:ascii="Times New Roman" w:hAnsi="Times New Roman"/>
          <w:sz w:val="26"/>
          <w:szCs w:val="26"/>
        </w:rPr>
        <w:t>failed to</w:t>
      </w:r>
      <w:r>
        <w:rPr>
          <w:rFonts w:ascii="Times New Roman" w:hAnsi="Times New Roman"/>
          <w:sz w:val="26"/>
          <w:szCs w:val="26"/>
        </w:rPr>
        <w:t xml:space="preserve"> present any evidence t</w:t>
      </w:r>
      <w:r w:rsidR="0046504D">
        <w:rPr>
          <w:rFonts w:ascii="Times New Roman" w:hAnsi="Times New Roman"/>
          <w:sz w:val="26"/>
          <w:szCs w:val="26"/>
        </w:rPr>
        <w:t>h</w:t>
      </w:r>
      <w:r>
        <w:rPr>
          <w:rFonts w:ascii="Times New Roman" w:hAnsi="Times New Roman"/>
          <w:sz w:val="26"/>
          <w:szCs w:val="26"/>
        </w:rPr>
        <w:t xml:space="preserve">at </w:t>
      </w:r>
      <w:r w:rsidR="007D7FA0">
        <w:rPr>
          <w:rFonts w:ascii="Times New Roman" w:hAnsi="Times New Roman"/>
          <w:sz w:val="26"/>
          <w:szCs w:val="26"/>
        </w:rPr>
        <w:t xml:space="preserve">PGW </w:t>
      </w:r>
      <w:r w:rsidR="0046504D">
        <w:rPr>
          <w:rFonts w:ascii="Times New Roman" w:hAnsi="Times New Roman"/>
          <w:sz w:val="26"/>
          <w:szCs w:val="26"/>
        </w:rPr>
        <w:t xml:space="preserve">violated the Code, 66 PA. </w:t>
      </w:r>
      <w:proofErr w:type="gramStart"/>
      <w:r w:rsidR="0046504D">
        <w:rPr>
          <w:rFonts w:ascii="Times New Roman" w:hAnsi="Times New Roman"/>
          <w:sz w:val="26"/>
          <w:szCs w:val="26"/>
        </w:rPr>
        <w:t>C.S.</w:t>
      </w:r>
      <w:r w:rsidR="0043306D">
        <w:rPr>
          <w:rFonts w:ascii="Times New Roman" w:hAnsi="Times New Roman"/>
          <w:sz w:val="26"/>
          <w:szCs w:val="26"/>
        </w:rPr>
        <w:t xml:space="preserve"> </w:t>
      </w:r>
      <w:r w:rsidR="0046504D">
        <w:rPr>
          <w:rFonts w:ascii="Times New Roman" w:hAnsi="Times New Roman"/>
          <w:sz w:val="26"/>
          <w:szCs w:val="26"/>
        </w:rPr>
        <w:t>§1406.</w:t>
      </w:r>
      <w:proofErr w:type="gramEnd"/>
      <w:r w:rsidR="0043306D">
        <w:rPr>
          <w:rFonts w:ascii="Times New Roman" w:hAnsi="Times New Roman"/>
          <w:sz w:val="26"/>
          <w:szCs w:val="26"/>
        </w:rPr>
        <w:t xml:space="preserve"> </w:t>
      </w:r>
      <w:r w:rsidR="0046504D">
        <w:rPr>
          <w:rFonts w:ascii="Times New Roman" w:hAnsi="Times New Roman"/>
          <w:sz w:val="26"/>
          <w:szCs w:val="26"/>
        </w:rPr>
        <w:t xml:space="preserve"> </w:t>
      </w:r>
      <w:r w:rsidR="0043306D">
        <w:rPr>
          <w:rFonts w:ascii="Times New Roman" w:hAnsi="Times New Roman"/>
          <w:sz w:val="26"/>
          <w:szCs w:val="26"/>
        </w:rPr>
        <w:t xml:space="preserve">The ALJ cites to </w:t>
      </w:r>
      <w:r w:rsidR="004E4B28">
        <w:rPr>
          <w:rFonts w:ascii="Times New Roman" w:hAnsi="Times New Roman"/>
          <w:sz w:val="26"/>
          <w:szCs w:val="26"/>
        </w:rPr>
        <w:t>Section 1406(a</w:t>
      </w:r>
      <w:proofErr w:type="gramStart"/>
      <w:r w:rsidR="004E4B28">
        <w:rPr>
          <w:rFonts w:ascii="Times New Roman" w:hAnsi="Times New Roman"/>
          <w:sz w:val="26"/>
          <w:szCs w:val="26"/>
        </w:rPr>
        <w:t>)(</w:t>
      </w:r>
      <w:proofErr w:type="gramEnd"/>
      <w:r w:rsidR="004E4B28">
        <w:rPr>
          <w:rFonts w:ascii="Times New Roman" w:hAnsi="Times New Roman"/>
          <w:sz w:val="26"/>
          <w:szCs w:val="26"/>
        </w:rPr>
        <w:t xml:space="preserve">1) of the Code </w:t>
      </w:r>
      <w:r w:rsidR="0043306D">
        <w:rPr>
          <w:rFonts w:ascii="Times New Roman" w:hAnsi="Times New Roman"/>
          <w:sz w:val="26"/>
          <w:szCs w:val="26"/>
        </w:rPr>
        <w:t xml:space="preserve">and explained that the statutes </w:t>
      </w:r>
      <w:r w:rsidR="004E4B28">
        <w:rPr>
          <w:rFonts w:ascii="Times New Roman" w:hAnsi="Times New Roman"/>
          <w:sz w:val="26"/>
          <w:szCs w:val="26"/>
        </w:rPr>
        <w:t xml:space="preserve">permits a utility to issue </w:t>
      </w:r>
      <w:r w:rsidR="0043306D">
        <w:rPr>
          <w:rFonts w:ascii="Times New Roman" w:hAnsi="Times New Roman"/>
          <w:sz w:val="26"/>
          <w:szCs w:val="26"/>
        </w:rPr>
        <w:t xml:space="preserve">service </w:t>
      </w:r>
      <w:r w:rsidR="004E4B28">
        <w:rPr>
          <w:rFonts w:ascii="Times New Roman" w:hAnsi="Times New Roman"/>
          <w:sz w:val="26"/>
          <w:szCs w:val="26"/>
        </w:rPr>
        <w:t>termination notice</w:t>
      </w:r>
      <w:r w:rsidR="0043306D">
        <w:rPr>
          <w:rFonts w:ascii="Times New Roman" w:hAnsi="Times New Roman"/>
          <w:sz w:val="26"/>
          <w:szCs w:val="26"/>
        </w:rPr>
        <w:t xml:space="preserve"> to</w:t>
      </w:r>
      <w:r w:rsidR="004E4B28">
        <w:rPr>
          <w:rFonts w:ascii="Times New Roman" w:hAnsi="Times New Roman"/>
          <w:sz w:val="26"/>
          <w:szCs w:val="26"/>
        </w:rPr>
        <w:t xml:space="preserve"> </w:t>
      </w:r>
      <w:r w:rsidR="0043306D">
        <w:rPr>
          <w:rFonts w:ascii="Times New Roman" w:hAnsi="Times New Roman"/>
          <w:sz w:val="26"/>
          <w:szCs w:val="26"/>
        </w:rPr>
        <w:t xml:space="preserve">a customer </w:t>
      </w:r>
      <w:r w:rsidR="004E4B28">
        <w:rPr>
          <w:rFonts w:ascii="Times New Roman" w:hAnsi="Times New Roman"/>
          <w:sz w:val="26"/>
          <w:szCs w:val="26"/>
        </w:rPr>
        <w:t>for nonpaymen</w:t>
      </w:r>
      <w:r w:rsidR="00650F06">
        <w:rPr>
          <w:rFonts w:ascii="Times New Roman" w:hAnsi="Times New Roman"/>
          <w:sz w:val="26"/>
          <w:szCs w:val="26"/>
        </w:rPr>
        <w:t>t</w:t>
      </w:r>
      <w:r w:rsidR="004E4B28">
        <w:rPr>
          <w:rFonts w:ascii="Times New Roman" w:hAnsi="Times New Roman"/>
          <w:sz w:val="26"/>
          <w:szCs w:val="26"/>
        </w:rPr>
        <w:t xml:space="preserve"> of an undisputed delinquent account.  66 Pa. C.S. §1406(a</w:t>
      </w:r>
      <w:proofErr w:type="gramStart"/>
      <w:r w:rsidR="004E4B28">
        <w:rPr>
          <w:rFonts w:ascii="Times New Roman" w:hAnsi="Times New Roman"/>
          <w:sz w:val="26"/>
          <w:szCs w:val="26"/>
        </w:rPr>
        <w:t>)(</w:t>
      </w:r>
      <w:proofErr w:type="gramEnd"/>
      <w:r w:rsidR="004E4B28">
        <w:rPr>
          <w:rFonts w:ascii="Times New Roman" w:hAnsi="Times New Roman"/>
          <w:sz w:val="26"/>
          <w:szCs w:val="26"/>
        </w:rPr>
        <w:t xml:space="preserve">1).   </w:t>
      </w:r>
      <w:r w:rsidR="0043306D">
        <w:rPr>
          <w:rFonts w:ascii="Times New Roman" w:hAnsi="Times New Roman"/>
          <w:sz w:val="26"/>
          <w:szCs w:val="26"/>
        </w:rPr>
        <w:t xml:space="preserve">The ALJ noted that the Complainant did not present any evidence to establish that of her outstanding charges in the amount of $4,353.50 were incorrect.  </w:t>
      </w:r>
      <w:r w:rsidR="004E4B28">
        <w:rPr>
          <w:rFonts w:ascii="Times New Roman" w:hAnsi="Times New Roman"/>
          <w:sz w:val="26"/>
          <w:szCs w:val="26"/>
        </w:rPr>
        <w:t>Accordingly,</w:t>
      </w:r>
      <w:r w:rsidR="00650F06">
        <w:rPr>
          <w:rFonts w:ascii="Times New Roman" w:hAnsi="Times New Roman"/>
          <w:sz w:val="26"/>
          <w:szCs w:val="26"/>
        </w:rPr>
        <w:t xml:space="preserve"> the ALJ found that the Complainant failed to carry her burden of proving that PGW violated a Commission Order, statute or regulation.  </w:t>
      </w:r>
      <w:proofErr w:type="gramStart"/>
      <w:r w:rsidR="00650F06">
        <w:rPr>
          <w:rFonts w:ascii="Times New Roman" w:hAnsi="Times New Roman"/>
          <w:sz w:val="26"/>
          <w:szCs w:val="26"/>
        </w:rPr>
        <w:t xml:space="preserve">I.D. at </w:t>
      </w:r>
      <w:r w:rsidR="00FA4196">
        <w:rPr>
          <w:rFonts w:ascii="Times New Roman" w:hAnsi="Times New Roman"/>
          <w:sz w:val="26"/>
          <w:szCs w:val="26"/>
        </w:rPr>
        <w:t xml:space="preserve">12; </w:t>
      </w:r>
      <w:r w:rsidR="00650F06">
        <w:rPr>
          <w:rFonts w:ascii="Times New Roman" w:hAnsi="Times New Roman"/>
          <w:sz w:val="26"/>
          <w:szCs w:val="26"/>
        </w:rPr>
        <w:t>15</w:t>
      </w:r>
      <w:r w:rsidR="00FA4196">
        <w:rPr>
          <w:rFonts w:ascii="Times New Roman" w:hAnsi="Times New Roman"/>
          <w:sz w:val="26"/>
          <w:szCs w:val="26"/>
        </w:rPr>
        <w:t>; 16</w:t>
      </w:r>
      <w:r w:rsidR="00650F06">
        <w:rPr>
          <w:rFonts w:ascii="Times New Roman" w:hAnsi="Times New Roman"/>
          <w:sz w:val="26"/>
          <w:szCs w:val="26"/>
        </w:rPr>
        <w:t>.</w:t>
      </w:r>
      <w:proofErr w:type="gramEnd"/>
    </w:p>
    <w:p w:rsidR="0099578F" w:rsidRDefault="0099578F" w:rsidP="000730AC">
      <w:pPr>
        <w:spacing w:line="360" w:lineRule="auto"/>
        <w:ind w:firstLine="1440"/>
        <w:rPr>
          <w:rFonts w:ascii="Times New Roman" w:hAnsi="Times New Roman"/>
          <w:sz w:val="26"/>
          <w:szCs w:val="26"/>
        </w:rPr>
      </w:pPr>
    </w:p>
    <w:p w:rsidR="00FA4196" w:rsidRDefault="00FA4196" w:rsidP="000730AC">
      <w:pPr>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In addressing the Complainant’s request for </w:t>
      </w:r>
      <w:r>
        <w:rPr>
          <w:rFonts w:ascii="Times New Roman" w:hAnsi="Times New Roman"/>
          <w:sz w:val="26"/>
          <w:szCs w:val="26"/>
        </w:rPr>
        <w:t>reinstatement into PGW’s CRP</w:t>
      </w:r>
      <w:r w:rsidR="000D7B15">
        <w:rPr>
          <w:rFonts w:ascii="Times New Roman" w:hAnsi="Times New Roman"/>
          <w:sz w:val="26"/>
          <w:szCs w:val="26"/>
        </w:rPr>
        <w:t xml:space="preserve"> and </w:t>
      </w:r>
      <w:r w:rsidR="00884513">
        <w:rPr>
          <w:rFonts w:ascii="Times New Roman" w:hAnsi="Times New Roman"/>
          <w:sz w:val="26"/>
          <w:szCs w:val="26"/>
        </w:rPr>
        <w:t>a Commission-ordered payment arrangement</w:t>
      </w:r>
      <w:r>
        <w:rPr>
          <w:rFonts w:ascii="Times New Roman" w:hAnsi="Times New Roman"/>
          <w:sz w:val="26"/>
          <w:szCs w:val="26"/>
        </w:rPr>
        <w:t>, the ALJ</w:t>
      </w:r>
      <w:r w:rsidR="00884513">
        <w:rPr>
          <w:rFonts w:ascii="Times New Roman" w:hAnsi="Times New Roman"/>
          <w:sz w:val="26"/>
          <w:szCs w:val="26"/>
        </w:rPr>
        <w:t xml:space="preserve"> </w:t>
      </w:r>
      <w:r w:rsidR="000D7B15">
        <w:rPr>
          <w:rFonts w:ascii="Times New Roman" w:hAnsi="Times New Roman"/>
          <w:sz w:val="26"/>
          <w:szCs w:val="26"/>
        </w:rPr>
        <w:t xml:space="preserve">referenced Section 1405(c) of the Code, which states that </w:t>
      </w:r>
      <w:r w:rsidR="000F055E">
        <w:rPr>
          <w:rFonts w:ascii="Times New Roman" w:hAnsi="Times New Roman"/>
          <w:sz w:val="26"/>
          <w:szCs w:val="26"/>
        </w:rPr>
        <w:t>“</w:t>
      </w:r>
      <w:r w:rsidR="000D7B15">
        <w:rPr>
          <w:rFonts w:ascii="Times New Roman" w:hAnsi="Times New Roman"/>
          <w:sz w:val="26"/>
          <w:szCs w:val="26"/>
        </w:rPr>
        <w:t>[c]</w:t>
      </w:r>
      <w:proofErr w:type="spellStart"/>
      <w:r w:rsidR="000D7B15">
        <w:rPr>
          <w:rFonts w:ascii="Times New Roman" w:hAnsi="Times New Roman"/>
          <w:sz w:val="26"/>
          <w:szCs w:val="26"/>
        </w:rPr>
        <w:t>ustomer</w:t>
      </w:r>
      <w:proofErr w:type="spellEnd"/>
      <w:r w:rsidR="000D7B15">
        <w:rPr>
          <w:rFonts w:ascii="Times New Roman" w:hAnsi="Times New Roman"/>
          <w:sz w:val="26"/>
          <w:szCs w:val="26"/>
        </w:rPr>
        <w:t xml:space="preserve"> assistance program rates shall be timely paid and shall not be </w:t>
      </w:r>
      <w:r w:rsidR="000F055E">
        <w:rPr>
          <w:rFonts w:ascii="Times New Roman" w:hAnsi="Times New Roman"/>
          <w:sz w:val="26"/>
          <w:szCs w:val="26"/>
        </w:rPr>
        <w:t xml:space="preserve">the </w:t>
      </w:r>
      <w:r w:rsidR="000D7B15">
        <w:rPr>
          <w:rFonts w:ascii="Times New Roman" w:hAnsi="Times New Roman"/>
          <w:sz w:val="26"/>
          <w:szCs w:val="26"/>
        </w:rPr>
        <w:t xml:space="preserve">subject of payment arrangements negotiated or approved by the </w:t>
      </w:r>
      <w:r w:rsidR="000F055E">
        <w:rPr>
          <w:rFonts w:ascii="Times New Roman" w:hAnsi="Times New Roman"/>
          <w:sz w:val="26"/>
          <w:szCs w:val="26"/>
        </w:rPr>
        <w:t>c</w:t>
      </w:r>
      <w:r w:rsidR="000D7B15">
        <w:rPr>
          <w:rFonts w:ascii="Times New Roman" w:hAnsi="Times New Roman"/>
          <w:sz w:val="26"/>
          <w:szCs w:val="26"/>
        </w:rPr>
        <w:t>o</w:t>
      </w:r>
      <w:r w:rsidR="00BC37A8">
        <w:rPr>
          <w:rFonts w:ascii="Times New Roman" w:hAnsi="Times New Roman"/>
          <w:sz w:val="26"/>
          <w:szCs w:val="26"/>
        </w:rPr>
        <w:t>m</w:t>
      </w:r>
      <w:r w:rsidR="000D7B15">
        <w:rPr>
          <w:rFonts w:ascii="Times New Roman" w:hAnsi="Times New Roman"/>
          <w:sz w:val="26"/>
          <w:szCs w:val="26"/>
        </w:rPr>
        <w:t>mission.</w:t>
      </w:r>
      <w:r w:rsidR="000F055E">
        <w:rPr>
          <w:rFonts w:ascii="Times New Roman" w:hAnsi="Times New Roman"/>
          <w:sz w:val="26"/>
          <w:szCs w:val="26"/>
        </w:rPr>
        <w:t>”</w:t>
      </w:r>
      <w:r w:rsidR="000D7B15">
        <w:rPr>
          <w:rFonts w:ascii="Times New Roman" w:hAnsi="Times New Roman"/>
          <w:sz w:val="26"/>
          <w:szCs w:val="26"/>
        </w:rPr>
        <w:t xml:space="preserve">  The ALJ explained that although the Code authorize</w:t>
      </w:r>
      <w:r w:rsidR="003D443C">
        <w:rPr>
          <w:rFonts w:ascii="Times New Roman" w:hAnsi="Times New Roman"/>
          <w:sz w:val="26"/>
          <w:szCs w:val="26"/>
        </w:rPr>
        <w:t>s</w:t>
      </w:r>
      <w:r w:rsidR="000D7B15">
        <w:rPr>
          <w:rFonts w:ascii="Times New Roman" w:hAnsi="Times New Roman"/>
          <w:sz w:val="26"/>
          <w:szCs w:val="26"/>
        </w:rPr>
        <w:t xml:space="preserve"> the Commission to grant a payment arrange</w:t>
      </w:r>
      <w:r w:rsidR="000F055E">
        <w:rPr>
          <w:rFonts w:ascii="Times New Roman" w:hAnsi="Times New Roman"/>
          <w:sz w:val="26"/>
          <w:szCs w:val="26"/>
        </w:rPr>
        <w:t>ment</w:t>
      </w:r>
      <w:r w:rsidR="000D7B15">
        <w:rPr>
          <w:rFonts w:ascii="Times New Roman" w:hAnsi="Times New Roman"/>
          <w:sz w:val="26"/>
          <w:szCs w:val="26"/>
        </w:rPr>
        <w:t xml:space="preserve"> to a customer</w:t>
      </w:r>
      <w:r w:rsidR="00C76A28">
        <w:rPr>
          <w:rFonts w:ascii="Times New Roman" w:hAnsi="Times New Roman"/>
          <w:sz w:val="26"/>
          <w:szCs w:val="26"/>
        </w:rPr>
        <w:t xml:space="preserve">, </w:t>
      </w:r>
      <w:r w:rsidR="000D7B15">
        <w:rPr>
          <w:rFonts w:ascii="Times New Roman" w:hAnsi="Times New Roman"/>
          <w:sz w:val="26"/>
          <w:szCs w:val="26"/>
        </w:rPr>
        <w:t>it restricts the Commission from granting a customer a payment arrangement on CAP arrears.</w:t>
      </w:r>
      <w:r w:rsidR="00C76A28">
        <w:rPr>
          <w:rFonts w:ascii="Times New Roman" w:hAnsi="Times New Roman"/>
          <w:sz w:val="26"/>
          <w:szCs w:val="26"/>
        </w:rPr>
        <w:t xml:space="preserve">  </w:t>
      </w:r>
      <w:proofErr w:type="gramStart"/>
      <w:r w:rsidR="00C76A28">
        <w:rPr>
          <w:rFonts w:ascii="Times New Roman" w:hAnsi="Times New Roman"/>
          <w:sz w:val="26"/>
          <w:szCs w:val="26"/>
        </w:rPr>
        <w:t>I.D. at 13.</w:t>
      </w:r>
      <w:proofErr w:type="gramEnd"/>
      <w:r w:rsidR="000D7B15">
        <w:rPr>
          <w:rFonts w:ascii="Times New Roman" w:hAnsi="Times New Roman"/>
          <w:sz w:val="26"/>
          <w:szCs w:val="26"/>
        </w:rPr>
        <w:t xml:space="preserve"> </w:t>
      </w:r>
      <w:r w:rsidR="003A46CB">
        <w:rPr>
          <w:rFonts w:ascii="Times New Roman" w:hAnsi="Times New Roman"/>
          <w:sz w:val="26"/>
          <w:szCs w:val="26"/>
        </w:rPr>
        <w:t xml:space="preserve"> The ALJ found that the Compl</w:t>
      </w:r>
      <w:r w:rsidR="000E688F">
        <w:rPr>
          <w:rFonts w:ascii="Times New Roman" w:hAnsi="Times New Roman"/>
          <w:sz w:val="26"/>
          <w:szCs w:val="26"/>
        </w:rPr>
        <w:t>ainant’s account balance included</w:t>
      </w:r>
      <w:r w:rsidR="003A46CB">
        <w:rPr>
          <w:rFonts w:ascii="Times New Roman" w:hAnsi="Times New Roman"/>
          <w:sz w:val="26"/>
          <w:szCs w:val="26"/>
        </w:rPr>
        <w:t xml:space="preserve"> $913</w:t>
      </w:r>
      <w:r w:rsidR="000F055E">
        <w:rPr>
          <w:rFonts w:ascii="Times New Roman" w:hAnsi="Times New Roman"/>
          <w:sz w:val="26"/>
          <w:szCs w:val="26"/>
        </w:rPr>
        <w:t xml:space="preserve">.00 </w:t>
      </w:r>
      <w:r w:rsidR="003A46CB">
        <w:rPr>
          <w:rFonts w:ascii="Times New Roman" w:hAnsi="Times New Roman"/>
          <w:sz w:val="26"/>
          <w:szCs w:val="26"/>
        </w:rPr>
        <w:t>in CRP arrears</w:t>
      </w:r>
      <w:r w:rsidR="001F0D15">
        <w:rPr>
          <w:rFonts w:ascii="Times New Roman" w:hAnsi="Times New Roman"/>
          <w:sz w:val="26"/>
          <w:szCs w:val="26"/>
        </w:rPr>
        <w:t xml:space="preserve"> and that the </w:t>
      </w:r>
      <w:r w:rsidR="003A46CB">
        <w:rPr>
          <w:rFonts w:ascii="Times New Roman" w:hAnsi="Times New Roman"/>
          <w:sz w:val="26"/>
          <w:szCs w:val="26"/>
        </w:rPr>
        <w:t xml:space="preserve">Complainant </w:t>
      </w:r>
      <w:r w:rsidR="001F0D15">
        <w:rPr>
          <w:rFonts w:ascii="Times New Roman" w:hAnsi="Times New Roman"/>
          <w:sz w:val="26"/>
          <w:szCs w:val="26"/>
        </w:rPr>
        <w:t xml:space="preserve">therefore </w:t>
      </w:r>
      <w:r w:rsidR="003A46CB">
        <w:rPr>
          <w:rFonts w:ascii="Times New Roman" w:hAnsi="Times New Roman"/>
          <w:sz w:val="26"/>
          <w:szCs w:val="26"/>
        </w:rPr>
        <w:t>was not eligible for a Com</w:t>
      </w:r>
      <w:r w:rsidR="001F0D15">
        <w:rPr>
          <w:rFonts w:ascii="Times New Roman" w:hAnsi="Times New Roman"/>
          <w:sz w:val="26"/>
          <w:szCs w:val="26"/>
        </w:rPr>
        <w:t>mission</w:t>
      </w:r>
      <w:r w:rsidR="003A46CB">
        <w:rPr>
          <w:rFonts w:ascii="Times New Roman" w:hAnsi="Times New Roman"/>
          <w:sz w:val="26"/>
          <w:szCs w:val="26"/>
        </w:rPr>
        <w:t xml:space="preserve">-issued payment agreement.  </w:t>
      </w:r>
      <w:proofErr w:type="gramStart"/>
      <w:r w:rsidR="003A46CB">
        <w:rPr>
          <w:rFonts w:ascii="Times New Roman" w:hAnsi="Times New Roman"/>
          <w:sz w:val="26"/>
          <w:szCs w:val="26"/>
        </w:rPr>
        <w:t>I.D. at 13.</w:t>
      </w:r>
      <w:proofErr w:type="gramEnd"/>
    </w:p>
    <w:p w:rsidR="00FA4196" w:rsidRDefault="00FA4196" w:rsidP="000730AC">
      <w:pPr>
        <w:spacing w:line="360" w:lineRule="auto"/>
        <w:ind w:firstLine="1440"/>
        <w:rPr>
          <w:rFonts w:ascii="Times New Roman" w:hAnsi="Times New Roman"/>
          <w:color w:val="000000"/>
          <w:sz w:val="26"/>
          <w:szCs w:val="26"/>
        </w:rPr>
      </w:pPr>
    </w:p>
    <w:p w:rsidR="005931C1" w:rsidRPr="005931C1" w:rsidRDefault="005931C1" w:rsidP="00474AF2">
      <w:pPr>
        <w:keepNext/>
        <w:keepLines/>
        <w:spacing w:line="360" w:lineRule="auto"/>
        <w:rPr>
          <w:rFonts w:ascii="Times New Roman" w:hAnsi="Times New Roman"/>
          <w:b/>
          <w:sz w:val="26"/>
          <w:szCs w:val="26"/>
        </w:rPr>
      </w:pPr>
      <w:r w:rsidRPr="005931C1">
        <w:rPr>
          <w:rFonts w:ascii="Times New Roman" w:hAnsi="Times New Roman"/>
          <w:b/>
          <w:sz w:val="26"/>
          <w:szCs w:val="26"/>
        </w:rPr>
        <w:lastRenderedPageBreak/>
        <w:t>Disposition</w:t>
      </w:r>
    </w:p>
    <w:p w:rsidR="005931C1" w:rsidRPr="005931C1" w:rsidRDefault="005931C1" w:rsidP="00474AF2">
      <w:pPr>
        <w:keepNext/>
        <w:keepLines/>
        <w:spacing w:line="360" w:lineRule="auto"/>
        <w:rPr>
          <w:rFonts w:ascii="Times New Roman" w:hAnsi="Times New Roman"/>
          <w:sz w:val="26"/>
          <w:szCs w:val="26"/>
        </w:rPr>
      </w:pPr>
    </w:p>
    <w:p w:rsidR="00C76A28" w:rsidRDefault="00796890" w:rsidP="000730AC">
      <w:pPr>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 xml:space="preserve">We agree with the ALJ’s Initial Decision to dismiss the </w:t>
      </w:r>
      <w:r w:rsidR="000E0AE1">
        <w:rPr>
          <w:rFonts w:ascii="Times New Roman" w:hAnsi="Times New Roman"/>
          <w:sz w:val="26"/>
          <w:szCs w:val="26"/>
        </w:rPr>
        <w:t xml:space="preserve">Complaint filed against PGW for failure </w:t>
      </w:r>
      <w:r w:rsidR="00217F2E">
        <w:rPr>
          <w:rFonts w:ascii="Times New Roman" w:hAnsi="Times New Roman"/>
          <w:sz w:val="26"/>
          <w:szCs w:val="26"/>
        </w:rPr>
        <w:t xml:space="preserve">by the Complainant </w:t>
      </w:r>
      <w:r w:rsidR="000E0AE1">
        <w:rPr>
          <w:rFonts w:ascii="Times New Roman" w:hAnsi="Times New Roman"/>
          <w:sz w:val="26"/>
          <w:szCs w:val="26"/>
        </w:rPr>
        <w:t xml:space="preserve">to meet </w:t>
      </w:r>
      <w:r w:rsidR="00217F2E">
        <w:rPr>
          <w:rFonts w:ascii="Times New Roman" w:hAnsi="Times New Roman"/>
          <w:sz w:val="26"/>
          <w:szCs w:val="26"/>
        </w:rPr>
        <w:t>her</w:t>
      </w:r>
      <w:r w:rsidR="000E0AE1">
        <w:rPr>
          <w:rFonts w:ascii="Times New Roman" w:hAnsi="Times New Roman"/>
          <w:sz w:val="26"/>
          <w:szCs w:val="26"/>
        </w:rPr>
        <w:t xml:space="preserve"> burden of proof.  </w:t>
      </w:r>
      <w:r w:rsidR="00217F2E">
        <w:rPr>
          <w:rFonts w:ascii="Times New Roman" w:hAnsi="Times New Roman"/>
          <w:sz w:val="26"/>
          <w:szCs w:val="26"/>
        </w:rPr>
        <w:t xml:space="preserve">We </w:t>
      </w:r>
      <w:r w:rsidR="00D12502">
        <w:rPr>
          <w:rFonts w:ascii="Times New Roman" w:hAnsi="Times New Roman"/>
          <w:sz w:val="26"/>
          <w:szCs w:val="26"/>
        </w:rPr>
        <w:t xml:space="preserve">first </w:t>
      </w:r>
      <w:r w:rsidR="00217F2E">
        <w:rPr>
          <w:rFonts w:ascii="Times New Roman" w:hAnsi="Times New Roman"/>
          <w:sz w:val="26"/>
          <w:szCs w:val="26"/>
        </w:rPr>
        <w:t xml:space="preserve">agree with the ALJ’s </w:t>
      </w:r>
      <w:r w:rsidR="00A10477">
        <w:rPr>
          <w:rFonts w:ascii="Times New Roman" w:hAnsi="Times New Roman"/>
          <w:sz w:val="26"/>
          <w:szCs w:val="26"/>
        </w:rPr>
        <w:t>conclusion, set forth on page 12 of the Initial Decision, to dismiss the service termination issue that was raised in the Complaint.</w:t>
      </w:r>
      <w:r w:rsidR="00074433">
        <w:rPr>
          <w:rFonts w:ascii="Times New Roman" w:hAnsi="Times New Roman"/>
          <w:sz w:val="26"/>
          <w:szCs w:val="26"/>
        </w:rPr>
        <w:t xml:space="preserve">  </w:t>
      </w:r>
      <w:r w:rsidR="00A10477">
        <w:rPr>
          <w:rFonts w:ascii="Times New Roman" w:hAnsi="Times New Roman"/>
          <w:sz w:val="26"/>
          <w:szCs w:val="26"/>
        </w:rPr>
        <w:t>T</w:t>
      </w:r>
      <w:r w:rsidR="00074433">
        <w:rPr>
          <w:rFonts w:ascii="Times New Roman" w:hAnsi="Times New Roman"/>
          <w:sz w:val="26"/>
          <w:szCs w:val="26"/>
        </w:rPr>
        <w:t xml:space="preserve">he ALJ </w:t>
      </w:r>
      <w:r w:rsidR="00A10477">
        <w:rPr>
          <w:rFonts w:ascii="Times New Roman" w:hAnsi="Times New Roman"/>
          <w:sz w:val="26"/>
          <w:szCs w:val="26"/>
        </w:rPr>
        <w:t xml:space="preserve">appropriately </w:t>
      </w:r>
      <w:r w:rsidR="00074433">
        <w:rPr>
          <w:rFonts w:ascii="Times New Roman" w:hAnsi="Times New Roman"/>
          <w:sz w:val="26"/>
          <w:szCs w:val="26"/>
        </w:rPr>
        <w:t xml:space="preserve">concluded that the Complainant cannot prevail on the service termination issue because she admitted she received a ten-day termination notice and </w:t>
      </w:r>
      <w:r w:rsidR="00A10477">
        <w:rPr>
          <w:rFonts w:ascii="Times New Roman" w:hAnsi="Times New Roman"/>
          <w:sz w:val="26"/>
          <w:szCs w:val="26"/>
        </w:rPr>
        <w:t xml:space="preserve">also </w:t>
      </w:r>
      <w:r w:rsidR="00074433">
        <w:rPr>
          <w:rFonts w:ascii="Times New Roman" w:hAnsi="Times New Roman"/>
          <w:sz w:val="26"/>
          <w:szCs w:val="26"/>
        </w:rPr>
        <w:t xml:space="preserve">was unable to present any evidence </w:t>
      </w:r>
      <w:r w:rsidR="00074433" w:rsidRPr="00074433">
        <w:rPr>
          <w:rFonts w:ascii="Times New Roman" w:hAnsi="Times New Roman"/>
          <w:sz w:val="26"/>
          <w:szCs w:val="26"/>
        </w:rPr>
        <w:t xml:space="preserve">that the termination notice in any manner violated </w:t>
      </w:r>
      <w:r w:rsidR="00074433">
        <w:rPr>
          <w:rFonts w:ascii="Times New Roman" w:hAnsi="Times New Roman"/>
          <w:sz w:val="26"/>
          <w:szCs w:val="26"/>
        </w:rPr>
        <w:t>Section 1406 of the Code</w:t>
      </w:r>
      <w:r w:rsidR="000005BE">
        <w:rPr>
          <w:rFonts w:ascii="Times New Roman" w:hAnsi="Times New Roman"/>
          <w:sz w:val="26"/>
          <w:szCs w:val="26"/>
        </w:rPr>
        <w:t xml:space="preserve">, </w:t>
      </w:r>
      <w:r w:rsidR="00A10477" w:rsidRPr="00074433">
        <w:rPr>
          <w:rFonts w:ascii="Times New Roman" w:hAnsi="Times New Roman"/>
          <w:sz w:val="26"/>
          <w:szCs w:val="26"/>
        </w:rPr>
        <w:t>66 Pa. C.S. §</w:t>
      </w:r>
      <w:r w:rsidR="00A10477">
        <w:rPr>
          <w:rFonts w:ascii="Times New Roman" w:hAnsi="Times New Roman"/>
          <w:sz w:val="26"/>
          <w:szCs w:val="26"/>
        </w:rPr>
        <w:t> </w:t>
      </w:r>
      <w:r w:rsidR="00A10477" w:rsidRPr="00074433">
        <w:rPr>
          <w:rFonts w:ascii="Times New Roman" w:hAnsi="Times New Roman"/>
          <w:sz w:val="26"/>
          <w:szCs w:val="26"/>
        </w:rPr>
        <w:t>1</w:t>
      </w:r>
      <w:r w:rsidR="00A10477">
        <w:rPr>
          <w:rFonts w:ascii="Times New Roman" w:hAnsi="Times New Roman"/>
          <w:sz w:val="26"/>
          <w:szCs w:val="26"/>
        </w:rPr>
        <w:t>406,</w:t>
      </w:r>
      <w:r w:rsidR="00074433">
        <w:rPr>
          <w:rFonts w:ascii="Times New Roman" w:hAnsi="Times New Roman"/>
          <w:sz w:val="26"/>
          <w:szCs w:val="26"/>
        </w:rPr>
        <w:t xml:space="preserve"> pertaining to termination of utility service, </w:t>
      </w:r>
      <w:r w:rsidR="00F54EC1">
        <w:rPr>
          <w:rFonts w:ascii="Times New Roman" w:hAnsi="Times New Roman"/>
          <w:sz w:val="26"/>
          <w:szCs w:val="26"/>
        </w:rPr>
        <w:t xml:space="preserve">and also failed to </w:t>
      </w:r>
      <w:r w:rsidR="00F54EC1" w:rsidRPr="00F54EC1">
        <w:rPr>
          <w:rFonts w:ascii="Times New Roman" w:hAnsi="Times New Roman"/>
          <w:sz w:val="26"/>
          <w:szCs w:val="26"/>
        </w:rPr>
        <w:t>present any evidence establish</w:t>
      </w:r>
      <w:r w:rsidR="00F54EC1">
        <w:rPr>
          <w:rFonts w:ascii="Times New Roman" w:hAnsi="Times New Roman"/>
          <w:sz w:val="26"/>
          <w:szCs w:val="26"/>
        </w:rPr>
        <w:t xml:space="preserve">ing </w:t>
      </w:r>
      <w:r w:rsidR="00F54EC1" w:rsidRPr="00F54EC1">
        <w:rPr>
          <w:rFonts w:ascii="Times New Roman" w:hAnsi="Times New Roman"/>
          <w:sz w:val="26"/>
          <w:szCs w:val="26"/>
        </w:rPr>
        <w:t>that any of her outstanding charges in the amount of $4,353.50 were incorrect</w:t>
      </w:r>
      <w:r w:rsidR="00F54EC1">
        <w:rPr>
          <w:rFonts w:ascii="Times New Roman" w:hAnsi="Times New Roman"/>
          <w:sz w:val="26"/>
          <w:szCs w:val="26"/>
        </w:rPr>
        <w:t>.</w:t>
      </w:r>
    </w:p>
    <w:p w:rsidR="00C76A28" w:rsidRDefault="00C76A28" w:rsidP="000730AC">
      <w:pPr>
        <w:spacing w:line="360" w:lineRule="auto"/>
        <w:rPr>
          <w:rFonts w:ascii="Times New Roman" w:hAnsi="Times New Roman"/>
          <w:sz w:val="26"/>
          <w:szCs w:val="26"/>
        </w:rPr>
      </w:pPr>
    </w:p>
    <w:p w:rsidR="004C59C7" w:rsidRDefault="004C59C7" w:rsidP="00304736">
      <w:pPr>
        <w:pStyle w:val="FootnoteText"/>
        <w:widowControl/>
        <w:spacing w:line="360" w:lineRule="auto"/>
        <w:ind w:firstLine="1440"/>
        <w:rPr>
          <w:sz w:val="26"/>
          <w:szCs w:val="26"/>
        </w:rPr>
      </w:pPr>
      <w:r>
        <w:rPr>
          <w:sz w:val="26"/>
          <w:szCs w:val="26"/>
        </w:rPr>
        <w:t>We also agree with the ALJ’s decision to deny the Complainant’s request for a Commission-issued payment arrangement</w:t>
      </w:r>
      <w:r w:rsidR="00304736">
        <w:rPr>
          <w:sz w:val="26"/>
          <w:szCs w:val="26"/>
        </w:rPr>
        <w:t xml:space="preserve">.  According </w:t>
      </w:r>
      <w:r w:rsidR="00A525FF">
        <w:rPr>
          <w:sz w:val="26"/>
          <w:szCs w:val="26"/>
        </w:rPr>
        <w:t>to the record</w:t>
      </w:r>
      <w:r w:rsidR="00304736">
        <w:rPr>
          <w:sz w:val="26"/>
          <w:szCs w:val="26"/>
        </w:rPr>
        <w:t xml:space="preserve">, the Complainant’s outstanding account balance with PGW at the time of the hearing was $4,353.50.  Of this balance, $913.00 accumulated while the customer participated in PGW’s </w:t>
      </w:r>
      <w:r w:rsidR="00E871F8">
        <w:rPr>
          <w:sz w:val="26"/>
          <w:szCs w:val="26"/>
        </w:rPr>
        <w:t>CRP</w:t>
      </w:r>
      <w:r w:rsidR="00304736">
        <w:rPr>
          <w:sz w:val="26"/>
          <w:szCs w:val="26"/>
        </w:rPr>
        <w:t xml:space="preserve">.  Consequently, this payment arrangement request involves a mixed arrearage in which the outstanding account balance at issue includes both CRP arrearages and non-CRP arrearages.  The </w:t>
      </w:r>
      <w:r w:rsidR="00AF7656">
        <w:rPr>
          <w:sz w:val="26"/>
          <w:szCs w:val="26"/>
        </w:rPr>
        <w:t xml:space="preserve">Complainant’s request for a </w:t>
      </w:r>
      <w:r w:rsidR="000D0125">
        <w:rPr>
          <w:sz w:val="26"/>
          <w:szCs w:val="26"/>
        </w:rPr>
        <w:t xml:space="preserve">Commission-issued </w:t>
      </w:r>
      <w:r w:rsidR="00304736">
        <w:rPr>
          <w:sz w:val="26"/>
          <w:szCs w:val="26"/>
        </w:rPr>
        <w:t>payment arrangement i</w:t>
      </w:r>
      <w:r w:rsidR="00AC7BDE">
        <w:rPr>
          <w:sz w:val="26"/>
          <w:szCs w:val="26"/>
        </w:rPr>
        <w:t>s discussed on page</w:t>
      </w:r>
      <w:r w:rsidR="00A10477">
        <w:rPr>
          <w:sz w:val="26"/>
          <w:szCs w:val="26"/>
        </w:rPr>
        <w:t>s</w:t>
      </w:r>
      <w:r w:rsidR="00AC7BDE">
        <w:rPr>
          <w:sz w:val="26"/>
          <w:szCs w:val="26"/>
        </w:rPr>
        <w:t xml:space="preserve"> 13-14 of the Initial Decision as restated below:</w:t>
      </w:r>
    </w:p>
    <w:p w:rsidR="004C59C7" w:rsidRDefault="004C59C7" w:rsidP="000730AC">
      <w:pPr>
        <w:spacing w:line="360" w:lineRule="auto"/>
        <w:rPr>
          <w:rFonts w:ascii="Times New Roman" w:hAnsi="Times New Roman"/>
          <w:sz w:val="26"/>
          <w:szCs w:val="26"/>
        </w:rPr>
      </w:pPr>
    </w:p>
    <w:p w:rsidR="0019034C" w:rsidRDefault="009319E1" w:rsidP="000730AC">
      <w:pPr>
        <w:ind w:left="1440" w:right="1440"/>
        <w:rPr>
          <w:rFonts w:ascii="Times New Roman" w:eastAsiaTheme="minorHAnsi" w:hAnsi="Times New Roman"/>
          <w:sz w:val="26"/>
          <w:szCs w:val="26"/>
        </w:rPr>
      </w:pPr>
      <w:r>
        <w:rPr>
          <w:rFonts w:ascii="Times New Roman" w:eastAsiaTheme="minorHAnsi" w:hAnsi="Times New Roman"/>
          <w:sz w:val="26"/>
          <w:szCs w:val="26"/>
        </w:rPr>
        <w:tab/>
      </w:r>
      <w:r w:rsidR="0019034C" w:rsidRPr="006D32E1">
        <w:rPr>
          <w:rFonts w:ascii="Times New Roman" w:eastAsiaTheme="minorHAnsi" w:hAnsi="Times New Roman"/>
          <w:sz w:val="26"/>
          <w:szCs w:val="26"/>
        </w:rPr>
        <w:t xml:space="preserve">Here, Ms. Slaughter admits she failed to make payments under PGW’s CRP, but she seeks a reasonable payment arrangement from the Commission.  Tr. 15-16.  </w:t>
      </w:r>
    </w:p>
    <w:p w:rsidR="009319E1" w:rsidRDefault="009319E1" w:rsidP="000730AC">
      <w:pPr>
        <w:ind w:left="1440" w:right="1440"/>
        <w:rPr>
          <w:rFonts w:ascii="Times New Roman" w:eastAsiaTheme="minorHAnsi" w:hAnsi="Times New Roman"/>
          <w:sz w:val="26"/>
          <w:szCs w:val="26"/>
        </w:rPr>
      </w:pPr>
    </w:p>
    <w:p w:rsidR="009319E1" w:rsidRPr="006D32E1" w:rsidRDefault="009319E1" w:rsidP="000730AC">
      <w:pPr>
        <w:ind w:left="1440" w:right="1440"/>
        <w:jc w:val="center"/>
        <w:rPr>
          <w:rFonts w:ascii="Times New Roman" w:eastAsiaTheme="minorHAnsi" w:hAnsi="Times New Roman"/>
          <w:sz w:val="26"/>
          <w:szCs w:val="26"/>
        </w:rPr>
      </w:pPr>
      <w:r>
        <w:rPr>
          <w:rFonts w:ascii="Times New Roman" w:eastAsiaTheme="minorHAnsi" w:hAnsi="Times New Roman"/>
          <w:sz w:val="26"/>
          <w:szCs w:val="26"/>
        </w:rPr>
        <w:t>* * *</w:t>
      </w:r>
    </w:p>
    <w:p w:rsidR="0019034C" w:rsidRPr="006D32E1" w:rsidRDefault="0019034C" w:rsidP="000730AC">
      <w:pPr>
        <w:ind w:left="1440" w:right="1440"/>
        <w:rPr>
          <w:rFonts w:ascii="Times New Roman" w:eastAsiaTheme="minorHAnsi" w:hAnsi="Times New Roman"/>
          <w:sz w:val="26"/>
          <w:szCs w:val="26"/>
        </w:rPr>
      </w:pPr>
    </w:p>
    <w:p w:rsidR="0019034C" w:rsidRPr="006D32E1" w:rsidRDefault="009319E1" w:rsidP="000730AC">
      <w:pPr>
        <w:ind w:left="1440" w:right="1440"/>
        <w:rPr>
          <w:rFonts w:ascii="Times New Roman" w:eastAsiaTheme="minorHAnsi" w:hAnsi="Times New Roman"/>
          <w:sz w:val="26"/>
          <w:szCs w:val="26"/>
        </w:rPr>
      </w:pPr>
      <w:r>
        <w:rPr>
          <w:rFonts w:ascii="Times New Roman" w:eastAsiaTheme="minorHAnsi" w:hAnsi="Times New Roman"/>
          <w:sz w:val="26"/>
          <w:szCs w:val="26"/>
        </w:rPr>
        <w:tab/>
      </w:r>
      <w:proofErr w:type="gramStart"/>
      <w:r w:rsidR="0019034C" w:rsidRPr="006D32E1">
        <w:rPr>
          <w:rFonts w:ascii="Times New Roman" w:eastAsiaTheme="minorHAnsi" w:hAnsi="Times New Roman"/>
          <w:sz w:val="26"/>
          <w:szCs w:val="26"/>
        </w:rPr>
        <w:t>While Section 1405(a) of the Code, 66 Pa.C.S.</w:t>
      </w:r>
      <w:proofErr w:type="gramEnd"/>
      <w:r w:rsidR="0019034C" w:rsidRPr="006D32E1">
        <w:rPr>
          <w:rFonts w:ascii="Times New Roman" w:eastAsiaTheme="minorHAnsi" w:hAnsi="Times New Roman"/>
          <w:sz w:val="26"/>
          <w:szCs w:val="26"/>
        </w:rPr>
        <w:t xml:space="preserve"> §</w:t>
      </w:r>
      <w:r>
        <w:rPr>
          <w:rFonts w:ascii="Times New Roman" w:eastAsiaTheme="minorHAnsi" w:hAnsi="Times New Roman"/>
          <w:sz w:val="26"/>
          <w:szCs w:val="26"/>
        </w:rPr>
        <w:t> </w:t>
      </w:r>
      <w:r w:rsidR="0019034C" w:rsidRPr="006D32E1">
        <w:rPr>
          <w:rFonts w:ascii="Times New Roman" w:eastAsiaTheme="minorHAnsi" w:hAnsi="Times New Roman"/>
          <w:sz w:val="26"/>
          <w:szCs w:val="26"/>
        </w:rPr>
        <w:t>1405(a), does authorize the Commission to grant a payment arrangement to a customer, the Code restricts the Commission from granting a customer a paym</w:t>
      </w:r>
      <w:r w:rsidR="00E176A8">
        <w:rPr>
          <w:rFonts w:ascii="Times New Roman" w:eastAsiaTheme="minorHAnsi" w:hAnsi="Times New Roman"/>
          <w:sz w:val="26"/>
          <w:szCs w:val="26"/>
        </w:rPr>
        <w:t xml:space="preserve">ent arrangement on CAP arrears.  </w:t>
      </w:r>
      <w:r w:rsidR="0019034C" w:rsidRPr="006D32E1">
        <w:rPr>
          <w:rFonts w:ascii="Times New Roman" w:eastAsiaTheme="minorHAnsi" w:hAnsi="Times New Roman"/>
          <w:sz w:val="26"/>
          <w:szCs w:val="26"/>
        </w:rPr>
        <w:t xml:space="preserve">Section 1405(c) of the Code states, “Customer </w:t>
      </w:r>
      <w:r w:rsidR="0019034C" w:rsidRPr="006D32E1">
        <w:rPr>
          <w:rFonts w:ascii="Times New Roman" w:eastAsiaTheme="minorHAnsi" w:hAnsi="Times New Roman"/>
          <w:sz w:val="26"/>
          <w:szCs w:val="26"/>
        </w:rPr>
        <w:lastRenderedPageBreak/>
        <w:t xml:space="preserve">assistance program rates shall be timely paid and shall not be the subject of payment arrangements negotiated or approved by the commission.”  </w:t>
      </w:r>
      <w:proofErr w:type="gramStart"/>
      <w:r w:rsidR="0019034C" w:rsidRPr="006D32E1">
        <w:rPr>
          <w:rFonts w:ascii="Times New Roman" w:eastAsiaTheme="minorHAnsi" w:hAnsi="Times New Roman"/>
          <w:sz w:val="26"/>
          <w:szCs w:val="26"/>
        </w:rPr>
        <w:t>66 Pa.C.S.</w:t>
      </w:r>
      <w:proofErr w:type="gramEnd"/>
      <w:r w:rsidR="0019034C" w:rsidRPr="006D32E1">
        <w:rPr>
          <w:rFonts w:ascii="Times New Roman" w:eastAsiaTheme="minorHAnsi" w:hAnsi="Times New Roman"/>
          <w:sz w:val="26"/>
          <w:szCs w:val="26"/>
        </w:rPr>
        <w:t xml:space="preserve"> § 1405(c).  Here, Ms. Slaughter’s account balance includes $913.00 in CRP arrears, which are CAP arrears.  Accordingly, Ms. Slaughter cannot be granted a paymen</w:t>
      </w:r>
      <w:r w:rsidR="00E176A8">
        <w:rPr>
          <w:rFonts w:ascii="Times New Roman" w:eastAsiaTheme="minorHAnsi" w:hAnsi="Times New Roman"/>
          <w:sz w:val="26"/>
          <w:szCs w:val="26"/>
        </w:rPr>
        <w:t>t arrangement of these arrears.</w:t>
      </w:r>
    </w:p>
    <w:p w:rsidR="0019034C" w:rsidRPr="006D32E1" w:rsidRDefault="0019034C" w:rsidP="000730AC">
      <w:pPr>
        <w:ind w:left="1440" w:right="1440"/>
        <w:rPr>
          <w:rFonts w:ascii="Times New Roman" w:eastAsiaTheme="minorHAnsi" w:hAnsi="Times New Roman"/>
          <w:sz w:val="26"/>
          <w:szCs w:val="26"/>
        </w:rPr>
      </w:pPr>
    </w:p>
    <w:p w:rsidR="00AC7BDE" w:rsidRDefault="00BC37A8" w:rsidP="000730AC">
      <w:pPr>
        <w:ind w:left="1440" w:right="1440"/>
        <w:rPr>
          <w:rFonts w:ascii="Times New Roman" w:eastAsiaTheme="minorHAnsi" w:hAnsi="Times New Roman"/>
          <w:sz w:val="26"/>
          <w:szCs w:val="26"/>
        </w:rPr>
      </w:pPr>
      <w:r>
        <w:rPr>
          <w:rFonts w:ascii="Times New Roman" w:eastAsiaTheme="minorHAnsi" w:hAnsi="Times New Roman"/>
          <w:sz w:val="26"/>
          <w:szCs w:val="26"/>
        </w:rPr>
        <w:tab/>
      </w:r>
      <w:r w:rsidR="0019034C" w:rsidRPr="006D32E1">
        <w:rPr>
          <w:rFonts w:ascii="Times New Roman" w:eastAsiaTheme="minorHAnsi" w:hAnsi="Times New Roman"/>
          <w:sz w:val="26"/>
          <w:szCs w:val="26"/>
        </w:rPr>
        <w:t xml:space="preserve">Additionally, the evidence demonstrates that over the last three years Ms. Slaughter has only made two payments </w:t>
      </w:r>
      <w:r w:rsidR="005931C1">
        <w:rPr>
          <w:rFonts w:ascii="Times New Roman" w:eastAsiaTheme="minorHAnsi" w:hAnsi="Times New Roman"/>
          <w:sz w:val="26"/>
          <w:szCs w:val="26"/>
        </w:rPr>
        <w:t xml:space="preserve">on her bill.  Exhibit 1 at 2, </w:t>
      </w:r>
      <w:proofErr w:type="gramStart"/>
      <w:r w:rsidR="005931C1">
        <w:rPr>
          <w:rFonts w:ascii="Times New Roman" w:eastAsiaTheme="minorHAnsi" w:hAnsi="Times New Roman"/>
          <w:sz w:val="26"/>
          <w:szCs w:val="26"/>
        </w:rPr>
        <w:t xml:space="preserve">4 </w:t>
      </w:r>
      <w:r w:rsidR="0019034C" w:rsidRPr="006D32E1">
        <w:rPr>
          <w:rFonts w:ascii="Times New Roman" w:eastAsiaTheme="minorHAnsi" w:hAnsi="Times New Roman"/>
          <w:sz w:val="26"/>
          <w:szCs w:val="26"/>
        </w:rPr>
        <w:t xml:space="preserve"> .</w:t>
      </w:r>
      <w:proofErr w:type="gramEnd"/>
      <w:r w:rsidR="0019034C" w:rsidRPr="006D32E1">
        <w:rPr>
          <w:rFonts w:ascii="Times New Roman" w:eastAsiaTheme="minorHAnsi" w:hAnsi="Times New Roman"/>
          <w:sz w:val="26"/>
          <w:szCs w:val="26"/>
        </w:rPr>
        <w:t xml:space="preserve">  .  . Thus, under the Commission regulations Ms. Slaughter was required to pay her gas bill pending the outcome of her Complaint.</w:t>
      </w:r>
      <w:r w:rsidR="00E65559" w:rsidRPr="00E65559">
        <w:rPr>
          <w:rFonts w:ascii="Times New Roman" w:hAnsi="Times New Roman"/>
          <w:sz w:val="26"/>
          <w:szCs w:val="26"/>
          <w:vertAlign w:val="superscript"/>
        </w:rPr>
        <w:t xml:space="preserve"> </w:t>
      </w:r>
      <w:proofErr w:type="gramStart"/>
      <w:r w:rsidR="00E65559" w:rsidRPr="00E65559">
        <w:rPr>
          <w:rFonts w:ascii="Times New Roman" w:hAnsi="Times New Roman"/>
          <w:sz w:val="26"/>
          <w:szCs w:val="26"/>
          <w:vertAlign w:val="superscript"/>
        </w:rPr>
        <w:t>6</w:t>
      </w:r>
      <w:r w:rsidR="0019034C" w:rsidRPr="006D32E1">
        <w:rPr>
          <w:rFonts w:ascii="Times New Roman" w:eastAsiaTheme="minorHAnsi" w:hAnsi="Times New Roman"/>
          <w:sz w:val="26"/>
          <w:szCs w:val="26"/>
        </w:rPr>
        <w:t xml:space="preserve">  However</w:t>
      </w:r>
      <w:proofErr w:type="gramEnd"/>
      <w:r w:rsidR="0019034C" w:rsidRPr="006D32E1">
        <w:rPr>
          <w:rFonts w:ascii="Times New Roman" w:eastAsiaTheme="minorHAnsi" w:hAnsi="Times New Roman"/>
          <w:sz w:val="26"/>
          <w:szCs w:val="26"/>
        </w:rPr>
        <w:t xml:space="preserve"> the record establishes she has not made any </w:t>
      </w:r>
    </w:p>
    <w:p w:rsidR="00C76A28" w:rsidRDefault="0019034C" w:rsidP="000730AC">
      <w:pPr>
        <w:ind w:left="1440" w:right="1440"/>
        <w:rPr>
          <w:rFonts w:ascii="Times New Roman" w:hAnsi="Times New Roman"/>
          <w:sz w:val="26"/>
          <w:szCs w:val="26"/>
        </w:rPr>
      </w:pPr>
      <w:proofErr w:type="gramStart"/>
      <w:r w:rsidRPr="006D32E1">
        <w:rPr>
          <w:rFonts w:ascii="Times New Roman" w:eastAsiaTheme="minorHAnsi" w:hAnsi="Times New Roman"/>
          <w:sz w:val="26"/>
          <w:szCs w:val="26"/>
        </w:rPr>
        <w:t>payment</w:t>
      </w:r>
      <w:proofErr w:type="gramEnd"/>
      <w:r w:rsidRPr="006D32E1">
        <w:rPr>
          <w:rFonts w:ascii="Times New Roman" w:eastAsiaTheme="minorHAnsi" w:hAnsi="Times New Roman"/>
          <w:sz w:val="26"/>
          <w:szCs w:val="26"/>
        </w:rPr>
        <w:t xml:space="preserve"> since filing her Complaint.  </w:t>
      </w:r>
      <w:proofErr w:type="gramStart"/>
      <w:r w:rsidRPr="006D32E1">
        <w:rPr>
          <w:rFonts w:ascii="Times New Roman" w:hAnsi="Times New Roman"/>
          <w:sz w:val="26"/>
          <w:szCs w:val="26"/>
        </w:rPr>
        <w:t>Exhibit 3.</w:t>
      </w:r>
      <w:proofErr w:type="gramEnd"/>
      <w:r w:rsidRPr="006D32E1">
        <w:rPr>
          <w:rFonts w:ascii="Times New Roman" w:hAnsi="Times New Roman"/>
          <w:sz w:val="26"/>
          <w:szCs w:val="26"/>
        </w:rPr>
        <w:t xml:space="preserve">  Also, Ms. Slaughter defaulted on two payment arrangements extended to her by PGW.  </w:t>
      </w:r>
      <w:proofErr w:type="gramStart"/>
      <w:r w:rsidRPr="006D32E1">
        <w:rPr>
          <w:rFonts w:ascii="Times New Roman" w:hAnsi="Times New Roman"/>
          <w:sz w:val="26"/>
          <w:szCs w:val="26"/>
        </w:rPr>
        <w:t>Tr. 40</w:t>
      </w:r>
      <w:r w:rsidRPr="006D32E1">
        <w:rPr>
          <w:rFonts w:ascii="Times New Roman" w:hAnsi="Times New Roman"/>
          <w:sz w:val="26"/>
          <w:szCs w:val="26"/>
        </w:rPr>
        <w:noBreakHyphen/>
        <w:t>42</w:t>
      </w:r>
      <w:r w:rsidR="00E65559">
        <w:rPr>
          <w:rFonts w:ascii="Times New Roman" w:hAnsi="Times New Roman"/>
          <w:sz w:val="26"/>
          <w:szCs w:val="26"/>
        </w:rPr>
        <w:t>.</w:t>
      </w:r>
      <w:proofErr w:type="gramEnd"/>
    </w:p>
    <w:p w:rsidR="005931C1" w:rsidRDefault="005931C1" w:rsidP="000730AC">
      <w:pPr>
        <w:ind w:left="1440" w:right="1440"/>
        <w:rPr>
          <w:rFonts w:ascii="Times New Roman" w:hAnsi="Times New Roman"/>
          <w:sz w:val="26"/>
          <w:szCs w:val="26"/>
        </w:rPr>
      </w:pPr>
      <w:r>
        <w:rPr>
          <w:rFonts w:ascii="Times New Roman" w:hAnsi="Times New Roman"/>
          <w:sz w:val="26"/>
          <w:szCs w:val="26"/>
        </w:rPr>
        <w:t>____________________</w:t>
      </w:r>
    </w:p>
    <w:p w:rsidR="00E65559" w:rsidRDefault="00E65559" w:rsidP="000730AC">
      <w:pPr>
        <w:ind w:left="1440" w:right="1440"/>
        <w:rPr>
          <w:rFonts w:ascii="Times New Roman" w:hAnsi="Times New Roman"/>
          <w:sz w:val="26"/>
          <w:szCs w:val="26"/>
        </w:rPr>
      </w:pPr>
    </w:p>
    <w:p w:rsidR="005931C1" w:rsidRDefault="00E65559" w:rsidP="000730AC">
      <w:pPr>
        <w:ind w:left="1440" w:right="1440"/>
        <w:rPr>
          <w:rFonts w:ascii="Times New Roman" w:hAnsi="Times New Roman"/>
          <w:sz w:val="26"/>
          <w:szCs w:val="26"/>
        </w:rPr>
      </w:pPr>
      <w:r>
        <w:rPr>
          <w:rFonts w:ascii="Times New Roman" w:hAnsi="Times New Roman"/>
          <w:sz w:val="26"/>
          <w:szCs w:val="26"/>
        </w:rPr>
        <w:tab/>
      </w:r>
      <w:r w:rsidRPr="00E65559">
        <w:rPr>
          <w:rFonts w:ascii="Times New Roman" w:hAnsi="Times New Roman"/>
          <w:sz w:val="26"/>
          <w:szCs w:val="26"/>
          <w:vertAlign w:val="superscript"/>
        </w:rPr>
        <w:t>6</w:t>
      </w:r>
      <w:r>
        <w:rPr>
          <w:rFonts w:ascii="Times New Roman" w:hAnsi="Times New Roman"/>
          <w:sz w:val="26"/>
          <w:szCs w:val="26"/>
        </w:rPr>
        <w:tab/>
      </w:r>
      <w:r w:rsidR="005931C1" w:rsidRPr="005931C1">
        <w:rPr>
          <w:rFonts w:ascii="Times New Roman" w:hAnsi="Times New Roman"/>
          <w:sz w:val="26"/>
          <w:szCs w:val="26"/>
        </w:rPr>
        <w:t xml:space="preserve">Section 1410(2) of the Code provides, “Pending the outcome of a formal or informal complaint filed with the commission, a customer shall be obligated to pay that portion of the bill which is not in dispute and subsequent bills which are not in dispute.  </w:t>
      </w:r>
      <w:proofErr w:type="gramStart"/>
      <w:r w:rsidR="005931C1" w:rsidRPr="005931C1">
        <w:rPr>
          <w:rFonts w:ascii="Times New Roman" w:hAnsi="Times New Roman"/>
          <w:sz w:val="26"/>
          <w:szCs w:val="26"/>
        </w:rPr>
        <w:t>66 Pa.C.S.</w:t>
      </w:r>
      <w:proofErr w:type="gramEnd"/>
      <w:r w:rsidR="005931C1" w:rsidRPr="005931C1">
        <w:rPr>
          <w:rFonts w:ascii="Times New Roman" w:hAnsi="Times New Roman"/>
          <w:sz w:val="26"/>
          <w:szCs w:val="26"/>
        </w:rPr>
        <w:t xml:space="preserve"> § 1410(2).</w:t>
      </w:r>
    </w:p>
    <w:p w:rsidR="00AC7BDE" w:rsidRDefault="00AC7BDE" w:rsidP="000730AC">
      <w:pPr>
        <w:ind w:left="1440" w:right="1440"/>
        <w:rPr>
          <w:rFonts w:ascii="Times New Roman" w:hAnsi="Times New Roman"/>
          <w:sz w:val="26"/>
          <w:szCs w:val="26"/>
        </w:rPr>
      </w:pPr>
    </w:p>
    <w:p w:rsidR="00AC7BDE" w:rsidRPr="0019034C" w:rsidRDefault="00AC7BDE" w:rsidP="000730AC">
      <w:pPr>
        <w:ind w:left="1440" w:right="1440"/>
        <w:rPr>
          <w:rFonts w:ascii="Times New Roman" w:hAnsi="Times New Roman"/>
          <w:sz w:val="26"/>
          <w:szCs w:val="26"/>
        </w:rPr>
      </w:pPr>
    </w:p>
    <w:p w:rsidR="0019034C" w:rsidRDefault="0019034C" w:rsidP="000730AC">
      <w:pPr>
        <w:spacing w:line="360" w:lineRule="auto"/>
        <w:rPr>
          <w:rFonts w:ascii="Times New Roman" w:hAnsi="Times New Roman"/>
          <w:sz w:val="26"/>
          <w:szCs w:val="26"/>
        </w:rPr>
      </w:pPr>
      <w:r>
        <w:rPr>
          <w:rFonts w:ascii="Times New Roman" w:hAnsi="Times New Roman"/>
          <w:sz w:val="26"/>
          <w:szCs w:val="26"/>
        </w:rPr>
        <w:t>I.D. at 13-14.</w:t>
      </w:r>
    </w:p>
    <w:p w:rsidR="000E0AE1" w:rsidRDefault="000E0AE1" w:rsidP="000730AC">
      <w:pPr>
        <w:spacing w:line="360" w:lineRule="auto"/>
        <w:rPr>
          <w:rFonts w:ascii="Times New Roman" w:hAnsi="Times New Roman"/>
          <w:sz w:val="26"/>
          <w:szCs w:val="26"/>
        </w:rPr>
      </w:pPr>
    </w:p>
    <w:p w:rsidR="000E0AE1" w:rsidRPr="00796890" w:rsidRDefault="00046869" w:rsidP="000730AC">
      <w:pPr>
        <w:spacing w:line="360" w:lineRule="auto"/>
        <w:ind w:firstLine="720"/>
        <w:rPr>
          <w:rFonts w:ascii="Times New Roman" w:hAnsi="Times New Roman"/>
          <w:sz w:val="26"/>
          <w:szCs w:val="26"/>
        </w:rPr>
      </w:pPr>
      <w:r>
        <w:rPr>
          <w:rFonts w:ascii="Times New Roman" w:hAnsi="Times New Roman"/>
          <w:color w:val="000000"/>
          <w:sz w:val="26"/>
          <w:szCs w:val="26"/>
        </w:rPr>
        <w:tab/>
      </w:r>
      <w:r w:rsidR="00D53AC0">
        <w:rPr>
          <w:rFonts w:ascii="Times New Roman" w:hAnsi="Times New Roman"/>
          <w:color w:val="000000"/>
          <w:sz w:val="26"/>
          <w:szCs w:val="26"/>
        </w:rPr>
        <w:t xml:space="preserve">The ALJ dismissed the Complainant’s </w:t>
      </w:r>
      <w:r>
        <w:rPr>
          <w:rFonts w:ascii="Times New Roman" w:hAnsi="Times New Roman"/>
          <w:color w:val="000000"/>
          <w:sz w:val="26"/>
          <w:szCs w:val="26"/>
        </w:rPr>
        <w:t xml:space="preserve">request for a Commission-issued </w:t>
      </w:r>
      <w:r w:rsidR="00D53AC0">
        <w:rPr>
          <w:rFonts w:ascii="Times New Roman" w:hAnsi="Times New Roman"/>
          <w:color w:val="000000"/>
          <w:sz w:val="26"/>
          <w:szCs w:val="26"/>
        </w:rPr>
        <w:t xml:space="preserve">payment arrangement due to the Complainant’s poor payment history and </w:t>
      </w:r>
      <w:r w:rsidR="00E30EC4">
        <w:rPr>
          <w:rFonts w:ascii="Times New Roman" w:hAnsi="Times New Roman"/>
          <w:color w:val="000000"/>
          <w:sz w:val="26"/>
          <w:szCs w:val="26"/>
        </w:rPr>
        <w:t xml:space="preserve">for failure by the Complainant to make any </w:t>
      </w:r>
      <w:r w:rsidR="00D53AC0">
        <w:rPr>
          <w:rFonts w:ascii="Times New Roman" w:hAnsi="Times New Roman"/>
          <w:color w:val="000000"/>
          <w:sz w:val="26"/>
          <w:szCs w:val="26"/>
        </w:rPr>
        <w:t>good faith effort</w:t>
      </w:r>
      <w:r w:rsidR="00E30EC4">
        <w:rPr>
          <w:rFonts w:ascii="Times New Roman" w:hAnsi="Times New Roman"/>
          <w:color w:val="000000"/>
          <w:sz w:val="26"/>
          <w:szCs w:val="26"/>
        </w:rPr>
        <w:t>s</w:t>
      </w:r>
      <w:r w:rsidR="00D53AC0">
        <w:rPr>
          <w:rFonts w:ascii="Times New Roman" w:hAnsi="Times New Roman"/>
          <w:color w:val="000000"/>
          <w:sz w:val="26"/>
          <w:szCs w:val="26"/>
        </w:rPr>
        <w:t xml:space="preserve"> to</w:t>
      </w:r>
      <w:r w:rsidR="00E30EC4">
        <w:rPr>
          <w:rFonts w:ascii="Times New Roman" w:hAnsi="Times New Roman"/>
          <w:color w:val="000000"/>
          <w:sz w:val="26"/>
          <w:szCs w:val="26"/>
        </w:rPr>
        <w:t>ward</w:t>
      </w:r>
      <w:r w:rsidR="00D53AC0">
        <w:rPr>
          <w:rFonts w:ascii="Times New Roman" w:hAnsi="Times New Roman"/>
          <w:color w:val="000000"/>
          <w:sz w:val="26"/>
          <w:szCs w:val="26"/>
        </w:rPr>
        <w:t xml:space="preserve"> payments on her utility account.  </w:t>
      </w:r>
      <w:r>
        <w:rPr>
          <w:rFonts w:ascii="Times New Roman" w:hAnsi="Times New Roman"/>
          <w:color w:val="000000"/>
          <w:sz w:val="26"/>
          <w:szCs w:val="26"/>
        </w:rPr>
        <w:t>I</w:t>
      </w:r>
      <w:r w:rsidR="00D53AC0">
        <w:rPr>
          <w:rFonts w:ascii="Times New Roman" w:hAnsi="Times New Roman"/>
          <w:color w:val="000000"/>
          <w:sz w:val="26"/>
          <w:szCs w:val="26"/>
        </w:rPr>
        <w:t xml:space="preserve">n </w:t>
      </w:r>
      <w:r>
        <w:rPr>
          <w:rFonts w:ascii="Times New Roman" w:hAnsi="Times New Roman"/>
          <w:color w:val="000000"/>
          <w:sz w:val="26"/>
          <w:szCs w:val="26"/>
        </w:rPr>
        <w:t xml:space="preserve">making </w:t>
      </w:r>
      <w:r w:rsidR="00D53AC0">
        <w:rPr>
          <w:rFonts w:ascii="Times New Roman" w:hAnsi="Times New Roman"/>
          <w:color w:val="000000"/>
          <w:sz w:val="26"/>
          <w:szCs w:val="26"/>
        </w:rPr>
        <w:t>th</w:t>
      </w:r>
      <w:r>
        <w:rPr>
          <w:rFonts w:ascii="Times New Roman" w:hAnsi="Times New Roman"/>
          <w:color w:val="000000"/>
          <w:sz w:val="26"/>
          <w:szCs w:val="26"/>
        </w:rPr>
        <w:t>at</w:t>
      </w:r>
      <w:r w:rsidR="00D53AC0" w:rsidRPr="008B4274">
        <w:rPr>
          <w:rFonts w:ascii="Times New Roman" w:hAnsi="Times New Roman"/>
          <w:color w:val="000000"/>
          <w:sz w:val="26"/>
          <w:szCs w:val="26"/>
        </w:rPr>
        <w:t xml:space="preserve"> decision</w:t>
      </w:r>
      <w:r w:rsidR="00E871F8">
        <w:rPr>
          <w:rFonts w:ascii="Times New Roman" w:hAnsi="Times New Roman"/>
          <w:color w:val="000000"/>
          <w:sz w:val="26"/>
          <w:szCs w:val="26"/>
        </w:rPr>
        <w:t>,</w:t>
      </w:r>
      <w:r w:rsidR="00D53AC0" w:rsidRPr="008B4274">
        <w:rPr>
          <w:rFonts w:ascii="Times New Roman" w:hAnsi="Times New Roman"/>
          <w:color w:val="000000"/>
          <w:sz w:val="26"/>
          <w:szCs w:val="26"/>
        </w:rPr>
        <w:t xml:space="preserve"> the ALJ </w:t>
      </w:r>
      <w:r w:rsidR="00D53AC0">
        <w:rPr>
          <w:rFonts w:ascii="Times New Roman" w:hAnsi="Times New Roman"/>
          <w:color w:val="000000"/>
          <w:sz w:val="26"/>
          <w:szCs w:val="26"/>
        </w:rPr>
        <w:t xml:space="preserve">relied on </w:t>
      </w:r>
      <w:r w:rsidR="00D53AC0">
        <w:rPr>
          <w:rFonts w:ascii="Times New Roman" w:hAnsi="Times New Roman"/>
          <w:i/>
          <w:color w:val="000000"/>
          <w:sz w:val="26"/>
          <w:szCs w:val="26"/>
        </w:rPr>
        <w:t>George Crawford v. National Fuel Gas Distribution Corporation</w:t>
      </w:r>
      <w:r w:rsidR="00D53AC0">
        <w:rPr>
          <w:rFonts w:ascii="Times New Roman" w:hAnsi="Times New Roman"/>
          <w:color w:val="000000"/>
          <w:sz w:val="26"/>
          <w:szCs w:val="26"/>
        </w:rPr>
        <w:t>, Docket No. C</w:t>
      </w:r>
      <w:r w:rsidR="00D53AC0">
        <w:rPr>
          <w:rFonts w:ascii="Times New Roman" w:hAnsi="Times New Roman"/>
          <w:color w:val="000000"/>
          <w:sz w:val="26"/>
          <w:szCs w:val="26"/>
        </w:rPr>
        <w:noBreakHyphen/>
        <w:t>2006638, Opinion and Order entered August</w:t>
      </w:r>
      <w:r w:rsidR="00E94F78">
        <w:rPr>
          <w:rFonts w:ascii="Times New Roman" w:hAnsi="Times New Roman"/>
          <w:color w:val="000000"/>
          <w:sz w:val="26"/>
          <w:szCs w:val="26"/>
        </w:rPr>
        <w:t> </w:t>
      </w:r>
      <w:r w:rsidR="00D53AC0">
        <w:rPr>
          <w:rFonts w:ascii="Times New Roman" w:hAnsi="Times New Roman"/>
          <w:color w:val="000000"/>
          <w:sz w:val="26"/>
          <w:szCs w:val="26"/>
        </w:rPr>
        <w:t>3, 2007</w:t>
      </w:r>
      <w:r w:rsidR="00474AF2">
        <w:rPr>
          <w:rFonts w:ascii="Times New Roman" w:hAnsi="Times New Roman"/>
          <w:color w:val="000000"/>
          <w:sz w:val="26"/>
          <w:szCs w:val="26"/>
        </w:rPr>
        <w:t xml:space="preserve"> (</w:t>
      </w:r>
      <w:r w:rsidR="00474AF2">
        <w:rPr>
          <w:rFonts w:ascii="Times New Roman" w:hAnsi="Times New Roman"/>
          <w:i/>
          <w:color w:val="000000"/>
          <w:sz w:val="26"/>
          <w:szCs w:val="26"/>
        </w:rPr>
        <w:t>Crawford</w:t>
      </w:r>
      <w:r w:rsidR="00474AF2">
        <w:rPr>
          <w:rFonts w:ascii="Times New Roman" w:hAnsi="Times New Roman"/>
          <w:color w:val="000000"/>
          <w:sz w:val="26"/>
          <w:szCs w:val="26"/>
        </w:rPr>
        <w:t>)</w:t>
      </w:r>
      <w:r w:rsidR="00916D60">
        <w:rPr>
          <w:rFonts w:ascii="Times New Roman" w:hAnsi="Times New Roman"/>
          <w:color w:val="000000"/>
          <w:sz w:val="26"/>
          <w:szCs w:val="26"/>
        </w:rPr>
        <w:t>, for the proposition that “</w:t>
      </w:r>
      <w:r w:rsidR="00474AF2" w:rsidRPr="00474AF2">
        <w:rPr>
          <w:rFonts w:ascii="Times New Roman" w:hAnsi="Times New Roman"/>
          <w:color w:val="000000"/>
          <w:sz w:val="26"/>
          <w:szCs w:val="26"/>
        </w:rPr>
        <w:t>this Commission should exercise its discretion only on behalf of customers who have demonstrated some evidence of good faith efforts to pay their utility bills, or who have experienced a significant change of circumstance outside of their control.</w:t>
      </w:r>
      <w:r w:rsidR="00474AF2">
        <w:rPr>
          <w:rFonts w:ascii="Times New Roman" w:hAnsi="Times New Roman"/>
          <w:color w:val="000000"/>
          <w:sz w:val="26"/>
          <w:szCs w:val="26"/>
        </w:rPr>
        <w:t>”</w:t>
      </w:r>
      <w:r w:rsidR="0019034C">
        <w:rPr>
          <w:rFonts w:ascii="Times New Roman" w:hAnsi="Times New Roman"/>
          <w:color w:val="000000"/>
          <w:sz w:val="26"/>
          <w:szCs w:val="26"/>
        </w:rPr>
        <w:t xml:space="preserve">  </w:t>
      </w:r>
      <w:proofErr w:type="gramStart"/>
      <w:r w:rsidR="0019034C">
        <w:rPr>
          <w:rFonts w:ascii="Times New Roman" w:hAnsi="Times New Roman"/>
          <w:color w:val="000000"/>
          <w:sz w:val="26"/>
          <w:szCs w:val="26"/>
        </w:rPr>
        <w:t>I.D. at 14</w:t>
      </w:r>
      <w:r w:rsidR="00474AF2">
        <w:rPr>
          <w:rFonts w:ascii="Times New Roman" w:hAnsi="Times New Roman"/>
          <w:color w:val="000000"/>
          <w:sz w:val="26"/>
          <w:szCs w:val="26"/>
        </w:rPr>
        <w:t xml:space="preserve"> (citing </w:t>
      </w:r>
      <w:r w:rsidR="00474AF2">
        <w:rPr>
          <w:rFonts w:ascii="Times New Roman" w:hAnsi="Times New Roman"/>
          <w:i/>
          <w:color w:val="000000"/>
          <w:sz w:val="26"/>
          <w:szCs w:val="26"/>
        </w:rPr>
        <w:t>Crawford</w:t>
      </w:r>
      <w:r w:rsidR="00474AF2">
        <w:rPr>
          <w:rFonts w:ascii="Times New Roman" w:hAnsi="Times New Roman"/>
          <w:color w:val="000000"/>
          <w:sz w:val="26"/>
          <w:szCs w:val="26"/>
        </w:rPr>
        <w:t xml:space="preserve"> at 15-16).</w:t>
      </w:r>
      <w:proofErr w:type="gramEnd"/>
    </w:p>
    <w:p w:rsidR="00727712" w:rsidRPr="00A55568" w:rsidRDefault="00727712" w:rsidP="000730AC">
      <w:pPr>
        <w:spacing w:line="360" w:lineRule="auto"/>
        <w:ind w:firstLine="1440"/>
        <w:rPr>
          <w:rFonts w:ascii="Times New Roman" w:hAnsi="Times New Roman"/>
          <w:sz w:val="26"/>
          <w:szCs w:val="26"/>
        </w:rPr>
      </w:pPr>
    </w:p>
    <w:p w:rsidR="0019034C" w:rsidRPr="0019034C" w:rsidRDefault="000E0AE1" w:rsidP="000730AC">
      <w:pPr>
        <w:pStyle w:val="FootnoteText"/>
        <w:widowControl/>
        <w:spacing w:line="360" w:lineRule="auto"/>
        <w:ind w:firstLine="1440"/>
      </w:pPr>
      <w:r w:rsidRPr="006D32E1">
        <w:rPr>
          <w:sz w:val="26"/>
          <w:szCs w:val="26"/>
        </w:rPr>
        <w:lastRenderedPageBreak/>
        <w:t xml:space="preserve">Although we agree with the outcome of the ALJ’s Initial Decision to dismiss the payment arrangement request, we do not agree with the </w:t>
      </w:r>
      <w:r w:rsidR="00E94F78">
        <w:rPr>
          <w:sz w:val="26"/>
          <w:szCs w:val="26"/>
        </w:rPr>
        <w:t xml:space="preserve">ALJ’s </w:t>
      </w:r>
      <w:r w:rsidR="00D53AC0" w:rsidRPr="006D32E1">
        <w:rPr>
          <w:sz w:val="26"/>
          <w:szCs w:val="26"/>
        </w:rPr>
        <w:t>reliance on</w:t>
      </w:r>
      <w:r w:rsidR="00D53AC0" w:rsidRPr="006D32E1">
        <w:rPr>
          <w:i/>
          <w:sz w:val="26"/>
          <w:szCs w:val="26"/>
        </w:rPr>
        <w:t xml:space="preserve"> Crawford</w:t>
      </w:r>
      <w:r w:rsidR="00474AF2">
        <w:rPr>
          <w:i/>
          <w:sz w:val="26"/>
          <w:szCs w:val="26"/>
        </w:rPr>
        <w:t xml:space="preserve"> </w:t>
      </w:r>
      <w:r w:rsidR="00474AF2">
        <w:rPr>
          <w:sz w:val="26"/>
          <w:szCs w:val="26"/>
        </w:rPr>
        <w:t>to dismiss the request</w:t>
      </w:r>
      <w:r w:rsidR="00D53AC0" w:rsidRPr="006D32E1">
        <w:rPr>
          <w:sz w:val="26"/>
          <w:szCs w:val="26"/>
        </w:rPr>
        <w:t xml:space="preserve">.  </w:t>
      </w:r>
      <w:r w:rsidR="00AD0D88">
        <w:rPr>
          <w:sz w:val="26"/>
          <w:szCs w:val="26"/>
        </w:rPr>
        <w:t>As noted, i</w:t>
      </w:r>
      <w:r w:rsidR="00D53AC0" w:rsidRPr="006D32E1">
        <w:rPr>
          <w:sz w:val="26"/>
          <w:szCs w:val="26"/>
        </w:rPr>
        <w:t xml:space="preserve">n </w:t>
      </w:r>
      <w:r w:rsidR="00796890" w:rsidRPr="006D32E1">
        <w:rPr>
          <w:i/>
          <w:sz w:val="26"/>
          <w:szCs w:val="26"/>
        </w:rPr>
        <w:t>Crawford</w:t>
      </w:r>
      <w:r w:rsidR="00796890" w:rsidRPr="006D32E1">
        <w:rPr>
          <w:sz w:val="26"/>
          <w:szCs w:val="26"/>
        </w:rPr>
        <w:t xml:space="preserve">, </w:t>
      </w:r>
      <w:r w:rsidR="00AD0D88">
        <w:rPr>
          <w:sz w:val="26"/>
          <w:szCs w:val="26"/>
        </w:rPr>
        <w:t>we</w:t>
      </w:r>
      <w:r w:rsidR="00796890" w:rsidRPr="006D32E1">
        <w:rPr>
          <w:sz w:val="26"/>
          <w:szCs w:val="26"/>
        </w:rPr>
        <w:t xml:space="preserve"> established a “good faith” payment history requirement when granting Commission-issued payment arrangements to customers whose service </w:t>
      </w:r>
      <w:r w:rsidR="00E94F78">
        <w:rPr>
          <w:sz w:val="26"/>
          <w:szCs w:val="26"/>
        </w:rPr>
        <w:t>was</w:t>
      </w:r>
      <w:r w:rsidR="00796890" w:rsidRPr="006D32E1">
        <w:rPr>
          <w:sz w:val="26"/>
          <w:szCs w:val="26"/>
        </w:rPr>
        <w:t xml:space="preserve"> terminated for non-payment</w:t>
      </w:r>
      <w:r w:rsidR="00A955C2">
        <w:rPr>
          <w:sz w:val="26"/>
          <w:szCs w:val="26"/>
        </w:rPr>
        <w:t>.</w:t>
      </w:r>
      <w:r w:rsidR="00796890" w:rsidRPr="006D32E1">
        <w:rPr>
          <w:rStyle w:val="FootnoteReference"/>
          <w:sz w:val="26"/>
          <w:szCs w:val="26"/>
        </w:rPr>
        <w:footnoteReference w:id="4"/>
      </w:r>
      <w:r w:rsidR="00796890" w:rsidRPr="006D32E1">
        <w:rPr>
          <w:sz w:val="26"/>
          <w:szCs w:val="26"/>
        </w:rPr>
        <w:t xml:space="preserve">  Because the current case does not involve the </w:t>
      </w:r>
      <w:r w:rsidR="00BD019E">
        <w:rPr>
          <w:sz w:val="26"/>
          <w:szCs w:val="26"/>
        </w:rPr>
        <w:t xml:space="preserve">actual </w:t>
      </w:r>
      <w:r w:rsidR="00796890" w:rsidRPr="006D32E1">
        <w:rPr>
          <w:sz w:val="26"/>
          <w:szCs w:val="26"/>
        </w:rPr>
        <w:t>termination of service,</w:t>
      </w:r>
      <w:r w:rsidR="00BD019E">
        <w:rPr>
          <w:rStyle w:val="FootnoteReference"/>
          <w:sz w:val="26"/>
          <w:szCs w:val="26"/>
        </w:rPr>
        <w:footnoteReference w:id="5"/>
      </w:r>
      <w:r w:rsidR="00796890" w:rsidRPr="006D32E1">
        <w:rPr>
          <w:sz w:val="26"/>
          <w:szCs w:val="26"/>
        </w:rPr>
        <w:t xml:space="preserve"> we do not believe </w:t>
      </w:r>
      <w:r w:rsidR="00796890" w:rsidRPr="006D32E1">
        <w:rPr>
          <w:i/>
          <w:sz w:val="26"/>
          <w:szCs w:val="26"/>
        </w:rPr>
        <w:t>Crawford</w:t>
      </w:r>
      <w:r w:rsidR="00796890" w:rsidRPr="006D32E1">
        <w:rPr>
          <w:sz w:val="26"/>
          <w:szCs w:val="26"/>
        </w:rPr>
        <w:t xml:space="preserve"> is applicable.  Rather, we believe the Complainant’s request for a payment arrangement should be dismissed pursuant to our decision in </w:t>
      </w:r>
      <w:r w:rsidR="0019034C" w:rsidRPr="005628B1">
        <w:rPr>
          <w:i/>
          <w:sz w:val="26"/>
          <w:szCs w:val="26"/>
        </w:rPr>
        <w:t>Susan Hewitt</w:t>
      </w:r>
      <w:r w:rsidR="0019034C" w:rsidRPr="0019034C">
        <w:rPr>
          <w:i/>
        </w:rPr>
        <w:t xml:space="preserve"> </w:t>
      </w:r>
      <w:r w:rsidR="0019034C" w:rsidRPr="005628B1">
        <w:rPr>
          <w:i/>
          <w:sz w:val="26"/>
          <w:szCs w:val="26"/>
        </w:rPr>
        <w:t>v. PECO</w:t>
      </w:r>
      <w:r w:rsidR="0019034C" w:rsidRPr="008A683D">
        <w:rPr>
          <w:i/>
        </w:rPr>
        <w:t xml:space="preserve"> </w:t>
      </w:r>
      <w:r w:rsidR="0019034C" w:rsidRPr="005628B1">
        <w:rPr>
          <w:i/>
          <w:sz w:val="26"/>
          <w:szCs w:val="26"/>
        </w:rPr>
        <w:t>Energy Company</w:t>
      </w:r>
      <w:r w:rsidR="0019034C" w:rsidRPr="005628B1">
        <w:rPr>
          <w:sz w:val="26"/>
          <w:szCs w:val="26"/>
        </w:rPr>
        <w:t xml:space="preserve">, Docket No. F-2011-2273271, </w:t>
      </w:r>
      <w:r w:rsidR="0019034C">
        <w:rPr>
          <w:sz w:val="26"/>
          <w:szCs w:val="26"/>
        </w:rPr>
        <w:t>(</w:t>
      </w:r>
      <w:r w:rsidR="0019034C" w:rsidRPr="005628B1">
        <w:rPr>
          <w:sz w:val="26"/>
          <w:szCs w:val="26"/>
        </w:rPr>
        <w:t>Opinion and Order entered September 12, 2013</w:t>
      </w:r>
      <w:r w:rsidR="0019034C">
        <w:rPr>
          <w:sz w:val="26"/>
          <w:szCs w:val="26"/>
        </w:rPr>
        <w:t>) (</w:t>
      </w:r>
      <w:r w:rsidR="0019034C">
        <w:rPr>
          <w:i/>
          <w:sz w:val="26"/>
          <w:szCs w:val="26"/>
        </w:rPr>
        <w:t>Hewitt</w:t>
      </w:r>
      <w:r w:rsidR="0019034C">
        <w:rPr>
          <w:sz w:val="26"/>
          <w:szCs w:val="26"/>
        </w:rPr>
        <w:t>)</w:t>
      </w:r>
      <w:r w:rsidR="0019034C" w:rsidRPr="005628B1">
        <w:rPr>
          <w:sz w:val="26"/>
          <w:szCs w:val="26"/>
        </w:rPr>
        <w:t>.</w:t>
      </w:r>
    </w:p>
    <w:p w:rsidR="00796890" w:rsidRDefault="00796890" w:rsidP="000730AC">
      <w:pPr>
        <w:spacing w:line="360" w:lineRule="auto"/>
        <w:ind w:firstLine="1440"/>
        <w:rPr>
          <w:rFonts w:ascii="Times New Roman" w:hAnsi="Times New Roman"/>
          <w:color w:val="000000"/>
          <w:sz w:val="26"/>
          <w:szCs w:val="26"/>
        </w:rPr>
      </w:pPr>
    </w:p>
    <w:p w:rsidR="00796890" w:rsidRDefault="00796890" w:rsidP="000730AC">
      <w:pPr>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In </w:t>
      </w:r>
      <w:r>
        <w:rPr>
          <w:rFonts w:ascii="Times New Roman" w:hAnsi="Times New Roman"/>
          <w:i/>
          <w:color w:val="000000"/>
          <w:sz w:val="26"/>
          <w:szCs w:val="26"/>
        </w:rPr>
        <w:t>Hewitt</w:t>
      </w:r>
      <w:r>
        <w:rPr>
          <w:rFonts w:ascii="Times New Roman" w:hAnsi="Times New Roman"/>
          <w:color w:val="000000"/>
          <w:sz w:val="26"/>
          <w:szCs w:val="26"/>
        </w:rPr>
        <w:t xml:space="preserve">, </w:t>
      </w:r>
      <w:r w:rsidR="00244D6B">
        <w:rPr>
          <w:rFonts w:ascii="Times New Roman" w:hAnsi="Times New Roman"/>
          <w:color w:val="000000"/>
          <w:sz w:val="26"/>
          <w:szCs w:val="26"/>
        </w:rPr>
        <w:t xml:space="preserve">we </w:t>
      </w:r>
      <w:r>
        <w:rPr>
          <w:rFonts w:ascii="Times New Roman" w:hAnsi="Times New Roman"/>
          <w:color w:val="000000"/>
          <w:sz w:val="26"/>
          <w:szCs w:val="26"/>
        </w:rPr>
        <w:t xml:space="preserve">confirmed that </w:t>
      </w:r>
      <w:r w:rsidR="00244D6B">
        <w:rPr>
          <w:rFonts w:ascii="Times New Roman" w:hAnsi="Times New Roman"/>
          <w:color w:val="000000"/>
          <w:sz w:val="26"/>
          <w:szCs w:val="26"/>
        </w:rPr>
        <w:t>we do</w:t>
      </w:r>
      <w:r>
        <w:rPr>
          <w:rFonts w:ascii="Times New Roman" w:hAnsi="Times New Roman"/>
          <w:color w:val="000000"/>
          <w:sz w:val="26"/>
          <w:szCs w:val="26"/>
        </w:rPr>
        <w:t xml:space="preserve"> not have authority to order a payment arrangement for the CAP portion of a mixed arrearage.  Therefore, we agree with the ALJ’s Initial Decision that Ms. Slaughter cannot be granted a payment arrangement for the $913.00 in CRP arrearage. </w:t>
      </w:r>
    </w:p>
    <w:p w:rsidR="00796890" w:rsidRDefault="00796890" w:rsidP="000730AC">
      <w:pPr>
        <w:spacing w:line="360" w:lineRule="auto"/>
        <w:ind w:firstLine="1440"/>
        <w:rPr>
          <w:rFonts w:ascii="Times New Roman" w:hAnsi="Times New Roman"/>
          <w:color w:val="000000"/>
          <w:sz w:val="26"/>
          <w:szCs w:val="26"/>
        </w:rPr>
      </w:pPr>
    </w:p>
    <w:p w:rsidR="00796890" w:rsidRDefault="00244D6B" w:rsidP="000730AC">
      <w:pPr>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We also confirmed in </w:t>
      </w:r>
      <w:r w:rsidR="00796890">
        <w:rPr>
          <w:rFonts w:ascii="Times New Roman" w:hAnsi="Times New Roman"/>
          <w:i/>
          <w:color w:val="000000"/>
          <w:sz w:val="26"/>
          <w:szCs w:val="26"/>
        </w:rPr>
        <w:t>Hewitt</w:t>
      </w:r>
      <w:r w:rsidR="00796890">
        <w:rPr>
          <w:rFonts w:ascii="Times New Roman" w:hAnsi="Times New Roman"/>
          <w:color w:val="000000"/>
          <w:sz w:val="26"/>
          <w:szCs w:val="26"/>
        </w:rPr>
        <w:t xml:space="preserve"> that </w:t>
      </w:r>
      <w:r>
        <w:rPr>
          <w:rFonts w:ascii="Times New Roman" w:hAnsi="Times New Roman"/>
          <w:color w:val="000000"/>
          <w:sz w:val="26"/>
          <w:szCs w:val="26"/>
        </w:rPr>
        <w:t>we</w:t>
      </w:r>
      <w:r w:rsidR="00796890">
        <w:rPr>
          <w:rFonts w:ascii="Times New Roman" w:hAnsi="Times New Roman"/>
          <w:color w:val="000000"/>
          <w:sz w:val="26"/>
          <w:szCs w:val="26"/>
        </w:rPr>
        <w:t xml:space="preserve"> do have authority to establish a payment arrangement of the non-CAP portion of a mixed arrearage.</w:t>
      </w:r>
      <w:r w:rsidR="00796890">
        <w:rPr>
          <w:rStyle w:val="FootnoteReference"/>
          <w:rFonts w:ascii="Times New Roman" w:hAnsi="Times New Roman"/>
          <w:color w:val="000000"/>
          <w:sz w:val="26"/>
          <w:szCs w:val="26"/>
        </w:rPr>
        <w:footnoteReference w:id="6"/>
      </w:r>
      <w:r w:rsidR="00796890">
        <w:rPr>
          <w:rFonts w:ascii="Times New Roman" w:hAnsi="Times New Roman"/>
          <w:color w:val="000000"/>
          <w:sz w:val="26"/>
          <w:szCs w:val="26"/>
        </w:rPr>
        <w:t xml:space="preserve">  However, we do not believe</w:t>
      </w:r>
      <w:r w:rsidR="00600DA9">
        <w:rPr>
          <w:rFonts w:ascii="Times New Roman" w:hAnsi="Times New Roman"/>
          <w:color w:val="000000"/>
          <w:sz w:val="26"/>
          <w:szCs w:val="26"/>
        </w:rPr>
        <w:t xml:space="preserve"> it is prudent </w:t>
      </w:r>
      <w:r w:rsidR="00796890">
        <w:rPr>
          <w:rFonts w:ascii="Times New Roman" w:hAnsi="Times New Roman"/>
          <w:color w:val="000000"/>
          <w:sz w:val="26"/>
          <w:szCs w:val="26"/>
        </w:rPr>
        <w:t xml:space="preserve">to exercise such authority here, given the Complainant’s poor payment history and her inability to keep prior payment arrangements with PGW.  As noted </w:t>
      </w:r>
      <w:r w:rsidR="00600DA9">
        <w:rPr>
          <w:rFonts w:ascii="Times New Roman" w:hAnsi="Times New Roman"/>
          <w:color w:val="000000"/>
          <w:sz w:val="26"/>
          <w:szCs w:val="26"/>
        </w:rPr>
        <w:t>on</w:t>
      </w:r>
      <w:r w:rsidR="00796890">
        <w:rPr>
          <w:rFonts w:ascii="Times New Roman" w:hAnsi="Times New Roman"/>
          <w:color w:val="000000"/>
          <w:sz w:val="26"/>
          <w:szCs w:val="26"/>
        </w:rPr>
        <w:t xml:space="preserve"> page 13-14 of the ALJ’s Initial Decision, the record demonstrates that over the last three years, the Complainant made only two payments on her bill.  Moreover, the Complainant was required to pay her current gas bills pending the outcome of her Complaint.</w:t>
      </w:r>
      <w:r w:rsidR="00796890">
        <w:rPr>
          <w:rStyle w:val="FootnoteReference"/>
          <w:rFonts w:ascii="Times New Roman" w:hAnsi="Times New Roman"/>
          <w:color w:val="000000"/>
          <w:sz w:val="26"/>
          <w:szCs w:val="26"/>
        </w:rPr>
        <w:footnoteReference w:id="7"/>
      </w:r>
      <w:r w:rsidR="00796890">
        <w:rPr>
          <w:rFonts w:ascii="Times New Roman" w:hAnsi="Times New Roman"/>
          <w:color w:val="000000"/>
          <w:sz w:val="26"/>
          <w:szCs w:val="26"/>
        </w:rPr>
        <w:t xml:space="preserve">  But, the record establishes that the Complainant did not make any payment between the time she filed her Complaint and the hearing.  The record further establishes </w:t>
      </w:r>
      <w:r w:rsidR="00796890">
        <w:rPr>
          <w:rFonts w:ascii="Times New Roman" w:hAnsi="Times New Roman"/>
          <w:color w:val="000000"/>
          <w:sz w:val="26"/>
          <w:szCs w:val="26"/>
        </w:rPr>
        <w:lastRenderedPageBreak/>
        <w:t>that the Complainant defaulted on two payment arrangements extended to her by PGW.  For these reasons, we do not support granting a Commission-issued payment arrangement for the non-CRP arrearages either.</w:t>
      </w:r>
    </w:p>
    <w:p w:rsidR="00796890" w:rsidRDefault="00796890" w:rsidP="000730AC">
      <w:pPr>
        <w:pStyle w:val="ParaTab1"/>
        <w:tabs>
          <w:tab w:val="left" w:pos="0"/>
        </w:tabs>
        <w:spacing w:line="360" w:lineRule="auto"/>
        <w:ind w:firstLine="0"/>
      </w:pPr>
    </w:p>
    <w:p w:rsidR="00727712" w:rsidRPr="00A55568" w:rsidRDefault="00727712" w:rsidP="00474AF2">
      <w:pPr>
        <w:keepNext/>
        <w:keepLines/>
        <w:spacing w:line="360" w:lineRule="auto"/>
        <w:jc w:val="center"/>
        <w:rPr>
          <w:rFonts w:ascii="Times New Roman" w:hAnsi="Times New Roman"/>
          <w:b/>
          <w:sz w:val="26"/>
          <w:szCs w:val="26"/>
        </w:rPr>
      </w:pPr>
      <w:r w:rsidRPr="00A55568">
        <w:rPr>
          <w:rFonts w:ascii="Times New Roman" w:hAnsi="Times New Roman"/>
          <w:b/>
          <w:sz w:val="26"/>
          <w:szCs w:val="26"/>
        </w:rPr>
        <w:t>Conclusion</w:t>
      </w:r>
    </w:p>
    <w:p w:rsidR="00727712" w:rsidRPr="00A55568" w:rsidRDefault="00727712" w:rsidP="00474AF2">
      <w:pPr>
        <w:keepNext/>
        <w:keepLines/>
        <w:spacing w:line="360" w:lineRule="auto"/>
        <w:jc w:val="center"/>
        <w:rPr>
          <w:rFonts w:ascii="Times New Roman" w:hAnsi="Times New Roman"/>
          <w:b/>
          <w:sz w:val="26"/>
          <w:szCs w:val="26"/>
        </w:rPr>
      </w:pPr>
    </w:p>
    <w:p w:rsidR="00727712" w:rsidRPr="00A55568" w:rsidRDefault="00727712" w:rsidP="000730AC">
      <w:pPr>
        <w:spacing w:line="360" w:lineRule="auto"/>
        <w:rPr>
          <w:rFonts w:ascii="Times New Roman" w:hAnsi="Times New Roman"/>
          <w:b/>
          <w:sz w:val="26"/>
          <w:szCs w:val="26"/>
        </w:rPr>
      </w:pPr>
      <w:r w:rsidRPr="00A55568">
        <w:rPr>
          <w:rFonts w:ascii="Times New Roman" w:hAnsi="Times New Roman"/>
          <w:sz w:val="26"/>
          <w:szCs w:val="26"/>
        </w:rPr>
        <w:tab/>
      </w:r>
      <w:r w:rsidRPr="00A55568">
        <w:rPr>
          <w:rFonts w:ascii="Times New Roman" w:hAnsi="Times New Roman"/>
          <w:sz w:val="26"/>
          <w:szCs w:val="26"/>
        </w:rPr>
        <w:tab/>
      </w:r>
      <w:r w:rsidR="002A6BDF">
        <w:rPr>
          <w:rFonts w:ascii="Times New Roman" w:hAnsi="Times New Roman"/>
          <w:sz w:val="26"/>
          <w:szCs w:val="26"/>
        </w:rPr>
        <w:t xml:space="preserve">In light of the foregoing discussion, we shall </w:t>
      </w:r>
      <w:r w:rsidR="0048727C">
        <w:rPr>
          <w:rFonts w:ascii="Times New Roman" w:hAnsi="Times New Roman"/>
          <w:sz w:val="26"/>
          <w:szCs w:val="26"/>
        </w:rPr>
        <w:t>modify</w:t>
      </w:r>
      <w:r w:rsidRPr="00A55568">
        <w:rPr>
          <w:rFonts w:ascii="Times New Roman" w:hAnsi="Times New Roman"/>
          <w:sz w:val="26"/>
          <w:szCs w:val="26"/>
        </w:rPr>
        <w:t xml:space="preserve"> </w:t>
      </w:r>
      <w:r w:rsidR="003E4DF6">
        <w:rPr>
          <w:rFonts w:ascii="Times New Roman" w:hAnsi="Times New Roman"/>
          <w:sz w:val="26"/>
          <w:szCs w:val="26"/>
        </w:rPr>
        <w:t xml:space="preserve">the </w:t>
      </w:r>
      <w:r w:rsidRPr="00A55568">
        <w:rPr>
          <w:rFonts w:ascii="Times New Roman" w:hAnsi="Times New Roman"/>
          <w:sz w:val="26"/>
          <w:szCs w:val="26"/>
        </w:rPr>
        <w:t>ALJ</w:t>
      </w:r>
      <w:r w:rsidR="003E4DF6">
        <w:rPr>
          <w:rFonts w:ascii="Times New Roman" w:hAnsi="Times New Roman"/>
          <w:sz w:val="26"/>
          <w:szCs w:val="26"/>
        </w:rPr>
        <w:t>’s</w:t>
      </w:r>
      <w:r w:rsidRPr="00A55568">
        <w:rPr>
          <w:rFonts w:ascii="Times New Roman" w:hAnsi="Times New Roman"/>
          <w:sz w:val="26"/>
          <w:szCs w:val="26"/>
        </w:rPr>
        <w:t xml:space="preserve"> Initial Decision </w:t>
      </w:r>
      <w:r w:rsidR="002A6BDF">
        <w:rPr>
          <w:rFonts w:ascii="Times New Roman" w:hAnsi="Times New Roman"/>
          <w:sz w:val="26"/>
          <w:szCs w:val="26"/>
        </w:rPr>
        <w:t xml:space="preserve">to properly reflect </w:t>
      </w:r>
      <w:r w:rsidR="0019034C">
        <w:rPr>
          <w:rFonts w:ascii="Times New Roman" w:hAnsi="Times New Roman"/>
          <w:sz w:val="26"/>
          <w:szCs w:val="26"/>
        </w:rPr>
        <w:t xml:space="preserve">reliance on Commission administrative precedent for </w:t>
      </w:r>
      <w:r w:rsidR="002A6BDF">
        <w:rPr>
          <w:rFonts w:ascii="Times New Roman" w:hAnsi="Times New Roman"/>
          <w:sz w:val="26"/>
          <w:szCs w:val="26"/>
        </w:rPr>
        <w:t xml:space="preserve">the </w:t>
      </w:r>
      <w:r w:rsidRPr="00A55568">
        <w:rPr>
          <w:rFonts w:ascii="Times New Roman" w:hAnsi="Times New Roman"/>
          <w:sz w:val="26"/>
          <w:szCs w:val="26"/>
        </w:rPr>
        <w:t>dismiss</w:t>
      </w:r>
      <w:r w:rsidR="002A6BDF">
        <w:rPr>
          <w:rFonts w:ascii="Times New Roman" w:hAnsi="Times New Roman"/>
          <w:sz w:val="26"/>
          <w:szCs w:val="26"/>
        </w:rPr>
        <w:t>al of the</w:t>
      </w:r>
      <w:r w:rsidRPr="00A55568">
        <w:rPr>
          <w:rFonts w:ascii="Times New Roman" w:hAnsi="Times New Roman"/>
          <w:sz w:val="26"/>
          <w:szCs w:val="26"/>
        </w:rPr>
        <w:t xml:space="preserve"> Complaint</w:t>
      </w:r>
      <w:r w:rsidR="004258ED">
        <w:rPr>
          <w:rFonts w:ascii="Times New Roman" w:hAnsi="Times New Roman"/>
          <w:sz w:val="26"/>
          <w:szCs w:val="26"/>
        </w:rPr>
        <w:t xml:space="preserve"> </w:t>
      </w:r>
      <w:r w:rsidR="0019034C">
        <w:rPr>
          <w:rFonts w:ascii="Times New Roman" w:hAnsi="Times New Roman"/>
          <w:sz w:val="26"/>
          <w:szCs w:val="26"/>
        </w:rPr>
        <w:t xml:space="preserve">as </w:t>
      </w:r>
      <w:r w:rsidR="002A6BDF">
        <w:rPr>
          <w:rFonts w:ascii="Times New Roman" w:hAnsi="Times New Roman"/>
          <w:sz w:val="26"/>
          <w:szCs w:val="26"/>
        </w:rPr>
        <w:t xml:space="preserve">based on </w:t>
      </w:r>
      <w:r w:rsidR="002A6BDF" w:rsidRPr="005628B1">
        <w:rPr>
          <w:rFonts w:ascii="Times New Roman" w:hAnsi="Times New Roman"/>
          <w:i/>
          <w:sz w:val="26"/>
          <w:szCs w:val="26"/>
        </w:rPr>
        <w:t>Hewitt</w:t>
      </w:r>
      <w:r w:rsidR="0019034C" w:rsidRPr="003E4DF6">
        <w:rPr>
          <w:rFonts w:ascii="Times New Roman" w:hAnsi="Times New Roman"/>
          <w:sz w:val="26"/>
          <w:szCs w:val="26"/>
        </w:rPr>
        <w:t>;</w:t>
      </w:r>
      <w:r w:rsidRPr="00A55568">
        <w:rPr>
          <w:rFonts w:ascii="Times New Roman" w:hAnsi="Times New Roman"/>
          <w:sz w:val="26"/>
          <w:szCs w:val="26"/>
        </w:rPr>
        <w:t xml:space="preserve"> </w:t>
      </w:r>
      <w:r w:rsidRPr="00A55568">
        <w:rPr>
          <w:rFonts w:ascii="Times New Roman" w:hAnsi="Times New Roman"/>
          <w:b/>
          <w:sz w:val="26"/>
          <w:szCs w:val="26"/>
        </w:rPr>
        <w:t>THEREFORE,</w:t>
      </w:r>
    </w:p>
    <w:p w:rsidR="00727712" w:rsidRPr="00A55568" w:rsidRDefault="00727712" w:rsidP="000730AC">
      <w:pPr>
        <w:spacing w:line="360" w:lineRule="auto"/>
        <w:rPr>
          <w:rFonts w:ascii="Times New Roman" w:hAnsi="Times New Roman"/>
          <w:b/>
          <w:sz w:val="26"/>
          <w:szCs w:val="26"/>
        </w:rPr>
      </w:pPr>
    </w:p>
    <w:p w:rsidR="00727712" w:rsidRPr="00A55568" w:rsidRDefault="00727712" w:rsidP="000730AC">
      <w:pPr>
        <w:spacing w:line="360" w:lineRule="auto"/>
        <w:ind w:left="720" w:firstLine="720"/>
        <w:rPr>
          <w:rFonts w:ascii="Times New Roman" w:hAnsi="Times New Roman"/>
          <w:b/>
          <w:sz w:val="26"/>
          <w:szCs w:val="26"/>
        </w:rPr>
      </w:pPr>
      <w:r w:rsidRPr="00A55568">
        <w:rPr>
          <w:rFonts w:ascii="Times New Roman" w:hAnsi="Times New Roman"/>
          <w:b/>
          <w:sz w:val="26"/>
          <w:szCs w:val="26"/>
        </w:rPr>
        <w:t>IT IS ORDERED:</w:t>
      </w:r>
    </w:p>
    <w:p w:rsidR="00727712" w:rsidRPr="00A55568" w:rsidRDefault="00727712" w:rsidP="000730AC">
      <w:pPr>
        <w:spacing w:line="360" w:lineRule="auto"/>
        <w:rPr>
          <w:rFonts w:ascii="Times New Roman" w:hAnsi="Times New Roman"/>
          <w:sz w:val="26"/>
          <w:szCs w:val="26"/>
        </w:rPr>
      </w:pPr>
    </w:p>
    <w:p w:rsidR="00A00836" w:rsidRDefault="00A00836" w:rsidP="000730AC">
      <w:pPr>
        <w:spacing w:line="360" w:lineRule="auto"/>
        <w:ind w:firstLine="720"/>
        <w:rPr>
          <w:rFonts w:ascii="Times New Roman" w:hAnsi="Times New Roman"/>
          <w:sz w:val="26"/>
          <w:szCs w:val="26"/>
        </w:rPr>
      </w:pPr>
      <w:r>
        <w:rPr>
          <w:rFonts w:ascii="Times New Roman" w:hAnsi="Times New Roman"/>
          <w:sz w:val="26"/>
          <w:szCs w:val="26"/>
        </w:rPr>
        <w:tab/>
      </w:r>
      <w:r w:rsidR="00727712" w:rsidRPr="00A55568">
        <w:rPr>
          <w:rFonts w:ascii="Times New Roman" w:hAnsi="Times New Roman"/>
          <w:sz w:val="26"/>
          <w:szCs w:val="26"/>
        </w:rPr>
        <w:t>1.</w:t>
      </w:r>
      <w:r w:rsidR="00727712" w:rsidRPr="00A55568">
        <w:rPr>
          <w:rFonts w:ascii="Times New Roman" w:hAnsi="Times New Roman"/>
          <w:sz w:val="26"/>
          <w:szCs w:val="26"/>
        </w:rPr>
        <w:tab/>
      </w:r>
      <w:r w:rsidRPr="00A00836">
        <w:rPr>
          <w:rFonts w:ascii="Times New Roman" w:hAnsi="Times New Roman"/>
          <w:sz w:val="26"/>
          <w:szCs w:val="26"/>
        </w:rPr>
        <w:t xml:space="preserve">That the </w:t>
      </w:r>
      <w:r w:rsidR="003E4DF6">
        <w:rPr>
          <w:rFonts w:ascii="Times New Roman" w:hAnsi="Times New Roman"/>
          <w:sz w:val="26"/>
          <w:szCs w:val="26"/>
        </w:rPr>
        <w:t>M</w:t>
      </w:r>
      <w:r w:rsidRPr="00A00836">
        <w:rPr>
          <w:rFonts w:ascii="Times New Roman" w:hAnsi="Times New Roman"/>
          <w:sz w:val="26"/>
          <w:szCs w:val="26"/>
        </w:rPr>
        <w:t>otion of Philadelphia Gas Works to dismiss the Complaint of Elease Slaughter at Docket C-2016-2541771 for lack of prosecution is denied</w:t>
      </w:r>
      <w:r w:rsidR="003E4DF6">
        <w:rPr>
          <w:rFonts w:ascii="Times New Roman" w:hAnsi="Times New Roman"/>
          <w:sz w:val="26"/>
          <w:szCs w:val="26"/>
        </w:rPr>
        <w:t>, consistent with this Opinion and Order</w:t>
      </w:r>
      <w:r w:rsidRPr="00A00836">
        <w:rPr>
          <w:rFonts w:ascii="Times New Roman" w:hAnsi="Times New Roman"/>
          <w:sz w:val="26"/>
          <w:szCs w:val="26"/>
        </w:rPr>
        <w:t>.</w:t>
      </w:r>
    </w:p>
    <w:p w:rsidR="00A00836" w:rsidRPr="00A00836" w:rsidRDefault="00A00836" w:rsidP="000730AC">
      <w:pPr>
        <w:spacing w:line="360" w:lineRule="auto"/>
        <w:rPr>
          <w:rFonts w:ascii="Times New Roman" w:hAnsi="Times New Roman"/>
          <w:sz w:val="26"/>
          <w:szCs w:val="26"/>
        </w:rPr>
      </w:pPr>
    </w:p>
    <w:p w:rsidR="00A00836" w:rsidRPr="00A00836" w:rsidRDefault="00A00836" w:rsidP="000730AC">
      <w:pPr>
        <w:spacing w:line="360" w:lineRule="auto"/>
        <w:ind w:firstLine="720"/>
        <w:rPr>
          <w:rFonts w:ascii="Times New Roman" w:hAnsi="Times New Roman"/>
          <w:sz w:val="26"/>
          <w:szCs w:val="26"/>
        </w:rPr>
      </w:pPr>
      <w:r>
        <w:rPr>
          <w:rFonts w:ascii="Times New Roman" w:hAnsi="Times New Roman"/>
          <w:sz w:val="26"/>
          <w:szCs w:val="26"/>
        </w:rPr>
        <w:tab/>
        <w:t>2.</w:t>
      </w:r>
      <w:r>
        <w:rPr>
          <w:rFonts w:ascii="Times New Roman" w:hAnsi="Times New Roman"/>
          <w:sz w:val="26"/>
          <w:szCs w:val="26"/>
        </w:rPr>
        <w:tab/>
        <w:t>T</w:t>
      </w:r>
      <w:r w:rsidRPr="00A00836">
        <w:rPr>
          <w:rFonts w:ascii="Times New Roman" w:hAnsi="Times New Roman"/>
          <w:sz w:val="26"/>
          <w:szCs w:val="26"/>
        </w:rPr>
        <w:t>hat the request of Complainant Elease Slaughter for a payment arrangement in the Complaint filed against Philadelphia Gas Works at Docket No. C</w:t>
      </w:r>
      <w:r w:rsidR="00A955C2">
        <w:rPr>
          <w:rFonts w:ascii="Times New Roman" w:hAnsi="Times New Roman"/>
          <w:sz w:val="26"/>
          <w:szCs w:val="26"/>
        </w:rPr>
        <w:noBreakHyphen/>
      </w:r>
      <w:r w:rsidRPr="00A00836">
        <w:rPr>
          <w:rFonts w:ascii="Times New Roman" w:hAnsi="Times New Roman"/>
          <w:sz w:val="26"/>
          <w:szCs w:val="26"/>
        </w:rPr>
        <w:t>2016-2541771 is denied</w:t>
      </w:r>
      <w:r w:rsidR="003E4DF6">
        <w:rPr>
          <w:rFonts w:ascii="Times New Roman" w:hAnsi="Times New Roman"/>
          <w:sz w:val="26"/>
          <w:szCs w:val="26"/>
        </w:rPr>
        <w:t>, consistent with this Opinion and Order</w:t>
      </w:r>
      <w:r w:rsidRPr="00A00836">
        <w:rPr>
          <w:rFonts w:ascii="Times New Roman" w:hAnsi="Times New Roman"/>
          <w:sz w:val="26"/>
          <w:szCs w:val="26"/>
        </w:rPr>
        <w:t>.</w:t>
      </w:r>
    </w:p>
    <w:p w:rsidR="00A00836" w:rsidRPr="00A00836" w:rsidRDefault="00A00836" w:rsidP="000730AC">
      <w:pPr>
        <w:spacing w:line="360" w:lineRule="auto"/>
        <w:rPr>
          <w:rFonts w:ascii="Times New Roman" w:hAnsi="Times New Roman"/>
          <w:sz w:val="26"/>
          <w:szCs w:val="26"/>
        </w:rPr>
      </w:pPr>
    </w:p>
    <w:p w:rsidR="00A00836" w:rsidRPr="00A00836" w:rsidRDefault="00A00836" w:rsidP="000730AC">
      <w:pPr>
        <w:spacing w:line="360" w:lineRule="auto"/>
        <w:ind w:firstLine="720"/>
        <w:rPr>
          <w:rFonts w:ascii="Times New Roman" w:hAnsi="Times New Roman"/>
          <w:sz w:val="26"/>
          <w:szCs w:val="26"/>
        </w:rPr>
      </w:pPr>
      <w:r>
        <w:rPr>
          <w:rFonts w:ascii="Times New Roman" w:hAnsi="Times New Roman"/>
          <w:sz w:val="26"/>
          <w:szCs w:val="26"/>
        </w:rPr>
        <w:tab/>
        <w:t>3.</w:t>
      </w:r>
      <w:r>
        <w:rPr>
          <w:rFonts w:ascii="Times New Roman" w:hAnsi="Times New Roman"/>
          <w:sz w:val="26"/>
          <w:szCs w:val="26"/>
        </w:rPr>
        <w:tab/>
      </w:r>
      <w:r w:rsidRPr="00A00836">
        <w:rPr>
          <w:rFonts w:ascii="Times New Roman" w:hAnsi="Times New Roman"/>
          <w:sz w:val="26"/>
          <w:szCs w:val="26"/>
        </w:rPr>
        <w:t>That the Complaint of Elease Slaughter filed against Philadelphia Gas Works at Docket No. C-2016-2541771 is dismissed</w:t>
      </w:r>
      <w:r w:rsidR="003E4DF6">
        <w:rPr>
          <w:rFonts w:ascii="Times New Roman" w:hAnsi="Times New Roman"/>
          <w:sz w:val="26"/>
          <w:szCs w:val="26"/>
        </w:rPr>
        <w:t>, consistent with this Opinion and Order</w:t>
      </w:r>
      <w:r w:rsidRPr="00A00836">
        <w:rPr>
          <w:rFonts w:ascii="Times New Roman" w:hAnsi="Times New Roman"/>
          <w:sz w:val="26"/>
          <w:szCs w:val="26"/>
        </w:rPr>
        <w:t>.</w:t>
      </w:r>
    </w:p>
    <w:p w:rsidR="00A00836" w:rsidRPr="00A00836" w:rsidRDefault="00A00836" w:rsidP="000730AC">
      <w:pPr>
        <w:spacing w:line="360" w:lineRule="auto"/>
        <w:rPr>
          <w:rFonts w:ascii="Times New Roman" w:hAnsi="Times New Roman"/>
          <w:sz w:val="26"/>
          <w:szCs w:val="26"/>
        </w:rPr>
      </w:pPr>
    </w:p>
    <w:p w:rsidR="00A00836" w:rsidRPr="001F521D" w:rsidRDefault="00A00836" w:rsidP="000730AC">
      <w:pPr>
        <w:spacing w:line="360" w:lineRule="auto"/>
        <w:ind w:firstLine="720"/>
        <w:rPr>
          <w:rFonts w:ascii="Times New Roman" w:hAnsi="Times New Roman"/>
          <w:sz w:val="26"/>
          <w:szCs w:val="26"/>
        </w:rPr>
      </w:pPr>
      <w:r w:rsidRPr="00A00836">
        <w:rPr>
          <w:rFonts w:ascii="Times New Roman" w:hAnsi="Times New Roman"/>
          <w:sz w:val="26"/>
          <w:szCs w:val="26"/>
        </w:rPr>
        <w:tab/>
        <w:t>4.</w:t>
      </w:r>
      <w:r w:rsidRPr="00A00836">
        <w:rPr>
          <w:rFonts w:ascii="Times New Roman" w:hAnsi="Times New Roman"/>
          <w:sz w:val="26"/>
          <w:szCs w:val="26"/>
        </w:rPr>
        <w:tab/>
      </w:r>
      <w:r w:rsidRPr="00A55568">
        <w:rPr>
          <w:rFonts w:ascii="Times New Roman" w:hAnsi="Times New Roman"/>
          <w:sz w:val="26"/>
          <w:szCs w:val="26"/>
        </w:rPr>
        <w:t xml:space="preserve">That the Initial Decision of Administrative Law Judge </w:t>
      </w:r>
      <w:r>
        <w:rPr>
          <w:rFonts w:ascii="Times New Roman" w:hAnsi="Times New Roman"/>
          <w:sz w:val="26"/>
          <w:szCs w:val="26"/>
        </w:rPr>
        <w:t>Conrad</w:t>
      </w:r>
      <w:r w:rsidRPr="001F521D">
        <w:rPr>
          <w:rFonts w:ascii="Times New Roman" w:hAnsi="Times New Roman"/>
          <w:sz w:val="26"/>
          <w:szCs w:val="26"/>
        </w:rPr>
        <w:t xml:space="preserve"> </w:t>
      </w:r>
      <w:r>
        <w:rPr>
          <w:rFonts w:ascii="Times New Roman" w:hAnsi="Times New Roman"/>
          <w:sz w:val="26"/>
          <w:szCs w:val="26"/>
        </w:rPr>
        <w:t>A. Johnson,</w:t>
      </w:r>
      <w:r w:rsidRPr="00A55568">
        <w:rPr>
          <w:rFonts w:ascii="Times New Roman" w:hAnsi="Times New Roman"/>
          <w:sz w:val="26"/>
          <w:szCs w:val="26"/>
        </w:rPr>
        <w:t xml:space="preserve"> issued on </w:t>
      </w:r>
      <w:r>
        <w:rPr>
          <w:rFonts w:ascii="Times New Roman" w:hAnsi="Times New Roman"/>
          <w:sz w:val="26"/>
          <w:szCs w:val="26"/>
        </w:rPr>
        <w:t>January</w:t>
      </w:r>
      <w:r w:rsidRPr="00A55568">
        <w:rPr>
          <w:rFonts w:ascii="Times New Roman" w:hAnsi="Times New Roman"/>
          <w:sz w:val="26"/>
          <w:szCs w:val="26"/>
        </w:rPr>
        <w:t xml:space="preserve"> </w:t>
      </w:r>
      <w:r>
        <w:rPr>
          <w:rFonts w:ascii="Times New Roman" w:hAnsi="Times New Roman"/>
          <w:sz w:val="26"/>
          <w:szCs w:val="26"/>
        </w:rPr>
        <w:t>4</w:t>
      </w:r>
      <w:r w:rsidRPr="00A55568">
        <w:rPr>
          <w:rFonts w:ascii="Times New Roman" w:hAnsi="Times New Roman"/>
          <w:sz w:val="26"/>
          <w:szCs w:val="26"/>
        </w:rPr>
        <w:t>, 201</w:t>
      </w:r>
      <w:r>
        <w:rPr>
          <w:rFonts w:ascii="Times New Roman" w:hAnsi="Times New Roman"/>
          <w:sz w:val="26"/>
          <w:szCs w:val="26"/>
        </w:rPr>
        <w:t>7</w:t>
      </w:r>
      <w:r w:rsidRPr="00A55568">
        <w:rPr>
          <w:rFonts w:ascii="Times New Roman" w:hAnsi="Times New Roman"/>
          <w:sz w:val="26"/>
          <w:szCs w:val="26"/>
        </w:rPr>
        <w:t xml:space="preserve">, is </w:t>
      </w:r>
      <w:r>
        <w:rPr>
          <w:rFonts w:ascii="Times New Roman" w:hAnsi="Times New Roman"/>
          <w:sz w:val="26"/>
          <w:szCs w:val="26"/>
        </w:rPr>
        <w:t>modified consistent with th</w:t>
      </w:r>
      <w:r w:rsidR="003E4DF6">
        <w:rPr>
          <w:rFonts w:ascii="Times New Roman" w:hAnsi="Times New Roman"/>
          <w:sz w:val="26"/>
          <w:szCs w:val="26"/>
        </w:rPr>
        <w:t>is</w:t>
      </w:r>
      <w:r>
        <w:rPr>
          <w:rFonts w:ascii="Times New Roman" w:hAnsi="Times New Roman"/>
          <w:sz w:val="26"/>
          <w:szCs w:val="26"/>
        </w:rPr>
        <w:t xml:space="preserve"> Opinion </w:t>
      </w:r>
      <w:r w:rsidRPr="00A55568">
        <w:rPr>
          <w:rFonts w:ascii="Times New Roman" w:hAnsi="Times New Roman"/>
          <w:sz w:val="26"/>
          <w:szCs w:val="26"/>
        </w:rPr>
        <w:t>and Order.</w:t>
      </w:r>
    </w:p>
    <w:p w:rsidR="00A00836" w:rsidRDefault="00A00836" w:rsidP="000730AC">
      <w:pPr>
        <w:spacing w:line="360" w:lineRule="auto"/>
        <w:rPr>
          <w:rFonts w:ascii="Times New Roman" w:hAnsi="Times New Roman"/>
          <w:sz w:val="26"/>
          <w:szCs w:val="26"/>
        </w:rPr>
      </w:pPr>
    </w:p>
    <w:p w:rsidR="00727712" w:rsidRPr="00A55568" w:rsidRDefault="00A00836" w:rsidP="00474AF2">
      <w:pPr>
        <w:keepNext/>
        <w:keepLines/>
        <w:spacing w:line="360" w:lineRule="auto"/>
        <w:ind w:firstLine="720"/>
        <w:rPr>
          <w:rFonts w:ascii="Times New Roman" w:hAnsi="Times New Roman"/>
          <w:sz w:val="26"/>
          <w:szCs w:val="26"/>
        </w:rPr>
      </w:pPr>
      <w:r>
        <w:rPr>
          <w:rFonts w:ascii="Times New Roman" w:hAnsi="Times New Roman"/>
          <w:sz w:val="26"/>
          <w:szCs w:val="26"/>
        </w:rPr>
        <w:lastRenderedPageBreak/>
        <w:tab/>
        <w:t>5.</w:t>
      </w:r>
      <w:r>
        <w:rPr>
          <w:rFonts w:ascii="Times New Roman" w:hAnsi="Times New Roman"/>
          <w:sz w:val="26"/>
          <w:szCs w:val="26"/>
        </w:rPr>
        <w:tab/>
      </w:r>
      <w:r w:rsidR="00727712" w:rsidRPr="00A55568">
        <w:rPr>
          <w:rFonts w:ascii="Times New Roman" w:hAnsi="Times New Roman"/>
          <w:sz w:val="26"/>
          <w:szCs w:val="26"/>
        </w:rPr>
        <w:t xml:space="preserve">That the proceeding docketed at </w:t>
      </w:r>
      <w:r w:rsidR="004258ED">
        <w:rPr>
          <w:rFonts w:ascii="Times New Roman" w:hAnsi="Times New Roman"/>
          <w:sz w:val="26"/>
          <w:szCs w:val="26"/>
        </w:rPr>
        <w:t>C</w:t>
      </w:r>
      <w:r w:rsidR="00727712" w:rsidRPr="00A55568">
        <w:rPr>
          <w:rFonts w:ascii="Times New Roman" w:hAnsi="Times New Roman"/>
          <w:sz w:val="26"/>
          <w:szCs w:val="26"/>
        </w:rPr>
        <w:t>-201</w:t>
      </w:r>
      <w:r w:rsidR="004258ED">
        <w:rPr>
          <w:rFonts w:ascii="Times New Roman" w:hAnsi="Times New Roman"/>
          <w:sz w:val="26"/>
          <w:szCs w:val="26"/>
        </w:rPr>
        <w:t>6</w:t>
      </w:r>
      <w:r w:rsidR="00727712" w:rsidRPr="00A55568">
        <w:rPr>
          <w:rFonts w:ascii="Times New Roman" w:hAnsi="Times New Roman"/>
          <w:sz w:val="26"/>
          <w:szCs w:val="26"/>
        </w:rPr>
        <w:t>-2</w:t>
      </w:r>
      <w:r w:rsidR="004258ED">
        <w:rPr>
          <w:rFonts w:ascii="Times New Roman" w:hAnsi="Times New Roman"/>
          <w:sz w:val="26"/>
          <w:szCs w:val="26"/>
        </w:rPr>
        <w:t>5</w:t>
      </w:r>
      <w:r w:rsidR="001F521D">
        <w:rPr>
          <w:rFonts w:ascii="Times New Roman" w:hAnsi="Times New Roman"/>
          <w:sz w:val="26"/>
          <w:szCs w:val="26"/>
        </w:rPr>
        <w:t>4</w:t>
      </w:r>
      <w:r w:rsidR="004258ED">
        <w:rPr>
          <w:rFonts w:ascii="Times New Roman" w:hAnsi="Times New Roman"/>
          <w:sz w:val="26"/>
          <w:szCs w:val="26"/>
        </w:rPr>
        <w:t>1771</w:t>
      </w:r>
      <w:r w:rsidR="00727712" w:rsidRPr="00A55568">
        <w:rPr>
          <w:rFonts w:ascii="Times New Roman" w:hAnsi="Times New Roman"/>
          <w:sz w:val="26"/>
          <w:szCs w:val="26"/>
        </w:rPr>
        <w:t xml:space="preserve"> be marked closed.</w:t>
      </w:r>
    </w:p>
    <w:p w:rsidR="00727712" w:rsidRPr="00A55568" w:rsidRDefault="00727712" w:rsidP="00474AF2">
      <w:pPr>
        <w:keepNext/>
        <w:keepLines/>
        <w:spacing w:line="360" w:lineRule="auto"/>
        <w:rPr>
          <w:rFonts w:ascii="Times New Roman" w:hAnsi="Times New Roman"/>
          <w:spacing w:val="-3"/>
          <w:sz w:val="26"/>
          <w:szCs w:val="26"/>
        </w:rPr>
      </w:pPr>
    </w:p>
    <w:p w:rsidR="00727712" w:rsidRPr="00A55568" w:rsidRDefault="00B140E4" w:rsidP="00474AF2">
      <w:pPr>
        <w:keepNext/>
        <w:keepLines/>
        <w:tabs>
          <w:tab w:val="left" w:pos="-720"/>
        </w:tabs>
        <w:ind w:firstLine="5040"/>
        <w:rPr>
          <w:rFonts w:ascii="Times New Roman" w:hAnsi="Times New Roman"/>
          <w:sz w:val="26"/>
          <w:szCs w:val="26"/>
        </w:rPr>
      </w:pPr>
      <w:r>
        <w:rPr>
          <w:noProof/>
        </w:rPr>
        <w:drawing>
          <wp:anchor distT="0" distB="0" distL="114300" distR="114300" simplePos="0" relativeHeight="251659264" behindDoc="1" locked="0" layoutInCell="1" allowOverlap="1" wp14:anchorId="40CB94BD" wp14:editId="5D15E7A8">
            <wp:simplePos x="0" y="0"/>
            <wp:positionH relativeFrom="column">
              <wp:posOffset>3162300</wp:posOffset>
            </wp:positionH>
            <wp:positionV relativeFrom="paragraph">
              <wp:posOffset>140970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27712" w:rsidRPr="00A55568">
        <w:rPr>
          <w:rFonts w:ascii="Times New Roman" w:hAnsi="Times New Roman"/>
          <w:b/>
          <w:sz w:val="26"/>
          <w:szCs w:val="26"/>
        </w:rPr>
        <w:t>BY THE COMMISSION,</w:t>
      </w:r>
    </w:p>
    <w:p w:rsidR="00727712" w:rsidRPr="00A55568" w:rsidRDefault="00727712" w:rsidP="00474AF2">
      <w:pPr>
        <w:keepNext/>
        <w:keepLines/>
        <w:tabs>
          <w:tab w:val="left" w:pos="-720"/>
        </w:tabs>
        <w:rPr>
          <w:rFonts w:ascii="Times New Roman" w:hAnsi="Times New Roman"/>
          <w:sz w:val="26"/>
          <w:szCs w:val="26"/>
        </w:rPr>
      </w:pPr>
    </w:p>
    <w:p w:rsidR="00727712" w:rsidRPr="00A55568" w:rsidRDefault="00727712" w:rsidP="00474AF2">
      <w:pPr>
        <w:keepNext/>
        <w:keepLines/>
        <w:tabs>
          <w:tab w:val="left" w:pos="-720"/>
        </w:tabs>
        <w:rPr>
          <w:rFonts w:ascii="Times New Roman" w:hAnsi="Times New Roman"/>
          <w:sz w:val="26"/>
          <w:szCs w:val="26"/>
        </w:rPr>
      </w:pPr>
    </w:p>
    <w:p w:rsidR="00727712" w:rsidRPr="00A55568" w:rsidRDefault="00B140E4" w:rsidP="00B140E4">
      <w:pPr>
        <w:keepNext/>
        <w:keepLines/>
        <w:tabs>
          <w:tab w:val="left" w:pos="-720"/>
          <w:tab w:val="left" w:pos="5865"/>
        </w:tabs>
        <w:rPr>
          <w:rFonts w:ascii="Times New Roman" w:hAnsi="Times New Roman"/>
          <w:sz w:val="26"/>
          <w:szCs w:val="26"/>
        </w:rPr>
      </w:pPr>
      <w:r>
        <w:rPr>
          <w:rFonts w:ascii="Times New Roman" w:hAnsi="Times New Roman"/>
          <w:sz w:val="26"/>
          <w:szCs w:val="26"/>
        </w:rPr>
        <w:tab/>
      </w:r>
    </w:p>
    <w:p w:rsidR="00727712" w:rsidRPr="00A55568" w:rsidRDefault="00727712" w:rsidP="00474AF2">
      <w:pPr>
        <w:keepNext/>
        <w:keepLines/>
        <w:tabs>
          <w:tab w:val="left" w:pos="-720"/>
        </w:tabs>
        <w:rPr>
          <w:rFonts w:ascii="Times New Roman" w:hAnsi="Times New Roman"/>
          <w:sz w:val="26"/>
          <w:szCs w:val="26"/>
        </w:rPr>
      </w:pPr>
      <w:bookmarkStart w:id="2" w:name="_GoBack"/>
      <w:bookmarkEnd w:id="2"/>
    </w:p>
    <w:p w:rsidR="00727712" w:rsidRPr="00A55568" w:rsidRDefault="00727712" w:rsidP="00474AF2">
      <w:pPr>
        <w:keepNext/>
        <w:keepLines/>
        <w:tabs>
          <w:tab w:val="left" w:pos="-720"/>
        </w:tabs>
        <w:ind w:firstLine="5040"/>
        <w:rPr>
          <w:rFonts w:ascii="Times New Roman" w:hAnsi="Times New Roman"/>
          <w:b/>
          <w:sz w:val="26"/>
          <w:szCs w:val="26"/>
        </w:rPr>
      </w:pPr>
      <w:r w:rsidRPr="00A55568">
        <w:rPr>
          <w:rFonts w:ascii="Times New Roman" w:hAnsi="Times New Roman"/>
          <w:sz w:val="26"/>
          <w:szCs w:val="26"/>
        </w:rPr>
        <w:t>Rosemary Chiavetta</w:t>
      </w:r>
    </w:p>
    <w:p w:rsidR="00727712" w:rsidRPr="00A55568" w:rsidRDefault="00727712" w:rsidP="00474AF2">
      <w:pPr>
        <w:keepNext/>
        <w:keepLines/>
        <w:tabs>
          <w:tab w:val="left" w:pos="-720"/>
        </w:tabs>
        <w:ind w:firstLine="5040"/>
        <w:rPr>
          <w:rFonts w:ascii="Times New Roman" w:hAnsi="Times New Roman"/>
          <w:sz w:val="26"/>
          <w:szCs w:val="26"/>
        </w:rPr>
      </w:pPr>
      <w:r w:rsidRPr="00A55568">
        <w:rPr>
          <w:rFonts w:ascii="Times New Roman" w:hAnsi="Times New Roman"/>
          <w:sz w:val="26"/>
          <w:szCs w:val="26"/>
        </w:rPr>
        <w:t>Secretary</w:t>
      </w:r>
    </w:p>
    <w:p w:rsidR="00727712" w:rsidRPr="00A55568" w:rsidRDefault="00727712" w:rsidP="00474AF2">
      <w:pPr>
        <w:keepNext/>
        <w:keepLines/>
        <w:tabs>
          <w:tab w:val="left" w:pos="-720"/>
        </w:tabs>
        <w:rPr>
          <w:rFonts w:ascii="Times New Roman" w:hAnsi="Times New Roman"/>
          <w:sz w:val="26"/>
          <w:szCs w:val="26"/>
        </w:rPr>
      </w:pPr>
    </w:p>
    <w:p w:rsidR="00727712" w:rsidRPr="00A55568" w:rsidRDefault="00727712" w:rsidP="00474AF2">
      <w:pPr>
        <w:keepNext/>
        <w:keepLines/>
        <w:tabs>
          <w:tab w:val="left" w:pos="-720"/>
        </w:tabs>
        <w:rPr>
          <w:rFonts w:ascii="Times New Roman" w:hAnsi="Times New Roman"/>
          <w:sz w:val="26"/>
          <w:szCs w:val="26"/>
        </w:rPr>
      </w:pPr>
    </w:p>
    <w:p w:rsidR="00727712" w:rsidRPr="00A55568" w:rsidRDefault="00727712" w:rsidP="00474AF2">
      <w:pPr>
        <w:keepNext/>
        <w:keepLines/>
        <w:tabs>
          <w:tab w:val="left" w:pos="-720"/>
        </w:tabs>
        <w:rPr>
          <w:rFonts w:ascii="Times New Roman" w:hAnsi="Times New Roman"/>
          <w:sz w:val="26"/>
          <w:szCs w:val="26"/>
        </w:rPr>
      </w:pPr>
      <w:r w:rsidRPr="00A55568">
        <w:rPr>
          <w:rFonts w:ascii="Times New Roman" w:hAnsi="Times New Roman"/>
          <w:sz w:val="26"/>
          <w:szCs w:val="26"/>
        </w:rPr>
        <w:t>(SEAL)</w:t>
      </w:r>
    </w:p>
    <w:p w:rsidR="00727712" w:rsidRPr="00A55568" w:rsidRDefault="00727712" w:rsidP="00474AF2">
      <w:pPr>
        <w:keepNext/>
        <w:keepLines/>
        <w:tabs>
          <w:tab w:val="left" w:pos="-720"/>
        </w:tabs>
        <w:rPr>
          <w:rFonts w:ascii="Times New Roman" w:hAnsi="Times New Roman"/>
          <w:sz w:val="26"/>
          <w:szCs w:val="26"/>
        </w:rPr>
      </w:pPr>
    </w:p>
    <w:p w:rsidR="00727712" w:rsidRPr="00A55568" w:rsidRDefault="00727712" w:rsidP="00474AF2">
      <w:pPr>
        <w:keepNext/>
        <w:keepLines/>
        <w:tabs>
          <w:tab w:val="left" w:pos="-720"/>
        </w:tabs>
        <w:rPr>
          <w:rFonts w:ascii="Times New Roman" w:hAnsi="Times New Roman"/>
          <w:sz w:val="26"/>
          <w:szCs w:val="26"/>
        </w:rPr>
      </w:pPr>
      <w:r w:rsidRPr="00A55568">
        <w:rPr>
          <w:rFonts w:ascii="Times New Roman" w:hAnsi="Times New Roman"/>
          <w:sz w:val="26"/>
          <w:szCs w:val="26"/>
        </w:rPr>
        <w:t xml:space="preserve">ORDER ADOPTED: </w:t>
      </w:r>
      <w:r w:rsidR="004258ED">
        <w:rPr>
          <w:rFonts w:ascii="Times New Roman" w:hAnsi="Times New Roman"/>
          <w:sz w:val="26"/>
          <w:szCs w:val="26"/>
        </w:rPr>
        <w:t>March</w:t>
      </w:r>
      <w:r w:rsidRPr="00A55568">
        <w:rPr>
          <w:rFonts w:ascii="Times New Roman" w:hAnsi="Times New Roman"/>
          <w:sz w:val="26"/>
          <w:szCs w:val="26"/>
        </w:rPr>
        <w:t xml:space="preserve"> </w:t>
      </w:r>
      <w:r w:rsidR="004258ED">
        <w:rPr>
          <w:rFonts w:ascii="Times New Roman" w:hAnsi="Times New Roman"/>
          <w:sz w:val="26"/>
          <w:szCs w:val="26"/>
        </w:rPr>
        <w:t>2</w:t>
      </w:r>
      <w:r w:rsidRPr="00A55568">
        <w:rPr>
          <w:rFonts w:ascii="Times New Roman" w:hAnsi="Times New Roman"/>
          <w:sz w:val="26"/>
          <w:szCs w:val="26"/>
        </w:rPr>
        <w:t>, 201</w:t>
      </w:r>
      <w:r w:rsidR="004258ED">
        <w:rPr>
          <w:rFonts w:ascii="Times New Roman" w:hAnsi="Times New Roman"/>
          <w:sz w:val="26"/>
          <w:szCs w:val="26"/>
        </w:rPr>
        <w:t>7</w:t>
      </w:r>
    </w:p>
    <w:p w:rsidR="00727712" w:rsidRPr="00A55568" w:rsidRDefault="00727712" w:rsidP="00474AF2">
      <w:pPr>
        <w:keepNext/>
        <w:keepLines/>
        <w:tabs>
          <w:tab w:val="left" w:pos="-720"/>
        </w:tabs>
        <w:rPr>
          <w:rFonts w:ascii="Times New Roman" w:hAnsi="Times New Roman"/>
          <w:sz w:val="26"/>
          <w:szCs w:val="26"/>
        </w:rPr>
      </w:pPr>
    </w:p>
    <w:p w:rsidR="00727712" w:rsidRPr="00A55568" w:rsidRDefault="00727712" w:rsidP="00474AF2">
      <w:pPr>
        <w:keepNext/>
        <w:keepLines/>
        <w:tabs>
          <w:tab w:val="left" w:pos="-720"/>
        </w:tabs>
        <w:rPr>
          <w:rFonts w:ascii="Times New Roman" w:hAnsi="Times New Roman"/>
          <w:sz w:val="26"/>
          <w:szCs w:val="26"/>
        </w:rPr>
      </w:pPr>
      <w:r w:rsidRPr="00A55568">
        <w:rPr>
          <w:rFonts w:ascii="Times New Roman" w:hAnsi="Times New Roman"/>
          <w:sz w:val="26"/>
          <w:szCs w:val="26"/>
        </w:rPr>
        <w:t xml:space="preserve">ORDER ENTERED: </w:t>
      </w:r>
      <w:r w:rsidR="00B140E4">
        <w:rPr>
          <w:rFonts w:ascii="Times New Roman" w:hAnsi="Times New Roman"/>
          <w:sz w:val="26"/>
          <w:szCs w:val="26"/>
        </w:rPr>
        <w:t>April 13, 2017</w:t>
      </w:r>
    </w:p>
    <w:sectPr w:rsidR="00727712" w:rsidRPr="00A55568" w:rsidSect="001D62A2">
      <w:footerReference w:type="default" r:id="rId10"/>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F26" w:rsidRDefault="00DD3F26">
      <w:r>
        <w:separator/>
      </w:r>
    </w:p>
  </w:endnote>
  <w:endnote w:type="continuationSeparator" w:id="0">
    <w:p w:rsidR="00DD3F26" w:rsidRDefault="00DD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695020"/>
      <w:docPartObj>
        <w:docPartGallery w:val="Page Numbers (Bottom of Page)"/>
        <w:docPartUnique/>
      </w:docPartObj>
    </w:sdtPr>
    <w:sdtEndPr>
      <w:rPr>
        <w:rFonts w:ascii="Times New Roman" w:hAnsi="Times New Roman"/>
        <w:noProof/>
      </w:rPr>
    </w:sdtEndPr>
    <w:sdtContent>
      <w:p w:rsidR="00196123" w:rsidRPr="001D62A2" w:rsidRDefault="00196123">
        <w:pPr>
          <w:pStyle w:val="Footer"/>
          <w:jc w:val="center"/>
          <w:rPr>
            <w:rFonts w:ascii="Times New Roman" w:hAnsi="Times New Roman"/>
          </w:rPr>
        </w:pPr>
        <w:r w:rsidRPr="001D62A2">
          <w:rPr>
            <w:rFonts w:ascii="Times New Roman" w:hAnsi="Times New Roman"/>
          </w:rPr>
          <w:fldChar w:fldCharType="begin"/>
        </w:r>
        <w:r w:rsidRPr="001D62A2">
          <w:rPr>
            <w:rFonts w:ascii="Times New Roman" w:hAnsi="Times New Roman"/>
          </w:rPr>
          <w:instrText xml:space="preserve"> PAGE   \* MERGEFORMAT </w:instrText>
        </w:r>
        <w:r w:rsidRPr="001D62A2">
          <w:rPr>
            <w:rFonts w:ascii="Times New Roman" w:hAnsi="Times New Roman"/>
          </w:rPr>
          <w:fldChar w:fldCharType="separate"/>
        </w:r>
        <w:r w:rsidR="00B140E4">
          <w:rPr>
            <w:rFonts w:ascii="Times New Roman" w:hAnsi="Times New Roman"/>
            <w:noProof/>
          </w:rPr>
          <w:t>12</w:t>
        </w:r>
        <w:r w:rsidRPr="001D62A2">
          <w:rPr>
            <w:rFonts w:ascii="Times New Roman" w:hAnsi="Times New Roman"/>
            <w:noProof/>
          </w:rPr>
          <w:fldChar w:fldCharType="end"/>
        </w:r>
      </w:p>
    </w:sdtContent>
  </w:sdt>
  <w:p w:rsidR="00196123" w:rsidRPr="001D62A2" w:rsidRDefault="00196123" w:rsidP="00227FB8">
    <w:pPr>
      <w:pStyle w:val="Footer"/>
      <w:tabs>
        <w:tab w:val="left" w:pos="4590"/>
      </w:tabs>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F26" w:rsidRDefault="00DD3F26">
      <w:r>
        <w:separator/>
      </w:r>
    </w:p>
  </w:footnote>
  <w:footnote w:type="continuationSeparator" w:id="0">
    <w:p w:rsidR="00DD3F26" w:rsidRDefault="00DD3F26">
      <w:r>
        <w:continuationSeparator/>
      </w:r>
    </w:p>
  </w:footnote>
  <w:footnote w:id="1">
    <w:p w:rsidR="0043306D" w:rsidRPr="0043306D" w:rsidRDefault="0043306D" w:rsidP="0043306D">
      <w:pPr>
        <w:pStyle w:val="FootnoteText"/>
        <w:ind w:firstLine="720"/>
        <w:rPr>
          <w:sz w:val="26"/>
          <w:szCs w:val="26"/>
        </w:rPr>
      </w:pPr>
      <w:r w:rsidRPr="0043306D">
        <w:rPr>
          <w:rStyle w:val="FootnoteReference"/>
          <w:sz w:val="26"/>
          <w:szCs w:val="26"/>
        </w:rPr>
        <w:footnoteRef/>
      </w:r>
      <w:r>
        <w:rPr>
          <w:sz w:val="26"/>
          <w:szCs w:val="26"/>
        </w:rPr>
        <w:tab/>
        <w:t xml:space="preserve">The ALJ noted that </w:t>
      </w:r>
      <w:r w:rsidR="00103479">
        <w:rPr>
          <w:sz w:val="26"/>
          <w:szCs w:val="26"/>
        </w:rPr>
        <w:t>he</w:t>
      </w:r>
      <w:r w:rsidR="00103479" w:rsidRPr="00103479">
        <w:rPr>
          <w:sz w:val="26"/>
          <w:szCs w:val="26"/>
        </w:rPr>
        <w:t xml:space="preserve"> recessed the hearing to determine whether Complainant had called the Office of Administrative Law Judge (OALJ) to explain her exit from the hearing</w:t>
      </w:r>
      <w:r w:rsidR="00785B7C">
        <w:rPr>
          <w:sz w:val="26"/>
          <w:szCs w:val="26"/>
        </w:rPr>
        <w:t xml:space="preserve"> and after finding that the </w:t>
      </w:r>
      <w:r w:rsidR="00785B7C" w:rsidRPr="00103479">
        <w:rPr>
          <w:sz w:val="26"/>
          <w:szCs w:val="26"/>
        </w:rPr>
        <w:t xml:space="preserve">Complainant </w:t>
      </w:r>
      <w:r w:rsidR="00785B7C">
        <w:rPr>
          <w:sz w:val="26"/>
          <w:szCs w:val="26"/>
        </w:rPr>
        <w:t>had</w:t>
      </w:r>
      <w:r w:rsidR="00785B7C" w:rsidRPr="00103479">
        <w:rPr>
          <w:sz w:val="26"/>
          <w:szCs w:val="26"/>
        </w:rPr>
        <w:t xml:space="preserve"> not call</w:t>
      </w:r>
      <w:r w:rsidR="00785B7C">
        <w:rPr>
          <w:sz w:val="26"/>
          <w:szCs w:val="26"/>
        </w:rPr>
        <w:t>ed, the</w:t>
      </w:r>
      <w:r w:rsidR="00103479" w:rsidRPr="00103479">
        <w:rPr>
          <w:sz w:val="26"/>
          <w:szCs w:val="26"/>
        </w:rPr>
        <w:t xml:space="preserve"> </w:t>
      </w:r>
      <w:r w:rsidR="00103479">
        <w:rPr>
          <w:sz w:val="26"/>
          <w:szCs w:val="26"/>
        </w:rPr>
        <w:t xml:space="preserve">ALJ </w:t>
      </w:r>
      <w:r w:rsidR="00103479" w:rsidRPr="00103479">
        <w:rPr>
          <w:sz w:val="26"/>
          <w:szCs w:val="26"/>
        </w:rPr>
        <w:t xml:space="preserve">reconvened </w:t>
      </w:r>
      <w:r w:rsidR="00103479">
        <w:rPr>
          <w:sz w:val="26"/>
          <w:szCs w:val="26"/>
        </w:rPr>
        <w:t xml:space="preserve">the hearing. </w:t>
      </w:r>
      <w:r w:rsidR="00785B7C">
        <w:rPr>
          <w:sz w:val="26"/>
          <w:szCs w:val="26"/>
        </w:rPr>
        <w:t xml:space="preserve"> </w:t>
      </w:r>
      <w:r w:rsidR="00C07885">
        <w:rPr>
          <w:sz w:val="26"/>
          <w:szCs w:val="26"/>
        </w:rPr>
        <w:t>S</w:t>
      </w:r>
      <w:r w:rsidR="00103479">
        <w:rPr>
          <w:sz w:val="26"/>
          <w:szCs w:val="26"/>
        </w:rPr>
        <w:t xml:space="preserve">ince the </w:t>
      </w:r>
      <w:r w:rsidR="006D32E1">
        <w:rPr>
          <w:sz w:val="26"/>
          <w:szCs w:val="26"/>
        </w:rPr>
        <w:t>hearing,</w:t>
      </w:r>
      <w:r w:rsidR="006D32E1" w:rsidRPr="0043306D">
        <w:rPr>
          <w:sz w:val="26"/>
          <w:szCs w:val="26"/>
        </w:rPr>
        <w:t xml:space="preserve"> Complainant</w:t>
      </w:r>
      <w:r w:rsidRPr="0043306D">
        <w:rPr>
          <w:sz w:val="26"/>
          <w:szCs w:val="26"/>
        </w:rPr>
        <w:t xml:space="preserve"> </w:t>
      </w:r>
      <w:r w:rsidR="00785B7C">
        <w:rPr>
          <w:sz w:val="26"/>
          <w:szCs w:val="26"/>
        </w:rPr>
        <w:t>failed to</w:t>
      </w:r>
      <w:r w:rsidR="00103479">
        <w:rPr>
          <w:sz w:val="26"/>
          <w:szCs w:val="26"/>
        </w:rPr>
        <w:t xml:space="preserve"> contact the ALJ or the OALJ</w:t>
      </w:r>
      <w:r w:rsidRPr="0043306D">
        <w:rPr>
          <w:sz w:val="26"/>
          <w:szCs w:val="26"/>
        </w:rPr>
        <w:t>.</w:t>
      </w:r>
      <w:r w:rsidRPr="0043306D">
        <w:rPr>
          <w:rFonts w:eastAsiaTheme="minorHAnsi" w:cstheme="minorBidi"/>
          <w:sz w:val="26"/>
          <w:szCs w:val="26"/>
        </w:rPr>
        <w:t xml:space="preserve">  </w:t>
      </w:r>
      <w:proofErr w:type="gramStart"/>
      <w:r w:rsidRPr="0043306D">
        <w:rPr>
          <w:rFonts w:eastAsiaTheme="minorHAnsi" w:cstheme="minorBidi"/>
          <w:sz w:val="26"/>
          <w:szCs w:val="26"/>
        </w:rPr>
        <w:t>I</w:t>
      </w:r>
      <w:r>
        <w:rPr>
          <w:rFonts w:eastAsiaTheme="minorHAnsi" w:cstheme="minorBidi"/>
          <w:sz w:val="26"/>
          <w:szCs w:val="26"/>
        </w:rPr>
        <w:t>.D. at 6.</w:t>
      </w:r>
      <w:proofErr w:type="gramEnd"/>
    </w:p>
  </w:footnote>
  <w:footnote w:id="2">
    <w:p w:rsidR="004E4B28" w:rsidRPr="0043306D" w:rsidRDefault="004E4B28" w:rsidP="004E4B28">
      <w:pPr>
        <w:pStyle w:val="FootnoteText"/>
        <w:ind w:firstLine="720"/>
        <w:rPr>
          <w:sz w:val="26"/>
          <w:szCs w:val="26"/>
        </w:rPr>
      </w:pPr>
      <w:r w:rsidRPr="0043306D">
        <w:rPr>
          <w:rStyle w:val="FootnoteReference"/>
          <w:sz w:val="26"/>
          <w:szCs w:val="26"/>
        </w:rPr>
        <w:footnoteRef/>
      </w:r>
      <w:r w:rsidRPr="0043306D">
        <w:rPr>
          <w:sz w:val="26"/>
          <w:szCs w:val="26"/>
        </w:rPr>
        <w:tab/>
      </w:r>
      <w:r w:rsidRPr="0043306D">
        <w:rPr>
          <w:i/>
          <w:sz w:val="26"/>
          <w:szCs w:val="26"/>
        </w:rPr>
        <w:t>See,</w:t>
      </w:r>
      <w:r w:rsidRPr="0043306D">
        <w:rPr>
          <w:sz w:val="26"/>
          <w:szCs w:val="26"/>
        </w:rPr>
        <w:t xml:space="preserve"> ALJ’s First Interim Order issued on July 20, 2016.</w:t>
      </w:r>
    </w:p>
  </w:footnote>
  <w:footnote w:id="3">
    <w:p w:rsidR="0043306D" w:rsidRDefault="0043306D" w:rsidP="0043306D">
      <w:pPr>
        <w:pStyle w:val="FootnoteText"/>
        <w:ind w:firstLine="720"/>
      </w:pPr>
      <w:r w:rsidRPr="0043306D">
        <w:rPr>
          <w:rStyle w:val="FootnoteReference"/>
          <w:sz w:val="26"/>
          <w:szCs w:val="26"/>
        </w:rPr>
        <w:footnoteRef/>
      </w:r>
      <w:r>
        <w:tab/>
      </w:r>
      <w:r>
        <w:rPr>
          <w:sz w:val="26"/>
          <w:szCs w:val="26"/>
        </w:rPr>
        <w:t xml:space="preserve">PGW presented evidence to demonstrate that on March 28, 2016, it issued a termination notice to the Complainant.  The ALJ </w:t>
      </w:r>
      <w:r w:rsidR="004E3184">
        <w:rPr>
          <w:sz w:val="26"/>
          <w:szCs w:val="26"/>
        </w:rPr>
        <w:t xml:space="preserve">in his I.D. </w:t>
      </w:r>
      <w:r>
        <w:rPr>
          <w:sz w:val="26"/>
          <w:szCs w:val="26"/>
        </w:rPr>
        <w:t xml:space="preserve">inadvertently indicated the outstanding balance amount in the termination notice as $3,832.16, instead of $3,862.31.  </w:t>
      </w:r>
      <w:proofErr w:type="gramStart"/>
      <w:r>
        <w:rPr>
          <w:sz w:val="26"/>
          <w:szCs w:val="26"/>
        </w:rPr>
        <w:t xml:space="preserve">I.D. </w:t>
      </w:r>
      <w:r w:rsidR="00DB2BE3">
        <w:rPr>
          <w:sz w:val="26"/>
          <w:szCs w:val="26"/>
        </w:rPr>
        <w:t xml:space="preserve">at </w:t>
      </w:r>
      <w:r>
        <w:rPr>
          <w:sz w:val="26"/>
          <w:szCs w:val="26"/>
        </w:rPr>
        <w:t xml:space="preserve">12; Tr. </w:t>
      </w:r>
      <w:r w:rsidR="00C45573">
        <w:rPr>
          <w:sz w:val="26"/>
          <w:szCs w:val="26"/>
        </w:rPr>
        <w:t xml:space="preserve">at </w:t>
      </w:r>
      <w:r>
        <w:rPr>
          <w:sz w:val="26"/>
          <w:szCs w:val="26"/>
        </w:rPr>
        <w:t>29; Exh 3 at 2.</w:t>
      </w:r>
      <w:proofErr w:type="gramEnd"/>
    </w:p>
  </w:footnote>
  <w:footnote w:id="4">
    <w:p w:rsidR="00796890" w:rsidRPr="00BD019E" w:rsidRDefault="00796890" w:rsidP="00796890">
      <w:pPr>
        <w:pStyle w:val="FootnoteText"/>
        <w:ind w:firstLine="720"/>
        <w:rPr>
          <w:sz w:val="26"/>
          <w:szCs w:val="26"/>
        </w:rPr>
      </w:pPr>
      <w:r w:rsidRPr="00BD019E">
        <w:rPr>
          <w:rStyle w:val="FootnoteReference"/>
          <w:sz w:val="26"/>
          <w:szCs w:val="26"/>
        </w:rPr>
        <w:footnoteRef/>
      </w:r>
      <w:r w:rsidRPr="00BD019E">
        <w:rPr>
          <w:sz w:val="26"/>
          <w:szCs w:val="26"/>
        </w:rPr>
        <w:tab/>
      </w:r>
      <w:r w:rsidRPr="00BD019E">
        <w:rPr>
          <w:i/>
          <w:sz w:val="26"/>
          <w:szCs w:val="26"/>
        </w:rPr>
        <w:t>I</w:t>
      </w:r>
      <w:r w:rsidR="008731F9" w:rsidRPr="00BD019E">
        <w:rPr>
          <w:i/>
          <w:sz w:val="26"/>
          <w:szCs w:val="26"/>
        </w:rPr>
        <w:t>d</w:t>
      </w:r>
      <w:r w:rsidRPr="00BD019E">
        <w:rPr>
          <w:i/>
          <w:sz w:val="26"/>
          <w:szCs w:val="26"/>
        </w:rPr>
        <w:t>.</w:t>
      </w:r>
      <w:r w:rsidRPr="00BD019E">
        <w:rPr>
          <w:sz w:val="26"/>
          <w:szCs w:val="26"/>
        </w:rPr>
        <w:t xml:space="preserve"> at 15-16.</w:t>
      </w:r>
    </w:p>
  </w:footnote>
  <w:footnote w:id="5">
    <w:p w:rsidR="00BD019E" w:rsidRPr="00BD019E" w:rsidRDefault="00BD019E">
      <w:pPr>
        <w:pStyle w:val="FootnoteText"/>
        <w:rPr>
          <w:sz w:val="26"/>
          <w:szCs w:val="26"/>
        </w:rPr>
      </w:pPr>
      <w:r>
        <w:rPr>
          <w:sz w:val="26"/>
          <w:szCs w:val="26"/>
        </w:rPr>
        <w:tab/>
      </w:r>
      <w:r w:rsidRPr="00BD019E">
        <w:rPr>
          <w:rStyle w:val="FootnoteReference"/>
          <w:sz w:val="26"/>
          <w:szCs w:val="26"/>
        </w:rPr>
        <w:footnoteRef/>
      </w:r>
      <w:r>
        <w:rPr>
          <w:sz w:val="26"/>
          <w:szCs w:val="26"/>
        </w:rPr>
        <w:tab/>
      </w:r>
      <w:proofErr w:type="gramStart"/>
      <w:r w:rsidRPr="00BD019E">
        <w:rPr>
          <w:i/>
          <w:sz w:val="26"/>
          <w:szCs w:val="26"/>
        </w:rPr>
        <w:t xml:space="preserve">See </w:t>
      </w:r>
      <w:r w:rsidRPr="00BD019E">
        <w:rPr>
          <w:sz w:val="26"/>
          <w:szCs w:val="26"/>
        </w:rPr>
        <w:t>Finding of Fact No. 5</w:t>
      </w:r>
      <w:r w:rsidR="00C45573">
        <w:rPr>
          <w:sz w:val="26"/>
          <w:szCs w:val="26"/>
        </w:rPr>
        <w:t>.</w:t>
      </w:r>
      <w:proofErr w:type="gramEnd"/>
    </w:p>
  </w:footnote>
  <w:footnote w:id="6">
    <w:p w:rsidR="00796890" w:rsidRPr="0055030D" w:rsidRDefault="00796890" w:rsidP="00796890">
      <w:pPr>
        <w:pStyle w:val="FootnoteText"/>
        <w:ind w:firstLine="720"/>
        <w:rPr>
          <w:sz w:val="26"/>
          <w:szCs w:val="26"/>
        </w:rPr>
      </w:pPr>
      <w:r w:rsidRPr="0055030D">
        <w:rPr>
          <w:rStyle w:val="FootnoteReference"/>
          <w:sz w:val="26"/>
          <w:szCs w:val="26"/>
        </w:rPr>
        <w:footnoteRef/>
      </w:r>
      <w:r>
        <w:rPr>
          <w:sz w:val="26"/>
          <w:szCs w:val="26"/>
        </w:rPr>
        <w:tab/>
        <w:t xml:space="preserve">In </w:t>
      </w:r>
      <w:r>
        <w:rPr>
          <w:i/>
          <w:sz w:val="26"/>
          <w:szCs w:val="26"/>
        </w:rPr>
        <w:t>Hewitt</w:t>
      </w:r>
      <w:r>
        <w:rPr>
          <w:sz w:val="26"/>
          <w:szCs w:val="26"/>
        </w:rPr>
        <w:t>, the Commission concluded that it has the authority to grant a payment arrangement for the non-CAP portion of an arrearage.  However, the Commission declined to exercise that authority, based on the customer’s poor payment history and her ability to keep company-issued payment arrangements.  I.D. at 10-12.</w:t>
      </w:r>
    </w:p>
  </w:footnote>
  <w:footnote w:id="7">
    <w:p w:rsidR="00796890" w:rsidRPr="00D410A7" w:rsidRDefault="00796890" w:rsidP="00796890">
      <w:pPr>
        <w:pStyle w:val="FootnoteText"/>
        <w:ind w:firstLine="720"/>
        <w:rPr>
          <w:sz w:val="26"/>
          <w:szCs w:val="26"/>
        </w:rPr>
      </w:pPr>
      <w:r w:rsidRPr="00D410A7">
        <w:rPr>
          <w:rStyle w:val="FootnoteReference"/>
          <w:sz w:val="26"/>
          <w:szCs w:val="26"/>
        </w:rPr>
        <w:footnoteRef/>
      </w:r>
      <w:r>
        <w:rPr>
          <w:sz w:val="26"/>
          <w:szCs w:val="26"/>
        </w:rPr>
        <w:tab/>
      </w:r>
      <w:proofErr w:type="gramStart"/>
      <w:r>
        <w:rPr>
          <w:sz w:val="26"/>
          <w:szCs w:val="26"/>
        </w:rPr>
        <w:t>66 Pa. C.S. §1410(2); 52 Pa. Code §56.18(2).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94C79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AB38B1"/>
    <w:multiLevelType w:val="hybridMultilevel"/>
    <w:tmpl w:val="4EFCAA06"/>
    <w:lvl w:ilvl="0" w:tplc="4C9A2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9"/>
  </w:num>
  <w:num w:numId="8">
    <w:abstractNumId w:val="2"/>
  </w:num>
  <w:num w:numId="9">
    <w:abstractNumId w:val="8"/>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05"/>
    <w:rsid w:val="000005BE"/>
    <w:rsid w:val="0000126D"/>
    <w:rsid w:val="00005B51"/>
    <w:rsid w:val="00021A0A"/>
    <w:rsid w:val="00023078"/>
    <w:rsid w:val="00031600"/>
    <w:rsid w:val="00031D78"/>
    <w:rsid w:val="000422F6"/>
    <w:rsid w:val="00046869"/>
    <w:rsid w:val="0004695C"/>
    <w:rsid w:val="00051281"/>
    <w:rsid w:val="0007223B"/>
    <w:rsid w:val="000730AC"/>
    <w:rsid w:val="00073DD8"/>
    <w:rsid w:val="00074433"/>
    <w:rsid w:val="00076FDF"/>
    <w:rsid w:val="00085D71"/>
    <w:rsid w:val="00094534"/>
    <w:rsid w:val="000A63E6"/>
    <w:rsid w:val="000B5BA2"/>
    <w:rsid w:val="000C0C13"/>
    <w:rsid w:val="000C14A2"/>
    <w:rsid w:val="000C53B1"/>
    <w:rsid w:val="000D0125"/>
    <w:rsid w:val="000D19FA"/>
    <w:rsid w:val="000D4FD9"/>
    <w:rsid w:val="000D5EFA"/>
    <w:rsid w:val="000D7B15"/>
    <w:rsid w:val="000E0AE1"/>
    <w:rsid w:val="000E688F"/>
    <w:rsid w:val="000F055E"/>
    <w:rsid w:val="0010303F"/>
    <w:rsid w:val="00103479"/>
    <w:rsid w:val="0010749D"/>
    <w:rsid w:val="0011270C"/>
    <w:rsid w:val="001173CE"/>
    <w:rsid w:val="00121F30"/>
    <w:rsid w:val="001265D6"/>
    <w:rsid w:val="001279C8"/>
    <w:rsid w:val="001411E1"/>
    <w:rsid w:val="00144625"/>
    <w:rsid w:val="001518E2"/>
    <w:rsid w:val="0015354D"/>
    <w:rsid w:val="00154A65"/>
    <w:rsid w:val="00163F24"/>
    <w:rsid w:val="001745BF"/>
    <w:rsid w:val="0017567A"/>
    <w:rsid w:val="0019034C"/>
    <w:rsid w:val="00196123"/>
    <w:rsid w:val="001A12D8"/>
    <w:rsid w:val="001A720F"/>
    <w:rsid w:val="001A7A94"/>
    <w:rsid w:val="001B004C"/>
    <w:rsid w:val="001B5010"/>
    <w:rsid w:val="001B75A0"/>
    <w:rsid w:val="001B7943"/>
    <w:rsid w:val="001D4E5B"/>
    <w:rsid w:val="001D5649"/>
    <w:rsid w:val="001D62A2"/>
    <w:rsid w:val="001D673A"/>
    <w:rsid w:val="001E49B0"/>
    <w:rsid w:val="001F0D15"/>
    <w:rsid w:val="001F521D"/>
    <w:rsid w:val="001F5697"/>
    <w:rsid w:val="00217F2E"/>
    <w:rsid w:val="00220AE5"/>
    <w:rsid w:val="0022231F"/>
    <w:rsid w:val="002234A9"/>
    <w:rsid w:val="00226E26"/>
    <w:rsid w:val="00227FB8"/>
    <w:rsid w:val="00231D10"/>
    <w:rsid w:val="002423D8"/>
    <w:rsid w:val="00244D6B"/>
    <w:rsid w:val="00246581"/>
    <w:rsid w:val="00247028"/>
    <w:rsid w:val="00261064"/>
    <w:rsid w:val="002614EC"/>
    <w:rsid w:val="00264C92"/>
    <w:rsid w:val="002654BD"/>
    <w:rsid w:val="00271D86"/>
    <w:rsid w:val="00277876"/>
    <w:rsid w:val="00287DA4"/>
    <w:rsid w:val="0029123A"/>
    <w:rsid w:val="0029292F"/>
    <w:rsid w:val="00292B26"/>
    <w:rsid w:val="002A2955"/>
    <w:rsid w:val="002A6BDF"/>
    <w:rsid w:val="002B0A6D"/>
    <w:rsid w:val="002B16F0"/>
    <w:rsid w:val="002C3DD0"/>
    <w:rsid w:val="002C691F"/>
    <w:rsid w:val="002C6A51"/>
    <w:rsid w:val="002D3E9A"/>
    <w:rsid w:val="002D68C3"/>
    <w:rsid w:val="002D6C7D"/>
    <w:rsid w:val="002E5BBB"/>
    <w:rsid w:val="002F476C"/>
    <w:rsid w:val="00304736"/>
    <w:rsid w:val="00305E47"/>
    <w:rsid w:val="0030606A"/>
    <w:rsid w:val="003147CD"/>
    <w:rsid w:val="003157A2"/>
    <w:rsid w:val="00330139"/>
    <w:rsid w:val="00330454"/>
    <w:rsid w:val="003308DC"/>
    <w:rsid w:val="003359FF"/>
    <w:rsid w:val="00335D19"/>
    <w:rsid w:val="003365BA"/>
    <w:rsid w:val="00336E5D"/>
    <w:rsid w:val="00340143"/>
    <w:rsid w:val="003410FE"/>
    <w:rsid w:val="00347ADF"/>
    <w:rsid w:val="0035079A"/>
    <w:rsid w:val="00351D9D"/>
    <w:rsid w:val="003731F7"/>
    <w:rsid w:val="0037782D"/>
    <w:rsid w:val="0038237F"/>
    <w:rsid w:val="00382F69"/>
    <w:rsid w:val="00391110"/>
    <w:rsid w:val="003922EF"/>
    <w:rsid w:val="00393896"/>
    <w:rsid w:val="003A39D5"/>
    <w:rsid w:val="003A46CB"/>
    <w:rsid w:val="003B47A2"/>
    <w:rsid w:val="003B73B0"/>
    <w:rsid w:val="003C0E76"/>
    <w:rsid w:val="003D443C"/>
    <w:rsid w:val="003E01A8"/>
    <w:rsid w:val="003E27D8"/>
    <w:rsid w:val="003E4DF6"/>
    <w:rsid w:val="003E6189"/>
    <w:rsid w:val="004063FA"/>
    <w:rsid w:val="00420D5D"/>
    <w:rsid w:val="0042480C"/>
    <w:rsid w:val="00425100"/>
    <w:rsid w:val="004258ED"/>
    <w:rsid w:val="00432BED"/>
    <w:rsid w:val="0043306D"/>
    <w:rsid w:val="00437EC5"/>
    <w:rsid w:val="00440BB1"/>
    <w:rsid w:val="00442126"/>
    <w:rsid w:val="00442788"/>
    <w:rsid w:val="0044606E"/>
    <w:rsid w:val="00450ABE"/>
    <w:rsid w:val="00456313"/>
    <w:rsid w:val="00456C84"/>
    <w:rsid w:val="0046405E"/>
    <w:rsid w:val="00464713"/>
    <w:rsid w:val="0046504D"/>
    <w:rsid w:val="004660DD"/>
    <w:rsid w:val="004712F7"/>
    <w:rsid w:val="00474AF2"/>
    <w:rsid w:val="00481786"/>
    <w:rsid w:val="0048727C"/>
    <w:rsid w:val="00495A06"/>
    <w:rsid w:val="004A1FA8"/>
    <w:rsid w:val="004A2FB1"/>
    <w:rsid w:val="004A6E4D"/>
    <w:rsid w:val="004C3C65"/>
    <w:rsid w:val="004C4E14"/>
    <w:rsid w:val="004C59C7"/>
    <w:rsid w:val="004C72EF"/>
    <w:rsid w:val="004C76F6"/>
    <w:rsid w:val="004D4B6D"/>
    <w:rsid w:val="004E2B10"/>
    <w:rsid w:val="004E3184"/>
    <w:rsid w:val="004E32D7"/>
    <w:rsid w:val="004E445E"/>
    <w:rsid w:val="004E496F"/>
    <w:rsid w:val="004E4B28"/>
    <w:rsid w:val="004F058E"/>
    <w:rsid w:val="004F512F"/>
    <w:rsid w:val="00502AE9"/>
    <w:rsid w:val="0051114E"/>
    <w:rsid w:val="00513F64"/>
    <w:rsid w:val="00536AD8"/>
    <w:rsid w:val="00543447"/>
    <w:rsid w:val="00544672"/>
    <w:rsid w:val="005477C8"/>
    <w:rsid w:val="0055030D"/>
    <w:rsid w:val="0055114F"/>
    <w:rsid w:val="0055254D"/>
    <w:rsid w:val="005576E6"/>
    <w:rsid w:val="005628B1"/>
    <w:rsid w:val="005641B9"/>
    <w:rsid w:val="00564B89"/>
    <w:rsid w:val="00571062"/>
    <w:rsid w:val="005764C4"/>
    <w:rsid w:val="005770A7"/>
    <w:rsid w:val="00585565"/>
    <w:rsid w:val="0058609C"/>
    <w:rsid w:val="005931C1"/>
    <w:rsid w:val="00593E70"/>
    <w:rsid w:val="005B6BAF"/>
    <w:rsid w:val="005B7269"/>
    <w:rsid w:val="005D0965"/>
    <w:rsid w:val="005D0E37"/>
    <w:rsid w:val="005D3788"/>
    <w:rsid w:val="005D3E3C"/>
    <w:rsid w:val="005E2A1D"/>
    <w:rsid w:val="005E627C"/>
    <w:rsid w:val="005E65FE"/>
    <w:rsid w:val="00600DA9"/>
    <w:rsid w:val="006021B7"/>
    <w:rsid w:val="0061699A"/>
    <w:rsid w:val="00616F40"/>
    <w:rsid w:val="00634660"/>
    <w:rsid w:val="00636A93"/>
    <w:rsid w:val="00647935"/>
    <w:rsid w:val="00650F06"/>
    <w:rsid w:val="0065414F"/>
    <w:rsid w:val="00654DC7"/>
    <w:rsid w:val="00657494"/>
    <w:rsid w:val="006700E1"/>
    <w:rsid w:val="006705E7"/>
    <w:rsid w:val="00683614"/>
    <w:rsid w:val="00685444"/>
    <w:rsid w:val="00685CDE"/>
    <w:rsid w:val="006A4D91"/>
    <w:rsid w:val="006B5FD5"/>
    <w:rsid w:val="006C29C9"/>
    <w:rsid w:val="006D2798"/>
    <w:rsid w:val="006D32E1"/>
    <w:rsid w:val="006D6FA1"/>
    <w:rsid w:val="006E244C"/>
    <w:rsid w:val="006E3DCC"/>
    <w:rsid w:val="006E79C0"/>
    <w:rsid w:val="006F3F31"/>
    <w:rsid w:val="006F478A"/>
    <w:rsid w:val="00704A09"/>
    <w:rsid w:val="00706776"/>
    <w:rsid w:val="00716518"/>
    <w:rsid w:val="0071666E"/>
    <w:rsid w:val="00727712"/>
    <w:rsid w:val="00737390"/>
    <w:rsid w:val="00741DBC"/>
    <w:rsid w:val="00744935"/>
    <w:rsid w:val="00757FA9"/>
    <w:rsid w:val="007749F3"/>
    <w:rsid w:val="0077768D"/>
    <w:rsid w:val="00777A8B"/>
    <w:rsid w:val="00785B7C"/>
    <w:rsid w:val="00785E60"/>
    <w:rsid w:val="00791B60"/>
    <w:rsid w:val="00796890"/>
    <w:rsid w:val="007A117F"/>
    <w:rsid w:val="007C2265"/>
    <w:rsid w:val="007C383E"/>
    <w:rsid w:val="007D61D6"/>
    <w:rsid w:val="007D6205"/>
    <w:rsid w:val="007D692A"/>
    <w:rsid w:val="007D7FA0"/>
    <w:rsid w:val="007E340F"/>
    <w:rsid w:val="007E3C9C"/>
    <w:rsid w:val="007E5E44"/>
    <w:rsid w:val="007E63D8"/>
    <w:rsid w:val="007F02EE"/>
    <w:rsid w:val="00812B6E"/>
    <w:rsid w:val="00817C6B"/>
    <w:rsid w:val="00824F0F"/>
    <w:rsid w:val="008312BE"/>
    <w:rsid w:val="0084486E"/>
    <w:rsid w:val="00851605"/>
    <w:rsid w:val="00851D76"/>
    <w:rsid w:val="00862825"/>
    <w:rsid w:val="008634E6"/>
    <w:rsid w:val="00871EEB"/>
    <w:rsid w:val="008731F9"/>
    <w:rsid w:val="00875754"/>
    <w:rsid w:val="008774E5"/>
    <w:rsid w:val="00884513"/>
    <w:rsid w:val="008954FB"/>
    <w:rsid w:val="008A08B6"/>
    <w:rsid w:val="008A3CD9"/>
    <w:rsid w:val="008A4505"/>
    <w:rsid w:val="008B4274"/>
    <w:rsid w:val="008B442B"/>
    <w:rsid w:val="008B50D8"/>
    <w:rsid w:val="008B5A5A"/>
    <w:rsid w:val="008B6611"/>
    <w:rsid w:val="008D5182"/>
    <w:rsid w:val="008D6D3F"/>
    <w:rsid w:val="008E2492"/>
    <w:rsid w:val="008E4710"/>
    <w:rsid w:val="008F4EF1"/>
    <w:rsid w:val="00913758"/>
    <w:rsid w:val="00916D60"/>
    <w:rsid w:val="009218BE"/>
    <w:rsid w:val="00922798"/>
    <w:rsid w:val="00926B8F"/>
    <w:rsid w:val="009319E1"/>
    <w:rsid w:val="0093504D"/>
    <w:rsid w:val="009543C9"/>
    <w:rsid w:val="009614A1"/>
    <w:rsid w:val="00966A62"/>
    <w:rsid w:val="00973F07"/>
    <w:rsid w:val="00986F90"/>
    <w:rsid w:val="0099578F"/>
    <w:rsid w:val="00995B60"/>
    <w:rsid w:val="00997B07"/>
    <w:rsid w:val="009A4132"/>
    <w:rsid w:val="009A588F"/>
    <w:rsid w:val="009A62B3"/>
    <w:rsid w:val="009A784A"/>
    <w:rsid w:val="009B10AD"/>
    <w:rsid w:val="009B678E"/>
    <w:rsid w:val="009C6EDE"/>
    <w:rsid w:val="009D4E67"/>
    <w:rsid w:val="009D796A"/>
    <w:rsid w:val="009E09EA"/>
    <w:rsid w:val="009E3979"/>
    <w:rsid w:val="009E7057"/>
    <w:rsid w:val="00A0035D"/>
    <w:rsid w:val="00A00836"/>
    <w:rsid w:val="00A052E1"/>
    <w:rsid w:val="00A10477"/>
    <w:rsid w:val="00A14B56"/>
    <w:rsid w:val="00A15C09"/>
    <w:rsid w:val="00A202CA"/>
    <w:rsid w:val="00A20BB3"/>
    <w:rsid w:val="00A42585"/>
    <w:rsid w:val="00A44BAE"/>
    <w:rsid w:val="00A4541B"/>
    <w:rsid w:val="00A50163"/>
    <w:rsid w:val="00A50C77"/>
    <w:rsid w:val="00A525FF"/>
    <w:rsid w:val="00A529F4"/>
    <w:rsid w:val="00A55568"/>
    <w:rsid w:val="00A57A6E"/>
    <w:rsid w:val="00A645A8"/>
    <w:rsid w:val="00A770A9"/>
    <w:rsid w:val="00A93F4C"/>
    <w:rsid w:val="00A955C2"/>
    <w:rsid w:val="00A969F7"/>
    <w:rsid w:val="00AA1373"/>
    <w:rsid w:val="00AA7329"/>
    <w:rsid w:val="00AA7335"/>
    <w:rsid w:val="00AA7A38"/>
    <w:rsid w:val="00AB0C95"/>
    <w:rsid w:val="00AB3CA2"/>
    <w:rsid w:val="00AB696F"/>
    <w:rsid w:val="00AB6A36"/>
    <w:rsid w:val="00AB6B73"/>
    <w:rsid w:val="00AC0834"/>
    <w:rsid w:val="00AC3136"/>
    <w:rsid w:val="00AC7BDE"/>
    <w:rsid w:val="00AD0D88"/>
    <w:rsid w:val="00AD6CC9"/>
    <w:rsid w:val="00AE2ED5"/>
    <w:rsid w:val="00AF7656"/>
    <w:rsid w:val="00B140E4"/>
    <w:rsid w:val="00B173A3"/>
    <w:rsid w:val="00B254BE"/>
    <w:rsid w:val="00B4119A"/>
    <w:rsid w:val="00B4119B"/>
    <w:rsid w:val="00B4392F"/>
    <w:rsid w:val="00B563C6"/>
    <w:rsid w:val="00B60FE4"/>
    <w:rsid w:val="00B64EDD"/>
    <w:rsid w:val="00B65524"/>
    <w:rsid w:val="00B76CC9"/>
    <w:rsid w:val="00B835FE"/>
    <w:rsid w:val="00B87C79"/>
    <w:rsid w:val="00B923CE"/>
    <w:rsid w:val="00B9342D"/>
    <w:rsid w:val="00B961AF"/>
    <w:rsid w:val="00BA36EC"/>
    <w:rsid w:val="00BB155F"/>
    <w:rsid w:val="00BB6128"/>
    <w:rsid w:val="00BC25D4"/>
    <w:rsid w:val="00BC29F8"/>
    <w:rsid w:val="00BC37A8"/>
    <w:rsid w:val="00BC3BFD"/>
    <w:rsid w:val="00BC42F5"/>
    <w:rsid w:val="00BD019E"/>
    <w:rsid w:val="00BD4A29"/>
    <w:rsid w:val="00BF3B18"/>
    <w:rsid w:val="00C0434D"/>
    <w:rsid w:val="00C07885"/>
    <w:rsid w:val="00C1259F"/>
    <w:rsid w:val="00C1282F"/>
    <w:rsid w:val="00C14A73"/>
    <w:rsid w:val="00C24C42"/>
    <w:rsid w:val="00C30A44"/>
    <w:rsid w:val="00C3240A"/>
    <w:rsid w:val="00C32784"/>
    <w:rsid w:val="00C32AFC"/>
    <w:rsid w:val="00C33565"/>
    <w:rsid w:val="00C33B31"/>
    <w:rsid w:val="00C41502"/>
    <w:rsid w:val="00C4283F"/>
    <w:rsid w:val="00C43ABC"/>
    <w:rsid w:val="00C45573"/>
    <w:rsid w:val="00C52CA4"/>
    <w:rsid w:val="00C5720C"/>
    <w:rsid w:val="00C61171"/>
    <w:rsid w:val="00C63E75"/>
    <w:rsid w:val="00C70E8F"/>
    <w:rsid w:val="00C71175"/>
    <w:rsid w:val="00C76A28"/>
    <w:rsid w:val="00C807B1"/>
    <w:rsid w:val="00C83CD3"/>
    <w:rsid w:val="00C84CAA"/>
    <w:rsid w:val="00C8667D"/>
    <w:rsid w:val="00C94FC1"/>
    <w:rsid w:val="00C950DB"/>
    <w:rsid w:val="00CA6929"/>
    <w:rsid w:val="00CC1757"/>
    <w:rsid w:val="00CC2B3F"/>
    <w:rsid w:val="00CD38C4"/>
    <w:rsid w:val="00CE2832"/>
    <w:rsid w:val="00CE5C8C"/>
    <w:rsid w:val="00CE6586"/>
    <w:rsid w:val="00CE660D"/>
    <w:rsid w:val="00CF4EBF"/>
    <w:rsid w:val="00CF7960"/>
    <w:rsid w:val="00CF7B6C"/>
    <w:rsid w:val="00D0608D"/>
    <w:rsid w:val="00D067E1"/>
    <w:rsid w:val="00D06CFC"/>
    <w:rsid w:val="00D07254"/>
    <w:rsid w:val="00D12502"/>
    <w:rsid w:val="00D14CB9"/>
    <w:rsid w:val="00D17DA1"/>
    <w:rsid w:val="00D3057F"/>
    <w:rsid w:val="00D312B5"/>
    <w:rsid w:val="00D31CDB"/>
    <w:rsid w:val="00D32187"/>
    <w:rsid w:val="00D32304"/>
    <w:rsid w:val="00D341A9"/>
    <w:rsid w:val="00D40263"/>
    <w:rsid w:val="00D410A7"/>
    <w:rsid w:val="00D477C9"/>
    <w:rsid w:val="00D53AC0"/>
    <w:rsid w:val="00D60B34"/>
    <w:rsid w:val="00D712F0"/>
    <w:rsid w:val="00D75A84"/>
    <w:rsid w:val="00D76CF5"/>
    <w:rsid w:val="00D823F0"/>
    <w:rsid w:val="00D84EB6"/>
    <w:rsid w:val="00DA2F02"/>
    <w:rsid w:val="00DB2BE3"/>
    <w:rsid w:val="00DC0F85"/>
    <w:rsid w:val="00DC11F8"/>
    <w:rsid w:val="00DC447B"/>
    <w:rsid w:val="00DC5958"/>
    <w:rsid w:val="00DD3F26"/>
    <w:rsid w:val="00DD50B7"/>
    <w:rsid w:val="00DD5BAB"/>
    <w:rsid w:val="00DE5D86"/>
    <w:rsid w:val="00DF69F6"/>
    <w:rsid w:val="00E0265C"/>
    <w:rsid w:val="00E031FE"/>
    <w:rsid w:val="00E141B5"/>
    <w:rsid w:val="00E14428"/>
    <w:rsid w:val="00E16415"/>
    <w:rsid w:val="00E16E46"/>
    <w:rsid w:val="00E176A8"/>
    <w:rsid w:val="00E2017D"/>
    <w:rsid w:val="00E26EBE"/>
    <w:rsid w:val="00E30EC4"/>
    <w:rsid w:val="00E3681B"/>
    <w:rsid w:val="00E4165C"/>
    <w:rsid w:val="00E43F56"/>
    <w:rsid w:val="00E44D87"/>
    <w:rsid w:val="00E53903"/>
    <w:rsid w:val="00E53C8C"/>
    <w:rsid w:val="00E56536"/>
    <w:rsid w:val="00E56F76"/>
    <w:rsid w:val="00E5783A"/>
    <w:rsid w:val="00E65559"/>
    <w:rsid w:val="00E776AC"/>
    <w:rsid w:val="00E80645"/>
    <w:rsid w:val="00E814CC"/>
    <w:rsid w:val="00E8391B"/>
    <w:rsid w:val="00E850D3"/>
    <w:rsid w:val="00E86E8C"/>
    <w:rsid w:val="00E871F8"/>
    <w:rsid w:val="00E94F78"/>
    <w:rsid w:val="00E974A2"/>
    <w:rsid w:val="00EA6E89"/>
    <w:rsid w:val="00EB0DDB"/>
    <w:rsid w:val="00ED3033"/>
    <w:rsid w:val="00EF1E53"/>
    <w:rsid w:val="00EF37A1"/>
    <w:rsid w:val="00EF6427"/>
    <w:rsid w:val="00F05A9A"/>
    <w:rsid w:val="00F07CEE"/>
    <w:rsid w:val="00F1302E"/>
    <w:rsid w:val="00F20A6D"/>
    <w:rsid w:val="00F23A54"/>
    <w:rsid w:val="00F24F76"/>
    <w:rsid w:val="00F3011D"/>
    <w:rsid w:val="00F31B2D"/>
    <w:rsid w:val="00F349CC"/>
    <w:rsid w:val="00F46498"/>
    <w:rsid w:val="00F54EC1"/>
    <w:rsid w:val="00F55BF1"/>
    <w:rsid w:val="00F63DC6"/>
    <w:rsid w:val="00F73B1B"/>
    <w:rsid w:val="00F86613"/>
    <w:rsid w:val="00F8789F"/>
    <w:rsid w:val="00F91579"/>
    <w:rsid w:val="00F93B65"/>
    <w:rsid w:val="00F9459E"/>
    <w:rsid w:val="00F97437"/>
    <w:rsid w:val="00FA1A8E"/>
    <w:rsid w:val="00FA4196"/>
    <w:rsid w:val="00FA5939"/>
    <w:rsid w:val="00FA7AAF"/>
    <w:rsid w:val="00FB6FB4"/>
    <w:rsid w:val="00FC272B"/>
    <w:rsid w:val="00FD1919"/>
    <w:rsid w:val="00FD579B"/>
    <w:rsid w:val="00FE1D36"/>
    <w:rsid w:val="00FE4412"/>
    <w:rsid w:val="00FE51A5"/>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iPriority w:val="99"/>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character" w:styleId="FootnoteReference">
    <w:name w:val="footnote reference"/>
    <w:uiPriority w:val="99"/>
    <w:semiHidden/>
    <w:rsid w:val="00727712"/>
    <w:rPr>
      <w:vertAlign w:val="superscript"/>
    </w:rPr>
  </w:style>
  <w:style w:type="character" w:styleId="Hyperlink">
    <w:name w:val="Hyperlink"/>
    <w:rsid w:val="00727712"/>
    <w:rPr>
      <w:color w:val="0000FF"/>
      <w:u w:val="single"/>
    </w:rPr>
  </w:style>
  <w:style w:type="character" w:customStyle="1" w:styleId="term1">
    <w:name w:val="term1"/>
    <w:rsid w:val="00727712"/>
    <w:rPr>
      <w:b/>
      <w:bCs/>
    </w:rPr>
  </w:style>
  <w:style w:type="paragraph" w:styleId="FootnoteText">
    <w:name w:val="footnote text"/>
    <w:aliases w:val="Car"/>
    <w:basedOn w:val="Normal"/>
    <w:link w:val="FootnoteTextChar"/>
    <w:uiPriority w:val="99"/>
    <w:unhideWhenUsed/>
    <w:qFormat/>
    <w:rsid w:val="00727712"/>
    <w:pPr>
      <w:widowControl w:val="0"/>
    </w:pPr>
    <w:rPr>
      <w:rFonts w:ascii="Times New Roman" w:eastAsia="Times New Roman" w:hAnsi="Times New Roman"/>
      <w:sz w:val="20"/>
      <w:szCs w:val="20"/>
    </w:rPr>
  </w:style>
  <w:style w:type="character" w:customStyle="1" w:styleId="FootnoteTextChar">
    <w:name w:val="Footnote Text Char"/>
    <w:aliases w:val="Car Char"/>
    <w:basedOn w:val="DefaultParagraphFont"/>
    <w:link w:val="FootnoteText"/>
    <w:uiPriority w:val="99"/>
    <w:rsid w:val="00727712"/>
    <w:rPr>
      <w:rFonts w:ascii="Times New Roman" w:hAnsi="Times New Roman"/>
    </w:rPr>
  </w:style>
  <w:style w:type="paragraph" w:styleId="BodyText">
    <w:name w:val="Body Text"/>
    <w:basedOn w:val="Normal"/>
    <w:link w:val="BodyTextChar"/>
    <w:rsid w:val="00391110"/>
    <w:pPr>
      <w:tabs>
        <w:tab w:val="left" w:pos="1980"/>
      </w:tabs>
      <w:spacing w:line="480" w:lineRule="auto"/>
      <w:jc w:val="both"/>
    </w:pPr>
    <w:rPr>
      <w:rFonts w:ascii="Courier" w:eastAsia="Times New Roman" w:hAnsi="Courier"/>
      <w:sz w:val="24"/>
      <w:szCs w:val="20"/>
    </w:rPr>
  </w:style>
  <w:style w:type="character" w:customStyle="1" w:styleId="BodyTextChar">
    <w:name w:val="Body Text Char"/>
    <w:basedOn w:val="DefaultParagraphFont"/>
    <w:link w:val="BodyText"/>
    <w:rsid w:val="00391110"/>
    <w:rPr>
      <w:rFonts w:ascii="Courier" w:hAnsi="Courier"/>
      <w:sz w:val="24"/>
    </w:rPr>
  </w:style>
  <w:style w:type="paragraph" w:styleId="BodyText2">
    <w:name w:val="Body Text 2"/>
    <w:basedOn w:val="Normal"/>
    <w:link w:val="BodyText2Char"/>
    <w:uiPriority w:val="99"/>
    <w:semiHidden/>
    <w:unhideWhenUsed/>
    <w:rsid w:val="007E63D8"/>
    <w:pPr>
      <w:spacing w:after="120" w:line="480" w:lineRule="auto"/>
    </w:pPr>
  </w:style>
  <w:style w:type="character" w:customStyle="1" w:styleId="BodyText2Char">
    <w:name w:val="Body Text 2 Char"/>
    <w:basedOn w:val="DefaultParagraphFont"/>
    <w:link w:val="BodyText2"/>
    <w:uiPriority w:val="99"/>
    <w:semiHidden/>
    <w:rsid w:val="007E63D8"/>
    <w:rPr>
      <w:rFonts w:eastAsia="Calibri"/>
      <w:sz w:val="22"/>
      <w:szCs w:val="22"/>
    </w:rPr>
  </w:style>
  <w:style w:type="character" w:styleId="CommentReference">
    <w:name w:val="annotation reference"/>
    <w:basedOn w:val="DefaultParagraphFont"/>
    <w:uiPriority w:val="99"/>
    <w:semiHidden/>
    <w:unhideWhenUsed/>
    <w:rsid w:val="00C70E8F"/>
    <w:rPr>
      <w:sz w:val="16"/>
      <w:szCs w:val="16"/>
    </w:rPr>
  </w:style>
  <w:style w:type="paragraph" w:styleId="CommentText">
    <w:name w:val="annotation text"/>
    <w:basedOn w:val="Normal"/>
    <w:link w:val="CommentTextChar"/>
    <w:uiPriority w:val="99"/>
    <w:semiHidden/>
    <w:unhideWhenUsed/>
    <w:rsid w:val="00C70E8F"/>
    <w:rPr>
      <w:sz w:val="20"/>
      <w:szCs w:val="20"/>
    </w:rPr>
  </w:style>
  <w:style w:type="character" w:customStyle="1" w:styleId="CommentTextChar">
    <w:name w:val="Comment Text Char"/>
    <w:basedOn w:val="DefaultParagraphFont"/>
    <w:link w:val="CommentText"/>
    <w:uiPriority w:val="99"/>
    <w:semiHidden/>
    <w:rsid w:val="00C70E8F"/>
    <w:rPr>
      <w:rFonts w:eastAsia="Calibri"/>
    </w:rPr>
  </w:style>
  <w:style w:type="paragraph" w:styleId="CommentSubject">
    <w:name w:val="annotation subject"/>
    <w:basedOn w:val="CommentText"/>
    <w:next w:val="CommentText"/>
    <w:link w:val="CommentSubjectChar"/>
    <w:uiPriority w:val="99"/>
    <w:semiHidden/>
    <w:unhideWhenUsed/>
    <w:rsid w:val="00C70E8F"/>
    <w:rPr>
      <w:b/>
      <w:bCs/>
    </w:rPr>
  </w:style>
  <w:style w:type="character" w:customStyle="1" w:styleId="CommentSubjectChar">
    <w:name w:val="Comment Subject Char"/>
    <w:basedOn w:val="CommentTextChar"/>
    <w:link w:val="CommentSubject"/>
    <w:uiPriority w:val="99"/>
    <w:semiHidden/>
    <w:rsid w:val="00C70E8F"/>
    <w:rPr>
      <w:rFonts w:eastAsia="Calibri"/>
      <w:b/>
      <w:bCs/>
    </w:rPr>
  </w:style>
  <w:style w:type="paragraph" w:styleId="ListBullet">
    <w:name w:val="List Bullet"/>
    <w:basedOn w:val="Normal"/>
    <w:uiPriority w:val="99"/>
    <w:unhideWhenUsed/>
    <w:rsid w:val="004E2B10"/>
    <w:pPr>
      <w:numPr>
        <w:numId w:val="14"/>
      </w:numPr>
      <w:contextualSpacing/>
    </w:pPr>
  </w:style>
  <w:style w:type="paragraph" w:customStyle="1" w:styleId="ParaTab1">
    <w:name w:val="ParaTab 1"/>
    <w:rsid w:val="0061699A"/>
    <w:pPr>
      <w:tabs>
        <w:tab w:val="left" w:pos="-720"/>
      </w:tabs>
      <w:suppressAutoHyphens/>
      <w:autoSpaceDE w:val="0"/>
      <w:autoSpaceDN w:val="0"/>
      <w:ind w:firstLine="1440"/>
    </w:pPr>
    <w:rPr>
      <w:rFonts w:ascii="CG Times" w:hAnsi="CG Times" w:cs="CG Times"/>
      <w:sz w:val="24"/>
      <w:szCs w:val="24"/>
    </w:rPr>
  </w:style>
  <w:style w:type="character" w:styleId="Emphasis">
    <w:name w:val="Emphasis"/>
    <w:qFormat/>
    <w:rsid w:val="008B42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iPriority w:val="99"/>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character" w:styleId="FootnoteReference">
    <w:name w:val="footnote reference"/>
    <w:uiPriority w:val="99"/>
    <w:semiHidden/>
    <w:rsid w:val="00727712"/>
    <w:rPr>
      <w:vertAlign w:val="superscript"/>
    </w:rPr>
  </w:style>
  <w:style w:type="character" w:styleId="Hyperlink">
    <w:name w:val="Hyperlink"/>
    <w:rsid w:val="00727712"/>
    <w:rPr>
      <w:color w:val="0000FF"/>
      <w:u w:val="single"/>
    </w:rPr>
  </w:style>
  <w:style w:type="character" w:customStyle="1" w:styleId="term1">
    <w:name w:val="term1"/>
    <w:rsid w:val="00727712"/>
    <w:rPr>
      <w:b/>
      <w:bCs/>
    </w:rPr>
  </w:style>
  <w:style w:type="paragraph" w:styleId="FootnoteText">
    <w:name w:val="footnote text"/>
    <w:aliases w:val="Car"/>
    <w:basedOn w:val="Normal"/>
    <w:link w:val="FootnoteTextChar"/>
    <w:uiPriority w:val="99"/>
    <w:unhideWhenUsed/>
    <w:qFormat/>
    <w:rsid w:val="00727712"/>
    <w:pPr>
      <w:widowControl w:val="0"/>
    </w:pPr>
    <w:rPr>
      <w:rFonts w:ascii="Times New Roman" w:eastAsia="Times New Roman" w:hAnsi="Times New Roman"/>
      <w:sz w:val="20"/>
      <w:szCs w:val="20"/>
    </w:rPr>
  </w:style>
  <w:style w:type="character" w:customStyle="1" w:styleId="FootnoteTextChar">
    <w:name w:val="Footnote Text Char"/>
    <w:aliases w:val="Car Char"/>
    <w:basedOn w:val="DefaultParagraphFont"/>
    <w:link w:val="FootnoteText"/>
    <w:uiPriority w:val="99"/>
    <w:rsid w:val="00727712"/>
    <w:rPr>
      <w:rFonts w:ascii="Times New Roman" w:hAnsi="Times New Roman"/>
    </w:rPr>
  </w:style>
  <w:style w:type="paragraph" w:styleId="BodyText">
    <w:name w:val="Body Text"/>
    <w:basedOn w:val="Normal"/>
    <w:link w:val="BodyTextChar"/>
    <w:rsid w:val="00391110"/>
    <w:pPr>
      <w:tabs>
        <w:tab w:val="left" w:pos="1980"/>
      </w:tabs>
      <w:spacing w:line="480" w:lineRule="auto"/>
      <w:jc w:val="both"/>
    </w:pPr>
    <w:rPr>
      <w:rFonts w:ascii="Courier" w:eastAsia="Times New Roman" w:hAnsi="Courier"/>
      <w:sz w:val="24"/>
      <w:szCs w:val="20"/>
    </w:rPr>
  </w:style>
  <w:style w:type="character" w:customStyle="1" w:styleId="BodyTextChar">
    <w:name w:val="Body Text Char"/>
    <w:basedOn w:val="DefaultParagraphFont"/>
    <w:link w:val="BodyText"/>
    <w:rsid w:val="00391110"/>
    <w:rPr>
      <w:rFonts w:ascii="Courier" w:hAnsi="Courier"/>
      <w:sz w:val="24"/>
    </w:rPr>
  </w:style>
  <w:style w:type="paragraph" w:styleId="BodyText2">
    <w:name w:val="Body Text 2"/>
    <w:basedOn w:val="Normal"/>
    <w:link w:val="BodyText2Char"/>
    <w:uiPriority w:val="99"/>
    <w:semiHidden/>
    <w:unhideWhenUsed/>
    <w:rsid w:val="007E63D8"/>
    <w:pPr>
      <w:spacing w:after="120" w:line="480" w:lineRule="auto"/>
    </w:pPr>
  </w:style>
  <w:style w:type="character" w:customStyle="1" w:styleId="BodyText2Char">
    <w:name w:val="Body Text 2 Char"/>
    <w:basedOn w:val="DefaultParagraphFont"/>
    <w:link w:val="BodyText2"/>
    <w:uiPriority w:val="99"/>
    <w:semiHidden/>
    <w:rsid w:val="007E63D8"/>
    <w:rPr>
      <w:rFonts w:eastAsia="Calibri"/>
      <w:sz w:val="22"/>
      <w:szCs w:val="22"/>
    </w:rPr>
  </w:style>
  <w:style w:type="character" w:styleId="CommentReference">
    <w:name w:val="annotation reference"/>
    <w:basedOn w:val="DefaultParagraphFont"/>
    <w:uiPriority w:val="99"/>
    <w:semiHidden/>
    <w:unhideWhenUsed/>
    <w:rsid w:val="00C70E8F"/>
    <w:rPr>
      <w:sz w:val="16"/>
      <w:szCs w:val="16"/>
    </w:rPr>
  </w:style>
  <w:style w:type="paragraph" w:styleId="CommentText">
    <w:name w:val="annotation text"/>
    <w:basedOn w:val="Normal"/>
    <w:link w:val="CommentTextChar"/>
    <w:uiPriority w:val="99"/>
    <w:semiHidden/>
    <w:unhideWhenUsed/>
    <w:rsid w:val="00C70E8F"/>
    <w:rPr>
      <w:sz w:val="20"/>
      <w:szCs w:val="20"/>
    </w:rPr>
  </w:style>
  <w:style w:type="character" w:customStyle="1" w:styleId="CommentTextChar">
    <w:name w:val="Comment Text Char"/>
    <w:basedOn w:val="DefaultParagraphFont"/>
    <w:link w:val="CommentText"/>
    <w:uiPriority w:val="99"/>
    <w:semiHidden/>
    <w:rsid w:val="00C70E8F"/>
    <w:rPr>
      <w:rFonts w:eastAsia="Calibri"/>
    </w:rPr>
  </w:style>
  <w:style w:type="paragraph" w:styleId="CommentSubject">
    <w:name w:val="annotation subject"/>
    <w:basedOn w:val="CommentText"/>
    <w:next w:val="CommentText"/>
    <w:link w:val="CommentSubjectChar"/>
    <w:uiPriority w:val="99"/>
    <w:semiHidden/>
    <w:unhideWhenUsed/>
    <w:rsid w:val="00C70E8F"/>
    <w:rPr>
      <w:b/>
      <w:bCs/>
    </w:rPr>
  </w:style>
  <w:style w:type="character" w:customStyle="1" w:styleId="CommentSubjectChar">
    <w:name w:val="Comment Subject Char"/>
    <w:basedOn w:val="CommentTextChar"/>
    <w:link w:val="CommentSubject"/>
    <w:uiPriority w:val="99"/>
    <w:semiHidden/>
    <w:rsid w:val="00C70E8F"/>
    <w:rPr>
      <w:rFonts w:eastAsia="Calibri"/>
      <w:b/>
      <w:bCs/>
    </w:rPr>
  </w:style>
  <w:style w:type="paragraph" w:styleId="ListBullet">
    <w:name w:val="List Bullet"/>
    <w:basedOn w:val="Normal"/>
    <w:uiPriority w:val="99"/>
    <w:unhideWhenUsed/>
    <w:rsid w:val="004E2B10"/>
    <w:pPr>
      <w:numPr>
        <w:numId w:val="14"/>
      </w:numPr>
      <w:contextualSpacing/>
    </w:pPr>
  </w:style>
  <w:style w:type="paragraph" w:customStyle="1" w:styleId="ParaTab1">
    <w:name w:val="ParaTab 1"/>
    <w:rsid w:val="0061699A"/>
    <w:pPr>
      <w:tabs>
        <w:tab w:val="left" w:pos="-720"/>
      </w:tabs>
      <w:suppressAutoHyphens/>
      <w:autoSpaceDE w:val="0"/>
      <w:autoSpaceDN w:val="0"/>
      <w:ind w:firstLine="1440"/>
    </w:pPr>
    <w:rPr>
      <w:rFonts w:ascii="CG Times" w:hAnsi="CG Times" w:cs="CG Times"/>
      <w:sz w:val="24"/>
      <w:szCs w:val="24"/>
    </w:rPr>
  </w:style>
  <w:style w:type="character" w:styleId="Emphasis">
    <w:name w:val="Emphasis"/>
    <w:qFormat/>
    <w:rsid w:val="008B4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D35E7-059E-49FB-851A-732E2FD8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2015-06-18T14:25:00Z</cp:lastPrinted>
  <dcterms:created xsi:type="dcterms:W3CDTF">2017-04-11T14:16:00Z</dcterms:created>
  <dcterms:modified xsi:type="dcterms:W3CDTF">2017-04-13T15:17:00Z</dcterms:modified>
</cp:coreProperties>
</file>