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6114C4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6114C4">
              <w:rPr>
                <w:sz w:val="26"/>
                <w:szCs w:val="26"/>
              </w:rPr>
              <w:t>April 20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6114C4">
        <w:rPr>
          <w:sz w:val="26"/>
          <w:szCs w:val="26"/>
        </w:rPr>
        <w:t>April 11,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1407" w:type="dxa"/>
        <w:jc w:val="center"/>
        <w:tblInd w:w="477" w:type="dxa"/>
        <w:tblLook w:val="04A0" w:firstRow="1" w:lastRow="0" w:firstColumn="1" w:lastColumn="0" w:noHBand="0" w:noVBand="1"/>
      </w:tblPr>
      <w:tblGrid>
        <w:gridCol w:w="2179"/>
        <w:gridCol w:w="5850"/>
        <w:gridCol w:w="1645"/>
        <w:gridCol w:w="1733"/>
      </w:tblGrid>
      <w:tr w:rsidR="00A74F68" w:rsidTr="009E5AAD">
        <w:trPr>
          <w:trHeight w:val="287"/>
          <w:jc w:val="center"/>
        </w:trPr>
        <w:tc>
          <w:tcPr>
            <w:tcW w:w="2179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850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645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733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A74F68" w:rsidTr="009E5AAD">
        <w:trPr>
          <w:trHeight w:val="269"/>
          <w:jc w:val="center"/>
        </w:trPr>
        <w:tc>
          <w:tcPr>
            <w:tcW w:w="2179" w:type="dxa"/>
            <w:vAlign w:val="bottom"/>
          </w:tcPr>
          <w:p w:rsidR="00A74F68" w:rsidRPr="009E5AAD" w:rsidRDefault="006114C4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A-2016-2557226</w:t>
            </w:r>
            <w:r w:rsidR="002B0563" w:rsidRPr="009E5AAD">
              <w:rPr>
                <w:sz w:val="22"/>
                <w:szCs w:val="24"/>
              </w:rPr>
              <w:t>*</w:t>
            </w:r>
          </w:p>
        </w:tc>
        <w:tc>
          <w:tcPr>
            <w:tcW w:w="5850" w:type="dxa"/>
            <w:vAlign w:val="bottom"/>
          </w:tcPr>
          <w:p w:rsidR="00A74F68" w:rsidRPr="009E5AAD" w:rsidRDefault="006114C4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AGGRESSIVE ENERGY LLC</w:t>
            </w:r>
          </w:p>
        </w:tc>
        <w:tc>
          <w:tcPr>
            <w:tcW w:w="1645" w:type="dxa"/>
            <w:vAlign w:val="bottom"/>
          </w:tcPr>
          <w:p w:rsidR="00A74F68" w:rsidRPr="009E5AAD" w:rsidRDefault="006114C4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4/1/17</w:t>
            </w:r>
          </w:p>
        </w:tc>
        <w:tc>
          <w:tcPr>
            <w:tcW w:w="1733" w:type="dxa"/>
            <w:vAlign w:val="bottom"/>
          </w:tcPr>
          <w:p w:rsidR="00A74F68" w:rsidRPr="009E5AAD" w:rsidRDefault="00262231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YES</w:t>
            </w:r>
          </w:p>
        </w:tc>
      </w:tr>
      <w:tr w:rsidR="00B53D08" w:rsidTr="009E5AAD">
        <w:trPr>
          <w:trHeight w:val="269"/>
          <w:jc w:val="center"/>
        </w:trPr>
        <w:tc>
          <w:tcPr>
            <w:tcW w:w="2179" w:type="dxa"/>
            <w:vAlign w:val="bottom"/>
          </w:tcPr>
          <w:p w:rsidR="00B53D08" w:rsidRPr="009E5AAD" w:rsidRDefault="006114C4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A-2014-2422519</w:t>
            </w:r>
          </w:p>
        </w:tc>
        <w:tc>
          <w:tcPr>
            <w:tcW w:w="5850" w:type="dxa"/>
            <w:vAlign w:val="bottom"/>
          </w:tcPr>
          <w:p w:rsidR="00B53D08" w:rsidRPr="009E5AAD" w:rsidRDefault="006114C4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BROKER ONLINE EXCHANGE LLC</w:t>
            </w:r>
          </w:p>
        </w:tc>
        <w:tc>
          <w:tcPr>
            <w:tcW w:w="1645" w:type="dxa"/>
            <w:vAlign w:val="bottom"/>
          </w:tcPr>
          <w:p w:rsidR="00B53D08" w:rsidRPr="009E5AAD" w:rsidRDefault="006114C4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3/31/17</w:t>
            </w:r>
          </w:p>
        </w:tc>
        <w:tc>
          <w:tcPr>
            <w:tcW w:w="1733" w:type="dxa"/>
            <w:vAlign w:val="bottom"/>
          </w:tcPr>
          <w:p w:rsidR="00B53D0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6114C4" w:rsidTr="009E5AAD">
        <w:trPr>
          <w:jc w:val="center"/>
        </w:trPr>
        <w:tc>
          <w:tcPr>
            <w:tcW w:w="2179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A-2013-2393598</w:t>
            </w:r>
          </w:p>
        </w:tc>
        <w:tc>
          <w:tcPr>
            <w:tcW w:w="5850" w:type="dxa"/>
            <w:vAlign w:val="bottom"/>
          </w:tcPr>
          <w:p w:rsidR="006114C4" w:rsidRPr="009E5AAD" w:rsidRDefault="006114C4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CROSSLINK ADVISORS LLC</w:t>
            </w:r>
          </w:p>
        </w:tc>
        <w:tc>
          <w:tcPr>
            <w:tcW w:w="1645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4/4/17</w:t>
            </w:r>
          </w:p>
        </w:tc>
        <w:tc>
          <w:tcPr>
            <w:tcW w:w="1733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6114C4" w:rsidTr="009E5AAD">
        <w:trPr>
          <w:jc w:val="center"/>
        </w:trPr>
        <w:tc>
          <w:tcPr>
            <w:tcW w:w="2179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A-2014-2425963</w:t>
            </w:r>
          </w:p>
        </w:tc>
        <w:tc>
          <w:tcPr>
            <w:tcW w:w="5850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ENERGY CHOICE SOLUTIONS LLC</w:t>
            </w:r>
          </w:p>
        </w:tc>
        <w:tc>
          <w:tcPr>
            <w:tcW w:w="1645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3/10/17</w:t>
            </w:r>
          </w:p>
        </w:tc>
        <w:tc>
          <w:tcPr>
            <w:tcW w:w="1733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6114C4" w:rsidTr="009E5AAD">
        <w:trPr>
          <w:jc w:val="center"/>
        </w:trPr>
        <w:tc>
          <w:tcPr>
            <w:tcW w:w="2179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A-2016-2558553</w:t>
            </w:r>
          </w:p>
        </w:tc>
        <w:tc>
          <w:tcPr>
            <w:tcW w:w="5850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FAIR VIEW ENERGY INC</w:t>
            </w:r>
          </w:p>
        </w:tc>
        <w:tc>
          <w:tcPr>
            <w:tcW w:w="1645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3/9/17</w:t>
            </w:r>
          </w:p>
        </w:tc>
        <w:tc>
          <w:tcPr>
            <w:tcW w:w="1733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6114C4" w:rsidTr="009E5AAD">
        <w:trPr>
          <w:jc w:val="center"/>
        </w:trPr>
        <w:tc>
          <w:tcPr>
            <w:tcW w:w="2179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A-2013-2360865</w:t>
            </w:r>
          </w:p>
        </w:tc>
        <w:tc>
          <w:tcPr>
            <w:tcW w:w="5850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FRONT LINE POWER SOLUTIONS LLC</w:t>
            </w:r>
          </w:p>
        </w:tc>
        <w:tc>
          <w:tcPr>
            <w:tcW w:w="1645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4/10/17</w:t>
            </w:r>
          </w:p>
        </w:tc>
        <w:tc>
          <w:tcPr>
            <w:tcW w:w="1733" w:type="dxa"/>
            <w:vAlign w:val="bottom"/>
          </w:tcPr>
          <w:p w:rsidR="006114C4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3748C1" w:rsidTr="009E5AAD">
        <w:trPr>
          <w:jc w:val="center"/>
        </w:trPr>
        <w:tc>
          <w:tcPr>
            <w:tcW w:w="2179" w:type="dxa"/>
            <w:vAlign w:val="bottom"/>
          </w:tcPr>
          <w:p w:rsidR="003748C1" w:rsidRPr="009E5AAD" w:rsidRDefault="002B0563" w:rsidP="001E4A60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A-2016-2538668</w:t>
            </w:r>
            <w:r w:rsidR="00D46228" w:rsidRPr="009E5AAD">
              <w:rPr>
                <w:sz w:val="22"/>
                <w:szCs w:val="24"/>
              </w:rPr>
              <w:t>*</w:t>
            </w:r>
          </w:p>
        </w:tc>
        <w:tc>
          <w:tcPr>
            <w:tcW w:w="5850" w:type="dxa"/>
            <w:vAlign w:val="bottom"/>
          </w:tcPr>
          <w:p w:rsidR="003748C1" w:rsidRPr="009E5AAD" w:rsidRDefault="002B0563" w:rsidP="001E4A60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LIFEENERGY LLC</w:t>
            </w:r>
          </w:p>
        </w:tc>
        <w:tc>
          <w:tcPr>
            <w:tcW w:w="1645" w:type="dxa"/>
            <w:vAlign w:val="bottom"/>
          </w:tcPr>
          <w:p w:rsidR="003748C1" w:rsidRPr="009E5AAD" w:rsidRDefault="002B0563" w:rsidP="001E4A6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4/4/17</w:t>
            </w:r>
          </w:p>
        </w:tc>
        <w:tc>
          <w:tcPr>
            <w:tcW w:w="1733" w:type="dxa"/>
            <w:vAlign w:val="bottom"/>
          </w:tcPr>
          <w:p w:rsidR="003748C1" w:rsidRPr="009E5AAD" w:rsidRDefault="00D46228" w:rsidP="001E4A60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YES</w:t>
            </w:r>
          </w:p>
        </w:tc>
      </w:tr>
      <w:tr w:rsidR="00A74F68" w:rsidTr="009E5AAD">
        <w:trPr>
          <w:jc w:val="center"/>
        </w:trPr>
        <w:tc>
          <w:tcPr>
            <w:tcW w:w="2179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A-2014-2435427</w:t>
            </w:r>
          </w:p>
        </w:tc>
        <w:tc>
          <w:tcPr>
            <w:tcW w:w="5850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PREMIERE MARKETING LLC</w:t>
            </w:r>
          </w:p>
        </w:tc>
        <w:tc>
          <w:tcPr>
            <w:tcW w:w="1645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3/11/17</w:t>
            </w:r>
          </w:p>
        </w:tc>
        <w:tc>
          <w:tcPr>
            <w:tcW w:w="1733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A74F68" w:rsidTr="009E5AAD">
        <w:trPr>
          <w:jc w:val="center"/>
        </w:trPr>
        <w:tc>
          <w:tcPr>
            <w:tcW w:w="2179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A-2016-2552583</w:t>
            </w:r>
          </w:p>
        </w:tc>
        <w:tc>
          <w:tcPr>
            <w:tcW w:w="5850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REGIONAL RESOURCES ENERGY GROUP LLC</w:t>
            </w:r>
          </w:p>
        </w:tc>
        <w:tc>
          <w:tcPr>
            <w:tcW w:w="1645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3/9/17</w:t>
            </w:r>
          </w:p>
        </w:tc>
        <w:tc>
          <w:tcPr>
            <w:tcW w:w="1733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A74F68" w:rsidTr="009E5AAD">
        <w:trPr>
          <w:jc w:val="center"/>
        </w:trPr>
        <w:tc>
          <w:tcPr>
            <w:tcW w:w="2179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A-2012-2320270</w:t>
            </w:r>
          </w:p>
        </w:tc>
        <w:tc>
          <w:tcPr>
            <w:tcW w:w="5850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SAVE WAVE ENERGY LLC</w:t>
            </w:r>
          </w:p>
        </w:tc>
        <w:tc>
          <w:tcPr>
            <w:tcW w:w="1645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3/15/17</w:t>
            </w:r>
          </w:p>
        </w:tc>
        <w:tc>
          <w:tcPr>
            <w:tcW w:w="1733" w:type="dxa"/>
            <w:vAlign w:val="bottom"/>
          </w:tcPr>
          <w:p w:rsidR="00A74F6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  <w:tr w:rsidR="00B53D08" w:rsidTr="009E5AAD">
        <w:trPr>
          <w:jc w:val="center"/>
        </w:trPr>
        <w:tc>
          <w:tcPr>
            <w:tcW w:w="2179" w:type="dxa"/>
            <w:vAlign w:val="bottom"/>
          </w:tcPr>
          <w:p w:rsidR="00B53D0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A-2011-2255323</w:t>
            </w:r>
          </w:p>
        </w:tc>
        <w:tc>
          <w:tcPr>
            <w:tcW w:w="5850" w:type="dxa"/>
            <w:vAlign w:val="bottom"/>
          </w:tcPr>
          <w:p w:rsidR="00B53D08" w:rsidRPr="009E5AAD" w:rsidRDefault="002B0563" w:rsidP="00A74F6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9E5AAD">
              <w:rPr>
                <w:sz w:val="22"/>
                <w:szCs w:val="24"/>
              </w:rPr>
              <w:t>ULTIMATE ENERGY ADVISORS LLC</w:t>
            </w:r>
          </w:p>
        </w:tc>
        <w:tc>
          <w:tcPr>
            <w:tcW w:w="1645" w:type="dxa"/>
            <w:vAlign w:val="bottom"/>
          </w:tcPr>
          <w:p w:rsidR="00B53D0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4/1/17</w:t>
            </w:r>
          </w:p>
        </w:tc>
        <w:tc>
          <w:tcPr>
            <w:tcW w:w="1733" w:type="dxa"/>
            <w:vAlign w:val="bottom"/>
          </w:tcPr>
          <w:p w:rsidR="00B53D08" w:rsidRPr="009E5AAD" w:rsidRDefault="002B0563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9E5AAD">
              <w:rPr>
                <w:sz w:val="22"/>
                <w:szCs w:val="26"/>
              </w:rPr>
              <w:t>-</w:t>
            </w:r>
          </w:p>
        </w:tc>
      </w:tr>
    </w:tbl>
    <w:p w:rsidR="00276ED8" w:rsidRDefault="00704715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 w:rsidRPr="009E5AAD">
        <w:rPr>
          <w:sz w:val="22"/>
          <w:szCs w:val="26"/>
        </w:rPr>
        <w:t>*Taking title to electricity</w:t>
      </w:r>
      <w:r w:rsidR="00B53D08">
        <w:rPr>
          <w:sz w:val="26"/>
          <w:szCs w:val="26"/>
        </w:rPr>
        <w:tab/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890905" w:rsidRDefault="007354DA" w:rsidP="00890905">
      <w:pPr>
        <w:pStyle w:val="ListParagraph"/>
        <w:numPr>
          <w:ilvl w:val="0"/>
          <w:numId w:val="4"/>
        </w:numPr>
        <w:tabs>
          <w:tab w:val="left" w:pos="2250"/>
        </w:tabs>
        <w:spacing w:line="360" w:lineRule="auto"/>
        <w:ind w:left="0" w:firstLine="144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8C2D6B" w:rsidRDefault="007354DA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6114C4" w:rsidRDefault="006114C4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7E11CF" w:rsidP="007354DA">
      <w:pPr>
        <w:pStyle w:val="p17"/>
        <w:ind w:left="5057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811E75" wp14:editId="037A522A">
            <wp:simplePos x="0" y="0"/>
            <wp:positionH relativeFrom="column">
              <wp:posOffset>3209925</wp:posOffset>
            </wp:positionH>
            <wp:positionV relativeFrom="paragraph">
              <wp:posOffset>71120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6114C4">
        <w:rPr>
          <w:sz w:val="26"/>
          <w:szCs w:val="26"/>
        </w:rPr>
        <w:t>April 20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7E11CF">
        <w:rPr>
          <w:sz w:val="26"/>
          <w:szCs w:val="26"/>
        </w:rPr>
        <w:t>April 20, 2017</w:t>
      </w:r>
      <w:r w:rsidRPr="00BF0BE6">
        <w:rPr>
          <w:sz w:val="26"/>
          <w:szCs w:val="26"/>
        </w:rPr>
        <w:t xml:space="preserve"> 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7" w:rsidRDefault="009272D7">
      <w:r>
        <w:separator/>
      </w:r>
    </w:p>
  </w:endnote>
  <w:endnote w:type="continuationSeparator" w:id="0">
    <w:p w:rsidR="009272D7" w:rsidRDefault="0092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63" w:rsidRDefault="002B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563" w:rsidRDefault="002B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63" w:rsidRDefault="002B0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1CF">
      <w:rPr>
        <w:rStyle w:val="PageNumber"/>
        <w:noProof/>
      </w:rPr>
      <w:t>4</w:t>
    </w:r>
    <w:r>
      <w:rPr>
        <w:rStyle w:val="PageNumber"/>
      </w:rPr>
      <w:fldChar w:fldCharType="end"/>
    </w:r>
  </w:p>
  <w:p w:rsidR="002B0563" w:rsidRDefault="002B0563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7" w:rsidRDefault="009272D7">
      <w:r>
        <w:separator/>
      </w:r>
    </w:p>
  </w:footnote>
  <w:footnote w:type="continuationSeparator" w:id="0">
    <w:p w:rsidR="009272D7" w:rsidRDefault="0092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A45"/>
    <w:rsid w:val="001F22B7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748C1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753D5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D78E9"/>
    <w:rsid w:val="004E221E"/>
    <w:rsid w:val="004E3DDD"/>
    <w:rsid w:val="004E69C8"/>
    <w:rsid w:val="004E7908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114A4"/>
    <w:rsid w:val="006114C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2F13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135CB"/>
    <w:rsid w:val="00715664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3CEC"/>
    <w:rsid w:val="0080507E"/>
    <w:rsid w:val="00807C37"/>
    <w:rsid w:val="00814F38"/>
    <w:rsid w:val="0082494C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905"/>
    <w:rsid w:val="00890B8A"/>
    <w:rsid w:val="00895FA0"/>
    <w:rsid w:val="00896962"/>
    <w:rsid w:val="008A306D"/>
    <w:rsid w:val="008A6E96"/>
    <w:rsid w:val="008A7B30"/>
    <w:rsid w:val="008B6237"/>
    <w:rsid w:val="008C2D6B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2D7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6F04"/>
    <w:rsid w:val="00AA3FED"/>
    <w:rsid w:val="00AB07D4"/>
    <w:rsid w:val="00AB4385"/>
    <w:rsid w:val="00AC3F3E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3AF9"/>
    <w:rsid w:val="00B63F20"/>
    <w:rsid w:val="00B643DF"/>
    <w:rsid w:val="00B7032F"/>
    <w:rsid w:val="00B7159E"/>
    <w:rsid w:val="00B856DA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2B45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078C0"/>
    <w:rsid w:val="00D14790"/>
    <w:rsid w:val="00D15B21"/>
    <w:rsid w:val="00D22790"/>
    <w:rsid w:val="00D25539"/>
    <w:rsid w:val="00D30859"/>
    <w:rsid w:val="00D34875"/>
    <w:rsid w:val="00D3489E"/>
    <w:rsid w:val="00D36E6A"/>
    <w:rsid w:val="00D37E0C"/>
    <w:rsid w:val="00D422A9"/>
    <w:rsid w:val="00D46228"/>
    <w:rsid w:val="00D51C87"/>
    <w:rsid w:val="00D51DD5"/>
    <w:rsid w:val="00D554AE"/>
    <w:rsid w:val="00D55D4F"/>
    <w:rsid w:val="00D6130D"/>
    <w:rsid w:val="00D62668"/>
    <w:rsid w:val="00D75EB5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B06E2"/>
    <w:rsid w:val="00EB6511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B6320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D480-79BB-457C-908A-6EDA4BE9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14</cp:revision>
  <cp:lastPrinted>2017-02-24T14:39:00Z</cp:lastPrinted>
  <dcterms:created xsi:type="dcterms:W3CDTF">2017-03-27T17:47:00Z</dcterms:created>
  <dcterms:modified xsi:type="dcterms:W3CDTF">2017-04-20T11:55:00Z</dcterms:modified>
</cp:coreProperties>
</file>