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6A" w:rsidRDefault="00603A6A" w:rsidP="002C6FE9"/>
    <w:p w:rsidR="00603A6A" w:rsidRDefault="00603A6A" w:rsidP="002C6FE9"/>
    <w:p w:rsidR="00603A6A" w:rsidRDefault="00603A6A" w:rsidP="002C6FE9"/>
    <w:p w:rsidR="00603A6A" w:rsidRDefault="00603A6A" w:rsidP="002C6FE9"/>
    <w:p w:rsidR="00B27091" w:rsidRDefault="00B27091" w:rsidP="002C6FE9"/>
    <w:p w:rsidR="004C7C01" w:rsidRDefault="004C7C01" w:rsidP="002C6FE9">
      <w:pPr>
        <w:jc w:val="center"/>
        <w:rPr>
          <w:rFonts w:ascii="Arial" w:hAnsi="Arial" w:cs="Arial"/>
          <w:b/>
          <w:sz w:val="36"/>
          <w:szCs w:val="36"/>
        </w:rPr>
      </w:pPr>
    </w:p>
    <w:p w:rsidR="004C7C01" w:rsidRDefault="004C7C01" w:rsidP="002C6FE9">
      <w:pPr>
        <w:jc w:val="center"/>
        <w:rPr>
          <w:rFonts w:ascii="Arial" w:hAnsi="Arial" w:cs="Arial"/>
          <w:b/>
          <w:sz w:val="36"/>
          <w:szCs w:val="36"/>
        </w:rPr>
      </w:pPr>
    </w:p>
    <w:p w:rsidR="00603A6A" w:rsidRDefault="00B40C51" w:rsidP="002C6FE9">
      <w:pPr>
        <w:jc w:val="center"/>
        <w:rPr>
          <w:rFonts w:ascii="Arial" w:hAnsi="Arial" w:cs="Arial"/>
          <w:b/>
          <w:sz w:val="36"/>
          <w:szCs w:val="36"/>
        </w:rPr>
      </w:pPr>
      <w:r>
        <w:rPr>
          <w:rFonts w:ascii="Arial" w:hAnsi="Arial" w:cs="Arial"/>
          <w:b/>
          <w:sz w:val="36"/>
          <w:szCs w:val="36"/>
        </w:rPr>
        <w:t>PPL ELECTRIC UTILITIES CORPORTATION</w:t>
      </w:r>
    </w:p>
    <w:p w:rsidR="006D225E" w:rsidRDefault="006D225E" w:rsidP="002C6FE9">
      <w:pPr>
        <w:jc w:val="center"/>
        <w:rPr>
          <w:rFonts w:ascii="Arial" w:hAnsi="Arial" w:cs="Arial"/>
          <w:b/>
          <w:sz w:val="36"/>
          <w:szCs w:val="36"/>
        </w:rPr>
      </w:pPr>
    </w:p>
    <w:p w:rsidR="006D225E" w:rsidRPr="00C831AA" w:rsidRDefault="006D225E" w:rsidP="002C6FE9">
      <w:pPr>
        <w:jc w:val="center"/>
        <w:rPr>
          <w:rFonts w:ascii="Arial" w:hAnsi="Arial" w:cs="Arial"/>
          <w:b/>
          <w:sz w:val="36"/>
          <w:szCs w:val="36"/>
        </w:rPr>
      </w:pPr>
    </w:p>
    <w:p w:rsidR="00603A6A" w:rsidRPr="00BA0701" w:rsidRDefault="00603A6A" w:rsidP="002C6FE9">
      <w:pPr>
        <w:pStyle w:val="Heading1"/>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B27091" w:rsidRPr="00BA0701" w:rsidRDefault="00B27091" w:rsidP="002C6FE9">
      <w:pPr>
        <w:rPr>
          <w:rFonts w:ascii="Arial" w:hAnsi="Arial" w:cs="Arial"/>
          <w:sz w:val="36"/>
          <w:szCs w:val="36"/>
        </w:rPr>
      </w:pPr>
    </w:p>
    <w:p w:rsidR="00A51CD2" w:rsidRPr="00BA0701" w:rsidRDefault="00A51CD2" w:rsidP="002C6FE9">
      <w:pPr>
        <w:rPr>
          <w:rFonts w:ascii="Arial" w:hAnsi="Arial" w:cs="Arial"/>
          <w:sz w:val="36"/>
          <w:szCs w:val="36"/>
        </w:rPr>
      </w:pPr>
    </w:p>
    <w:p w:rsidR="00B27091" w:rsidRPr="00BA0701" w:rsidRDefault="00B27091" w:rsidP="002C6FE9">
      <w:pPr>
        <w:rPr>
          <w:rFonts w:ascii="Arial" w:hAnsi="Arial" w:cs="Arial"/>
          <w:sz w:val="36"/>
          <w:szCs w:val="36"/>
        </w:rPr>
      </w:pPr>
    </w:p>
    <w:p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A 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rsidR="00E35DAF" w:rsidRDefault="00E35DAF" w:rsidP="00E35DAF"/>
    <w:p w:rsidR="00B40C51" w:rsidRDefault="00B40C51" w:rsidP="00A51CD2">
      <w:pPr>
        <w:jc w:val="center"/>
        <w:rPr>
          <w:rFonts w:ascii="Arial" w:hAnsi="Arial" w:cs="Arial"/>
          <w:b/>
          <w:sz w:val="28"/>
          <w:szCs w:val="28"/>
        </w:rPr>
      </w:pPr>
      <w:r>
        <w:rPr>
          <w:rFonts w:ascii="Arial" w:hAnsi="Arial" w:cs="Arial"/>
          <w:b/>
          <w:sz w:val="28"/>
          <w:szCs w:val="28"/>
        </w:rPr>
        <w:t>GENERATION SUPPLY</w:t>
      </w:r>
      <w:r w:rsidR="00956E22">
        <w:rPr>
          <w:rFonts w:ascii="Arial" w:hAnsi="Arial" w:cs="Arial"/>
          <w:b/>
          <w:sz w:val="28"/>
          <w:szCs w:val="28"/>
        </w:rPr>
        <w:t xml:space="preserve"> CHARGE</w:t>
      </w:r>
      <w:r>
        <w:rPr>
          <w:rFonts w:ascii="Arial" w:hAnsi="Arial" w:cs="Arial"/>
          <w:b/>
          <w:sz w:val="28"/>
          <w:szCs w:val="28"/>
        </w:rPr>
        <w:t>-1</w:t>
      </w:r>
      <w:r w:rsidR="00956E22">
        <w:rPr>
          <w:rFonts w:ascii="Arial" w:hAnsi="Arial" w:cs="Arial"/>
          <w:b/>
          <w:sz w:val="28"/>
          <w:szCs w:val="28"/>
        </w:rPr>
        <w:t xml:space="preserve"> </w:t>
      </w:r>
    </w:p>
    <w:p w:rsidR="00B40C51" w:rsidRDefault="00B40C51" w:rsidP="00A51CD2">
      <w:pPr>
        <w:jc w:val="center"/>
        <w:rPr>
          <w:rFonts w:ascii="Arial" w:hAnsi="Arial" w:cs="Arial"/>
          <w:b/>
          <w:sz w:val="28"/>
          <w:szCs w:val="28"/>
        </w:rPr>
      </w:pPr>
    </w:p>
    <w:p w:rsidR="00311E3C" w:rsidRDefault="00603A6A" w:rsidP="00311E3C">
      <w:pPr>
        <w:jc w:val="center"/>
        <w:rPr>
          <w:rFonts w:ascii="Arial" w:hAnsi="Arial" w:cs="Arial"/>
          <w:b/>
          <w:sz w:val="28"/>
          <w:szCs w:val="28"/>
        </w:rPr>
      </w:pPr>
      <w:r w:rsidRPr="00C831AA">
        <w:rPr>
          <w:rFonts w:ascii="Arial" w:hAnsi="Arial" w:cs="Arial"/>
          <w:b/>
          <w:sz w:val="28"/>
          <w:szCs w:val="28"/>
        </w:rPr>
        <w:t xml:space="preserve">FOR </w:t>
      </w:r>
      <w:r w:rsidR="00340566" w:rsidRPr="00C831AA">
        <w:rPr>
          <w:rFonts w:ascii="Arial" w:hAnsi="Arial" w:cs="Arial"/>
          <w:b/>
          <w:sz w:val="28"/>
          <w:szCs w:val="28"/>
        </w:rPr>
        <w:t xml:space="preserve">THE </w:t>
      </w:r>
      <w:r w:rsidR="00311E3C">
        <w:rPr>
          <w:rFonts w:ascii="Arial" w:hAnsi="Arial" w:cs="Arial"/>
          <w:b/>
          <w:sz w:val="28"/>
          <w:szCs w:val="28"/>
        </w:rPr>
        <w:t>EL</w:t>
      </w:r>
      <w:r w:rsidR="007E12A7">
        <w:rPr>
          <w:rFonts w:ascii="Arial" w:hAnsi="Arial" w:cs="Arial"/>
          <w:b/>
          <w:sz w:val="28"/>
          <w:szCs w:val="28"/>
        </w:rPr>
        <w:t>E</w:t>
      </w:r>
      <w:r w:rsidR="00311E3C">
        <w:rPr>
          <w:rFonts w:ascii="Arial" w:hAnsi="Arial" w:cs="Arial"/>
          <w:b/>
          <w:sz w:val="28"/>
          <w:szCs w:val="28"/>
        </w:rPr>
        <w:t>VEN MONTH</w:t>
      </w:r>
      <w:r w:rsidR="00B45624">
        <w:rPr>
          <w:rFonts w:ascii="Arial" w:hAnsi="Arial" w:cs="Arial"/>
          <w:b/>
          <w:sz w:val="28"/>
          <w:szCs w:val="28"/>
        </w:rPr>
        <w:t>S</w:t>
      </w:r>
      <w:r w:rsidR="00340566" w:rsidRPr="00C831AA">
        <w:rPr>
          <w:rFonts w:ascii="Arial" w:hAnsi="Arial" w:cs="Arial"/>
          <w:b/>
          <w:sz w:val="28"/>
          <w:szCs w:val="28"/>
        </w:rPr>
        <w:t xml:space="preserve"> ENDED</w:t>
      </w:r>
      <w:r w:rsidR="00CE7BEE" w:rsidRPr="00C831AA">
        <w:rPr>
          <w:rFonts w:ascii="Arial" w:hAnsi="Arial" w:cs="Arial"/>
          <w:b/>
          <w:sz w:val="28"/>
          <w:szCs w:val="28"/>
        </w:rPr>
        <w:t xml:space="preserve"> </w:t>
      </w:r>
      <w:r w:rsidR="00311E3C">
        <w:rPr>
          <w:rFonts w:ascii="Arial" w:hAnsi="Arial" w:cs="Arial"/>
          <w:b/>
          <w:sz w:val="28"/>
          <w:szCs w:val="28"/>
        </w:rPr>
        <w:t>MARCH 31</w:t>
      </w:r>
      <w:r w:rsidR="003F0CA7">
        <w:rPr>
          <w:rFonts w:ascii="Arial" w:hAnsi="Arial" w:cs="Arial"/>
          <w:b/>
          <w:sz w:val="28"/>
          <w:szCs w:val="28"/>
        </w:rPr>
        <w:t>, 2015</w:t>
      </w:r>
      <w:r w:rsidR="00B40C51">
        <w:rPr>
          <w:rFonts w:ascii="Arial" w:hAnsi="Arial" w:cs="Arial"/>
          <w:b/>
          <w:sz w:val="28"/>
          <w:szCs w:val="28"/>
        </w:rPr>
        <w:t xml:space="preserve"> </w:t>
      </w:r>
    </w:p>
    <w:p w:rsidR="00311E3C" w:rsidRDefault="00311E3C" w:rsidP="00311E3C">
      <w:pPr>
        <w:jc w:val="center"/>
        <w:rPr>
          <w:rFonts w:ascii="Arial" w:hAnsi="Arial" w:cs="Arial"/>
          <w:b/>
          <w:sz w:val="28"/>
          <w:szCs w:val="28"/>
        </w:rPr>
      </w:pPr>
    </w:p>
    <w:p w:rsidR="00603A6A" w:rsidRPr="00C831AA" w:rsidRDefault="00A51CD2" w:rsidP="00311E3C">
      <w:pPr>
        <w:jc w:val="center"/>
        <w:rPr>
          <w:rFonts w:ascii="Arial" w:hAnsi="Arial" w:cs="Arial"/>
          <w:b/>
          <w:sz w:val="28"/>
          <w:szCs w:val="28"/>
        </w:rPr>
      </w:pPr>
      <w:r>
        <w:rPr>
          <w:rFonts w:ascii="Arial" w:hAnsi="Arial" w:cs="Arial"/>
          <w:b/>
          <w:sz w:val="28"/>
          <w:szCs w:val="28"/>
        </w:rPr>
        <w:t xml:space="preserve">AND </w:t>
      </w:r>
      <w:r w:rsidR="00311E3C">
        <w:rPr>
          <w:rFonts w:ascii="Arial" w:hAnsi="Arial" w:cs="Arial"/>
          <w:b/>
          <w:sz w:val="28"/>
          <w:szCs w:val="28"/>
        </w:rPr>
        <w:t>THE TWELVE MONTH</w:t>
      </w:r>
      <w:r w:rsidR="00B45624">
        <w:rPr>
          <w:rFonts w:ascii="Arial" w:hAnsi="Arial" w:cs="Arial"/>
          <w:b/>
          <w:sz w:val="28"/>
          <w:szCs w:val="28"/>
        </w:rPr>
        <w:t>S</w:t>
      </w:r>
      <w:r w:rsidR="00311E3C">
        <w:rPr>
          <w:rFonts w:ascii="Arial" w:hAnsi="Arial" w:cs="Arial"/>
          <w:b/>
          <w:sz w:val="28"/>
          <w:szCs w:val="28"/>
        </w:rPr>
        <w:t xml:space="preserve"> ENDED APRIL 30, 2014</w:t>
      </w:r>
    </w:p>
    <w:p w:rsidR="00AC6E09" w:rsidRPr="00C831AA" w:rsidRDefault="00AC6E09"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rPr>
      </w:pPr>
    </w:p>
    <w:p w:rsidR="00B220FC" w:rsidRDefault="00B220FC" w:rsidP="002C6FE9">
      <w:pPr>
        <w:jc w:val="center"/>
        <w:rPr>
          <w:rFonts w:ascii="Arial" w:hAnsi="Arial" w:cs="Arial"/>
          <w:b/>
          <w:sz w:val="28"/>
          <w:szCs w:val="28"/>
        </w:rPr>
      </w:pPr>
    </w:p>
    <w:p w:rsidR="007E12A7" w:rsidRDefault="007E12A7"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u w:val="single"/>
        </w:rPr>
      </w:pPr>
    </w:p>
    <w:p w:rsidR="00DD5D4B" w:rsidRPr="00C831AA" w:rsidRDefault="00DD5D4B" w:rsidP="002C6FE9">
      <w:pPr>
        <w:jc w:val="center"/>
        <w:rPr>
          <w:rFonts w:ascii="Arial" w:hAnsi="Arial" w:cs="Arial"/>
          <w:b/>
          <w:sz w:val="28"/>
          <w:szCs w:val="28"/>
          <w:u w:val="single"/>
        </w:rPr>
      </w:pPr>
    </w:p>
    <w:p w:rsidR="004C7C01" w:rsidRDefault="004C7C01" w:rsidP="002C6FE9">
      <w:pPr>
        <w:jc w:val="center"/>
        <w:rPr>
          <w:rFonts w:ascii="Arial" w:hAnsi="Arial" w:cs="Arial"/>
          <w:b/>
          <w:sz w:val="28"/>
          <w:szCs w:val="28"/>
        </w:rPr>
      </w:pPr>
    </w:p>
    <w:p w:rsidR="00D32B5E" w:rsidRDefault="00D32B5E" w:rsidP="002C6FE9">
      <w:pPr>
        <w:jc w:val="center"/>
        <w:rPr>
          <w:rFonts w:ascii="Arial" w:hAnsi="Arial" w:cs="Arial"/>
          <w:b/>
          <w:sz w:val="28"/>
          <w:szCs w:val="28"/>
        </w:rPr>
      </w:pPr>
    </w:p>
    <w:p w:rsidR="00DD5D4B" w:rsidRPr="00C831AA" w:rsidRDefault="00285097" w:rsidP="002C6FE9">
      <w:pPr>
        <w:jc w:val="center"/>
        <w:rPr>
          <w:rFonts w:ascii="Arial" w:hAnsi="Arial" w:cs="Arial"/>
          <w:b/>
          <w:sz w:val="28"/>
          <w:szCs w:val="28"/>
        </w:rPr>
      </w:pPr>
      <w:r w:rsidRPr="00C831AA">
        <w:rPr>
          <w:rFonts w:ascii="Arial" w:hAnsi="Arial" w:cs="Arial"/>
          <w:b/>
          <w:sz w:val="28"/>
          <w:szCs w:val="28"/>
        </w:rPr>
        <w:t>Prepared By The</w:t>
      </w:r>
    </w:p>
    <w:p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rsidR="004C7C01" w:rsidRPr="00C831AA" w:rsidRDefault="00285097" w:rsidP="002C6FE9">
      <w:pPr>
        <w:jc w:val="center"/>
        <w:rPr>
          <w:rFonts w:ascii="Arial" w:hAnsi="Arial" w:cs="Arial"/>
          <w:b/>
          <w:sz w:val="28"/>
          <w:szCs w:val="28"/>
        </w:rPr>
      </w:pPr>
      <w:r w:rsidRPr="00C831AA">
        <w:rPr>
          <w:rFonts w:ascii="Arial" w:hAnsi="Arial" w:cs="Arial"/>
          <w:b/>
          <w:sz w:val="28"/>
          <w:szCs w:val="28"/>
        </w:rPr>
        <w:t>Bureau Of Audits</w:t>
      </w:r>
    </w:p>
    <w:p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4C7C01">
        <w:rPr>
          <w:rFonts w:ascii="Arial" w:hAnsi="Arial" w:cs="Arial"/>
          <w:b/>
          <w:sz w:val="28"/>
          <w:szCs w:val="28"/>
        </w:rPr>
        <w:t xml:space="preserve">April </w:t>
      </w:r>
      <w:r w:rsidR="00E41A4F">
        <w:rPr>
          <w:rFonts w:ascii="Arial" w:hAnsi="Arial" w:cs="Arial"/>
          <w:b/>
          <w:sz w:val="28"/>
          <w:szCs w:val="28"/>
        </w:rPr>
        <w:t>5</w:t>
      </w:r>
      <w:r w:rsidR="007E12A7">
        <w:rPr>
          <w:rFonts w:ascii="Arial" w:hAnsi="Arial" w:cs="Arial"/>
          <w:b/>
          <w:sz w:val="28"/>
          <w:szCs w:val="28"/>
        </w:rPr>
        <w:t>, 201</w:t>
      </w:r>
      <w:r w:rsidR="004C7C01">
        <w:rPr>
          <w:rFonts w:ascii="Arial" w:hAnsi="Arial" w:cs="Arial"/>
          <w:b/>
          <w:sz w:val="28"/>
          <w:szCs w:val="28"/>
        </w:rPr>
        <w:t>7</w:t>
      </w:r>
      <w:r>
        <w:rPr>
          <w:rFonts w:ascii="Arial" w:hAnsi="Arial" w:cs="Arial"/>
          <w:b/>
          <w:sz w:val="28"/>
          <w:szCs w:val="28"/>
        </w:rPr>
        <w:t xml:space="preserve"> </w:t>
      </w:r>
    </w:p>
    <w:p w:rsidR="00666F26" w:rsidRPr="00C831AA" w:rsidRDefault="00666F26" w:rsidP="002C6FE9">
      <w:pPr>
        <w:jc w:val="center"/>
        <w:rPr>
          <w:rFonts w:ascii="Arial" w:hAnsi="Arial" w:cs="Arial"/>
          <w:b/>
          <w:sz w:val="28"/>
          <w:szCs w:val="28"/>
        </w:rPr>
      </w:pPr>
    </w:p>
    <w:p w:rsidR="00052414" w:rsidRDefault="00285097" w:rsidP="00911CB4">
      <w:pPr>
        <w:jc w:val="center"/>
        <w:rPr>
          <w:rFonts w:ascii="Arial" w:hAnsi="Arial" w:cs="Arial"/>
          <w:b/>
          <w:sz w:val="28"/>
          <w:szCs w:val="28"/>
        </w:r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B2645B">
        <w:rPr>
          <w:rFonts w:ascii="Arial" w:hAnsi="Arial" w:cs="Arial"/>
          <w:b/>
          <w:sz w:val="28"/>
          <w:szCs w:val="28"/>
        </w:rPr>
        <w:t>6</w:t>
      </w:r>
      <w:r w:rsidR="00B56BD0" w:rsidRPr="008F0B1D">
        <w:rPr>
          <w:rFonts w:ascii="Arial" w:hAnsi="Arial" w:cs="Arial"/>
          <w:b/>
          <w:sz w:val="28"/>
          <w:szCs w:val="28"/>
        </w:rPr>
        <w:t>-</w:t>
      </w:r>
      <w:r w:rsidR="00142905">
        <w:rPr>
          <w:rFonts w:ascii="Arial" w:hAnsi="Arial" w:cs="Arial"/>
          <w:b/>
          <w:sz w:val="28"/>
          <w:szCs w:val="28"/>
        </w:rPr>
        <w:t>2547261</w:t>
      </w:r>
    </w:p>
    <w:p w:rsidR="00052414" w:rsidRDefault="00052414">
      <w:pPr>
        <w:rPr>
          <w:rFonts w:ascii="Arial" w:hAnsi="Arial" w:cs="Arial"/>
          <w:b/>
          <w:sz w:val="28"/>
          <w:szCs w:val="28"/>
        </w:rPr>
      </w:pPr>
      <w:r>
        <w:rPr>
          <w:rFonts w:ascii="Arial" w:hAnsi="Arial" w:cs="Arial"/>
          <w:b/>
          <w:sz w:val="28"/>
          <w:szCs w:val="28"/>
        </w:rPr>
        <w:br w:type="page"/>
      </w:r>
    </w:p>
    <w:p w:rsidR="00135D1D" w:rsidRPr="00911CB4" w:rsidRDefault="00135D1D" w:rsidP="00911CB4">
      <w:pPr>
        <w:jc w:val="center"/>
        <w:rPr>
          <w:rFonts w:ascii="Arial" w:hAnsi="Arial" w:cs="Arial"/>
          <w:b/>
          <w:sz w:val="28"/>
          <w:szCs w:val="28"/>
        </w:rPr>
        <w:sectPr w:rsidR="00135D1D" w:rsidRPr="00911CB4" w:rsidSect="00A54BE6">
          <w:headerReference w:type="even" r:id="rId9"/>
          <w:headerReference w:type="default" r:id="rId10"/>
          <w:footerReference w:type="even" r:id="rId11"/>
          <w:footerReference w:type="default" r:id="rId12"/>
          <w:headerReference w:type="first" r:id="rId13"/>
          <w:type w:val="continuous"/>
          <w:pgSz w:w="12240" w:h="15840" w:code="1"/>
          <w:pgMar w:top="1440" w:right="1440" w:bottom="1152" w:left="1440" w:header="720" w:footer="720" w:gutter="0"/>
          <w:pgNumType w:start="1"/>
          <w:cols w:space="720"/>
          <w:noEndnote/>
          <w:docGrid w:linePitch="326"/>
        </w:sectPr>
      </w:pPr>
    </w:p>
    <w:p w:rsidR="00603A6A" w:rsidRPr="00C2508B"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CC1765" w:rsidRPr="00C2508B" w:rsidRDefault="00CC1765" w:rsidP="002C6FE9">
      <w:pPr>
        <w:jc w:val="center"/>
        <w:rPr>
          <w:rFonts w:ascii="Arial" w:hAnsi="Arial" w:cs="Arial"/>
          <w:b/>
          <w:sz w:val="26"/>
          <w:szCs w:val="26"/>
        </w:rPr>
      </w:pPr>
    </w:p>
    <w:p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rsidR="000C7BD3" w:rsidRDefault="000C7BD3" w:rsidP="007F4500">
      <w:pPr>
        <w:jc w:val="right"/>
        <w:rPr>
          <w:rFonts w:ascii="Arial" w:hAnsi="Arial" w:cs="Arial"/>
          <w:b/>
          <w:szCs w:val="26"/>
          <w:u w:val="single"/>
        </w:rPr>
      </w:pPr>
    </w:p>
    <w:p w:rsidR="00CB2507" w:rsidRDefault="00CB2507" w:rsidP="007F4500">
      <w:pPr>
        <w:jc w:val="right"/>
        <w:rPr>
          <w:rFonts w:ascii="Arial" w:hAnsi="Arial" w:cs="Arial"/>
          <w:b/>
          <w:szCs w:val="26"/>
          <w:u w:val="single"/>
        </w:rPr>
      </w:pPr>
    </w:p>
    <w:p w:rsidR="00603A6A" w:rsidRPr="00BA0701" w:rsidRDefault="00603A6A" w:rsidP="007F4500">
      <w:pPr>
        <w:jc w:val="right"/>
        <w:rPr>
          <w:rFonts w:ascii="Arial" w:hAnsi="Arial" w:cs="Arial"/>
          <w:b/>
          <w:sz w:val="26"/>
          <w:szCs w:val="26"/>
          <w:u w:val="single"/>
        </w:rPr>
      </w:pPr>
      <w:r w:rsidRPr="00801D66">
        <w:rPr>
          <w:rFonts w:ascii="Arial" w:hAnsi="Arial" w:cs="Arial"/>
          <w:b/>
          <w:szCs w:val="26"/>
          <w:u w:val="single"/>
        </w:rPr>
        <w:t>Page</w:t>
      </w:r>
    </w:p>
    <w:p w:rsidR="007800F2" w:rsidRPr="000C37FB" w:rsidRDefault="007800F2" w:rsidP="002C6FE9">
      <w:pPr>
        <w:pStyle w:val="Heading4"/>
        <w:rPr>
          <w:rFonts w:ascii="Arial" w:hAnsi="Arial" w:cs="Arial"/>
          <w:sz w:val="16"/>
          <w:szCs w:val="26"/>
        </w:rPr>
      </w:pPr>
    </w:p>
    <w:p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rsidR="00603A6A" w:rsidRPr="004B713A" w:rsidRDefault="00603A6A" w:rsidP="002C6FE9">
      <w:pPr>
        <w:rPr>
          <w:rFonts w:ascii="Arial" w:hAnsi="Arial" w:cs="Arial"/>
          <w:b/>
          <w:sz w:val="16"/>
          <w:szCs w:val="26"/>
        </w:rPr>
      </w:pPr>
    </w:p>
    <w:p w:rsidR="00603A6A" w:rsidRPr="004B713A" w:rsidRDefault="00C15440" w:rsidP="00331A7B">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331A7B">
        <w:rPr>
          <w:rFonts w:ascii="Arial" w:hAnsi="Arial" w:cs="Arial"/>
          <w:szCs w:val="26"/>
        </w:rPr>
        <w:tab/>
      </w:r>
      <w:r w:rsidR="00963C82" w:rsidRPr="004B713A">
        <w:rPr>
          <w:rFonts w:ascii="Arial" w:hAnsi="Arial" w:cs="Arial"/>
          <w:szCs w:val="26"/>
        </w:rPr>
        <w:t>1</w:t>
      </w:r>
    </w:p>
    <w:p w:rsidR="00CC1765" w:rsidRPr="004B713A" w:rsidRDefault="00CC1765" w:rsidP="00F16CBF">
      <w:pPr>
        <w:tabs>
          <w:tab w:val="left" w:pos="720"/>
          <w:tab w:val="right" w:pos="8554"/>
          <w:tab w:val="left" w:pos="8640"/>
        </w:tabs>
        <w:ind w:left="360" w:hanging="720"/>
        <w:rPr>
          <w:rFonts w:ascii="Arial" w:hAnsi="Arial" w:cs="Arial"/>
          <w:szCs w:val="26"/>
        </w:rPr>
      </w:pPr>
    </w:p>
    <w:p w:rsidR="00F16CBF" w:rsidRDefault="00CC1765" w:rsidP="00F16CBF">
      <w:pPr>
        <w:tabs>
          <w:tab w:val="left" w:pos="720"/>
          <w:tab w:val="right" w:pos="9360"/>
        </w:tabs>
        <w:ind w:left="360" w:hanging="720"/>
        <w:rPr>
          <w:rFonts w:ascii="Arial" w:hAnsi="Arial" w:cs="Arial"/>
          <w:szCs w:val="26"/>
        </w:rPr>
      </w:pPr>
      <w:r w:rsidRPr="004B713A">
        <w:rPr>
          <w:rFonts w:ascii="Arial" w:hAnsi="Arial" w:cs="Arial"/>
          <w:szCs w:val="26"/>
        </w:rPr>
        <w:tab/>
      </w:r>
      <w:r w:rsidR="00C2508B" w:rsidRPr="004B713A">
        <w:rPr>
          <w:rFonts w:ascii="Arial" w:hAnsi="Arial" w:cs="Arial"/>
          <w:szCs w:val="26"/>
        </w:rPr>
        <w:t xml:space="preserve">Condensed </w:t>
      </w:r>
      <w:r w:rsidR="00DD5D4B" w:rsidRPr="004B713A">
        <w:rPr>
          <w:rFonts w:ascii="Arial" w:hAnsi="Arial" w:cs="Arial"/>
          <w:szCs w:val="26"/>
        </w:rPr>
        <w:t>Statement O</w:t>
      </w:r>
      <w:r w:rsidR="00603A6A" w:rsidRPr="004B713A">
        <w:rPr>
          <w:rFonts w:ascii="Arial" w:hAnsi="Arial" w:cs="Arial"/>
          <w:szCs w:val="26"/>
        </w:rPr>
        <w:t xml:space="preserve">f </w:t>
      </w:r>
      <w:r w:rsidR="00650F45">
        <w:rPr>
          <w:rFonts w:ascii="Arial" w:hAnsi="Arial" w:cs="Arial"/>
          <w:szCs w:val="26"/>
        </w:rPr>
        <w:t>Generation Supply Charge-1 (GSC-1)</w:t>
      </w:r>
      <w:r w:rsidR="008149AB">
        <w:rPr>
          <w:rFonts w:ascii="Arial" w:hAnsi="Arial" w:cs="Arial"/>
          <w:szCs w:val="26"/>
        </w:rPr>
        <w:t xml:space="preserve"> </w:t>
      </w:r>
      <w:r w:rsidR="00603A6A" w:rsidRPr="004B713A">
        <w:rPr>
          <w:rFonts w:ascii="Arial" w:hAnsi="Arial" w:cs="Arial"/>
          <w:szCs w:val="26"/>
        </w:rPr>
        <w:t>Over/</w:t>
      </w:r>
      <w:r w:rsidR="00182996" w:rsidRPr="004B713A">
        <w:rPr>
          <w:rFonts w:ascii="Arial" w:hAnsi="Arial" w:cs="Arial"/>
          <w:szCs w:val="26"/>
        </w:rPr>
        <w:t>(</w:t>
      </w:r>
      <w:r w:rsidR="00603A6A" w:rsidRPr="004B713A">
        <w:rPr>
          <w:rFonts w:ascii="Arial" w:hAnsi="Arial" w:cs="Arial"/>
          <w:szCs w:val="26"/>
        </w:rPr>
        <w:t>Under</w:t>
      </w:r>
      <w:r w:rsidR="00182996" w:rsidRPr="004B713A">
        <w:rPr>
          <w:rFonts w:ascii="Arial" w:hAnsi="Arial" w:cs="Arial"/>
          <w:szCs w:val="26"/>
        </w:rPr>
        <w:t>)</w:t>
      </w:r>
      <w:r w:rsidR="00603A6A" w:rsidRPr="004B713A">
        <w:rPr>
          <w:rFonts w:ascii="Arial" w:hAnsi="Arial" w:cs="Arial"/>
          <w:szCs w:val="26"/>
        </w:rPr>
        <w:t xml:space="preserve"> </w:t>
      </w:r>
      <w:r w:rsidR="00AE5431" w:rsidRPr="00AE5431">
        <w:rPr>
          <w:rFonts w:ascii="Arial" w:hAnsi="Arial" w:cs="Arial"/>
          <w:szCs w:val="26"/>
        </w:rPr>
        <w:t xml:space="preserve">Collections (Section 1307(e)) For The </w:t>
      </w:r>
      <w:r w:rsidR="00FF6F87">
        <w:rPr>
          <w:rFonts w:ascii="Arial" w:hAnsi="Arial" w:cs="Arial"/>
          <w:szCs w:val="26"/>
        </w:rPr>
        <w:t>Eleven</w:t>
      </w:r>
      <w:r w:rsidR="00AE5431" w:rsidRPr="00AE5431">
        <w:rPr>
          <w:rFonts w:ascii="Arial" w:hAnsi="Arial" w:cs="Arial"/>
          <w:szCs w:val="26"/>
        </w:rPr>
        <w:t xml:space="preserve"> Months Ended</w:t>
      </w:r>
    </w:p>
    <w:p w:rsidR="00BF2483" w:rsidRDefault="00FF6F87" w:rsidP="00331A7B">
      <w:pPr>
        <w:tabs>
          <w:tab w:val="left" w:pos="720"/>
          <w:tab w:val="right" w:pos="9360"/>
        </w:tabs>
        <w:ind w:left="360"/>
        <w:rPr>
          <w:rFonts w:ascii="Arial" w:hAnsi="Arial" w:cs="Arial"/>
          <w:szCs w:val="26"/>
        </w:rPr>
      </w:pPr>
      <w:r>
        <w:rPr>
          <w:rFonts w:ascii="Arial" w:hAnsi="Arial" w:cs="Arial"/>
          <w:szCs w:val="26"/>
        </w:rPr>
        <w:t>March</w:t>
      </w:r>
      <w:r w:rsidR="007E65CD">
        <w:rPr>
          <w:rFonts w:ascii="Arial" w:hAnsi="Arial" w:cs="Arial"/>
          <w:szCs w:val="26"/>
        </w:rPr>
        <w:t xml:space="preserve"> 31, 2015</w:t>
      </w:r>
      <w:r w:rsidR="00331A7B">
        <w:rPr>
          <w:rFonts w:ascii="Arial" w:hAnsi="Arial" w:cs="Arial"/>
          <w:szCs w:val="26"/>
        </w:rPr>
        <w:tab/>
      </w:r>
      <w:r w:rsidR="00FE35DE">
        <w:rPr>
          <w:rFonts w:ascii="Arial" w:hAnsi="Arial" w:cs="Arial"/>
          <w:szCs w:val="26"/>
        </w:rPr>
        <w:t>3</w:t>
      </w:r>
    </w:p>
    <w:p w:rsidR="00651535" w:rsidRDefault="00651535" w:rsidP="00AE5431">
      <w:pPr>
        <w:tabs>
          <w:tab w:val="left" w:pos="720"/>
          <w:tab w:val="right" w:pos="9180"/>
        </w:tabs>
        <w:rPr>
          <w:rFonts w:ascii="Arial" w:hAnsi="Arial" w:cs="Arial"/>
          <w:szCs w:val="26"/>
        </w:rPr>
      </w:pPr>
    </w:p>
    <w:p w:rsidR="00651535" w:rsidRDefault="00651535" w:rsidP="00651535">
      <w:pPr>
        <w:tabs>
          <w:tab w:val="left" w:pos="720"/>
          <w:tab w:val="right" w:pos="9360"/>
        </w:tabs>
        <w:ind w:left="360" w:hanging="720"/>
        <w:rPr>
          <w:rFonts w:ascii="Arial" w:hAnsi="Arial" w:cs="Arial"/>
          <w:szCs w:val="26"/>
        </w:rPr>
      </w:pPr>
      <w:r w:rsidRPr="004B713A">
        <w:rPr>
          <w:rFonts w:ascii="Arial" w:hAnsi="Arial" w:cs="Arial"/>
          <w:szCs w:val="26"/>
        </w:rPr>
        <w:tab/>
        <w:t xml:space="preserve">Condensed Statement Of </w:t>
      </w:r>
      <w:r w:rsidR="00650F45">
        <w:rPr>
          <w:rFonts w:ascii="Arial" w:hAnsi="Arial" w:cs="Arial"/>
          <w:szCs w:val="26"/>
        </w:rPr>
        <w:t>Generation Supply Charge-1 (GSC-1)</w:t>
      </w:r>
      <w:r>
        <w:rPr>
          <w:rFonts w:ascii="Arial" w:hAnsi="Arial" w:cs="Arial"/>
          <w:szCs w:val="26"/>
        </w:rPr>
        <w:t xml:space="preserve"> </w:t>
      </w:r>
      <w:r w:rsidRPr="004B713A">
        <w:rPr>
          <w:rFonts w:ascii="Arial" w:hAnsi="Arial" w:cs="Arial"/>
          <w:szCs w:val="26"/>
        </w:rPr>
        <w:t xml:space="preserve">Over/(Under) </w:t>
      </w:r>
      <w:r w:rsidRPr="00AE5431">
        <w:rPr>
          <w:rFonts w:ascii="Arial" w:hAnsi="Arial" w:cs="Arial"/>
          <w:szCs w:val="26"/>
        </w:rPr>
        <w:t>Collections (Section 1307(e)) For The Twelve Months Ended</w:t>
      </w:r>
    </w:p>
    <w:p w:rsidR="00651535" w:rsidRPr="004B713A" w:rsidRDefault="00FF6F87" w:rsidP="00331A7B">
      <w:pPr>
        <w:tabs>
          <w:tab w:val="left" w:pos="720"/>
          <w:tab w:val="right" w:pos="9360"/>
        </w:tabs>
        <w:ind w:left="360"/>
        <w:rPr>
          <w:rFonts w:ascii="Arial" w:hAnsi="Arial" w:cs="Arial"/>
          <w:szCs w:val="26"/>
        </w:rPr>
      </w:pPr>
      <w:r>
        <w:rPr>
          <w:rFonts w:ascii="Arial" w:hAnsi="Arial" w:cs="Arial"/>
          <w:szCs w:val="26"/>
        </w:rPr>
        <w:t>April 30</w:t>
      </w:r>
      <w:r w:rsidR="00331A7B">
        <w:rPr>
          <w:rFonts w:ascii="Arial" w:hAnsi="Arial" w:cs="Arial"/>
          <w:szCs w:val="26"/>
        </w:rPr>
        <w:t>, 2014</w:t>
      </w:r>
      <w:r w:rsidR="00331A7B">
        <w:rPr>
          <w:rFonts w:ascii="Arial" w:hAnsi="Arial" w:cs="Arial"/>
          <w:szCs w:val="26"/>
        </w:rPr>
        <w:tab/>
      </w:r>
      <w:r w:rsidR="00651535">
        <w:rPr>
          <w:rFonts w:ascii="Arial" w:hAnsi="Arial" w:cs="Arial"/>
          <w:szCs w:val="26"/>
        </w:rPr>
        <w:t>4</w:t>
      </w:r>
    </w:p>
    <w:p w:rsidR="0046284E" w:rsidRPr="004B713A" w:rsidRDefault="0046284E" w:rsidP="00FF6F87">
      <w:pPr>
        <w:tabs>
          <w:tab w:val="left" w:pos="720"/>
          <w:tab w:val="right" w:pos="8726"/>
          <w:tab w:val="right" w:pos="9090"/>
        </w:tabs>
        <w:rPr>
          <w:rFonts w:ascii="Arial" w:hAnsi="Arial" w:cs="Arial"/>
          <w:szCs w:val="26"/>
        </w:rPr>
      </w:pPr>
    </w:p>
    <w:p w:rsidR="00603A6A" w:rsidRPr="004B713A" w:rsidRDefault="00DD5D4B" w:rsidP="00331A7B">
      <w:pPr>
        <w:tabs>
          <w:tab w:val="left" w:pos="720"/>
          <w:tab w:val="right" w:pos="9360"/>
        </w:tabs>
        <w:ind w:left="360"/>
        <w:rPr>
          <w:rFonts w:ascii="Arial" w:hAnsi="Arial" w:cs="Arial"/>
          <w:szCs w:val="26"/>
        </w:rPr>
      </w:pPr>
      <w:r w:rsidRPr="004B713A">
        <w:rPr>
          <w:rFonts w:ascii="Arial" w:hAnsi="Arial" w:cs="Arial"/>
          <w:szCs w:val="26"/>
        </w:rPr>
        <w:t>Notes To 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331A7B">
        <w:rPr>
          <w:rFonts w:ascii="Arial" w:hAnsi="Arial" w:cs="Arial"/>
          <w:szCs w:val="26"/>
        </w:rPr>
        <w:tab/>
      </w:r>
      <w:r w:rsidR="00905A2E">
        <w:rPr>
          <w:rFonts w:ascii="Arial" w:hAnsi="Arial" w:cs="Arial"/>
          <w:szCs w:val="26"/>
        </w:rPr>
        <w:t>5</w:t>
      </w:r>
    </w:p>
    <w:p w:rsidR="00603A6A" w:rsidRPr="004B713A" w:rsidRDefault="00603A6A" w:rsidP="002C6FE9">
      <w:pPr>
        <w:tabs>
          <w:tab w:val="left" w:pos="8640"/>
        </w:tabs>
        <w:ind w:left="720" w:hanging="720"/>
        <w:rPr>
          <w:rFonts w:ascii="Arial" w:hAnsi="Arial" w:cs="Arial"/>
          <w:szCs w:val="26"/>
        </w:rPr>
      </w:pPr>
    </w:p>
    <w:p w:rsidR="00603A6A" w:rsidRPr="004B713A" w:rsidRDefault="009C7615" w:rsidP="002C6FE9">
      <w:pPr>
        <w:pStyle w:val="Heading5"/>
        <w:tabs>
          <w:tab w:val="left" w:pos="8640"/>
        </w:tabs>
        <w:rPr>
          <w:rFonts w:ascii="Arial" w:hAnsi="Arial" w:cs="Arial"/>
          <w:szCs w:val="26"/>
          <w:u w:val="none"/>
        </w:rPr>
      </w:pPr>
      <w:r w:rsidRPr="004B713A">
        <w:rPr>
          <w:rFonts w:ascii="Arial" w:hAnsi="Arial" w:cs="Arial"/>
          <w:szCs w:val="26"/>
          <w:u w:val="none"/>
        </w:rPr>
        <w:t xml:space="preserve">BACKGROUND AND </w:t>
      </w:r>
      <w:r w:rsidR="00603A6A" w:rsidRPr="004B713A">
        <w:rPr>
          <w:rFonts w:ascii="Arial" w:hAnsi="Arial" w:cs="Arial"/>
          <w:szCs w:val="26"/>
          <w:u w:val="none"/>
        </w:rPr>
        <w:t>OPERATIONAL REVIEW</w:t>
      </w:r>
    </w:p>
    <w:p w:rsidR="00603A6A" w:rsidRPr="004B713A" w:rsidRDefault="00603A6A" w:rsidP="002C6FE9">
      <w:pPr>
        <w:tabs>
          <w:tab w:val="left" w:pos="720"/>
          <w:tab w:val="right" w:pos="8726"/>
        </w:tabs>
        <w:ind w:left="720" w:hanging="720"/>
        <w:rPr>
          <w:rFonts w:ascii="Arial" w:hAnsi="Arial" w:cs="Arial"/>
          <w:sz w:val="16"/>
          <w:szCs w:val="26"/>
        </w:rPr>
      </w:pPr>
    </w:p>
    <w:p w:rsidR="007800F2" w:rsidRDefault="007F4500" w:rsidP="00331A7B">
      <w:pPr>
        <w:tabs>
          <w:tab w:val="left" w:pos="720"/>
          <w:tab w:val="right" w:pos="9360"/>
        </w:tabs>
        <w:ind w:left="360"/>
        <w:rPr>
          <w:rFonts w:ascii="Arial" w:hAnsi="Arial" w:cs="Arial"/>
          <w:szCs w:val="26"/>
        </w:rPr>
      </w:pPr>
      <w:r>
        <w:rPr>
          <w:rFonts w:ascii="Arial" w:hAnsi="Arial" w:cs="Arial"/>
          <w:szCs w:val="26"/>
        </w:rPr>
        <w:t>Background</w:t>
      </w:r>
      <w:r>
        <w:rPr>
          <w:rFonts w:ascii="Arial" w:hAnsi="Arial" w:cs="Arial"/>
          <w:szCs w:val="26"/>
        </w:rPr>
        <w:tab/>
      </w:r>
      <w:r w:rsidR="00905A2E">
        <w:rPr>
          <w:rFonts w:ascii="Arial" w:hAnsi="Arial" w:cs="Arial"/>
          <w:szCs w:val="26"/>
        </w:rPr>
        <w:t>6</w:t>
      </w:r>
    </w:p>
    <w:p w:rsidR="005A00E6" w:rsidRDefault="005A00E6" w:rsidP="005A00E6">
      <w:pPr>
        <w:tabs>
          <w:tab w:val="left" w:pos="720"/>
          <w:tab w:val="right" w:pos="9180"/>
        </w:tabs>
        <w:ind w:left="360" w:hanging="360"/>
        <w:rPr>
          <w:rFonts w:ascii="Arial" w:hAnsi="Arial" w:cs="Arial"/>
          <w:szCs w:val="26"/>
        </w:rPr>
      </w:pPr>
    </w:p>
    <w:p w:rsidR="005A00E6" w:rsidRPr="004B713A" w:rsidRDefault="005A00E6" w:rsidP="00331A7B">
      <w:pPr>
        <w:tabs>
          <w:tab w:val="left" w:pos="720"/>
          <w:tab w:val="right" w:pos="9360"/>
        </w:tabs>
        <w:ind w:left="360"/>
        <w:rPr>
          <w:rFonts w:ascii="Arial" w:hAnsi="Arial" w:cs="Arial"/>
          <w:szCs w:val="26"/>
        </w:rPr>
      </w:pPr>
      <w:r>
        <w:rPr>
          <w:rFonts w:ascii="Arial" w:hAnsi="Arial" w:cs="Arial"/>
          <w:szCs w:val="26"/>
        </w:rPr>
        <w:t xml:space="preserve">Disposition of </w:t>
      </w:r>
      <w:r w:rsidR="00905A2E">
        <w:rPr>
          <w:rFonts w:ascii="Arial" w:hAnsi="Arial" w:cs="Arial"/>
          <w:szCs w:val="26"/>
        </w:rPr>
        <w:t xml:space="preserve">Prior </w:t>
      </w:r>
      <w:r w:rsidR="00CB2507">
        <w:rPr>
          <w:rFonts w:ascii="Arial" w:hAnsi="Arial" w:cs="Arial"/>
          <w:szCs w:val="26"/>
        </w:rPr>
        <w:t xml:space="preserve">Period’s </w:t>
      </w:r>
      <w:r w:rsidR="00905A2E">
        <w:rPr>
          <w:rFonts w:ascii="Arial" w:hAnsi="Arial" w:cs="Arial"/>
          <w:szCs w:val="26"/>
        </w:rPr>
        <w:t>Audit Finding</w:t>
      </w:r>
      <w:r w:rsidR="00905A2E">
        <w:rPr>
          <w:rFonts w:ascii="Arial" w:hAnsi="Arial" w:cs="Arial"/>
          <w:szCs w:val="26"/>
        </w:rPr>
        <w:tab/>
        <w:t>7</w:t>
      </w:r>
    </w:p>
    <w:p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rsidR="001F4EEA" w:rsidRPr="00596E7E" w:rsidRDefault="00596E7E" w:rsidP="00331A7B">
      <w:pPr>
        <w:tabs>
          <w:tab w:val="left" w:pos="720"/>
          <w:tab w:val="right" w:pos="9360"/>
        </w:tabs>
        <w:rPr>
          <w:rFonts w:ascii="Arial" w:hAnsi="Arial" w:cs="Arial"/>
          <w:b/>
        </w:rPr>
      </w:pPr>
      <w:r>
        <w:rPr>
          <w:rFonts w:ascii="Arial" w:hAnsi="Arial" w:cs="Arial"/>
          <w:b/>
        </w:rPr>
        <w:t>ACKNOWLEDGEMENTS</w:t>
      </w:r>
      <w:r w:rsidRPr="00596E7E">
        <w:rPr>
          <w:rFonts w:ascii="Arial" w:hAnsi="Arial" w:cs="Arial"/>
        </w:rPr>
        <w:tab/>
      </w:r>
      <w:r w:rsidR="00905A2E">
        <w:rPr>
          <w:rFonts w:ascii="Arial" w:hAnsi="Arial" w:cs="Arial"/>
        </w:rPr>
        <w:t>8</w:t>
      </w:r>
    </w:p>
    <w:p w:rsidR="00596E7E" w:rsidRPr="001F4EEA" w:rsidRDefault="00596E7E" w:rsidP="001F4EEA"/>
    <w:p w:rsidR="001F4EEA" w:rsidRPr="001F4EEA" w:rsidRDefault="001F4EEA" w:rsidP="001F4EEA">
      <w:pPr>
        <w:sectPr w:rsidR="001F4EEA" w:rsidRPr="001F4EEA" w:rsidSect="00745CE2">
          <w:headerReference w:type="even" r:id="rId14"/>
          <w:headerReference w:type="default" r:id="rId15"/>
          <w:footerReference w:type="default" r:id="rId16"/>
          <w:headerReference w:type="first" r:id="rId17"/>
          <w:type w:val="continuous"/>
          <w:pgSz w:w="12240" w:h="15840" w:code="1"/>
          <w:pgMar w:top="1440" w:right="1440" w:bottom="1008" w:left="1440" w:header="720" w:footer="720" w:gutter="0"/>
          <w:pgNumType w:fmt="numberInDash" w:start="1"/>
          <w:cols w:space="720"/>
          <w:noEndnote/>
        </w:sectPr>
      </w:pPr>
    </w:p>
    <w:p w:rsidR="00A102E2" w:rsidRPr="00BA0701" w:rsidRDefault="00A102E2" w:rsidP="002C6FE9">
      <w:pPr>
        <w:tabs>
          <w:tab w:val="left" w:pos="8640"/>
        </w:tabs>
        <w:jc w:val="center"/>
        <w:rPr>
          <w:rFonts w:ascii="Arial" w:hAnsi="Arial" w:cs="Arial"/>
          <w:b/>
          <w:sz w:val="40"/>
          <w:szCs w:val="40"/>
          <w:u w:val="single"/>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603A6A" w:rsidRDefault="00603A6A" w:rsidP="002C6FE9">
      <w:pPr>
        <w:tabs>
          <w:tab w:val="left" w:pos="8640"/>
        </w:tabs>
        <w:jc w:val="center"/>
        <w:rPr>
          <w:rFonts w:ascii="Arial" w:hAnsi="Arial" w:cs="Arial"/>
          <w:b/>
          <w:sz w:val="36"/>
          <w:szCs w:val="36"/>
        </w:rPr>
      </w:pPr>
      <w:r w:rsidRPr="00533F20">
        <w:rPr>
          <w:rFonts w:ascii="Arial" w:hAnsi="Arial" w:cs="Arial"/>
          <w:b/>
          <w:sz w:val="36"/>
          <w:szCs w:val="36"/>
        </w:rPr>
        <w:t>FINANCIAL REVIEW</w:t>
      </w:r>
    </w:p>
    <w:p w:rsidR="00337589" w:rsidRDefault="00337589">
      <w:pPr>
        <w:rPr>
          <w:rFonts w:ascii="Arial" w:hAnsi="Arial" w:cs="Arial"/>
          <w:b/>
          <w:sz w:val="36"/>
          <w:szCs w:val="36"/>
        </w:rPr>
      </w:pPr>
      <w:r>
        <w:rPr>
          <w:rFonts w:ascii="Arial" w:hAnsi="Arial" w:cs="Arial"/>
          <w:b/>
          <w:sz w:val="36"/>
          <w:szCs w:val="36"/>
        </w:rPr>
        <w:br w:type="page"/>
      </w:r>
    </w:p>
    <w:p w:rsidR="00745CE2" w:rsidRDefault="00745CE2" w:rsidP="002C6FE9">
      <w:pPr>
        <w:tabs>
          <w:tab w:val="left" w:pos="8640"/>
        </w:tabs>
        <w:jc w:val="center"/>
        <w:rPr>
          <w:rFonts w:ascii="Arial" w:hAnsi="Arial" w:cs="Arial"/>
          <w:b/>
          <w:sz w:val="36"/>
          <w:szCs w:val="36"/>
        </w:rPr>
        <w:sectPr w:rsidR="00745CE2" w:rsidSect="00337589">
          <w:headerReference w:type="even" r:id="rId18"/>
          <w:headerReference w:type="default" r:id="rId19"/>
          <w:footerReference w:type="default" r:id="rId20"/>
          <w:headerReference w:type="first" r:id="rId21"/>
          <w:pgSz w:w="12240" w:h="15840" w:code="1"/>
          <w:pgMar w:top="630" w:right="1440" w:bottom="1440" w:left="1440" w:header="144" w:footer="720" w:gutter="0"/>
          <w:pgNumType w:fmt="numberInDash" w:start="1"/>
          <w:cols w:space="720"/>
          <w:noEndnote/>
          <w:docGrid w:linePitch="326"/>
        </w:sectPr>
      </w:pPr>
    </w:p>
    <w:tbl>
      <w:tblPr>
        <w:tblpPr w:leftFromText="180" w:rightFromText="180" w:horzAnchor="margin" w:tblpXSpec="center" w:tblpY="-400"/>
        <w:tblW w:w="10890" w:type="dxa"/>
        <w:tblLayout w:type="fixed"/>
        <w:tblLook w:val="0000" w:firstRow="0" w:lastRow="0" w:firstColumn="0" w:lastColumn="0" w:noHBand="0" w:noVBand="0"/>
      </w:tblPr>
      <w:tblGrid>
        <w:gridCol w:w="1363"/>
        <w:gridCol w:w="8075"/>
        <w:gridCol w:w="1452"/>
      </w:tblGrid>
      <w:tr w:rsidR="002B2069" w:rsidRPr="00BA0701" w:rsidTr="00CF64E6">
        <w:trPr>
          <w:trHeight w:val="990"/>
        </w:trPr>
        <w:tc>
          <w:tcPr>
            <w:tcW w:w="1363" w:type="dxa"/>
          </w:tcPr>
          <w:p w:rsidR="002B2069" w:rsidRPr="00BA0701" w:rsidRDefault="00670A26" w:rsidP="00CF64E6">
            <w:pPr>
              <w:rPr>
                <w:rFonts w:ascii="Arial" w:hAnsi="Arial" w:cs="Arial"/>
              </w:rPr>
            </w:pPr>
            <w:r>
              <w:rPr>
                <w:rFonts w:ascii="Arial" w:hAnsi="Arial" w:cs="Arial"/>
                <w:noProof/>
                <w:spacing w:val="-2"/>
              </w:rPr>
              <w:lastRenderedPageBreak/>
              <w:drawing>
                <wp:inline distT="0" distB="0" distL="0" distR="0" wp14:anchorId="22BFE101" wp14:editId="3627BB7B">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2B2069" w:rsidRPr="00BA0701" w:rsidRDefault="002B2069" w:rsidP="00CF64E6">
            <w:pPr>
              <w:suppressAutoHyphens/>
              <w:spacing w:line="204" w:lineRule="auto"/>
              <w:jc w:val="center"/>
              <w:rPr>
                <w:rFonts w:ascii="Arial" w:hAnsi="Arial" w:cs="Arial"/>
                <w:color w:val="000080"/>
                <w:spacing w:val="-3"/>
                <w:sz w:val="26"/>
              </w:rPr>
            </w:pPr>
          </w:p>
          <w:p w:rsidR="002B2069" w:rsidRPr="00BA0701" w:rsidRDefault="002B2069" w:rsidP="00CF64E6">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COMMONWEALTH OF PENNSYLVANIA</w:t>
            </w:r>
          </w:p>
          <w:p w:rsidR="002B2069" w:rsidRPr="00BA0701" w:rsidRDefault="002B2069" w:rsidP="00CF64E6">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PENNSYLVANIA PUBLIC UTILITY COMMISSION</w:t>
            </w:r>
          </w:p>
          <w:p w:rsidR="008D1623" w:rsidRPr="008D1623" w:rsidRDefault="008D1623" w:rsidP="00CF64E6">
            <w:pPr>
              <w:jc w:val="center"/>
              <w:rPr>
                <w:rFonts w:ascii="Arial" w:hAnsi="Arial" w:cs="Arial"/>
                <w:color w:val="000080"/>
                <w:spacing w:val="-3"/>
                <w:sz w:val="26"/>
              </w:rPr>
            </w:pPr>
            <w:r w:rsidRPr="008D1623">
              <w:rPr>
                <w:rFonts w:ascii="Arial" w:hAnsi="Arial" w:cs="Arial"/>
                <w:color w:val="000080"/>
                <w:spacing w:val="-3"/>
                <w:sz w:val="26"/>
              </w:rPr>
              <w:t>COMMONWEALTH KEYSTONE BUILDING</w:t>
            </w:r>
          </w:p>
          <w:p w:rsidR="002B2069" w:rsidRPr="00BA0701" w:rsidRDefault="008D1623" w:rsidP="00CF64E6">
            <w:pPr>
              <w:jc w:val="center"/>
              <w:rPr>
                <w:rFonts w:ascii="Arial" w:hAnsi="Arial" w:cs="Arial"/>
                <w:sz w:val="12"/>
              </w:rPr>
            </w:pPr>
            <w:r w:rsidRPr="008D1623">
              <w:rPr>
                <w:rFonts w:ascii="Arial" w:hAnsi="Arial" w:cs="Arial"/>
                <w:color w:val="000080"/>
                <w:spacing w:val="-3"/>
                <w:sz w:val="26"/>
              </w:rPr>
              <w:t>400 NORTH STREET, HARRISBURG, PA  17120</w:t>
            </w:r>
          </w:p>
        </w:tc>
        <w:tc>
          <w:tcPr>
            <w:tcW w:w="1452" w:type="dxa"/>
          </w:tcPr>
          <w:p w:rsidR="002B2069" w:rsidRPr="00BA0701" w:rsidRDefault="002B2069" w:rsidP="00CF64E6">
            <w:pPr>
              <w:rPr>
                <w:rFonts w:ascii="Arial" w:hAnsi="Arial" w:cs="Arial"/>
                <w:sz w:val="12"/>
              </w:rPr>
            </w:pPr>
          </w:p>
          <w:p w:rsidR="002B2069" w:rsidRPr="00BA0701" w:rsidRDefault="002B2069" w:rsidP="00CF64E6">
            <w:pPr>
              <w:rPr>
                <w:rFonts w:ascii="Arial" w:hAnsi="Arial" w:cs="Arial"/>
                <w:sz w:val="12"/>
              </w:rPr>
            </w:pPr>
          </w:p>
          <w:p w:rsidR="00CC1765" w:rsidRPr="00BA0701" w:rsidRDefault="00CC1765" w:rsidP="00CF64E6">
            <w:pPr>
              <w:jc w:val="center"/>
              <w:rPr>
                <w:rFonts w:ascii="Arial" w:hAnsi="Arial" w:cs="Arial"/>
                <w:sz w:val="12"/>
              </w:rPr>
            </w:pPr>
          </w:p>
          <w:p w:rsidR="002B2069" w:rsidRPr="00BA0701" w:rsidRDefault="002B2069" w:rsidP="00CF64E6">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rsidR="002E658D" w:rsidRPr="00905112" w:rsidRDefault="002E658D" w:rsidP="002E658D">
      <w:pPr>
        <w:jc w:val="center"/>
        <w:rPr>
          <w:rFonts w:ascii="Arial" w:hAnsi="Arial" w:cs="Arial"/>
          <w:szCs w:val="24"/>
        </w:rPr>
      </w:pPr>
    </w:p>
    <w:p w:rsidR="002E658D" w:rsidRPr="00905112" w:rsidRDefault="002E658D" w:rsidP="002E658D">
      <w:pPr>
        <w:jc w:val="center"/>
        <w:rPr>
          <w:rFonts w:ascii="Arial" w:hAnsi="Arial" w:cs="Arial"/>
          <w:szCs w:val="24"/>
        </w:rPr>
      </w:pPr>
    </w:p>
    <w:p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rsidR="002E658D" w:rsidRPr="00A377AC" w:rsidRDefault="002E658D" w:rsidP="002E658D">
      <w:pPr>
        <w:rPr>
          <w:rFonts w:ascii="Arial" w:hAnsi="Arial" w:cs="Arial"/>
          <w:b/>
          <w:bCs/>
          <w:szCs w:val="24"/>
        </w:rPr>
      </w:pPr>
    </w:p>
    <w:p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7F46A8">
        <w:rPr>
          <w:rFonts w:ascii="Arial" w:hAnsi="Arial" w:cs="Arial"/>
          <w:szCs w:val="24"/>
        </w:rPr>
        <w:t>Generation Supply</w:t>
      </w:r>
      <w:r w:rsidR="007E65CD">
        <w:rPr>
          <w:rFonts w:ascii="Arial" w:hAnsi="Arial" w:cs="Arial"/>
          <w:szCs w:val="24"/>
        </w:rPr>
        <w:t xml:space="preserve"> Charge</w:t>
      </w:r>
      <w:r w:rsidR="007F46A8">
        <w:rPr>
          <w:rFonts w:ascii="Arial" w:hAnsi="Arial" w:cs="Arial"/>
          <w:szCs w:val="24"/>
        </w:rPr>
        <w:t>-1</w:t>
      </w:r>
      <w:r>
        <w:rPr>
          <w:rFonts w:ascii="Arial" w:hAnsi="Arial" w:cs="Arial"/>
          <w:szCs w:val="24"/>
        </w:rPr>
        <w:t xml:space="preserve"> </w:t>
      </w:r>
      <w:r w:rsidR="00B74BDA">
        <w:rPr>
          <w:rFonts w:ascii="Arial" w:hAnsi="Arial" w:cs="Arial"/>
          <w:szCs w:val="24"/>
        </w:rPr>
        <w:t>Over/</w:t>
      </w:r>
      <w:r w:rsidR="00801C19">
        <w:rPr>
          <w:rFonts w:ascii="Arial" w:hAnsi="Arial" w:cs="Arial"/>
          <w:szCs w:val="24"/>
        </w:rPr>
        <w:t>(</w:t>
      </w:r>
      <w:r w:rsidR="00B74BDA">
        <w:rPr>
          <w:rFonts w:ascii="Arial" w:hAnsi="Arial" w:cs="Arial"/>
          <w:szCs w:val="24"/>
        </w:rPr>
        <w:t>Under</w:t>
      </w:r>
      <w:r w:rsidR="00801C19">
        <w:rPr>
          <w:rFonts w:ascii="Arial" w:hAnsi="Arial" w:cs="Arial"/>
          <w:szCs w:val="24"/>
        </w:rPr>
        <w:t>)</w:t>
      </w:r>
      <w:r w:rsidRPr="00A377AC">
        <w:rPr>
          <w:rFonts w:ascii="Arial" w:hAnsi="Arial" w:cs="Arial"/>
          <w:szCs w:val="24"/>
        </w:rPr>
        <w:t xml:space="preserve"> Collections (Sectio</w:t>
      </w:r>
      <w:r w:rsidR="00312248">
        <w:rPr>
          <w:rFonts w:ascii="Arial" w:hAnsi="Arial" w:cs="Arial"/>
          <w:szCs w:val="24"/>
        </w:rPr>
        <w:t xml:space="preserve">n 1307(e)) for the </w:t>
      </w:r>
      <w:r w:rsidR="007F46A8">
        <w:rPr>
          <w:rFonts w:ascii="Arial" w:hAnsi="Arial" w:cs="Arial"/>
          <w:szCs w:val="24"/>
        </w:rPr>
        <w:t>eleven month</w:t>
      </w:r>
      <w:r w:rsidR="008F4AFE">
        <w:rPr>
          <w:rFonts w:ascii="Arial" w:hAnsi="Arial" w:cs="Arial"/>
          <w:szCs w:val="24"/>
        </w:rPr>
        <w:t>s</w:t>
      </w:r>
      <w:r w:rsidR="007F46A8">
        <w:rPr>
          <w:rFonts w:ascii="Arial" w:hAnsi="Arial" w:cs="Arial"/>
          <w:szCs w:val="24"/>
        </w:rPr>
        <w:t xml:space="preserve"> ended </w:t>
      </w:r>
      <w:r w:rsidR="007D55CA">
        <w:rPr>
          <w:rFonts w:ascii="Arial" w:hAnsi="Arial" w:cs="Arial"/>
          <w:szCs w:val="24"/>
        </w:rPr>
        <w:t>March 31</w:t>
      </w:r>
      <w:r w:rsidR="007F46A8">
        <w:rPr>
          <w:rFonts w:ascii="Arial" w:hAnsi="Arial" w:cs="Arial"/>
          <w:szCs w:val="24"/>
        </w:rPr>
        <w:t>, 2015 and the twelve month</w:t>
      </w:r>
      <w:r w:rsidR="008F4AFE">
        <w:rPr>
          <w:rFonts w:ascii="Arial" w:hAnsi="Arial" w:cs="Arial"/>
          <w:szCs w:val="24"/>
        </w:rPr>
        <w:t>s</w:t>
      </w:r>
      <w:r w:rsidRPr="00A377AC">
        <w:rPr>
          <w:rFonts w:ascii="Arial" w:hAnsi="Arial" w:cs="Arial"/>
          <w:szCs w:val="24"/>
        </w:rPr>
        <w:t xml:space="preserve"> ended </w:t>
      </w:r>
      <w:r w:rsidR="007D55CA">
        <w:rPr>
          <w:rFonts w:ascii="Arial" w:hAnsi="Arial" w:cs="Arial"/>
          <w:szCs w:val="24"/>
        </w:rPr>
        <w:t>April 30</w:t>
      </w:r>
      <w:r w:rsidR="007F46A8">
        <w:rPr>
          <w:rFonts w:ascii="Arial" w:hAnsi="Arial" w:cs="Arial"/>
          <w:szCs w:val="24"/>
        </w:rPr>
        <w:t>, 2014</w:t>
      </w:r>
      <w:r>
        <w:rPr>
          <w:rFonts w:ascii="Arial" w:hAnsi="Arial" w:cs="Arial"/>
          <w:szCs w:val="24"/>
        </w:rPr>
        <w:t>.</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rsidR="002E658D" w:rsidRPr="00A377AC" w:rsidRDefault="002E658D" w:rsidP="002E658D">
      <w:pPr>
        <w:rPr>
          <w:rFonts w:ascii="Arial" w:hAnsi="Arial" w:cs="Arial"/>
          <w:i/>
          <w:szCs w:val="24"/>
        </w:rPr>
      </w:pPr>
    </w:p>
    <w:p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rsidR="002E658D" w:rsidRPr="00A377AC" w:rsidRDefault="002E658D" w:rsidP="002E658D">
      <w:pPr>
        <w:rPr>
          <w:rFonts w:ascii="Arial" w:hAnsi="Arial" w:cs="Arial"/>
          <w:szCs w:val="24"/>
        </w:rPr>
      </w:pPr>
    </w:p>
    <w:p w:rsidR="00337589" w:rsidRDefault="002E658D" w:rsidP="007D21F8">
      <w:pPr>
        <w:ind w:firstLine="720"/>
        <w:rPr>
          <w:rFonts w:ascii="Arial" w:hAnsi="Arial" w:cs="Arial"/>
          <w:szCs w:val="24"/>
        </w:rPr>
      </w:pPr>
      <w:r w:rsidRPr="00A377AC">
        <w:rPr>
          <w:rFonts w:ascii="Arial" w:hAnsi="Arial" w:cs="Arial"/>
          <w:szCs w:val="24"/>
        </w:rPr>
        <w:t>Our responsibility</w:t>
      </w:r>
      <w:r w:rsidR="00AE1B23">
        <w:rPr>
          <w:rFonts w:ascii="Arial" w:hAnsi="Arial" w:cs="Arial"/>
          <w:szCs w:val="24"/>
        </w:rPr>
        <w:t xml:space="preserve"> is to express an opinion on the</w:t>
      </w:r>
      <w:r w:rsidR="00B74BDA">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sidR="00947B64">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sidR="00AE1B23">
        <w:rPr>
          <w:rFonts w:ascii="Arial" w:hAnsi="Arial" w:cs="Arial"/>
          <w:szCs w:val="24"/>
        </w:rPr>
        <w:t>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w:t>
      </w:r>
      <w:r w:rsidR="00AE1B23">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sidR="00AE1B23">
        <w:rPr>
          <w:rFonts w:ascii="Arial" w:hAnsi="Arial" w:cs="Arial"/>
          <w:szCs w:val="24"/>
        </w:rPr>
        <w:t>amounts and disclosures in the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xml:space="preserve"> in order to design audit procedures that are appropriate in the circumstances, but not for the purpose of expressing an opinion </w:t>
      </w:r>
      <w:r w:rsidR="00A02596" w:rsidRPr="00982C30">
        <w:rPr>
          <w:rFonts w:ascii="Arial" w:hAnsi="Arial" w:cs="Arial"/>
          <w:szCs w:val="24"/>
        </w:rPr>
        <w:t xml:space="preserve">on the effectiveness of the entity’s internal control, and accordingly, no such opinion is expressed.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rsidR="00337589" w:rsidRDefault="00337589">
      <w:pPr>
        <w:rPr>
          <w:rFonts w:ascii="Arial" w:hAnsi="Arial" w:cs="Arial"/>
          <w:szCs w:val="24"/>
        </w:rPr>
      </w:pPr>
    </w:p>
    <w:p w:rsidR="001822F1" w:rsidRDefault="001822F1">
      <w:pPr>
        <w:rPr>
          <w:rFonts w:ascii="Arial" w:hAnsi="Arial" w:cs="Arial"/>
          <w:b/>
          <w:bCs/>
          <w:iCs/>
          <w:szCs w:val="24"/>
        </w:rPr>
        <w:sectPr w:rsidR="001822F1" w:rsidSect="00CF64E6">
          <w:headerReference w:type="even" r:id="rId23"/>
          <w:headerReference w:type="default" r:id="rId24"/>
          <w:footerReference w:type="default" r:id="rId25"/>
          <w:headerReference w:type="first" r:id="rId26"/>
          <w:pgSz w:w="12240" w:h="15840" w:code="1"/>
          <w:pgMar w:top="1440" w:right="1440" w:bottom="1440" w:left="1440" w:header="720" w:footer="720" w:gutter="0"/>
          <w:pgNumType w:fmt="numberInDash" w:start="1"/>
          <w:cols w:space="720"/>
          <w:noEndnote/>
          <w:docGrid w:linePitch="326"/>
        </w:sectPr>
      </w:pPr>
    </w:p>
    <w:p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rsidR="002E658D" w:rsidRPr="00A377AC" w:rsidRDefault="002E658D" w:rsidP="002E658D">
      <w:pPr>
        <w:rPr>
          <w:rFonts w:ascii="Arial" w:hAnsi="Arial" w:cs="Arial"/>
          <w:szCs w:val="24"/>
        </w:rPr>
      </w:pPr>
    </w:p>
    <w:p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B80E11">
        <w:rPr>
          <w:rFonts w:ascii="Arial" w:hAnsi="Arial" w:cs="Arial"/>
          <w:szCs w:val="24"/>
        </w:rPr>
        <w:t>Generation Supply</w:t>
      </w:r>
      <w:r w:rsidR="007E65CD">
        <w:rPr>
          <w:rFonts w:ascii="Arial" w:hAnsi="Arial" w:cs="Arial"/>
          <w:szCs w:val="24"/>
        </w:rPr>
        <w:t xml:space="preserve"> Charge</w:t>
      </w:r>
      <w:r w:rsidR="00B80E11">
        <w:rPr>
          <w:rFonts w:ascii="Arial" w:hAnsi="Arial" w:cs="Arial"/>
          <w:szCs w:val="24"/>
        </w:rPr>
        <w:t>-1</w:t>
      </w:r>
      <w:r w:rsidR="00947B64">
        <w:rPr>
          <w:rFonts w:ascii="Arial" w:hAnsi="Arial" w:cs="Arial"/>
          <w:szCs w:val="24"/>
        </w:rPr>
        <w:t xml:space="preserve"> </w:t>
      </w:r>
      <w:r>
        <w:rPr>
          <w:rFonts w:ascii="Arial" w:hAnsi="Arial" w:cs="Arial"/>
          <w:szCs w:val="24"/>
        </w:rPr>
        <w:t>Over/</w:t>
      </w:r>
      <w:r w:rsidR="00801C19">
        <w:rPr>
          <w:rFonts w:ascii="Arial" w:hAnsi="Arial" w:cs="Arial"/>
          <w:szCs w:val="24"/>
        </w:rPr>
        <w:t>(</w:t>
      </w:r>
      <w:r>
        <w:rPr>
          <w:rFonts w:ascii="Arial" w:hAnsi="Arial" w:cs="Arial"/>
          <w:szCs w:val="24"/>
        </w:rPr>
        <w:t>Under</w:t>
      </w:r>
      <w:r w:rsidR="00801C19">
        <w:rPr>
          <w:rFonts w:ascii="Arial" w:hAnsi="Arial" w:cs="Arial"/>
          <w:szCs w:val="24"/>
        </w:rPr>
        <w:t>)</w:t>
      </w:r>
      <w:r>
        <w:rPr>
          <w:rFonts w:ascii="Arial" w:hAnsi="Arial" w:cs="Arial"/>
          <w:szCs w:val="24"/>
        </w:rPr>
        <w:t xml:space="preserve"> Collections </w:t>
      </w:r>
      <w:r w:rsidR="00F7569D">
        <w:rPr>
          <w:rFonts w:ascii="Arial" w:hAnsi="Arial" w:cs="Arial"/>
        </w:rPr>
        <w:t xml:space="preserve">(Section 1307(e)) </w:t>
      </w:r>
      <w:r w:rsidR="00312248">
        <w:rPr>
          <w:rFonts w:ascii="Arial" w:hAnsi="Arial" w:cs="Arial"/>
          <w:szCs w:val="24"/>
        </w:rPr>
        <w:t>for the</w:t>
      </w:r>
      <w:r w:rsidR="00B80E11">
        <w:rPr>
          <w:rFonts w:ascii="Arial" w:hAnsi="Arial" w:cs="Arial"/>
          <w:szCs w:val="24"/>
        </w:rPr>
        <w:t xml:space="preserve"> eleven month</w:t>
      </w:r>
      <w:r w:rsidR="008F4AFE">
        <w:rPr>
          <w:rFonts w:ascii="Arial" w:hAnsi="Arial" w:cs="Arial"/>
          <w:szCs w:val="24"/>
        </w:rPr>
        <w:t>s</w:t>
      </w:r>
      <w:r w:rsidR="00B80E11">
        <w:rPr>
          <w:rFonts w:ascii="Arial" w:hAnsi="Arial" w:cs="Arial"/>
          <w:szCs w:val="24"/>
        </w:rPr>
        <w:t xml:space="preserve"> ended March 31, 2015 and the twelve month</w:t>
      </w:r>
      <w:r w:rsidR="008F4AFE">
        <w:rPr>
          <w:rFonts w:ascii="Arial" w:hAnsi="Arial" w:cs="Arial"/>
          <w:szCs w:val="24"/>
        </w:rPr>
        <w:t>s</w:t>
      </w:r>
      <w:r w:rsidR="00B80E11">
        <w:rPr>
          <w:rFonts w:ascii="Arial" w:hAnsi="Arial" w:cs="Arial"/>
          <w:szCs w:val="24"/>
        </w:rPr>
        <w:t xml:space="preserve"> </w:t>
      </w:r>
      <w:r w:rsidRPr="00A377AC">
        <w:rPr>
          <w:rFonts w:ascii="Arial" w:hAnsi="Arial" w:cs="Arial"/>
          <w:szCs w:val="24"/>
        </w:rPr>
        <w:t xml:space="preserve">ended </w:t>
      </w:r>
      <w:r w:rsidR="00B80E11">
        <w:rPr>
          <w:rFonts w:ascii="Arial" w:hAnsi="Arial" w:cs="Arial"/>
          <w:szCs w:val="24"/>
        </w:rPr>
        <w:t>April 30, 201</w:t>
      </w:r>
      <w:r w:rsidR="002657DB">
        <w:rPr>
          <w:rFonts w:ascii="Arial" w:hAnsi="Arial" w:cs="Arial"/>
          <w:szCs w:val="24"/>
        </w:rPr>
        <w:t>4</w:t>
      </w:r>
      <w:r w:rsidR="00B80E11">
        <w:rPr>
          <w:rFonts w:ascii="Arial" w:hAnsi="Arial" w:cs="Arial"/>
          <w:szCs w:val="24"/>
        </w:rPr>
        <w:t xml:space="preserve">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sidR="004643B5">
        <w:rPr>
          <w:rFonts w:ascii="Arial" w:hAnsi="Arial" w:cs="Arial"/>
          <w:szCs w:val="24"/>
        </w:rPr>
        <w:t xml:space="preserve"> from which they were</w:t>
      </w:r>
      <w:r>
        <w:rPr>
          <w:rFonts w:ascii="Arial" w:hAnsi="Arial" w:cs="Arial"/>
          <w:szCs w:val="24"/>
        </w:rPr>
        <w:t xml:space="preserve"> derived</w:t>
      </w:r>
      <w:r w:rsidRPr="00A377AC">
        <w:rPr>
          <w:rFonts w:ascii="Arial" w:hAnsi="Arial" w:cs="Arial"/>
          <w:szCs w:val="24"/>
        </w:rPr>
        <w:t>.</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rsidR="002E658D" w:rsidRPr="00A377AC" w:rsidRDefault="002E658D" w:rsidP="002E658D">
      <w:pPr>
        <w:rPr>
          <w:rFonts w:ascii="Arial" w:hAnsi="Arial" w:cs="Arial"/>
          <w:szCs w:val="24"/>
        </w:rPr>
      </w:pPr>
    </w:p>
    <w:p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for the purpose of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C96D6F" w:rsidRDefault="002E658D" w:rsidP="002E658D">
      <w:pPr>
        <w:tabs>
          <w:tab w:val="left" w:pos="5400"/>
        </w:tabs>
        <w:rPr>
          <w:szCs w:val="24"/>
        </w:rPr>
      </w:pPr>
      <w:r w:rsidRPr="00A377AC">
        <w:rPr>
          <w:szCs w:val="24"/>
        </w:rPr>
        <w:tab/>
      </w:r>
    </w:p>
    <w:p w:rsidR="00C96D6F" w:rsidRDefault="00C96D6F" w:rsidP="002E658D">
      <w:pPr>
        <w:tabs>
          <w:tab w:val="left" w:pos="5400"/>
        </w:tabs>
        <w:rPr>
          <w:szCs w:val="24"/>
        </w:rPr>
      </w:pPr>
    </w:p>
    <w:p w:rsidR="002E658D" w:rsidRPr="00A377AC" w:rsidRDefault="00C96D6F" w:rsidP="00B5185F">
      <w:pPr>
        <w:tabs>
          <w:tab w:val="left" w:pos="5040"/>
        </w:tabs>
        <w:rPr>
          <w:rFonts w:ascii="Arial" w:hAnsi="Arial" w:cs="Arial"/>
          <w:szCs w:val="24"/>
        </w:rPr>
      </w:pPr>
      <w:r>
        <w:rPr>
          <w:szCs w:val="24"/>
        </w:rPr>
        <w:tab/>
      </w:r>
      <w:r w:rsidR="00B5185F">
        <w:rPr>
          <w:rFonts w:ascii="Arial" w:hAnsi="Arial" w:cs="Arial"/>
          <w:szCs w:val="24"/>
        </w:rPr>
        <w:t>Kelly A. Monaghan</w:t>
      </w:r>
      <w:r w:rsidR="002E658D" w:rsidRPr="00A377AC">
        <w:rPr>
          <w:rFonts w:ascii="Arial" w:hAnsi="Arial" w:cs="Arial"/>
          <w:szCs w:val="24"/>
        </w:rPr>
        <w:t>, CPA</w:t>
      </w:r>
      <w:r w:rsidR="00B5185F">
        <w:rPr>
          <w:rFonts w:ascii="Arial" w:hAnsi="Arial" w:cs="Arial"/>
          <w:szCs w:val="24"/>
        </w:rPr>
        <w:t>, CGFM, CFE</w:t>
      </w:r>
    </w:p>
    <w:p w:rsidR="002E658D" w:rsidRPr="00A377AC" w:rsidRDefault="002E658D" w:rsidP="00B5185F">
      <w:pPr>
        <w:tabs>
          <w:tab w:val="left" w:pos="5040"/>
          <w:tab w:val="left" w:pos="5400"/>
        </w:tabs>
        <w:rPr>
          <w:rFonts w:ascii="Arial" w:hAnsi="Arial" w:cs="Arial"/>
          <w:szCs w:val="24"/>
        </w:rPr>
      </w:pPr>
      <w:r w:rsidRPr="00A377AC">
        <w:rPr>
          <w:rFonts w:ascii="Arial" w:hAnsi="Arial" w:cs="Arial"/>
          <w:szCs w:val="24"/>
        </w:rPr>
        <w:tab/>
      </w:r>
      <w:r w:rsidRPr="00B5185F">
        <w:rPr>
          <w:rFonts w:ascii="Arial" w:hAnsi="Arial" w:cs="Arial"/>
          <w:szCs w:val="24"/>
        </w:rPr>
        <w:t>Director</w:t>
      </w:r>
    </w:p>
    <w:p w:rsidR="002E658D" w:rsidRPr="00A377AC" w:rsidRDefault="002E658D" w:rsidP="00B5185F">
      <w:pPr>
        <w:tabs>
          <w:tab w:val="left" w:pos="5040"/>
          <w:tab w:val="left" w:pos="5400"/>
        </w:tabs>
        <w:rPr>
          <w:rFonts w:ascii="Arial" w:hAnsi="Arial" w:cs="Arial"/>
          <w:szCs w:val="24"/>
        </w:rPr>
      </w:pPr>
      <w:r w:rsidRPr="00A377AC">
        <w:rPr>
          <w:rFonts w:ascii="Arial" w:hAnsi="Arial" w:cs="Arial"/>
          <w:szCs w:val="24"/>
        </w:rPr>
        <w:tab/>
        <w:t>Bureau of Audits</w:t>
      </w:r>
    </w:p>
    <w:p w:rsidR="002E658D" w:rsidRPr="00A377AC" w:rsidRDefault="002E658D" w:rsidP="00B5185F">
      <w:pPr>
        <w:tabs>
          <w:tab w:val="left" w:pos="5040"/>
          <w:tab w:val="left" w:pos="5400"/>
        </w:tabs>
        <w:rPr>
          <w:rFonts w:ascii="Arial" w:hAnsi="Arial" w:cs="Arial"/>
          <w:szCs w:val="24"/>
        </w:rPr>
      </w:pPr>
      <w:r w:rsidRPr="00A377AC">
        <w:rPr>
          <w:rFonts w:ascii="Arial" w:hAnsi="Arial" w:cs="Arial"/>
          <w:szCs w:val="24"/>
        </w:rPr>
        <w:tab/>
        <w:t>Harrisburg, PA</w:t>
      </w:r>
    </w:p>
    <w:p w:rsidR="00037805" w:rsidRPr="008F4AFE" w:rsidRDefault="002E658D" w:rsidP="00B5185F">
      <w:pPr>
        <w:tabs>
          <w:tab w:val="left" w:pos="5040"/>
          <w:tab w:val="left" w:pos="5400"/>
        </w:tabs>
        <w:rPr>
          <w:rFonts w:ascii="Arial" w:hAnsi="Arial" w:cs="Arial"/>
          <w:color w:val="FF0000"/>
          <w:szCs w:val="24"/>
        </w:rPr>
      </w:pPr>
      <w:r w:rsidRPr="00A377AC">
        <w:rPr>
          <w:rFonts w:ascii="Arial" w:hAnsi="Arial" w:cs="Arial"/>
          <w:szCs w:val="24"/>
        </w:rPr>
        <w:tab/>
      </w:r>
      <w:r w:rsidR="000C634C">
        <w:rPr>
          <w:rFonts w:ascii="Arial" w:hAnsi="Arial" w:cs="Arial"/>
          <w:szCs w:val="24"/>
        </w:rPr>
        <w:t>April 5, 2017</w:t>
      </w:r>
      <w:bookmarkStart w:id="0" w:name="_GoBack"/>
      <w:bookmarkEnd w:id="0"/>
    </w:p>
    <w:p w:rsidR="00CF64E6" w:rsidRDefault="00CF64E6" w:rsidP="00F834DB">
      <w:pPr>
        <w:jc w:val="center"/>
        <w:rPr>
          <w:rFonts w:ascii="Arial" w:hAnsi="Arial" w:cs="Arial"/>
          <w:b/>
          <w:sz w:val="26"/>
          <w:szCs w:val="26"/>
        </w:rPr>
        <w:sectPr w:rsidR="00CF64E6" w:rsidSect="001822F1">
          <w:headerReference w:type="even" r:id="rId27"/>
          <w:headerReference w:type="default" r:id="rId28"/>
          <w:footerReference w:type="default" r:id="rId29"/>
          <w:headerReference w:type="first" r:id="rId30"/>
          <w:pgSz w:w="12240" w:h="15840" w:code="1"/>
          <w:pgMar w:top="1440" w:right="1440" w:bottom="1440" w:left="1440" w:header="720" w:footer="720" w:gutter="0"/>
          <w:pgNumType w:fmt="numberInDash" w:start="2"/>
          <w:cols w:space="720"/>
          <w:noEndnote/>
          <w:docGrid w:linePitch="326"/>
        </w:sectPr>
      </w:pPr>
    </w:p>
    <w:p w:rsidR="00403EC3" w:rsidRPr="00A872CB" w:rsidRDefault="009C7A49" w:rsidP="00F834DB">
      <w:pPr>
        <w:jc w:val="center"/>
        <w:rPr>
          <w:rFonts w:ascii="Arial" w:hAnsi="Arial" w:cs="Arial"/>
          <w:sz w:val="26"/>
          <w:szCs w:val="26"/>
        </w:rPr>
      </w:pPr>
      <w:r>
        <w:rPr>
          <w:rFonts w:ascii="Arial" w:hAnsi="Arial" w:cs="Arial"/>
          <w:b/>
          <w:sz w:val="26"/>
          <w:szCs w:val="26"/>
        </w:rPr>
        <w:lastRenderedPageBreak/>
        <w:t>PPL ELECTRIC UTILITIES CORPORATION</w:t>
      </w:r>
    </w:p>
    <w:p w:rsidR="00892401" w:rsidRDefault="00892401" w:rsidP="00403EC3">
      <w:pPr>
        <w:jc w:val="center"/>
        <w:rPr>
          <w:rFonts w:ascii="Arial" w:hAnsi="Arial" w:cs="Arial"/>
          <w:b/>
          <w:sz w:val="26"/>
          <w:szCs w:val="26"/>
        </w:rPr>
      </w:pPr>
    </w:p>
    <w:p w:rsidR="00403EC3" w:rsidRPr="00A872CB" w:rsidRDefault="00403EC3" w:rsidP="00403EC3">
      <w:pPr>
        <w:jc w:val="center"/>
        <w:rPr>
          <w:rFonts w:ascii="Arial" w:hAnsi="Arial" w:cs="Arial"/>
          <w:b/>
          <w:sz w:val="26"/>
          <w:szCs w:val="26"/>
        </w:rPr>
      </w:pPr>
      <w:r>
        <w:rPr>
          <w:rFonts w:ascii="Arial" w:hAnsi="Arial" w:cs="Arial"/>
          <w:b/>
          <w:sz w:val="26"/>
          <w:szCs w:val="26"/>
        </w:rPr>
        <w:t>Condensed (Note 1)</w:t>
      </w:r>
    </w:p>
    <w:p w:rsidR="00DA4244" w:rsidRDefault="00403EC3" w:rsidP="00403EC3">
      <w:pPr>
        <w:jc w:val="center"/>
        <w:rPr>
          <w:rFonts w:ascii="Arial" w:hAnsi="Arial" w:cs="Arial"/>
          <w:b/>
          <w:sz w:val="26"/>
          <w:szCs w:val="26"/>
        </w:rPr>
      </w:pPr>
      <w:r w:rsidRPr="00892401">
        <w:rPr>
          <w:rFonts w:ascii="Arial" w:hAnsi="Arial" w:cs="Arial"/>
          <w:b/>
          <w:sz w:val="26"/>
          <w:szCs w:val="26"/>
        </w:rPr>
        <w:t xml:space="preserve">Statement Of </w:t>
      </w:r>
      <w:r w:rsidR="00650F45">
        <w:rPr>
          <w:rFonts w:ascii="Arial" w:hAnsi="Arial" w:cs="Arial"/>
          <w:b/>
          <w:sz w:val="26"/>
          <w:szCs w:val="26"/>
        </w:rPr>
        <w:t>Generation Supply Charge-1 (GSC-1)</w:t>
      </w:r>
      <w:r w:rsidRPr="00892401">
        <w:rPr>
          <w:rFonts w:ascii="Arial" w:hAnsi="Arial" w:cs="Arial"/>
          <w:b/>
          <w:sz w:val="26"/>
          <w:szCs w:val="26"/>
        </w:rPr>
        <w:t xml:space="preserve"> </w:t>
      </w:r>
    </w:p>
    <w:p w:rsidR="00DA4244" w:rsidRDefault="004D4BDA" w:rsidP="00403EC3">
      <w:pPr>
        <w:jc w:val="center"/>
        <w:rPr>
          <w:rFonts w:ascii="Arial" w:hAnsi="Arial" w:cs="Arial"/>
          <w:b/>
          <w:sz w:val="26"/>
          <w:szCs w:val="26"/>
        </w:rPr>
      </w:pPr>
      <w:r>
        <w:rPr>
          <w:rFonts w:ascii="Arial" w:hAnsi="Arial" w:cs="Arial"/>
          <w:b/>
          <w:sz w:val="26"/>
          <w:szCs w:val="26"/>
        </w:rPr>
        <w:t>Over/(Under)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rsidR="00403EC3" w:rsidRPr="00892401" w:rsidRDefault="00FA2EE5" w:rsidP="00403EC3">
      <w:pPr>
        <w:jc w:val="center"/>
        <w:rPr>
          <w:rFonts w:ascii="Arial" w:hAnsi="Arial" w:cs="Arial"/>
          <w:b/>
          <w:sz w:val="26"/>
          <w:szCs w:val="26"/>
        </w:rPr>
      </w:pPr>
      <w:r>
        <w:rPr>
          <w:rFonts w:ascii="Arial" w:hAnsi="Arial" w:cs="Arial"/>
          <w:b/>
          <w:sz w:val="26"/>
          <w:szCs w:val="26"/>
        </w:rPr>
        <w:t>For The Elev</w:t>
      </w:r>
      <w:r w:rsidR="00403EC3" w:rsidRPr="00892401">
        <w:rPr>
          <w:rFonts w:ascii="Arial" w:hAnsi="Arial" w:cs="Arial"/>
          <w:b/>
          <w:sz w:val="26"/>
          <w:szCs w:val="26"/>
        </w:rPr>
        <w:t>e</w:t>
      </w:r>
      <w:r>
        <w:rPr>
          <w:rFonts w:ascii="Arial" w:hAnsi="Arial" w:cs="Arial"/>
          <w:b/>
          <w:sz w:val="26"/>
          <w:szCs w:val="26"/>
        </w:rPr>
        <w:t>n</w:t>
      </w:r>
      <w:r w:rsidR="00403EC3" w:rsidRPr="00892401">
        <w:rPr>
          <w:rFonts w:ascii="Arial" w:hAnsi="Arial" w:cs="Arial"/>
          <w:b/>
          <w:sz w:val="26"/>
          <w:szCs w:val="26"/>
        </w:rPr>
        <w:t xml:space="preserve"> Months Ended </w:t>
      </w:r>
      <w:r>
        <w:rPr>
          <w:rFonts w:ascii="Arial" w:hAnsi="Arial" w:cs="Arial"/>
          <w:b/>
          <w:sz w:val="26"/>
          <w:szCs w:val="26"/>
        </w:rPr>
        <w:t>March</w:t>
      </w:r>
      <w:r w:rsidR="00FE1CAB">
        <w:rPr>
          <w:rFonts w:ascii="Arial" w:hAnsi="Arial" w:cs="Arial"/>
          <w:b/>
          <w:sz w:val="26"/>
          <w:szCs w:val="26"/>
        </w:rPr>
        <w:t xml:space="preserve"> 31, 2015</w:t>
      </w:r>
      <w:r w:rsidR="00403EC3" w:rsidRPr="00892401">
        <w:rPr>
          <w:rFonts w:ascii="Arial" w:hAnsi="Arial" w:cs="Arial"/>
          <w:b/>
          <w:sz w:val="26"/>
          <w:szCs w:val="26"/>
        </w:rPr>
        <w:t>*</w:t>
      </w:r>
    </w:p>
    <w:p w:rsidR="00013E33" w:rsidRDefault="00013E33" w:rsidP="00403EC3">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4C5D7C" w:rsidRPr="004C5D7C" w:rsidTr="00087140">
        <w:trPr>
          <w:trHeight w:val="1134"/>
        </w:trPr>
        <w:tc>
          <w:tcPr>
            <w:tcW w:w="3078" w:type="dxa"/>
            <w:noWrap/>
            <w:vAlign w:val="bottom"/>
          </w:tcPr>
          <w:p w:rsidR="004C5D7C" w:rsidRPr="004C5D7C" w:rsidRDefault="004C5D7C" w:rsidP="004C5D7C">
            <w:pPr>
              <w:ind w:right="368"/>
              <w:jc w:val="center"/>
              <w:rPr>
                <w:rFonts w:ascii="Arial" w:hAnsi="Arial" w:cs="Arial"/>
                <w:b/>
                <w:szCs w:val="24"/>
                <w:u w:val="single"/>
              </w:rPr>
            </w:pPr>
          </w:p>
          <w:p w:rsidR="004C5D7C" w:rsidRPr="004C5D7C" w:rsidRDefault="004C5D7C"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b/>
                <w:szCs w:val="24"/>
                <w:u w:val="single"/>
              </w:rPr>
            </w:pPr>
            <w:r w:rsidRPr="004C5D7C">
              <w:rPr>
                <w:rFonts w:ascii="Arial" w:hAnsi="Arial" w:cs="Arial"/>
                <w:b/>
                <w:szCs w:val="24"/>
              </w:rPr>
              <w:t xml:space="preserve">GSC-1 </w:t>
            </w:r>
            <w:r w:rsidRPr="004C5D7C">
              <w:rPr>
                <w:rFonts w:ascii="Arial" w:hAnsi="Arial" w:cs="Arial"/>
                <w:b/>
                <w:szCs w:val="24"/>
                <w:u w:val="single"/>
              </w:rPr>
              <w:t>Revenues</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1822F1">
            <w:pPr>
              <w:jc w:val="center"/>
              <w:rPr>
                <w:rFonts w:ascii="Arial" w:hAnsi="Arial" w:cs="Arial"/>
                <w:b/>
                <w:szCs w:val="24"/>
                <w:u w:val="single"/>
              </w:rPr>
            </w:pPr>
            <w:r w:rsidRPr="004C5D7C">
              <w:rPr>
                <w:rFonts w:ascii="Arial" w:hAnsi="Arial" w:cs="Arial"/>
                <w:b/>
                <w:szCs w:val="24"/>
              </w:rPr>
              <w:t>GSC-1</w:t>
            </w:r>
            <w:r w:rsidR="001822F1">
              <w:rPr>
                <w:rFonts w:ascii="Arial" w:hAnsi="Arial" w:cs="Arial"/>
                <w:b/>
                <w:szCs w:val="24"/>
              </w:rPr>
              <w:t xml:space="preserve"> </w:t>
            </w:r>
            <w:r w:rsidRPr="004C5D7C">
              <w:rPr>
                <w:rFonts w:ascii="Arial" w:hAnsi="Arial" w:cs="Arial"/>
                <w:b/>
                <w:szCs w:val="24"/>
                <w:u w:val="single"/>
              </w:rPr>
              <w:t>Expenses</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1822F1">
            <w:pPr>
              <w:jc w:val="center"/>
              <w:rPr>
                <w:rFonts w:ascii="Arial" w:hAnsi="Arial" w:cs="Arial"/>
                <w:b/>
                <w:szCs w:val="24"/>
                <w:u w:val="single"/>
              </w:rPr>
            </w:pPr>
            <w:r w:rsidRPr="004C5D7C">
              <w:rPr>
                <w:rFonts w:ascii="Arial" w:hAnsi="Arial" w:cs="Arial"/>
                <w:b/>
                <w:szCs w:val="24"/>
              </w:rPr>
              <w:t>Over/(Under)</w:t>
            </w:r>
            <w:r w:rsidR="001822F1">
              <w:rPr>
                <w:rFonts w:ascii="Arial" w:hAnsi="Arial" w:cs="Arial"/>
                <w:b/>
                <w:szCs w:val="24"/>
              </w:rPr>
              <w:t xml:space="preserve"> </w:t>
            </w:r>
            <w:r w:rsidRPr="004C5D7C">
              <w:rPr>
                <w:rFonts w:ascii="Arial" w:hAnsi="Arial" w:cs="Arial"/>
                <w:b/>
                <w:szCs w:val="24"/>
                <w:u w:val="single"/>
              </w:rPr>
              <w:t>Collections</w:t>
            </w:r>
          </w:p>
        </w:tc>
      </w:tr>
      <w:tr w:rsidR="004C5D7C" w:rsidRPr="004C5D7C" w:rsidTr="00087140">
        <w:trPr>
          <w:trHeight w:val="300"/>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087140">
        <w:trPr>
          <w:trHeight w:val="274"/>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4C5D7C" w:rsidRPr="004C5D7C" w:rsidTr="00087140">
        <w:trPr>
          <w:trHeight w:val="427"/>
        </w:trPr>
        <w:tc>
          <w:tcPr>
            <w:tcW w:w="3078" w:type="dxa"/>
            <w:noWrap/>
          </w:tcPr>
          <w:p w:rsidR="004C5D7C" w:rsidRPr="004C5D7C" w:rsidRDefault="004C5D7C" w:rsidP="004C5D7C">
            <w:pPr>
              <w:rPr>
                <w:rFonts w:ascii="Arial" w:hAnsi="Arial" w:cs="Arial"/>
                <w:szCs w:val="24"/>
              </w:rPr>
            </w:pPr>
          </w:p>
          <w:p w:rsidR="004C5D7C" w:rsidRPr="004C5D7C" w:rsidRDefault="004C5D7C" w:rsidP="004C5D7C">
            <w:pPr>
              <w:rPr>
                <w:rFonts w:ascii="Arial" w:hAnsi="Arial" w:cs="Arial"/>
                <w:szCs w:val="24"/>
              </w:rPr>
            </w:pPr>
            <w:r w:rsidRPr="004C5D7C">
              <w:rPr>
                <w:rFonts w:ascii="Arial" w:hAnsi="Arial" w:cs="Arial"/>
                <w:szCs w:val="24"/>
              </w:rPr>
              <w:t>Residential</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p w:rsidR="004C5D7C" w:rsidRPr="004C5D7C" w:rsidRDefault="004C5D7C" w:rsidP="00317567">
            <w:pPr>
              <w:tabs>
                <w:tab w:val="decimal" w:pos="1524"/>
              </w:tabs>
              <w:jc w:val="right"/>
              <w:rPr>
                <w:rFonts w:ascii="Arial" w:hAnsi="Arial" w:cs="Arial"/>
                <w:szCs w:val="24"/>
              </w:rPr>
            </w:pPr>
            <w:r w:rsidRPr="004C5D7C">
              <w:rPr>
                <w:rFonts w:ascii="Arial" w:hAnsi="Arial" w:cs="Arial"/>
                <w:szCs w:val="24"/>
              </w:rPr>
              <w:t xml:space="preserve">  $  </w:t>
            </w:r>
            <w:r w:rsidR="00317567">
              <w:rPr>
                <w:rFonts w:ascii="Arial" w:hAnsi="Arial" w:cs="Arial"/>
                <w:szCs w:val="24"/>
              </w:rPr>
              <w:t>486,584,685</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r w:rsidRPr="004C5D7C">
              <w:rPr>
                <w:rFonts w:ascii="Arial" w:hAnsi="Arial" w:cs="Arial"/>
                <w:szCs w:val="24"/>
              </w:rPr>
              <w:t xml:space="preserve">$  </w:t>
            </w:r>
            <w:r w:rsidR="00317567">
              <w:rPr>
                <w:rFonts w:ascii="Arial" w:hAnsi="Arial" w:cs="Arial"/>
                <w:szCs w:val="24"/>
              </w:rPr>
              <w:t>500,904,341</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317567" w:rsidP="001822F1">
            <w:pPr>
              <w:jc w:val="both"/>
              <w:rPr>
                <w:rFonts w:ascii="Arial" w:eastAsia="Calibri" w:hAnsi="Arial" w:cs="Arial"/>
                <w:szCs w:val="24"/>
              </w:rPr>
            </w:pPr>
            <w:r>
              <w:rPr>
                <w:rFonts w:ascii="Arial" w:eastAsia="Calibri" w:hAnsi="Arial" w:cs="Arial"/>
                <w:szCs w:val="24"/>
              </w:rPr>
              <w:t>$  (14,319,656</w:t>
            </w:r>
            <w:r w:rsidR="004C5D7C" w:rsidRPr="004C5D7C">
              <w:rPr>
                <w:rFonts w:ascii="Arial" w:eastAsia="Calibri" w:hAnsi="Arial" w:cs="Arial"/>
                <w:szCs w:val="24"/>
              </w:rPr>
              <w:t>)</w:t>
            </w:r>
          </w:p>
        </w:tc>
      </w:tr>
      <w:tr w:rsidR="004C5D7C" w:rsidRPr="004C5D7C" w:rsidTr="00087140">
        <w:trPr>
          <w:trHeight w:val="81"/>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9C1D8C">
            <w:pPr>
              <w:rPr>
                <w:rFonts w:ascii="Arial" w:hAnsi="Arial" w:cs="Arial"/>
                <w:szCs w:val="24"/>
              </w:rPr>
            </w:pPr>
            <w:r w:rsidRPr="004C5D7C">
              <w:rPr>
                <w:rFonts w:ascii="Arial" w:hAnsi="Arial" w:cs="Arial"/>
                <w:szCs w:val="24"/>
              </w:rPr>
              <w:t>RS Off</w:t>
            </w:r>
            <w:r w:rsidR="009C1D8C">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317567">
            <w:pPr>
              <w:jc w:val="right"/>
              <w:rPr>
                <w:rFonts w:ascii="Arial" w:hAnsi="Arial" w:cs="Arial"/>
                <w:szCs w:val="24"/>
              </w:rPr>
            </w:pPr>
            <w:r w:rsidRPr="004C5D7C">
              <w:rPr>
                <w:rFonts w:ascii="Arial" w:hAnsi="Arial" w:cs="Arial"/>
                <w:szCs w:val="24"/>
              </w:rPr>
              <w:t xml:space="preserve">             </w:t>
            </w:r>
            <w:r w:rsidR="00317567">
              <w:rPr>
                <w:rFonts w:ascii="Arial" w:hAnsi="Arial" w:cs="Arial"/>
                <w:szCs w:val="24"/>
              </w:rPr>
              <w:t>854,483</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317567" w:rsidP="00317567">
            <w:pPr>
              <w:tabs>
                <w:tab w:val="decimal" w:pos="1605"/>
              </w:tabs>
              <w:jc w:val="right"/>
              <w:rPr>
                <w:rFonts w:ascii="Arial" w:hAnsi="Arial" w:cs="Arial"/>
                <w:szCs w:val="24"/>
              </w:rPr>
            </w:pPr>
            <w:r>
              <w:rPr>
                <w:rFonts w:ascii="Arial" w:hAnsi="Arial" w:cs="Arial"/>
                <w:szCs w:val="24"/>
              </w:rPr>
              <w:t>684,470</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317567">
              <w:rPr>
                <w:rFonts w:ascii="Arial" w:eastAsia="Calibri" w:hAnsi="Arial" w:cs="Arial"/>
                <w:szCs w:val="24"/>
              </w:rPr>
              <w:t>170,013</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9C1D8C">
            <w:pPr>
              <w:rPr>
                <w:rFonts w:ascii="Arial" w:hAnsi="Arial" w:cs="Arial"/>
                <w:szCs w:val="24"/>
              </w:rPr>
            </w:pPr>
            <w:r w:rsidRPr="004C5D7C">
              <w:rPr>
                <w:rFonts w:ascii="Arial" w:hAnsi="Arial" w:cs="Arial"/>
                <w:szCs w:val="24"/>
              </w:rPr>
              <w:t>RS On</w:t>
            </w:r>
            <w:r w:rsidR="009C1D8C">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317567">
            <w:pPr>
              <w:jc w:val="right"/>
              <w:rPr>
                <w:rFonts w:ascii="Arial" w:hAnsi="Arial" w:cs="Arial"/>
                <w:szCs w:val="24"/>
              </w:rPr>
            </w:pPr>
            <w:r w:rsidRPr="004C5D7C">
              <w:rPr>
                <w:rFonts w:ascii="Arial" w:hAnsi="Arial" w:cs="Arial"/>
                <w:szCs w:val="24"/>
              </w:rPr>
              <w:t xml:space="preserve">             </w:t>
            </w:r>
            <w:r w:rsidR="00317567">
              <w:rPr>
                <w:rFonts w:ascii="Arial" w:hAnsi="Arial" w:cs="Arial"/>
                <w:szCs w:val="24"/>
              </w:rPr>
              <w:t>123,849</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317567" w:rsidP="00317567">
            <w:pPr>
              <w:tabs>
                <w:tab w:val="decimal" w:pos="1605"/>
              </w:tabs>
              <w:jc w:val="right"/>
              <w:rPr>
                <w:rFonts w:ascii="Arial" w:hAnsi="Arial" w:cs="Arial"/>
                <w:szCs w:val="24"/>
              </w:rPr>
            </w:pPr>
            <w:r>
              <w:rPr>
                <w:rFonts w:ascii="Arial" w:hAnsi="Arial" w:cs="Arial"/>
                <w:szCs w:val="24"/>
              </w:rPr>
              <w:t>52,157</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317567">
              <w:rPr>
                <w:rFonts w:ascii="Arial" w:eastAsia="Calibri" w:hAnsi="Arial" w:cs="Arial"/>
                <w:szCs w:val="24"/>
              </w:rPr>
              <w:t>71,692</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9C1D8C">
            <w:pPr>
              <w:rPr>
                <w:rFonts w:ascii="Arial" w:hAnsi="Arial" w:cs="Arial"/>
                <w:szCs w:val="24"/>
              </w:rPr>
            </w:pPr>
            <w:r w:rsidRPr="004C5D7C">
              <w:rPr>
                <w:rFonts w:ascii="Arial" w:hAnsi="Arial" w:cs="Arial"/>
                <w:szCs w:val="24"/>
              </w:rPr>
              <w:t>RTS Off</w:t>
            </w:r>
            <w:r w:rsidR="009C1D8C">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jc w:val="right"/>
              <w:rPr>
                <w:rFonts w:ascii="Arial" w:hAnsi="Arial" w:cs="Arial"/>
                <w:szCs w:val="24"/>
              </w:rPr>
            </w:pPr>
            <w:r w:rsidRPr="004C5D7C">
              <w:rPr>
                <w:rFonts w:ascii="Arial" w:hAnsi="Arial" w:cs="Arial"/>
                <w:szCs w:val="24"/>
              </w:rPr>
              <w:t xml:space="preserve">             </w:t>
            </w:r>
            <w:r w:rsidR="00317567">
              <w:rPr>
                <w:rFonts w:ascii="Arial" w:hAnsi="Arial" w:cs="Arial"/>
                <w:szCs w:val="24"/>
              </w:rPr>
              <w:t>53,304</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317567" w:rsidP="00317567">
            <w:pPr>
              <w:tabs>
                <w:tab w:val="decimal" w:pos="1605"/>
              </w:tabs>
              <w:jc w:val="right"/>
              <w:rPr>
                <w:rFonts w:ascii="Arial" w:hAnsi="Arial" w:cs="Arial"/>
                <w:szCs w:val="24"/>
              </w:rPr>
            </w:pPr>
            <w:r>
              <w:rPr>
                <w:rFonts w:ascii="Arial" w:hAnsi="Arial" w:cs="Arial"/>
                <w:szCs w:val="24"/>
              </w:rPr>
              <w:t>49,876</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317567">
              <w:rPr>
                <w:rFonts w:ascii="Arial" w:eastAsia="Calibri" w:hAnsi="Arial" w:cs="Arial"/>
                <w:szCs w:val="24"/>
              </w:rPr>
              <w:t>3,428</w:t>
            </w:r>
          </w:p>
        </w:tc>
      </w:tr>
      <w:tr w:rsidR="004C5D7C" w:rsidRPr="004C5D7C" w:rsidTr="00087140">
        <w:trPr>
          <w:trHeight w:val="83"/>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9C1D8C">
            <w:pPr>
              <w:rPr>
                <w:rFonts w:ascii="Arial" w:hAnsi="Arial" w:cs="Arial"/>
                <w:szCs w:val="24"/>
              </w:rPr>
            </w:pPr>
            <w:r w:rsidRPr="004C5D7C">
              <w:rPr>
                <w:rFonts w:ascii="Arial" w:hAnsi="Arial" w:cs="Arial"/>
                <w:szCs w:val="24"/>
              </w:rPr>
              <w:t>RTS On</w:t>
            </w:r>
            <w:r w:rsidR="009C1D8C">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317567">
            <w:pPr>
              <w:jc w:val="right"/>
              <w:rPr>
                <w:rFonts w:ascii="Arial" w:hAnsi="Arial" w:cs="Arial"/>
                <w:szCs w:val="24"/>
              </w:rPr>
            </w:pPr>
            <w:r w:rsidRPr="004C5D7C">
              <w:rPr>
                <w:rFonts w:ascii="Arial" w:hAnsi="Arial" w:cs="Arial"/>
                <w:szCs w:val="24"/>
              </w:rPr>
              <w:t xml:space="preserve">              </w:t>
            </w:r>
            <w:r w:rsidR="00317567">
              <w:rPr>
                <w:rFonts w:ascii="Arial" w:hAnsi="Arial" w:cs="Arial"/>
                <w:szCs w:val="24"/>
              </w:rPr>
              <w:t>8,754</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317567" w:rsidP="00317567">
            <w:pPr>
              <w:tabs>
                <w:tab w:val="decimal" w:pos="1605"/>
              </w:tabs>
              <w:jc w:val="right"/>
              <w:rPr>
                <w:rFonts w:ascii="Arial" w:hAnsi="Arial" w:cs="Arial"/>
                <w:szCs w:val="24"/>
              </w:rPr>
            </w:pPr>
            <w:r>
              <w:rPr>
                <w:rFonts w:ascii="Arial" w:hAnsi="Arial" w:cs="Arial"/>
                <w:szCs w:val="24"/>
              </w:rPr>
              <w:t>4,289</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317567">
              <w:rPr>
                <w:rFonts w:ascii="Arial" w:eastAsia="Calibri" w:hAnsi="Arial" w:cs="Arial"/>
                <w:szCs w:val="24"/>
              </w:rPr>
              <w:t>4,465</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1762E8">
            <w:pPr>
              <w:rPr>
                <w:rFonts w:ascii="Arial" w:hAnsi="Arial" w:cs="Arial"/>
                <w:szCs w:val="24"/>
              </w:rPr>
            </w:pPr>
            <w:r w:rsidRPr="004C5D7C">
              <w:rPr>
                <w:rFonts w:ascii="Arial" w:hAnsi="Arial" w:cs="Arial"/>
                <w:szCs w:val="24"/>
              </w:rPr>
              <w:t xml:space="preserve">Small C&amp;I </w:t>
            </w:r>
            <w:r w:rsidR="001762E8">
              <w:rPr>
                <w:rFonts w:ascii="Arial" w:hAnsi="Arial" w:cs="Arial"/>
                <w:szCs w:val="24"/>
              </w:rPr>
              <w:t>-</w:t>
            </w:r>
            <w:r w:rsidRPr="004C5D7C">
              <w:rPr>
                <w:rFonts w:ascii="Arial" w:hAnsi="Arial" w:cs="Arial"/>
                <w:szCs w:val="24"/>
              </w:rPr>
              <w:t xml:space="preserve"> Fixed</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jc w:val="right"/>
              <w:rPr>
                <w:rFonts w:ascii="Arial" w:hAnsi="Arial" w:cs="Arial"/>
                <w:szCs w:val="24"/>
              </w:rPr>
            </w:pPr>
            <w:r w:rsidRPr="004C5D7C">
              <w:rPr>
                <w:rFonts w:ascii="Arial" w:hAnsi="Arial" w:cs="Arial"/>
                <w:szCs w:val="24"/>
              </w:rPr>
              <w:t xml:space="preserve">      </w:t>
            </w:r>
            <w:r w:rsidR="00317567">
              <w:rPr>
                <w:rFonts w:ascii="Arial" w:hAnsi="Arial" w:cs="Arial"/>
                <w:szCs w:val="24"/>
              </w:rPr>
              <w:t>120,126,123</w:t>
            </w:r>
          </w:p>
        </w:tc>
        <w:tc>
          <w:tcPr>
            <w:tcW w:w="270" w:type="dxa"/>
          </w:tcPr>
          <w:p w:rsidR="004C5D7C" w:rsidRPr="004C5D7C" w:rsidRDefault="004C5D7C" w:rsidP="004C5D7C">
            <w:pPr>
              <w:jc w:val="right"/>
              <w:rPr>
                <w:rFonts w:ascii="Arial" w:eastAsia="Calibri" w:hAnsi="Arial" w:cs="Arial"/>
                <w:szCs w:val="24"/>
              </w:rPr>
            </w:pPr>
          </w:p>
        </w:tc>
        <w:tc>
          <w:tcPr>
            <w:tcW w:w="2070" w:type="dxa"/>
            <w:noWrap/>
          </w:tcPr>
          <w:p w:rsidR="004C5D7C" w:rsidRPr="004C5D7C" w:rsidRDefault="00726818" w:rsidP="00317567">
            <w:pPr>
              <w:tabs>
                <w:tab w:val="decimal" w:pos="1605"/>
              </w:tabs>
              <w:jc w:val="right"/>
              <w:rPr>
                <w:rFonts w:ascii="Arial" w:hAnsi="Arial" w:cs="Arial"/>
                <w:szCs w:val="24"/>
              </w:rPr>
            </w:pPr>
            <w:r>
              <w:rPr>
                <w:rFonts w:ascii="Arial" w:hAnsi="Arial" w:cs="Arial"/>
                <w:szCs w:val="24"/>
              </w:rPr>
              <w:t>122,967,376</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4C5D7C" w:rsidRPr="004C5D7C">
              <w:rPr>
                <w:rFonts w:ascii="Arial" w:eastAsia="Calibri" w:hAnsi="Arial" w:cs="Arial"/>
                <w:szCs w:val="24"/>
              </w:rPr>
              <w:t>(</w:t>
            </w:r>
            <w:r w:rsidR="00726818">
              <w:rPr>
                <w:rFonts w:ascii="Arial" w:eastAsia="Calibri" w:hAnsi="Arial" w:cs="Arial"/>
                <w:szCs w:val="24"/>
              </w:rPr>
              <w:t>2,841,253</w:t>
            </w:r>
            <w:r w:rsidR="004C5D7C" w:rsidRPr="004C5D7C">
              <w:rPr>
                <w:rFonts w:ascii="Arial" w:eastAsia="Calibri" w:hAnsi="Arial" w:cs="Arial"/>
                <w:szCs w:val="24"/>
              </w:rPr>
              <w:t>)</w:t>
            </w:r>
          </w:p>
        </w:tc>
      </w:tr>
      <w:tr w:rsidR="004C5D7C" w:rsidRPr="004C5D7C" w:rsidTr="00087140">
        <w:trPr>
          <w:trHeight w:val="103"/>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672AB3">
            <w:pPr>
              <w:rPr>
                <w:rFonts w:ascii="Arial" w:hAnsi="Arial" w:cs="Arial"/>
                <w:szCs w:val="24"/>
              </w:rPr>
            </w:pPr>
            <w:r w:rsidRPr="004C5D7C">
              <w:rPr>
                <w:rFonts w:ascii="Arial" w:hAnsi="Arial" w:cs="Arial"/>
                <w:szCs w:val="24"/>
              </w:rPr>
              <w:t>Small C&amp;I</w:t>
            </w:r>
            <w:r w:rsidR="001762E8">
              <w:rPr>
                <w:rFonts w:ascii="Arial" w:hAnsi="Arial" w:cs="Arial"/>
                <w:szCs w:val="24"/>
              </w:rPr>
              <w:t xml:space="preserve"> -</w:t>
            </w:r>
            <w:r w:rsidRPr="004C5D7C">
              <w:rPr>
                <w:rFonts w:ascii="Arial" w:hAnsi="Arial" w:cs="Arial"/>
                <w:szCs w:val="24"/>
              </w:rPr>
              <w:t xml:space="preserve"> TOU Off</w:t>
            </w:r>
            <w:r w:rsidR="00672AB3">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726818">
            <w:pPr>
              <w:jc w:val="right"/>
              <w:rPr>
                <w:rFonts w:ascii="Arial" w:hAnsi="Arial" w:cs="Arial"/>
                <w:szCs w:val="24"/>
              </w:rPr>
            </w:pPr>
            <w:r w:rsidRPr="004C5D7C">
              <w:rPr>
                <w:rFonts w:ascii="Arial" w:hAnsi="Arial" w:cs="Arial"/>
                <w:szCs w:val="24"/>
              </w:rPr>
              <w:t xml:space="preserve">             </w:t>
            </w:r>
            <w:r w:rsidR="00726818">
              <w:rPr>
                <w:rFonts w:ascii="Arial" w:hAnsi="Arial" w:cs="Arial"/>
                <w:szCs w:val="24"/>
              </w:rPr>
              <w:t>11,198</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726818" w:rsidP="00317567">
            <w:pPr>
              <w:tabs>
                <w:tab w:val="decimal" w:pos="1605"/>
              </w:tabs>
              <w:jc w:val="right"/>
              <w:rPr>
                <w:rFonts w:ascii="Arial" w:hAnsi="Arial" w:cs="Arial"/>
                <w:szCs w:val="24"/>
              </w:rPr>
            </w:pPr>
            <w:r>
              <w:rPr>
                <w:rFonts w:ascii="Arial" w:hAnsi="Arial" w:cs="Arial"/>
                <w:szCs w:val="24"/>
              </w:rPr>
              <w:t>189,505</w:t>
            </w: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1822F1" w:rsidP="001822F1">
            <w:pPr>
              <w:jc w:val="both"/>
              <w:rPr>
                <w:rFonts w:ascii="Arial" w:eastAsia="Calibri" w:hAnsi="Arial" w:cs="Arial"/>
                <w:szCs w:val="24"/>
              </w:rPr>
            </w:pPr>
            <w:r>
              <w:rPr>
                <w:rFonts w:ascii="Arial" w:eastAsia="Calibri" w:hAnsi="Arial" w:cs="Arial"/>
                <w:szCs w:val="24"/>
              </w:rPr>
              <w:t xml:space="preserve">         </w:t>
            </w:r>
            <w:r w:rsidR="00726818">
              <w:rPr>
                <w:rFonts w:ascii="Arial" w:eastAsia="Calibri" w:hAnsi="Arial" w:cs="Arial"/>
                <w:szCs w:val="24"/>
              </w:rPr>
              <w:t>(178,307)</w:t>
            </w:r>
          </w:p>
        </w:tc>
      </w:tr>
      <w:tr w:rsidR="004C5D7C" w:rsidRPr="004C5D7C" w:rsidTr="00087140">
        <w:trPr>
          <w:trHeight w:val="255"/>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317567">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672AB3">
            <w:pPr>
              <w:rPr>
                <w:rFonts w:ascii="Arial" w:hAnsi="Arial" w:cs="Arial"/>
                <w:szCs w:val="24"/>
              </w:rPr>
            </w:pPr>
            <w:r w:rsidRPr="004C5D7C">
              <w:rPr>
                <w:rFonts w:ascii="Arial" w:hAnsi="Arial" w:cs="Arial"/>
                <w:szCs w:val="24"/>
              </w:rPr>
              <w:t xml:space="preserve">Small C&amp;I </w:t>
            </w:r>
            <w:r w:rsidR="001762E8">
              <w:rPr>
                <w:rFonts w:ascii="Arial" w:hAnsi="Arial" w:cs="Arial"/>
                <w:szCs w:val="24"/>
              </w:rPr>
              <w:t>-</w:t>
            </w:r>
            <w:r w:rsidRPr="004C5D7C">
              <w:rPr>
                <w:rFonts w:ascii="Arial" w:hAnsi="Arial" w:cs="Arial"/>
                <w:szCs w:val="24"/>
              </w:rPr>
              <w:t xml:space="preserve"> TOU On</w:t>
            </w:r>
            <w:r w:rsidR="00672AB3">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726818">
            <w:pPr>
              <w:jc w:val="right"/>
              <w:rPr>
                <w:rFonts w:ascii="Arial" w:hAnsi="Arial" w:cs="Arial"/>
                <w:szCs w:val="24"/>
                <w:u w:val="single"/>
              </w:rPr>
            </w:pPr>
            <w:r w:rsidRPr="00A20C60">
              <w:rPr>
                <w:rFonts w:ascii="Arial" w:hAnsi="Arial" w:cs="Arial"/>
                <w:szCs w:val="24"/>
                <w:u w:val="single"/>
              </w:rPr>
              <w:t xml:space="preserve">  </w:t>
            </w:r>
            <w:r w:rsidRPr="004C5D7C">
              <w:rPr>
                <w:rFonts w:ascii="Arial" w:hAnsi="Arial" w:cs="Arial"/>
                <w:szCs w:val="24"/>
                <w:u w:val="single"/>
              </w:rPr>
              <w:t xml:space="preserve">           </w:t>
            </w:r>
            <w:r w:rsidR="00726818">
              <w:rPr>
                <w:rFonts w:ascii="Arial" w:hAnsi="Arial" w:cs="Arial"/>
                <w:szCs w:val="24"/>
                <w:u w:val="single"/>
              </w:rPr>
              <w:t>17,255</w:t>
            </w:r>
          </w:p>
        </w:tc>
        <w:tc>
          <w:tcPr>
            <w:tcW w:w="270" w:type="dxa"/>
          </w:tcPr>
          <w:p w:rsidR="004C5D7C" w:rsidRPr="004C5D7C" w:rsidRDefault="004C5D7C" w:rsidP="004C5D7C">
            <w:pPr>
              <w:jc w:val="right"/>
              <w:rPr>
                <w:rFonts w:ascii="Arial" w:eastAsia="Calibri" w:hAnsi="Arial" w:cs="Arial"/>
                <w:szCs w:val="24"/>
                <w:u w:val="single"/>
              </w:rPr>
            </w:pPr>
          </w:p>
        </w:tc>
        <w:tc>
          <w:tcPr>
            <w:tcW w:w="2070" w:type="dxa"/>
            <w:noWrap/>
            <w:vAlign w:val="bottom"/>
          </w:tcPr>
          <w:p w:rsidR="004C5D7C" w:rsidRPr="004C5D7C" w:rsidRDefault="004C5D7C" w:rsidP="00726818">
            <w:pPr>
              <w:jc w:val="right"/>
              <w:rPr>
                <w:rFonts w:ascii="Arial" w:hAnsi="Arial" w:cs="Arial"/>
                <w:szCs w:val="24"/>
                <w:u w:val="single"/>
              </w:rPr>
            </w:pPr>
            <w:r w:rsidRPr="00A20C60">
              <w:rPr>
                <w:rFonts w:ascii="Arial" w:hAnsi="Arial" w:cs="Arial"/>
                <w:szCs w:val="24"/>
              </w:rPr>
              <w:t xml:space="preserve">  </w:t>
            </w:r>
            <w:r w:rsidRPr="004C5D7C">
              <w:rPr>
                <w:rFonts w:ascii="Arial" w:hAnsi="Arial" w:cs="Arial"/>
                <w:szCs w:val="24"/>
                <w:u w:val="single"/>
              </w:rPr>
              <w:t xml:space="preserve">           </w:t>
            </w:r>
            <w:r w:rsidR="00726818">
              <w:rPr>
                <w:rFonts w:ascii="Arial" w:hAnsi="Arial" w:cs="Arial"/>
                <w:szCs w:val="24"/>
                <w:u w:val="single"/>
              </w:rPr>
              <w:t>(76,514)</w:t>
            </w:r>
          </w:p>
        </w:tc>
        <w:tc>
          <w:tcPr>
            <w:tcW w:w="270" w:type="dxa"/>
          </w:tcPr>
          <w:p w:rsidR="004C5D7C" w:rsidRPr="004C5D7C" w:rsidRDefault="004C5D7C" w:rsidP="004C5D7C">
            <w:pPr>
              <w:jc w:val="right"/>
              <w:rPr>
                <w:rFonts w:ascii="Arial" w:eastAsia="Calibri" w:hAnsi="Arial" w:cs="Arial"/>
                <w:szCs w:val="24"/>
                <w:u w:val="single"/>
              </w:rPr>
            </w:pPr>
          </w:p>
        </w:tc>
        <w:tc>
          <w:tcPr>
            <w:tcW w:w="1890" w:type="dxa"/>
            <w:noWrap/>
            <w:vAlign w:val="bottom"/>
          </w:tcPr>
          <w:p w:rsidR="004C5D7C" w:rsidRPr="004C5D7C" w:rsidRDefault="001822F1" w:rsidP="001822F1">
            <w:pPr>
              <w:jc w:val="both"/>
              <w:rPr>
                <w:rFonts w:ascii="Arial" w:eastAsia="Calibri" w:hAnsi="Arial" w:cs="Arial"/>
                <w:szCs w:val="24"/>
                <w:u w:val="single"/>
              </w:rPr>
            </w:pPr>
            <w:r w:rsidRPr="00A20C60">
              <w:rPr>
                <w:rFonts w:ascii="Arial" w:eastAsia="Calibri" w:hAnsi="Arial" w:cs="Arial"/>
                <w:szCs w:val="24"/>
                <w:u w:val="single"/>
              </w:rPr>
              <w:t xml:space="preserve"> </w:t>
            </w:r>
            <w:r>
              <w:rPr>
                <w:rFonts w:ascii="Arial" w:eastAsia="Calibri" w:hAnsi="Arial" w:cs="Arial"/>
                <w:szCs w:val="24"/>
                <w:u w:val="single"/>
              </w:rPr>
              <w:t xml:space="preserve">  </w:t>
            </w:r>
            <w:r w:rsidR="004C5D7C" w:rsidRPr="004C5D7C">
              <w:rPr>
                <w:rFonts w:ascii="Arial" w:eastAsia="Calibri" w:hAnsi="Arial" w:cs="Arial"/>
                <w:szCs w:val="24"/>
                <w:u w:val="single"/>
              </w:rPr>
              <w:t xml:space="preserve">         </w:t>
            </w:r>
            <w:r w:rsidR="00726818">
              <w:rPr>
                <w:rFonts w:ascii="Arial" w:eastAsia="Calibri" w:hAnsi="Arial" w:cs="Arial"/>
                <w:szCs w:val="24"/>
                <w:u w:val="single"/>
              </w:rPr>
              <w:t>93,769</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317567">
            <w:pPr>
              <w:tabs>
                <w:tab w:val="decimal" w:pos="1524"/>
              </w:tabs>
              <w:jc w:val="right"/>
              <w:rPr>
                <w:rFonts w:ascii="Arial" w:hAnsi="Arial" w:cs="Arial"/>
                <w:szCs w:val="24"/>
                <w:u w:val="double"/>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u w:val="double"/>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726818">
            <w:pPr>
              <w:jc w:val="right"/>
              <w:rPr>
                <w:rFonts w:ascii="Arial" w:hAnsi="Arial" w:cs="Arial"/>
                <w:szCs w:val="24"/>
                <w:u w:val="double"/>
              </w:rPr>
            </w:pPr>
            <w:r w:rsidRPr="004C5D7C">
              <w:rPr>
                <w:rFonts w:ascii="Arial" w:hAnsi="Arial" w:cs="Arial"/>
                <w:szCs w:val="24"/>
              </w:rPr>
              <w:t xml:space="preserve">  </w:t>
            </w:r>
            <w:r w:rsidRPr="004C5D7C">
              <w:rPr>
                <w:rFonts w:ascii="Arial" w:hAnsi="Arial" w:cs="Arial"/>
                <w:szCs w:val="24"/>
                <w:u w:val="double"/>
              </w:rPr>
              <w:t xml:space="preserve">$  </w:t>
            </w:r>
            <w:r w:rsidR="00726818">
              <w:rPr>
                <w:rFonts w:ascii="Arial" w:hAnsi="Arial" w:cs="Arial"/>
                <w:szCs w:val="24"/>
                <w:u w:val="double"/>
              </w:rPr>
              <w:t>607,779,651</w:t>
            </w:r>
          </w:p>
        </w:tc>
        <w:tc>
          <w:tcPr>
            <w:tcW w:w="270" w:type="dxa"/>
          </w:tcPr>
          <w:p w:rsidR="004C5D7C" w:rsidRPr="004C5D7C" w:rsidRDefault="004C5D7C" w:rsidP="004C5D7C">
            <w:pPr>
              <w:jc w:val="right"/>
              <w:rPr>
                <w:rFonts w:ascii="Arial" w:eastAsia="Calibri" w:hAnsi="Arial" w:cs="Arial"/>
                <w:szCs w:val="24"/>
                <w:u w:val="double"/>
              </w:rPr>
            </w:pPr>
          </w:p>
        </w:tc>
        <w:tc>
          <w:tcPr>
            <w:tcW w:w="2070" w:type="dxa"/>
            <w:noWrap/>
            <w:vAlign w:val="bottom"/>
          </w:tcPr>
          <w:p w:rsidR="004C5D7C" w:rsidRPr="004C5D7C" w:rsidRDefault="004C5D7C" w:rsidP="00726818">
            <w:pPr>
              <w:tabs>
                <w:tab w:val="decimal" w:pos="1605"/>
              </w:tabs>
              <w:jc w:val="right"/>
              <w:rPr>
                <w:rFonts w:ascii="Arial" w:hAnsi="Arial" w:cs="Arial"/>
                <w:szCs w:val="24"/>
                <w:u w:val="double"/>
              </w:rPr>
            </w:pPr>
            <w:r w:rsidRPr="004C5D7C">
              <w:rPr>
                <w:rFonts w:ascii="Arial" w:hAnsi="Arial" w:cs="Arial"/>
                <w:szCs w:val="24"/>
                <w:u w:val="double"/>
              </w:rPr>
              <w:t xml:space="preserve">$  </w:t>
            </w:r>
            <w:r w:rsidR="00726818">
              <w:rPr>
                <w:rFonts w:ascii="Arial" w:hAnsi="Arial" w:cs="Arial"/>
                <w:szCs w:val="24"/>
                <w:u w:val="double"/>
              </w:rPr>
              <w:t>624,775,500</w:t>
            </w:r>
          </w:p>
        </w:tc>
        <w:tc>
          <w:tcPr>
            <w:tcW w:w="270" w:type="dxa"/>
          </w:tcPr>
          <w:p w:rsidR="004C5D7C" w:rsidRPr="004C5D7C" w:rsidRDefault="004C5D7C" w:rsidP="004C5D7C">
            <w:pPr>
              <w:jc w:val="right"/>
              <w:rPr>
                <w:rFonts w:ascii="Arial" w:eastAsia="Calibri" w:hAnsi="Arial" w:cs="Arial"/>
                <w:szCs w:val="24"/>
                <w:u w:val="double"/>
              </w:rPr>
            </w:pPr>
          </w:p>
        </w:tc>
        <w:tc>
          <w:tcPr>
            <w:tcW w:w="1890" w:type="dxa"/>
            <w:noWrap/>
            <w:vAlign w:val="bottom"/>
          </w:tcPr>
          <w:p w:rsidR="004C5D7C" w:rsidRPr="004C5D7C" w:rsidRDefault="004C5D7C" w:rsidP="001822F1">
            <w:pPr>
              <w:jc w:val="both"/>
              <w:rPr>
                <w:rFonts w:ascii="Arial" w:eastAsia="Calibri" w:hAnsi="Arial" w:cs="Arial"/>
                <w:szCs w:val="24"/>
                <w:u w:val="double"/>
              </w:rPr>
            </w:pPr>
            <w:r w:rsidRPr="004C5D7C">
              <w:rPr>
                <w:rFonts w:ascii="Arial" w:eastAsia="Calibri" w:hAnsi="Arial" w:cs="Arial"/>
                <w:szCs w:val="24"/>
                <w:u w:val="double"/>
              </w:rPr>
              <w:t>$  (</w:t>
            </w:r>
            <w:r w:rsidR="00726818">
              <w:rPr>
                <w:rFonts w:ascii="Arial" w:eastAsia="Calibri" w:hAnsi="Arial" w:cs="Arial"/>
                <w:szCs w:val="24"/>
                <w:u w:val="double"/>
              </w:rPr>
              <w:t>16,995,849</w:t>
            </w:r>
            <w:r w:rsidRPr="004C5D7C">
              <w:rPr>
                <w:rFonts w:ascii="Arial" w:eastAsia="Calibri" w:hAnsi="Arial" w:cs="Arial"/>
                <w:szCs w:val="24"/>
                <w:u w:val="double"/>
              </w:rPr>
              <w:t>)</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4C5D7C">
            <w:pPr>
              <w:tabs>
                <w:tab w:val="decimal" w:pos="1524"/>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2070" w:type="dxa"/>
            <w:noWrap/>
            <w:vAlign w:val="bottom"/>
          </w:tcPr>
          <w:p w:rsidR="004C5D7C" w:rsidRPr="004C5D7C" w:rsidRDefault="004C5D7C" w:rsidP="004C5D7C">
            <w:pPr>
              <w:tabs>
                <w:tab w:val="decimal" w:pos="1605"/>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1890" w:type="dxa"/>
            <w:noWrap/>
            <w:vAlign w:val="bottom"/>
          </w:tcPr>
          <w:p w:rsidR="004C5D7C" w:rsidRPr="004C5D7C" w:rsidRDefault="004C5D7C" w:rsidP="004C5D7C">
            <w:pPr>
              <w:tabs>
                <w:tab w:val="decimal" w:pos="1605"/>
              </w:tabs>
              <w:rPr>
                <w:rFonts w:ascii="Arial" w:hAnsi="Arial" w:cs="Arial"/>
                <w:szCs w:val="24"/>
                <w:u w:val="single"/>
              </w:rPr>
            </w:pPr>
          </w:p>
        </w:tc>
      </w:tr>
    </w:tbl>
    <w:p w:rsidR="006F404B" w:rsidRDefault="006F404B" w:rsidP="00A77917">
      <w:pPr>
        <w:jc w:val="both"/>
        <w:rPr>
          <w:rFonts w:ascii="Arial" w:hAnsi="Arial" w:cs="Arial"/>
          <w:szCs w:val="24"/>
        </w:rPr>
      </w:pPr>
    </w:p>
    <w:p w:rsidR="00A06DFC" w:rsidRDefault="00A06DFC" w:rsidP="00A77917">
      <w:pPr>
        <w:jc w:val="both"/>
        <w:rPr>
          <w:rFonts w:ascii="Arial" w:hAnsi="Arial" w:cs="Arial"/>
          <w:szCs w:val="24"/>
        </w:rPr>
      </w:pPr>
    </w:p>
    <w:p w:rsidR="004C5D7C" w:rsidRDefault="004C5D7C" w:rsidP="00A77917">
      <w:pPr>
        <w:jc w:val="both"/>
        <w:rPr>
          <w:rFonts w:ascii="Arial" w:hAnsi="Arial" w:cs="Arial"/>
          <w:szCs w:val="24"/>
        </w:rPr>
      </w:pPr>
    </w:p>
    <w:p w:rsidR="00A77917" w:rsidRDefault="00CE446E" w:rsidP="00A77917">
      <w:pPr>
        <w:jc w:val="both"/>
        <w:rPr>
          <w:rFonts w:ascii="Arial" w:hAnsi="Arial" w:cs="Arial"/>
          <w:szCs w:val="24"/>
        </w:rPr>
      </w:pPr>
      <w:r>
        <w:rPr>
          <w:rFonts w:ascii="Arial" w:hAnsi="Arial" w:cs="Arial"/>
          <w:szCs w:val="24"/>
        </w:rPr>
        <w:t>*</w:t>
      </w:r>
      <w:r w:rsidR="00A91AC0">
        <w:rPr>
          <w:rFonts w:ascii="Arial" w:hAnsi="Arial" w:cs="Arial"/>
          <w:szCs w:val="24"/>
        </w:rPr>
        <w:t xml:space="preserve"> As reported to the Commission at Docket No. </w:t>
      </w:r>
      <w:r w:rsidR="00A91AC0" w:rsidRPr="00B77F02">
        <w:rPr>
          <w:rFonts w:ascii="Arial" w:hAnsi="Arial" w:cs="Arial"/>
          <w:szCs w:val="24"/>
        </w:rPr>
        <w:t>M-</w:t>
      </w:r>
      <w:r w:rsidR="00B4219D">
        <w:rPr>
          <w:rFonts w:ascii="Arial" w:hAnsi="Arial" w:cs="Arial"/>
          <w:szCs w:val="24"/>
        </w:rPr>
        <w:t>2015-</w:t>
      </w:r>
      <w:r w:rsidR="007D686D">
        <w:rPr>
          <w:rFonts w:ascii="Arial" w:hAnsi="Arial" w:cs="Arial"/>
          <w:szCs w:val="24"/>
        </w:rPr>
        <w:t>2481531</w:t>
      </w:r>
    </w:p>
    <w:p w:rsidR="00AC7CA8" w:rsidRDefault="00AC7CA8" w:rsidP="00AC7CA8">
      <w:pPr>
        <w:jc w:val="both"/>
        <w:rPr>
          <w:rFonts w:ascii="Arial" w:hAnsi="Arial" w:cs="Arial"/>
          <w:szCs w:val="24"/>
        </w:rPr>
      </w:pPr>
    </w:p>
    <w:p w:rsidR="00DC5A03" w:rsidRDefault="00A77917" w:rsidP="00A77917">
      <w:pPr>
        <w:jc w:val="both"/>
        <w:rPr>
          <w:rFonts w:ascii="Arial" w:hAnsi="Arial" w:cs="Arial"/>
          <w:szCs w:val="24"/>
        </w:rPr>
      </w:pPr>
      <w:r w:rsidRPr="004D212C">
        <w:rPr>
          <w:rFonts w:ascii="Arial" w:hAnsi="Arial" w:cs="Arial"/>
          <w:szCs w:val="24"/>
        </w:rPr>
        <w:t>Notes to the Financial Statement</w:t>
      </w:r>
      <w:r w:rsidR="007925BC">
        <w:rPr>
          <w:rFonts w:ascii="Arial" w:hAnsi="Arial" w:cs="Arial"/>
          <w:szCs w:val="24"/>
        </w:rPr>
        <w:t>s</w:t>
      </w:r>
      <w:r w:rsidRPr="004D212C">
        <w:rPr>
          <w:rFonts w:ascii="Arial" w:hAnsi="Arial" w:cs="Arial"/>
          <w:szCs w:val="24"/>
        </w:rPr>
        <w:t xml:space="preserve"> are an integral part of this report.</w:t>
      </w:r>
    </w:p>
    <w:p w:rsidR="00DC5A03" w:rsidRDefault="00DC5A03">
      <w:pPr>
        <w:rPr>
          <w:rFonts w:ascii="Arial" w:hAnsi="Arial" w:cs="Arial"/>
          <w:szCs w:val="24"/>
        </w:rPr>
      </w:pPr>
      <w:r>
        <w:rPr>
          <w:rFonts w:ascii="Arial" w:hAnsi="Arial" w:cs="Arial"/>
          <w:szCs w:val="24"/>
        </w:rPr>
        <w:br w:type="page"/>
      </w:r>
    </w:p>
    <w:p w:rsidR="00AD42E5" w:rsidRPr="00A872CB" w:rsidRDefault="009C7A49" w:rsidP="00AD42E5">
      <w:pPr>
        <w:jc w:val="center"/>
        <w:rPr>
          <w:rFonts w:ascii="Arial" w:hAnsi="Arial" w:cs="Arial"/>
          <w:sz w:val="26"/>
          <w:szCs w:val="26"/>
        </w:rPr>
      </w:pPr>
      <w:r>
        <w:rPr>
          <w:rFonts w:ascii="Arial" w:hAnsi="Arial" w:cs="Arial"/>
          <w:b/>
          <w:sz w:val="26"/>
          <w:szCs w:val="26"/>
        </w:rPr>
        <w:lastRenderedPageBreak/>
        <w:t>PPL ELECTRIC UTILITIES CORPORATION</w:t>
      </w:r>
    </w:p>
    <w:p w:rsidR="00AD42E5" w:rsidRDefault="00AD42E5" w:rsidP="00AD42E5">
      <w:pPr>
        <w:jc w:val="center"/>
        <w:rPr>
          <w:rFonts w:ascii="Arial" w:hAnsi="Arial" w:cs="Arial"/>
          <w:b/>
          <w:sz w:val="26"/>
          <w:szCs w:val="26"/>
        </w:rPr>
      </w:pPr>
    </w:p>
    <w:p w:rsidR="00AD42E5" w:rsidRPr="00A872CB" w:rsidRDefault="00AD42E5" w:rsidP="00AD42E5">
      <w:pPr>
        <w:jc w:val="center"/>
        <w:rPr>
          <w:rFonts w:ascii="Arial" w:hAnsi="Arial" w:cs="Arial"/>
          <w:b/>
          <w:sz w:val="26"/>
          <w:szCs w:val="26"/>
        </w:rPr>
      </w:pPr>
      <w:r>
        <w:rPr>
          <w:rFonts w:ascii="Arial" w:hAnsi="Arial" w:cs="Arial"/>
          <w:b/>
          <w:sz w:val="26"/>
          <w:szCs w:val="26"/>
        </w:rPr>
        <w:t>Condensed (Note 1)</w:t>
      </w:r>
    </w:p>
    <w:p w:rsidR="00AD42E5" w:rsidRDefault="00AD42E5" w:rsidP="00AD42E5">
      <w:pPr>
        <w:jc w:val="center"/>
        <w:rPr>
          <w:rFonts w:ascii="Arial" w:hAnsi="Arial" w:cs="Arial"/>
          <w:b/>
          <w:sz w:val="26"/>
          <w:szCs w:val="26"/>
        </w:rPr>
      </w:pPr>
      <w:r w:rsidRPr="00892401">
        <w:rPr>
          <w:rFonts w:ascii="Arial" w:hAnsi="Arial" w:cs="Arial"/>
          <w:b/>
          <w:sz w:val="26"/>
          <w:szCs w:val="26"/>
        </w:rPr>
        <w:t xml:space="preserve">Statement Of </w:t>
      </w:r>
      <w:r w:rsidR="00650F45">
        <w:rPr>
          <w:rFonts w:ascii="Arial" w:hAnsi="Arial" w:cs="Arial"/>
          <w:b/>
          <w:sz w:val="26"/>
          <w:szCs w:val="26"/>
        </w:rPr>
        <w:t>Generation Supply Charge-1 (GSC-1)</w:t>
      </w:r>
      <w:r w:rsidRPr="00892401">
        <w:rPr>
          <w:rFonts w:ascii="Arial" w:hAnsi="Arial" w:cs="Arial"/>
          <w:b/>
          <w:sz w:val="26"/>
          <w:szCs w:val="26"/>
        </w:rPr>
        <w:t xml:space="preserve"> </w:t>
      </w:r>
    </w:p>
    <w:p w:rsidR="00AD42E5" w:rsidRDefault="00AD42E5" w:rsidP="00AD42E5">
      <w:pPr>
        <w:jc w:val="center"/>
        <w:rPr>
          <w:rFonts w:ascii="Arial" w:hAnsi="Arial" w:cs="Arial"/>
          <w:b/>
          <w:sz w:val="26"/>
          <w:szCs w:val="26"/>
        </w:rPr>
      </w:pPr>
      <w:r>
        <w:rPr>
          <w:rFonts w:ascii="Arial" w:hAnsi="Arial" w:cs="Arial"/>
          <w:b/>
          <w:sz w:val="26"/>
          <w:szCs w:val="26"/>
        </w:rPr>
        <w:t>Over/(Under)</w:t>
      </w:r>
      <w:r w:rsidRPr="00892401">
        <w:rPr>
          <w:rFonts w:ascii="Arial" w:hAnsi="Arial" w:cs="Arial"/>
          <w:b/>
          <w:sz w:val="26"/>
          <w:szCs w:val="26"/>
        </w:rPr>
        <w:t xml:space="preserve"> Collections (Section 1307(e))</w:t>
      </w:r>
      <w:r>
        <w:rPr>
          <w:rFonts w:ascii="Arial" w:hAnsi="Arial" w:cs="Arial"/>
          <w:b/>
          <w:sz w:val="26"/>
          <w:szCs w:val="26"/>
        </w:rPr>
        <w:t xml:space="preserve"> </w:t>
      </w:r>
    </w:p>
    <w:p w:rsidR="00AD42E5" w:rsidRPr="00892401" w:rsidRDefault="00AD42E5" w:rsidP="00AD42E5">
      <w:pPr>
        <w:jc w:val="center"/>
        <w:rPr>
          <w:rFonts w:ascii="Arial" w:hAnsi="Arial" w:cs="Arial"/>
          <w:b/>
          <w:sz w:val="26"/>
          <w:szCs w:val="26"/>
        </w:rPr>
      </w:pPr>
      <w:r w:rsidRPr="00892401">
        <w:rPr>
          <w:rFonts w:ascii="Arial" w:hAnsi="Arial" w:cs="Arial"/>
          <w:b/>
          <w:sz w:val="26"/>
          <w:szCs w:val="26"/>
        </w:rPr>
        <w:t xml:space="preserve">For The Twelve Months Ended </w:t>
      </w:r>
      <w:r w:rsidR="00FA2EE5">
        <w:rPr>
          <w:rFonts w:ascii="Arial" w:hAnsi="Arial" w:cs="Arial"/>
          <w:b/>
          <w:sz w:val="26"/>
          <w:szCs w:val="26"/>
        </w:rPr>
        <w:t>April 30</w:t>
      </w:r>
      <w:r w:rsidR="00B0369E">
        <w:rPr>
          <w:rFonts w:ascii="Arial" w:hAnsi="Arial" w:cs="Arial"/>
          <w:b/>
          <w:sz w:val="26"/>
          <w:szCs w:val="26"/>
        </w:rPr>
        <w:t>, 2014</w:t>
      </w:r>
      <w:r w:rsidRPr="00892401">
        <w:rPr>
          <w:rFonts w:ascii="Arial" w:hAnsi="Arial" w:cs="Arial"/>
          <w:b/>
          <w:sz w:val="26"/>
          <w:szCs w:val="26"/>
        </w:rPr>
        <w:t>*</w:t>
      </w:r>
    </w:p>
    <w:p w:rsidR="00AD42E5" w:rsidRDefault="00AD42E5" w:rsidP="00AD42E5">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4C5D7C" w:rsidRPr="004C5D7C" w:rsidTr="00087140">
        <w:trPr>
          <w:trHeight w:val="1134"/>
        </w:trPr>
        <w:tc>
          <w:tcPr>
            <w:tcW w:w="3078" w:type="dxa"/>
            <w:noWrap/>
            <w:vAlign w:val="bottom"/>
          </w:tcPr>
          <w:p w:rsidR="004C5D7C" w:rsidRPr="004C5D7C" w:rsidRDefault="004C5D7C" w:rsidP="004C5D7C">
            <w:pPr>
              <w:ind w:right="368"/>
              <w:jc w:val="center"/>
              <w:rPr>
                <w:rFonts w:ascii="Arial" w:hAnsi="Arial" w:cs="Arial"/>
                <w:b/>
                <w:szCs w:val="24"/>
                <w:u w:val="single"/>
              </w:rPr>
            </w:pPr>
          </w:p>
          <w:p w:rsidR="004C5D7C" w:rsidRPr="004C5D7C" w:rsidRDefault="004C5D7C"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b/>
                <w:szCs w:val="24"/>
                <w:u w:val="single"/>
              </w:rPr>
            </w:pPr>
            <w:r w:rsidRPr="004C5D7C">
              <w:rPr>
                <w:rFonts w:ascii="Arial" w:hAnsi="Arial" w:cs="Arial"/>
                <w:b/>
                <w:szCs w:val="24"/>
              </w:rPr>
              <w:t xml:space="preserve">GSC-1 </w:t>
            </w:r>
            <w:r w:rsidRPr="004C5D7C">
              <w:rPr>
                <w:rFonts w:ascii="Arial" w:hAnsi="Arial" w:cs="Arial"/>
                <w:b/>
                <w:szCs w:val="24"/>
                <w:u w:val="single"/>
              </w:rPr>
              <w:t>Revenues</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b/>
                <w:szCs w:val="24"/>
              </w:rPr>
            </w:pPr>
            <w:r w:rsidRPr="004C5D7C">
              <w:rPr>
                <w:rFonts w:ascii="Arial" w:hAnsi="Arial" w:cs="Arial"/>
                <w:b/>
                <w:szCs w:val="24"/>
              </w:rPr>
              <w:t>GSC-1</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Expenses</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b/>
                <w:szCs w:val="24"/>
              </w:rPr>
            </w:pPr>
            <w:r w:rsidRPr="004C5D7C">
              <w:rPr>
                <w:rFonts w:ascii="Arial" w:hAnsi="Arial" w:cs="Arial"/>
                <w:b/>
                <w:szCs w:val="24"/>
              </w:rPr>
              <w:t>Over/(Under)</w:t>
            </w:r>
          </w:p>
          <w:p w:rsidR="004C5D7C" w:rsidRPr="004C5D7C" w:rsidRDefault="004C5D7C" w:rsidP="004C5D7C">
            <w:pPr>
              <w:jc w:val="center"/>
              <w:rPr>
                <w:rFonts w:ascii="Arial" w:hAnsi="Arial" w:cs="Arial"/>
                <w:b/>
                <w:szCs w:val="24"/>
                <w:u w:val="single"/>
              </w:rPr>
            </w:pPr>
            <w:r w:rsidRPr="004C5D7C">
              <w:rPr>
                <w:rFonts w:ascii="Arial" w:hAnsi="Arial" w:cs="Arial"/>
                <w:b/>
                <w:szCs w:val="24"/>
                <w:u w:val="single"/>
              </w:rPr>
              <w:t>Collections</w:t>
            </w:r>
          </w:p>
        </w:tc>
      </w:tr>
      <w:tr w:rsidR="004C5D7C" w:rsidRPr="004C5D7C" w:rsidTr="00087140">
        <w:trPr>
          <w:trHeight w:val="300"/>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087140">
        <w:trPr>
          <w:trHeight w:val="274"/>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4C5D7C" w:rsidRPr="004C5D7C" w:rsidTr="00087140">
        <w:trPr>
          <w:trHeight w:val="427"/>
        </w:trPr>
        <w:tc>
          <w:tcPr>
            <w:tcW w:w="3078" w:type="dxa"/>
            <w:noWrap/>
          </w:tcPr>
          <w:p w:rsidR="004C5D7C" w:rsidRPr="004C5D7C" w:rsidRDefault="004C5D7C" w:rsidP="004C5D7C">
            <w:pPr>
              <w:rPr>
                <w:rFonts w:ascii="Arial" w:hAnsi="Arial" w:cs="Arial"/>
                <w:szCs w:val="24"/>
              </w:rPr>
            </w:pPr>
          </w:p>
          <w:p w:rsidR="004C5D7C" w:rsidRPr="004C5D7C" w:rsidRDefault="004C5D7C" w:rsidP="004C5D7C">
            <w:pPr>
              <w:rPr>
                <w:rFonts w:ascii="Arial" w:hAnsi="Arial" w:cs="Arial"/>
                <w:szCs w:val="24"/>
              </w:rPr>
            </w:pPr>
            <w:r w:rsidRPr="004C5D7C">
              <w:rPr>
                <w:rFonts w:ascii="Arial" w:hAnsi="Arial" w:cs="Arial"/>
                <w:szCs w:val="24"/>
              </w:rPr>
              <w:t>Residential</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p w:rsidR="004C5D7C" w:rsidRPr="004C5D7C" w:rsidRDefault="004C5D7C" w:rsidP="00EB7305">
            <w:pPr>
              <w:tabs>
                <w:tab w:val="decimal" w:pos="1524"/>
              </w:tabs>
              <w:jc w:val="right"/>
              <w:rPr>
                <w:rFonts w:ascii="Arial" w:hAnsi="Arial" w:cs="Arial"/>
                <w:szCs w:val="24"/>
              </w:rPr>
            </w:pPr>
            <w:r w:rsidRPr="004C5D7C">
              <w:rPr>
                <w:rFonts w:ascii="Arial" w:hAnsi="Arial" w:cs="Arial"/>
                <w:szCs w:val="24"/>
              </w:rPr>
              <w:t xml:space="preserve">  $ </w:t>
            </w:r>
            <w:r w:rsidR="0023043A">
              <w:rPr>
                <w:rFonts w:ascii="Arial" w:hAnsi="Arial" w:cs="Arial"/>
                <w:szCs w:val="24"/>
              </w:rPr>
              <w:t xml:space="preserve"> </w:t>
            </w:r>
            <w:r w:rsidR="00F40602">
              <w:rPr>
                <w:rFonts w:ascii="Arial" w:hAnsi="Arial" w:cs="Arial"/>
                <w:szCs w:val="24"/>
              </w:rPr>
              <w:t>502,478,827</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ind w:right="72"/>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00F40602">
              <w:rPr>
                <w:rFonts w:ascii="Arial" w:hAnsi="Arial" w:cs="Arial"/>
                <w:szCs w:val="24"/>
              </w:rPr>
              <w:t>523,492,540</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F40602" w:rsidP="009C1714">
            <w:pPr>
              <w:rPr>
                <w:rFonts w:ascii="Arial" w:eastAsia="Calibri" w:hAnsi="Arial" w:cs="Arial"/>
                <w:szCs w:val="24"/>
              </w:rPr>
            </w:pPr>
            <w:r>
              <w:rPr>
                <w:rFonts w:ascii="Arial" w:eastAsia="Calibri" w:hAnsi="Arial" w:cs="Arial"/>
                <w:szCs w:val="24"/>
              </w:rPr>
              <w:t>$  (21,013,713</w:t>
            </w:r>
            <w:r w:rsidR="004C5D7C" w:rsidRPr="004C5D7C">
              <w:rPr>
                <w:rFonts w:ascii="Arial" w:eastAsia="Calibri" w:hAnsi="Arial" w:cs="Arial"/>
                <w:szCs w:val="24"/>
              </w:rPr>
              <w:t>)</w:t>
            </w:r>
          </w:p>
        </w:tc>
      </w:tr>
      <w:tr w:rsidR="004C5D7C" w:rsidRPr="004C5D7C" w:rsidTr="00087140">
        <w:trPr>
          <w:trHeight w:val="81"/>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9C1714">
            <w:pPr>
              <w:tabs>
                <w:tab w:val="decimal" w:pos="1605"/>
              </w:tabs>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RS Off</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23043A" w:rsidP="00371CB2">
            <w:pPr>
              <w:jc w:val="right"/>
              <w:rPr>
                <w:rFonts w:ascii="Arial" w:hAnsi="Arial" w:cs="Arial"/>
                <w:szCs w:val="24"/>
              </w:rPr>
            </w:pPr>
            <w:r>
              <w:rPr>
                <w:rFonts w:ascii="Arial" w:hAnsi="Arial" w:cs="Arial"/>
                <w:szCs w:val="24"/>
              </w:rPr>
              <w:t xml:space="preserve">           </w:t>
            </w:r>
            <w:r w:rsidR="00F40602">
              <w:rPr>
                <w:rFonts w:ascii="Arial" w:hAnsi="Arial" w:cs="Arial"/>
                <w:szCs w:val="24"/>
              </w:rPr>
              <w:t>1</w:t>
            </w:r>
            <w:r>
              <w:rPr>
                <w:rFonts w:ascii="Arial" w:hAnsi="Arial" w:cs="Arial"/>
                <w:szCs w:val="24"/>
              </w:rPr>
              <w:t>,</w:t>
            </w:r>
            <w:r w:rsidR="00F40602">
              <w:rPr>
                <w:rFonts w:ascii="Arial" w:hAnsi="Arial" w:cs="Arial"/>
                <w:szCs w:val="24"/>
              </w:rPr>
              <w:t>726</w:t>
            </w:r>
            <w:r>
              <w:rPr>
                <w:rFonts w:ascii="Arial" w:hAnsi="Arial" w:cs="Arial"/>
                <w:szCs w:val="24"/>
              </w:rPr>
              <w:t>,</w:t>
            </w:r>
            <w:r w:rsidR="00F40602">
              <w:rPr>
                <w:rFonts w:ascii="Arial" w:hAnsi="Arial" w:cs="Arial"/>
                <w:szCs w:val="24"/>
              </w:rPr>
              <w:t>78</w:t>
            </w:r>
            <w:r w:rsidR="00371CB2">
              <w:rPr>
                <w:rFonts w:ascii="Arial" w:hAnsi="Arial" w:cs="Arial"/>
                <w:szCs w:val="24"/>
              </w:rPr>
              <w:t>1</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9C1714" w:rsidP="00EB7305">
            <w:pPr>
              <w:tabs>
                <w:tab w:val="decimal" w:pos="1605"/>
              </w:tabs>
              <w:ind w:right="72"/>
              <w:jc w:val="right"/>
              <w:rPr>
                <w:rFonts w:ascii="Arial" w:hAnsi="Arial" w:cs="Arial"/>
                <w:szCs w:val="24"/>
              </w:rPr>
            </w:pPr>
            <w:r>
              <w:rPr>
                <w:rFonts w:ascii="Arial" w:hAnsi="Arial" w:cs="Arial"/>
                <w:szCs w:val="24"/>
              </w:rPr>
              <w:t xml:space="preserve">        </w:t>
            </w:r>
            <w:r w:rsidR="0023043A">
              <w:rPr>
                <w:rFonts w:ascii="Arial" w:hAnsi="Arial" w:cs="Arial"/>
                <w:szCs w:val="24"/>
              </w:rPr>
              <w:t xml:space="preserve">  1,317,062</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9C1714" w:rsidP="009C1714">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409</w:t>
            </w:r>
            <w:r w:rsidR="0023043A">
              <w:rPr>
                <w:rFonts w:ascii="Arial" w:eastAsia="Calibri" w:hAnsi="Arial" w:cs="Arial"/>
                <w:szCs w:val="24"/>
              </w:rPr>
              <w:t>,</w:t>
            </w:r>
            <w:r w:rsidR="00F40602">
              <w:rPr>
                <w:rFonts w:ascii="Arial" w:eastAsia="Calibri" w:hAnsi="Arial" w:cs="Arial"/>
                <w:szCs w:val="24"/>
              </w:rPr>
              <w:t>719</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tabs>
                <w:tab w:val="decimal" w:pos="1605"/>
              </w:tabs>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RS On</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23043A">
            <w:pPr>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Pr="004C5D7C">
              <w:rPr>
                <w:rFonts w:ascii="Arial" w:hAnsi="Arial" w:cs="Arial"/>
                <w:szCs w:val="24"/>
              </w:rPr>
              <w:t xml:space="preserve"> </w:t>
            </w:r>
            <w:r w:rsidR="00F40602">
              <w:rPr>
                <w:rFonts w:ascii="Arial" w:hAnsi="Arial" w:cs="Arial"/>
                <w:szCs w:val="24"/>
              </w:rPr>
              <w:t>192</w:t>
            </w:r>
            <w:r w:rsidR="0023043A">
              <w:rPr>
                <w:rFonts w:ascii="Arial" w:hAnsi="Arial" w:cs="Arial"/>
                <w:szCs w:val="24"/>
              </w:rPr>
              <w:t>,</w:t>
            </w:r>
            <w:r w:rsidR="00F40602">
              <w:rPr>
                <w:rFonts w:ascii="Arial" w:hAnsi="Arial" w:cs="Arial"/>
                <w:szCs w:val="24"/>
              </w:rPr>
              <w:t>318</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9C1714" w:rsidP="00EB7305">
            <w:pPr>
              <w:tabs>
                <w:tab w:val="decimal" w:pos="1605"/>
              </w:tabs>
              <w:ind w:right="72"/>
              <w:jc w:val="right"/>
              <w:rPr>
                <w:rFonts w:ascii="Arial" w:hAnsi="Arial" w:cs="Arial"/>
                <w:szCs w:val="24"/>
              </w:rPr>
            </w:pPr>
            <w:r>
              <w:rPr>
                <w:rFonts w:ascii="Arial" w:hAnsi="Arial" w:cs="Arial"/>
                <w:szCs w:val="24"/>
              </w:rPr>
              <w:t xml:space="preserve">        </w:t>
            </w:r>
            <w:r w:rsidR="0023043A">
              <w:rPr>
                <w:rFonts w:ascii="Arial" w:hAnsi="Arial" w:cs="Arial"/>
                <w:szCs w:val="24"/>
              </w:rPr>
              <w:t xml:space="preserve"> </w:t>
            </w:r>
            <w:r>
              <w:rPr>
                <w:rFonts w:ascii="Arial" w:hAnsi="Arial" w:cs="Arial"/>
                <w:szCs w:val="24"/>
              </w:rPr>
              <w:t xml:space="preserve">   </w:t>
            </w:r>
            <w:r w:rsidR="0023043A">
              <w:rPr>
                <w:rFonts w:ascii="Arial" w:hAnsi="Arial" w:cs="Arial"/>
                <w:szCs w:val="24"/>
              </w:rPr>
              <w:t xml:space="preserve"> 148,481</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9C1714" w:rsidP="009C1714">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43</w:t>
            </w:r>
            <w:r w:rsidR="0023043A">
              <w:rPr>
                <w:rFonts w:ascii="Arial" w:eastAsia="Calibri" w:hAnsi="Arial" w:cs="Arial"/>
                <w:szCs w:val="24"/>
              </w:rPr>
              <w:t>,</w:t>
            </w:r>
            <w:r w:rsidR="00F40602">
              <w:rPr>
                <w:rFonts w:ascii="Arial" w:eastAsia="Calibri" w:hAnsi="Arial" w:cs="Arial"/>
                <w:szCs w:val="24"/>
              </w:rPr>
              <w:t>837</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tabs>
                <w:tab w:val="decimal" w:pos="1605"/>
              </w:tabs>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RTS Off</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371CB2">
            <w:pPr>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00F40602">
              <w:rPr>
                <w:rFonts w:ascii="Arial" w:hAnsi="Arial" w:cs="Arial"/>
                <w:szCs w:val="24"/>
              </w:rPr>
              <w:t>127</w:t>
            </w:r>
            <w:r w:rsidR="0023043A">
              <w:rPr>
                <w:rFonts w:ascii="Arial" w:hAnsi="Arial" w:cs="Arial"/>
                <w:szCs w:val="24"/>
              </w:rPr>
              <w:t>,</w:t>
            </w:r>
            <w:r w:rsidR="00F40602">
              <w:rPr>
                <w:rFonts w:ascii="Arial" w:hAnsi="Arial" w:cs="Arial"/>
                <w:szCs w:val="24"/>
              </w:rPr>
              <w:t>32</w:t>
            </w:r>
            <w:r w:rsidR="00371CB2">
              <w:rPr>
                <w:rFonts w:ascii="Arial" w:hAnsi="Arial" w:cs="Arial"/>
                <w:szCs w:val="24"/>
              </w:rPr>
              <w:t>1</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9C1714" w:rsidP="00EB7305">
            <w:pPr>
              <w:ind w:right="72"/>
              <w:jc w:val="right"/>
              <w:rPr>
                <w:rFonts w:ascii="Arial" w:hAnsi="Arial" w:cs="Arial"/>
                <w:szCs w:val="24"/>
              </w:rPr>
            </w:pPr>
            <w:r>
              <w:rPr>
                <w:rFonts w:ascii="Arial" w:hAnsi="Arial" w:cs="Arial"/>
                <w:szCs w:val="24"/>
              </w:rPr>
              <w:t xml:space="preserve">             </w:t>
            </w:r>
            <w:r w:rsidR="00F40602">
              <w:rPr>
                <w:rFonts w:ascii="Arial" w:hAnsi="Arial" w:cs="Arial"/>
                <w:szCs w:val="24"/>
              </w:rPr>
              <w:t>102</w:t>
            </w:r>
            <w:r w:rsidR="0023043A">
              <w:rPr>
                <w:rFonts w:ascii="Arial" w:hAnsi="Arial" w:cs="Arial"/>
                <w:szCs w:val="24"/>
              </w:rPr>
              <w:t>,</w:t>
            </w:r>
            <w:r w:rsidR="00F40602">
              <w:rPr>
                <w:rFonts w:ascii="Arial" w:hAnsi="Arial" w:cs="Arial"/>
                <w:szCs w:val="24"/>
              </w:rPr>
              <w:t>043</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9C1714" w:rsidP="00371CB2">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25</w:t>
            </w:r>
            <w:r w:rsidR="0023043A">
              <w:rPr>
                <w:rFonts w:ascii="Arial" w:eastAsia="Calibri" w:hAnsi="Arial" w:cs="Arial"/>
                <w:szCs w:val="24"/>
              </w:rPr>
              <w:t>,</w:t>
            </w:r>
            <w:r w:rsidR="00F40602">
              <w:rPr>
                <w:rFonts w:ascii="Arial" w:eastAsia="Calibri" w:hAnsi="Arial" w:cs="Arial"/>
                <w:szCs w:val="24"/>
              </w:rPr>
              <w:t>27</w:t>
            </w:r>
            <w:r w:rsidR="00371CB2">
              <w:rPr>
                <w:rFonts w:ascii="Arial" w:eastAsia="Calibri" w:hAnsi="Arial" w:cs="Arial"/>
                <w:szCs w:val="24"/>
              </w:rPr>
              <w:t>8</w:t>
            </w:r>
          </w:p>
        </w:tc>
      </w:tr>
      <w:tr w:rsidR="004C5D7C" w:rsidRPr="004C5D7C" w:rsidTr="00087140">
        <w:trPr>
          <w:trHeight w:val="83"/>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tabs>
                <w:tab w:val="decimal" w:pos="1605"/>
              </w:tabs>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RTS On</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371CB2">
            <w:pPr>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Pr="004C5D7C">
              <w:rPr>
                <w:rFonts w:ascii="Arial" w:hAnsi="Arial" w:cs="Arial"/>
                <w:szCs w:val="24"/>
              </w:rPr>
              <w:t xml:space="preserve"> </w:t>
            </w:r>
            <w:r w:rsidR="00F40602">
              <w:rPr>
                <w:rFonts w:ascii="Arial" w:hAnsi="Arial" w:cs="Arial"/>
                <w:szCs w:val="24"/>
              </w:rPr>
              <w:t>21</w:t>
            </w:r>
            <w:r w:rsidR="0023043A">
              <w:rPr>
                <w:rFonts w:ascii="Arial" w:hAnsi="Arial" w:cs="Arial"/>
                <w:szCs w:val="24"/>
              </w:rPr>
              <w:t>,</w:t>
            </w:r>
            <w:r w:rsidR="00F40602">
              <w:rPr>
                <w:rFonts w:ascii="Arial" w:hAnsi="Arial" w:cs="Arial"/>
                <w:szCs w:val="24"/>
              </w:rPr>
              <w:t>39</w:t>
            </w:r>
            <w:r w:rsidR="00371CB2">
              <w:rPr>
                <w:rFonts w:ascii="Arial" w:hAnsi="Arial" w:cs="Arial"/>
                <w:szCs w:val="24"/>
              </w:rPr>
              <w:t>5</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9C1714" w:rsidP="00EB7305">
            <w:pPr>
              <w:ind w:right="72"/>
              <w:jc w:val="right"/>
              <w:rPr>
                <w:rFonts w:ascii="Arial" w:hAnsi="Arial" w:cs="Arial"/>
                <w:szCs w:val="24"/>
              </w:rPr>
            </w:pPr>
            <w:r>
              <w:rPr>
                <w:rFonts w:ascii="Arial" w:hAnsi="Arial" w:cs="Arial"/>
                <w:szCs w:val="24"/>
              </w:rPr>
              <w:t xml:space="preserve">               </w:t>
            </w:r>
            <w:r w:rsidR="00F40602">
              <w:rPr>
                <w:rFonts w:ascii="Arial" w:hAnsi="Arial" w:cs="Arial"/>
                <w:szCs w:val="24"/>
              </w:rPr>
              <w:t>12</w:t>
            </w:r>
            <w:r w:rsidR="0023043A">
              <w:rPr>
                <w:rFonts w:ascii="Arial" w:hAnsi="Arial" w:cs="Arial"/>
                <w:szCs w:val="24"/>
              </w:rPr>
              <w:t>,</w:t>
            </w:r>
            <w:r w:rsidR="00F40602">
              <w:rPr>
                <w:rFonts w:ascii="Arial" w:hAnsi="Arial" w:cs="Arial"/>
                <w:szCs w:val="24"/>
              </w:rPr>
              <w:t>068</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9C1714" w:rsidP="00371CB2">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9</w:t>
            </w:r>
            <w:r w:rsidR="0023043A">
              <w:rPr>
                <w:rFonts w:ascii="Arial" w:eastAsia="Calibri" w:hAnsi="Arial" w:cs="Arial"/>
                <w:szCs w:val="24"/>
              </w:rPr>
              <w:t>,</w:t>
            </w:r>
            <w:r w:rsidR="00F40602">
              <w:rPr>
                <w:rFonts w:ascii="Arial" w:eastAsia="Calibri" w:hAnsi="Arial" w:cs="Arial"/>
                <w:szCs w:val="24"/>
              </w:rPr>
              <w:t>32</w:t>
            </w:r>
            <w:r w:rsidR="00371CB2">
              <w:rPr>
                <w:rFonts w:ascii="Arial" w:eastAsia="Calibri" w:hAnsi="Arial" w:cs="Arial"/>
                <w:szCs w:val="24"/>
              </w:rPr>
              <w:t>7</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 xml:space="preserve">Small C&amp;I </w:t>
            </w:r>
            <w:r w:rsidR="00CB3BBE">
              <w:rPr>
                <w:rFonts w:ascii="Arial" w:hAnsi="Arial" w:cs="Arial"/>
                <w:szCs w:val="24"/>
              </w:rPr>
              <w:t>-</w:t>
            </w:r>
            <w:r w:rsidRPr="004C5D7C">
              <w:rPr>
                <w:rFonts w:ascii="Arial" w:hAnsi="Arial" w:cs="Arial"/>
                <w:szCs w:val="24"/>
              </w:rPr>
              <w:t xml:space="preserve"> Fixed</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00F40602">
              <w:rPr>
                <w:rFonts w:ascii="Arial" w:hAnsi="Arial" w:cs="Arial"/>
                <w:szCs w:val="24"/>
              </w:rPr>
              <w:t>116,523,206</w:t>
            </w:r>
          </w:p>
        </w:tc>
        <w:tc>
          <w:tcPr>
            <w:tcW w:w="270" w:type="dxa"/>
          </w:tcPr>
          <w:p w:rsidR="004C5D7C" w:rsidRPr="004C5D7C" w:rsidRDefault="004C5D7C" w:rsidP="004C5D7C">
            <w:pPr>
              <w:jc w:val="right"/>
              <w:rPr>
                <w:rFonts w:ascii="Arial" w:eastAsia="Calibri" w:hAnsi="Arial" w:cs="Arial"/>
                <w:szCs w:val="24"/>
              </w:rPr>
            </w:pPr>
          </w:p>
        </w:tc>
        <w:tc>
          <w:tcPr>
            <w:tcW w:w="2070" w:type="dxa"/>
            <w:noWrap/>
          </w:tcPr>
          <w:p w:rsidR="004C5D7C" w:rsidRPr="004C5D7C" w:rsidRDefault="009C1714" w:rsidP="00EB7305">
            <w:pPr>
              <w:ind w:right="72"/>
              <w:jc w:val="right"/>
              <w:rPr>
                <w:rFonts w:ascii="Arial" w:hAnsi="Arial" w:cs="Arial"/>
                <w:szCs w:val="24"/>
              </w:rPr>
            </w:pPr>
            <w:r>
              <w:rPr>
                <w:rFonts w:ascii="Arial" w:hAnsi="Arial" w:cs="Arial"/>
                <w:szCs w:val="24"/>
              </w:rPr>
              <w:t xml:space="preserve">      </w:t>
            </w:r>
            <w:r w:rsidR="00F40602">
              <w:rPr>
                <w:rFonts w:ascii="Arial" w:hAnsi="Arial" w:cs="Arial"/>
                <w:szCs w:val="24"/>
              </w:rPr>
              <w:t>122,753,871</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9C1714" w:rsidP="009C1714">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(6,230,665)</w:t>
            </w:r>
          </w:p>
        </w:tc>
      </w:tr>
      <w:tr w:rsidR="004C5D7C" w:rsidRPr="004C5D7C" w:rsidTr="00087140">
        <w:trPr>
          <w:trHeight w:val="103"/>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tcPr>
          <w:p w:rsidR="004C5D7C" w:rsidRPr="004C5D7C" w:rsidRDefault="004C5D7C" w:rsidP="00EB7305">
            <w:pPr>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 xml:space="preserve">Small C&amp;I </w:t>
            </w:r>
            <w:r w:rsidR="00CB3BBE">
              <w:rPr>
                <w:rFonts w:ascii="Arial" w:hAnsi="Arial" w:cs="Arial"/>
                <w:szCs w:val="24"/>
              </w:rPr>
              <w:t>-</w:t>
            </w:r>
            <w:r w:rsidRPr="004C5D7C">
              <w:rPr>
                <w:rFonts w:ascii="Arial" w:hAnsi="Arial" w:cs="Arial"/>
                <w:szCs w:val="24"/>
              </w:rPr>
              <w:t xml:space="preserve"> TOU Off</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23043A">
            <w:pPr>
              <w:jc w:val="right"/>
              <w:rPr>
                <w:rFonts w:ascii="Arial" w:hAnsi="Arial" w:cs="Arial"/>
                <w:szCs w:val="24"/>
              </w:rPr>
            </w:pPr>
            <w:r w:rsidRPr="004C5D7C">
              <w:rPr>
                <w:rFonts w:ascii="Arial" w:hAnsi="Arial" w:cs="Arial"/>
                <w:szCs w:val="24"/>
              </w:rPr>
              <w:t xml:space="preserve">            </w:t>
            </w:r>
            <w:r w:rsidR="0023043A">
              <w:rPr>
                <w:rFonts w:ascii="Arial" w:hAnsi="Arial" w:cs="Arial"/>
                <w:szCs w:val="24"/>
              </w:rPr>
              <w:t xml:space="preserve">  </w:t>
            </w:r>
            <w:r w:rsidRPr="004C5D7C">
              <w:rPr>
                <w:rFonts w:ascii="Arial" w:hAnsi="Arial" w:cs="Arial"/>
                <w:szCs w:val="24"/>
              </w:rPr>
              <w:t xml:space="preserve"> </w:t>
            </w:r>
            <w:r w:rsidR="0023043A">
              <w:rPr>
                <w:rFonts w:ascii="Arial" w:hAnsi="Arial" w:cs="Arial"/>
                <w:szCs w:val="24"/>
              </w:rPr>
              <w:t xml:space="preserve"> </w:t>
            </w:r>
            <w:r w:rsidR="00F40602">
              <w:rPr>
                <w:rFonts w:ascii="Arial" w:hAnsi="Arial" w:cs="Arial"/>
                <w:szCs w:val="24"/>
              </w:rPr>
              <w:t>36</w:t>
            </w:r>
            <w:r w:rsidR="0023043A">
              <w:rPr>
                <w:rFonts w:ascii="Arial" w:hAnsi="Arial" w:cs="Arial"/>
                <w:szCs w:val="24"/>
              </w:rPr>
              <w:t>,</w:t>
            </w:r>
            <w:r w:rsidR="00F40602">
              <w:rPr>
                <w:rFonts w:ascii="Arial" w:hAnsi="Arial" w:cs="Arial"/>
                <w:szCs w:val="24"/>
              </w:rPr>
              <w:t>520</w:t>
            </w: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9C1714" w:rsidP="00EB7305">
            <w:pPr>
              <w:ind w:right="72"/>
              <w:jc w:val="right"/>
              <w:rPr>
                <w:rFonts w:ascii="Arial" w:hAnsi="Arial" w:cs="Arial"/>
                <w:szCs w:val="24"/>
              </w:rPr>
            </w:pPr>
            <w:r>
              <w:rPr>
                <w:rFonts w:ascii="Arial" w:hAnsi="Arial" w:cs="Arial"/>
                <w:szCs w:val="24"/>
              </w:rPr>
              <w:t xml:space="preserve">             </w:t>
            </w:r>
            <w:r w:rsidR="00F40602">
              <w:rPr>
                <w:rFonts w:ascii="Arial" w:hAnsi="Arial" w:cs="Arial"/>
                <w:szCs w:val="24"/>
              </w:rPr>
              <w:t>169</w:t>
            </w:r>
            <w:r w:rsidR="0023043A">
              <w:rPr>
                <w:rFonts w:ascii="Arial" w:hAnsi="Arial" w:cs="Arial"/>
                <w:szCs w:val="24"/>
              </w:rPr>
              <w:t>,</w:t>
            </w:r>
            <w:r w:rsidR="00F40602">
              <w:rPr>
                <w:rFonts w:ascii="Arial" w:hAnsi="Arial" w:cs="Arial"/>
                <w:szCs w:val="24"/>
              </w:rPr>
              <w:t>811</w:t>
            </w: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F40602" w:rsidRPr="004C5D7C" w:rsidRDefault="0023043A" w:rsidP="009C1714">
            <w:pPr>
              <w:rPr>
                <w:rFonts w:ascii="Arial" w:eastAsia="Calibri" w:hAnsi="Arial" w:cs="Arial"/>
                <w:szCs w:val="24"/>
              </w:rPr>
            </w:pPr>
            <w:r>
              <w:rPr>
                <w:rFonts w:ascii="Arial" w:eastAsia="Calibri" w:hAnsi="Arial" w:cs="Arial"/>
                <w:szCs w:val="24"/>
              </w:rPr>
              <w:t xml:space="preserve">         </w:t>
            </w:r>
            <w:r w:rsidR="00F40602">
              <w:rPr>
                <w:rFonts w:ascii="Arial" w:eastAsia="Calibri" w:hAnsi="Arial" w:cs="Arial"/>
                <w:szCs w:val="24"/>
              </w:rPr>
              <w:t>(133,291)</w:t>
            </w:r>
          </w:p>
        </w:tc>
      </w:tr>
      <w:tr w:rsidR="004C5D7C" w:rsidRPr="004C5D7C" w:rsidTr="00087140">
        <w:trPr>
          <w:trHeight w:val="255"/>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vAlign w:val="bottom"/>
          </w:tcPr>
          <w:p w:rsidR="004C5D7C" w:rsidRPr="004C5D7C" w:rsidRDefault="004C5D7C" w:rsidP="0023043A">
            <w:pPr>
              <w:tabs>
                <w:tab w:val="decimal" w:pos="1524"/>
              </w:tabs>
              <w:jc w:val="right"/>
              <w:rPr>
                <w:rFonts w:ascii="Arial" w:hAnsi="Arial" w:cs="Arial"/>
                <w:szCs w:val="24"/>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jc w:val="right"/>
              <w:rPr>
                <w:rFonts w:ascii="Arial" w:hAnsi="Arial" w:cs="Arial"/>
                <w:szCs w:val="24"/>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CB3BBE">
            <w:pPr>
              <w:rPr>
                <w:rFonts w:ascii="Arial" w:hAnsi="Arial" w:cs="Arial"/>
                <w:szCs w:val="24"/>
              </w:rPr>
            </w:pPr>
            <w:r w:rsidRPr="004C5D7C">
              <w:rPr>
                <w:rFonts w:ascii="Arial" w:hAnsi="Arial" w:cs="Arial"/>
                <w:szCs w:val="24"/>
              </w:rPr>
              <w:t xml:space="preserve">Small C&amp;I </w:t>
            </w:r>
            <w:r w:rsidR="00CB3BBE">
              <w:rPr>
                <w:rFonts w:ascii="Arial" w:hAnsi="Arial" w:cs="Arial"/>
                <w:szCs w:val="24"/>
              </w:rPr>
              <w:t>-</w:t>
            </w:r>
            <w:r w:rsidRPr="004C5D7C">
              <w:rPr>
                <w:rFonts w:ascii="Arial" w:hAnsi="Arial" w:cs="Arial"/>
                <w:szCs w:val="24"/>
              </w:rPr>
              <w:t xml:space="preserve"> TOU On</w:t>
            </w:r>
            <w:r w:rsidR="00CB3BBE">
              <w:rPr>
                <w:rFonts w:ascii="Arial" w:hAnsi="Arial" w:cs="Arial"/>
                <w:szCs w:val="24"/>
              </w:rPr>
              <w:t>-</w:t>
            </w:r>
            <w:r w:rsidRPr="004C5D7C">
              <w:rPr>
                <w:rFonts w:ascii="Arial" w:hAnsi="Arial" w:cs="Arial"/>
                <w:szCs w:val="24"/>
              </w:rPr>
              <w:t>Peak</w:t>
            </w: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371CB2">
            <w:pPr>
              <w:jc w:val="right"/>
              <w:rPr>
                <w:rFonts w:ascii="Arial" w:hAnsi="Arial" w:cs="Arial"/>
                <w:szCs w:val="24"/>
                <w:u w:val="single"/>
              </w:rPr>
            </w:pPr>
            <w:r w:rsidRPr="004C5D7C">
              <w:rPr>
                <w:rFonts w:ascii="Arial" w:hAnsi="Arial" w:cs="Arial"/>
                <w:szCs w:val="24"/>
              </w:rPr>
              <w:t xml:space="preserve">  </w:t>
            </w:r>
            <w:r w:rsidRPr="009C1714">
              <w:rPr>
                <w:rFonts w:ascii="Arial" w:hAnsi="Arial" w:cs="Arial"/>
                <w:szCs w:val="24"/>
              </w:rPr>
              <w:t xml:space="preserve"> </w:t>
            </w:r>
            <w:r w:rsidRPr="00EB7305">
              <w:rPr>
                <w:rFonts w:ascii="Arial" w:hAnsi="Arial" w:cs="Arial"/>
                <w:szCs w:val="24"/>
                <w:u w:val="single"/>
              </w:rPr>
              <w:t xml:space="preserve"> </w:t>
            </w:r>
            <w:r w:rsidRPr="004C5D7C">
              <w:rPr>
                <w:rFonts w:ascii="Arial" w:hAnsi="Arial" w:cs="Arial"/>
                <w:szCs w:val="24"/>
                <w:u w:val="single"/>
              </w:rPr>
              <w:t xml:space="preserve">         </w:t>
            </w:r>
            <w:r w:rsidR="0023043A">
              <w:rPr>
                <w:rFonts w:ascii="Arial" w:hAnsi="Arial" w:cs="Arial"/>
                <w:szCs w:val="24"/>
                <w:u w:val="single"/>
              </w:rPr>
              <w:t xml:space="preserve">   35,62</w:t>
            </w:r>
            <w:r w:rsidR="00371CB2">
              <w:rPr>
                <w:rFonts w:ascii="Arial" w:hAnsi="Arial" w:cs="Arial"/>
                <w:szCs w:val="24"/>
                <w:u w:val="single"/>
              </w:rPr>
              <w:t>4</w:t>
            </w:r>
          </w:p>
        </w:tc>
        <w:tc>
          <w:tcPr>
            <w:tcW w:w="270" w:type="dxa"/>
          </w:tcPr>
          <w:p w:rsidR="004C5D7C" w:rsidRPr="004C5D7C" w:rsidRDefault="004C5D7C" w:rsidP="004C5D7C">
            <w:pPr>
              <w:jc w:val="right"/>
              <w:rPr>
                <w:rFonts w:ascii="Arial" w:eastAsia="Calibri" w:hAnsi="Arial" w:cs="Arial"/>
                <w:szCs w:val="24"/>
                <w:u w:val="single"/>
              </w:rPr>
            </w:pPr>
          </w:p>
        </w:tc>
        <w:tc>
          <w:tcPr>
            <w:tcW w:w="2070" w:type="dxa"/>
            <w:noWrap/>
            <w:vAlign w:val="bottom"/>
          </w:tcPr>
          <w:p w:rsidR="004C5D7C" w:rsidRPr="004C5D7C" w:rsidRDefault="004C5D7C" w:rsidP="00EB7305">
            <w:pPr>
              <w:jc w:val="right"/>
              <w:rPr>
                <w:rFonts w:ascii="Arial" w:hAnsi="Arial" w:cs="Arial"/>
                <w:szCs w:val="24"/>
                <w:u w:val="single"/>
              </w:rPr>
            </w:pPr>
            <w:r w:rsidRPr="009C1714">
              <w:rPr>
                <w:rFonts w:ascii="Arial" w:hAnsi="Arial" w:cs="Arial"/>
                <w:szCs w:val="24"/>
              </w:rPr>
              <w:t xml:space="preserve">  </w:t>
            </w:r>
            <w:r w:rsidRPr="00EB7305">
              <w:rPr>
                <w:rFonts w:ascii="Arial" w:hAnsi="Arial" w:cs="Arial"/>
                <w:szCs w:val="24"/>
              </w:rPr>
              <w:t xml:space="preserve"> </w:t>
            </w:r>
            <w:r w:rsidRPr="004C5D7C">
              <w:rPr>
                <w:rFonts w:ascii="Arial" w:hAnsi="Arial" w:cs="Arial"/>
                <w:szCs w:val="24"/>
                <w:u w:val="single"/>
              </w:rPr>
              <w:t xml:space="preserve">  </w:t>
            </w:r>
            <w:r w:rsidR="009C1714">
              <w:rPr>
                <w:rFonts w:ascii="Arial" w:hAnsi="Arial" w:cs="Arial"/>
                <w:szCs w:val="24"/>
                <w:u w:val="single"/>
              </w:rPr>
              <w:t xml:space="preserve">  </w:t>
            </w:r>
            <w:r w:rsidRPr="004C5D7C">
              <w:rPr>
                <w:rFonts w:ascii="Arial" w:hAnsi="Arial" w:cs="Arial"/>
                <w:szCs w:val="24"/>
                <w:u w:val="single"/>
              </w:rPr>
              <w:t xml:space="preserve">       </w:t>
            </w:r>
            <w:r w:rsidR="0023043A">
              <w:rPr>
                <w:rFonts w:ascii="Arial" w:hAnsi="Arial" w:cs="Arial"/>
                <w:szCs w:val="24"/>
                <w:u w:val="single"/>
              </w:rPr>
              <w:t>(74,723)</w:t>
            </w:r>
          </w:p>
        </w:tc>
        <w:tc>
          <w:tcPr>
            <w:tcW w:w="270" w:type="dxa"/>
          </w:tcPr>
          <w:p w:rsidR="004C5D7C" w:rsidRPr="004C5D7C" w:rsidRDefault="004C5D7C" w:rsidP="009C1714">
            <w:pPr>
              <w:rPr>
                <w:rFonts w:ascii="Arial" w:eastAsia="Calibri" w:hAnsi="Arial" w:cs="Arial"/>
                <w:szCs w:val="24"/>
                <w:u w:val="single"/>
              </w:rPr>
            </w:pPr>
          </w:p>
        </w:tc>
        <w:tc>
          <w:tcPr>
            <w:tcW w:w="1890" w:type="dxa"/>
            <w:noWrap/>
            <w:vAlign w:val="bottom"/>
          </w:tcPr>
          <w:p w:rsidR="004C5D7C" w:rsidRPr="004C5D7C" w:rsidRDefault="004C5D7C" w:rsidP="00371CB2">
            <w:pPr>
              <w:rPr>
                <w:rFonts w:ascii="Arial" w:eastAsia="Calibri" w:hAnsi="Arial" w:cs="Arial"/>
                <w:szCs w:val="24"/>
                <w:u w:val="single"/>
              </w:rPr>
            </w:pPr>
            <w:r w:rsidRPr="004C5D7C">
              <w:rPr>
                <w:rFonts w:ascii="Arial" w:eastAsia="Calibri" w:hAnsi="Arial" w:cs="Arial"/>
                <w:szCs w:val="24"/>
                <w:u w:val="single"/>
              </w:rPr>
              <w:t xml:space="preserve">  </w:t>
            </w:r>
            <w:r w:rsidR="009C1714">
              <w:rPr>
                <w:rFonts w:ascii="Arial" w:eastAsia="Calibri" w:hAnsi="Arial" w:cs="Arial"/>
                <w:szCs w:val="24"/>
                <w:u w:val="single"/>
              </w:rPr>
              <w:t xml:space="preserve">        </w:t>
            </w:r>
            <w:r w:rsidR="0023043A">
              <w:rPr>
                <w:rFonts w:ascii="Arial" w:eastAsia="Calibri" w:hAnsi="Arial" w:cs="Arial"/>
                <w:szCs w:val="24"/>
                <w:u w:val="single"/>
              </w:rPr>
              <w:t>110,34</w:t>
            </w:r>
            <w:r w:rsidR="00371CB2">
              <w:rPr>
                <w:rFonts w:ascii="Arial" w:eastAsia="Calibri" w:hAnsi="Arial" w:cs="Arial"/>
                <w:szCs w:val="24"/>
                <w:u w:val="single"/>
              </w:rPr>
              <w:t>7</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23043A">
            <w:pPr>
              <w:tabs>
                <w:tab w:val="decimal" w:pos="1524"/>
              </w:tabs>
              <w:jc w:val="right"/>
              <w:rPr>
                <w:rFonts w:ascii="Arial" w:hAnsi="Arial" w:cs="Arial"/>
                <w:szCs w:val="24"/>
                <w:u w:val="double"/>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EB7305">
            <w:pPr>
              <w:tabs>
                <w:tab w:val="decimal" w:pos="1605"/>
              </w:tabs>
              <w:jc w:val="right"/>
              <w:rPr>
                <w:rFonts w:ascii="Arial" w:hAnsi="Arial" w:cs="Arial"/>
                <w:szCs w:val="24"/>
                <w:u w:val="double"/>
              </w:rPr>
            </w:pPr>
          </w:p>
        </w:tc>
        <w:tc>
          <w:tcPr>
            <w:tcW w:w="270" w:type="dxa"/>
          </w:tcPr>
          <w:p w:rsidR="004C5D7C" w:rsidRPr="004C5D7C" w:rsidRDefault="004C5D7C" w:rsidP="009C1714">
            <w:pPr>
              <w:rPr>
                <w:rFonts w:ascii="Arial" w:eastAsia="Calibri" w:hAnsi="Arial" w:cs="Arial"/>
                <w:szCs w:val="24"/>
              </w:rPr>
            </w:pPr>
          </w:p>
        </w:tc>
        <w:tc>
          <w:tcPr>
            <w:tcW w:w="1890" w:type="dxa"/>
            <w:noWrap/>
            <w:vAlign w:val="bottom"/>
          </w:tcPr>
          <w:p w:rsidR="004C5D7C" w:rsidRPr="004C5D7C"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23043A">
            <w:pPr>
              <w:jc w:val="right"/>
              <w:rPr>
                <w:rFonts w:ascii="Arial" w:hAnsi="Arial" w:cs="Arial"/>
                <w:szCs w:val="24"/>
                <w:u w:val="double"/>
              </w:rPr>
            </w:pPr>
            <w:r w:rsidRPr="004C5D7C">
              <w:rPr>
                <w:rFonts w:ascii="Arial" w:hAnsi="Arial" w:cs="Arial"/>
                <w:szCs w:val="24"/>
              </w:rPr>
              <w:t xml:space="preserve">  </w:t>
            </w:r>
            <w:r w:rsidRPr="004C5D7C">
              <w:rPr>
                <w:rFonts w:ascii="Arial" w:hAnsi="Arial" w:cs="Arial"/>
                <w:szCs w:val="24"/>
                <w:u w:val="double"/>
              </w:rPr>
              <w:t xml:space="preserve">$  </w:t>
            </w:r>
            <w:r w:rsidR="0023043A">
              <w:rPr>
                <w:rFonts w:ascii="Arial" w:hAnsi="Arial" w:cs="Arial"/>
                <w:szCs w:val="24"/>
                <w:u w:val="double"/>
              </w:rPr>
              <w:t>621,141,992</w:t>
            </w:r>
          </w:p>
        </w:tc>
        <w:tc>
          <w:tcPr>
            <w:tcW w:w="270" w:type="dxa"/>
          </w:tcPr>
          <w:p w:rsidR="004C5D7C" w:rsidRPr="004C5D7C" w:rsidRDefault="004C5D7C" w:rsidP="004C5D7C">
            <w:pPr>
              <w:jc w:val="right"/>
              <w:rPr>
                <w:rFonts w:ascii="Arial" w:eastAsia="Calibri" w:hAnsi="Arial" w:cs="Arial"/>
                <w:szCs w:val="24"/>
                <w:u w:val="double"/>
              </w:rPr>
            </w:pPr>
          </w:p>
        </w:tc>
        <w:tc>
          <w:tcPr>
            <w:tcW w:w="2070" w:type="dxa"/>
            <w:noWrap/>
            <w:vAlign w:val="bottom"/>
          </w:tcPr>
          <w:p w:rsidR="004C5D7C" w:rsidRPr="004C5D7C" w:rsidRDefault="0026596E" w:rsidP="00EB7305">
            <w:pPr>
              <w:tabs>
                <w:tab w:val="decimal" w:pos="1782"/>
              </w:tabs>
              <w:ind w:right="162"/>
              <w:jc w:val="right"/>
              <w:rPr>
                <w:rFonts w:ascii="Arial" w:hAnsi="Arial" w:cs="Arial"/>
                <w:szCs w:val="24"/>
                <w:u w:val="double"/>
              </w:rPr>
            </w:pPr>
            <w:r w:rsidRPr="0026596E">
              <w:rPr>
                <w:rFonts w:ascii="Arial" w:hAnsi="Arial" w:cs="Arial"/>
                <w:szCs w:val="24"/>
              </w:rPr>
              <w:t xml:space="preserve"> </w:t>
            </w:r>
            <w:r w:rsidR="004C5D7C" w:rsidRPr="004C5D7C">
              <w:rPr>
                <w:rFonts w:ascii="Arial" w:hAnsi="Arial" w:cs="Arial"/>
                <w:szCs w:val="24"/>
                <w:u w:val="double"/>
              </w:rPr>
              <w:t>$</w:t>
            </w:r>
            <w:r w:rsidR="009C1714">
              <w:rPr>
                <w:rFonts w:ascii="Arial" w:hAnsi="Arial" w:cs="Arial"/>
                <w:szCs w:val="24"/>
                <w:u w:val="double"/>
              </w:rPr>
              <w:t xml:space="preserve"> </w:t>
            </w:r>
            <w:r w:rsidR="004C5D7C" w:rsidRPr="004C5D7C">
              <w:rPr>
                <w:rFonts w:ascii="Arial" w:hAnsi="Arial" w:cs="Arial"/>
                <w:szCs w:val="24"/>
                <w:u w:val="double"/>
              </w:rPr>
              <w:t xml:space="preserve"> </w:t>
            </w:r>
            <w:r w:rsidR="0023043A">
              <w:rPr>
                <w:rFonts w:ascii="Arial" w:hAnsi="Arial" w:cs="Arial"/>
                <w:szCs w:val="24"/>
                <w:u w:val="double"/>
              </w:rPr>
              <w:t>647,921,153</w:t>
            </w:r>
          </w:p>
        </w:tc>
        <w:tc>
          <w:tcPr>
            <w:tcW w:w="270" w:type="dxa"/>
          </w:tcPr>
          <w:p w:rsidR="004C5D7C" w:rsidRPr="004C5D7C" w:rsidRDefault="004C5D7C" w:rsidP="009C1714">
            <w:pPr>
              <w:rPr>
                <w:rFonts w:ascii="Arial" w:eastAsia="Calibri" w:hAnsi="Arial" w:cs="Arial"/>
                <w:szCs w:val="24"/>
                <w:u w:val="double"/>
              </w:rPr>
            </w:pPr>
          </w:p>
        </w:tc>
        <w:tc>
          <w:tcPr>
            <w:tcW w:w="1890" w:type="dxa"/>
            <w:noWrap/>
            <w:vAlign w:val="bottom"/>
          </w:tcPr>
          <w:p w:rsidR="004C5D7C" w:rsidRPr="004C5D7C" w:rsidRDefault="004C5D7C" w:rsidP="009C1714">
            <w:pPr>
              <w:rPr>
                <w:rFonts w:ascii="Arial" w:eastAsia="Calibri" w:hAnsi="Arial" w:cs="Arial"/>
                <w:szCs w:val="24"/>
                <w:u w:val="double"/>
              </w:rPr>
            </w:pPr>
            <w:r w:rsidRPr="004C5D7C">
              <w:rPr>
                <w:rFonts w:ascii="Arial" w:eastAsia="Calibri" w:hAnsi="Arial" w:cs="Arial"/>
                <w:szCs w:val="24"/>
                <w:u w:val="double"/>
              </w:rPr>
              <w:t>$  (</w:t>
            </w:r>
            <w:r w:rsidR="006E1CD1">
              <w:rPr>
                <w:rFonts w:ascii="Arial" w:eastAsia="Calibri" w:hAnsi="Arial" w:cs="Arial"/>
                <w:szCs w:val="24"/>
                <w:u w:val="double"/>
              </w:rPr>
              <w:t>26,779,161</w:t>
            </w:r>
            <w:r w:rsidRPr="004C5D7C">
              <w:rPr>
                <w:rFonts w:ascii="Arial" w:eastAsia="Calibri" w:hAnsi="Arial" w:cs="Arial"/>
                <w:szCs w:val="24"/>
                <w:u w:val="double"/>
              </w:rPr>
              <w:t>)</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4C5D7C">
            <w:pPr>
              <w:tabs>
                <w:tab w:val="decimal" w:pos="1524"/>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2070" w:type="dxa"/>
            <w:noWrap/>
            <w:vAlign w:val="bottom"/>
          </w:tcPr>
          <w:p w:rsidR="004C5D7C" w:rsidRPr="004C5D7C" w:rsidRDefault="004C5D7C" w:rsidP="004C5D7C">
            <w:pPr>
              <w:tabs>
                <w:tab w:val="decimal" w:pos="1605"/>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1890" w:type="dxa"/>
            <w:noWrap/>
            <w:vAlign w:val="bottom"/>
          </w:tcPr>
          <w:p w:rsidR="004C5D7C" w:rsidRPr="004C5D7C" w:rsidRDefault="004C5D7C" w:rsidP="0023043A">
            <w:pPr>
              <w:tabs>
                <w:tab w:val="decimal" w:pos="1605"/>
              </w:tabs>
              <w:jc w:val="right"/>
              <w:rPr>
                <w:rFonts w:ascii="Arial" w:hAnsi="Arial" w:cs="Arial"/>
                <w:szCs w:val="24"/>
                <w:u w:val="single"/>
              </w:rPr>
            </w:pPr>
          </w:p>
        </w:tc>
      </w:tr>
    </w:tbl>
    <w:p w:rsidR="00AD42E5" w:rsidRDefault="00AD42E5" w:rsidP="00AD42E5">
      <w:pPr>
        <w:jc w:val="both"/>
        <w:rPr>
          <w:rFonts w:ascii="Arial" w:hAnsi="Arial" w:cs="Arial"/>
          <w:szCs w:val="24"/>
        </w:rPr>
      </w:pPr>
    </w:p>
    <w:p w:rsidR="00437198" w:rsidRDefault="00437198" w:rsidP="00AD42E5">
      <w:pPr>
        <w:jc w:val="both"/>
        <w:rPr>
          <w:rFonts w:ascii="Arial" w:hAnsi="Arial" w:cs="Arial"/>
          <w:szCs w:val="24"/>
        </w:rPr>
      </w:pPr>
    </w:p>
    <w:p w:rsidR="00437198" w:rsidRDefault="00437198" w:rsidP="00AD42E5">
      <w:pPr>
        <w:jc w:val="both"/>
        <w:rPr>
          <w:rFonts w:ascii="Arial" w:hAnsi="Arial" w:cs="Arial"/>
          <w:szCs w:val="24"/>
        </w:rPr>
      </w:pPr>
    </w:p>
    <w:p w:rsidR="00AD42E5" w:rsidRDefault="00AD42E5" w:rsidP="00AD42E5">
      <w:pPr>
        <w:jc w:val="both"/>
        <w:rPr>
          <w:rFonts w:ascii="Arial" w:hAnsi="Arial" w:cs="Arial"/>
          <w:szCs w:val="24"/>
        </w:rPr>
      </w:pPr>
      <w:r>
        <w:rPr>
          <w:rFonts w:ascii="Arial" w:hAnsi="Arial" w:cs="Arial"/>
          <w:szCs w:val="24"/>
        </w:rPr>
        <w:t xml:space="preserve">* As reported to the Commission at Docket No. </w:t>
      </w:r>
      <w:r w:rsidRPr="00B77F02">
        <w:rPr>
          <w:rFonts w:ascii="Arial" w:hAnsi="Arial" w:cs="Arial"/>
          <w:szCs w:val="24"/>
        </w:rPr>
        <w:t>M-</w:t>
      </w:r>
      <w:r w:rsidR="00B4219D">
        <w:rPr>
          <w:rFonts w:ascii="Arial" w:hAnsi="Arial" w:cs="Arial"/>
          <w:szCs w:val="24"/>
        </w:rPr>
        <w:t>2014-</w:t>
      </w:r>
      <w:r w:rsidR="007D686D">
        <w:rPr>
          <w:rFonts w:ascii="Arial" w:hAnsi="Arial" w:cs="Arial"/>
          <w:szCs w:val="24"/>
        </w:rPr>
        <w:t>2419665</w:t>
      </w:r>
    </w:p>
    <w:p w:rsidR="00AD42E5" w:rsidRDefault="00AD42E5" w:rsidP="00AD42E5">
      <w:pPr>
        <w:jc w:val="both"/>
        <w:rPr>
          <w:rFonts w:ascii="Arial" w:hAnsi="Arial" w:cs="Arial"/>
          <w:szCs w:val="24"/>
        </w:rPr>
      </w:pPr>
    </w:p>
    <w:p w:rsidR="007925BC" w:rsidRDefault="00AD42E5" w:rsidP="00AD42E5">
      <w:pPr>
        <w:jc w:val="both"/>
        <w:rPr>
          <w:rFonts w:ascii="Arial" w:hAnsi="Arial" w:cs="Arial"/>
          <w:szCs w:val="24"/>
        </w:rPr>
      </w:pPr>
      <w:r w:rsidRPr="004D212C">
        <w:rPr>
          <w:rFonts w:ascii="Arial" w:hAnsi="Arial" w:cs="Arial"/>
          <w:szCs w:val="24"/>
        </w:rPr>
        <w:t>Notes to the Financial Statement</w:t>
      </w:r>
      <w:r w:rsidR="007925BC">
        <w:rPr>
          <w:rFonts w:ascii="Arial" w:hAnsi="Arial" w:cs="Arial"/>
          <w:szCs w:val="24"/>
        </w:rPr>
        <w:t>s</w:t>
      </w:r>
      <w:r w:rsidRPr="004D212C">
        <w:rPr>
          <w:rFonts w:ascii="Arial" w:hAnsi="Arial" w:cs="Arial"/>
          <w:szCs w:val="24"/>
        </w:rPr>
        <w:t xml:space="preserve"> are an integral part of this report.</w:t>
      </w:r>
    </w:p>
    <w:p w:rsidR="007925BC" w:rsidRDefault="007925BC">
      <w:pPr>
        <w:rPr>
          <w:rFonts w:ascii="Arial" w:hAnsi="Arial" w:cs="Arial"/>
          <w:szCs w:val="24"/>
        </w:rPr>
      </w:pPr>
      <w:r>
        <w:rPr>
          <w:rFonts w:ascii="Arial" w:hAnsi="Arial" w:cs="Arial"/>
          <w:szCs w:val="24"/>
        </w:rPr>
        <w:br w:type="page"/>
      </w:r>
    </w:p>
    <w:p w:rsidR="00603A6A" w:rsidRPr="00A872CB" w:rsidRDefault="009C7A49" w:rsidP="002C6FE9">
      <w:pPr>
        <w:jc w:val="center"/>
        <w:rPr>
          <w:rFonts w:ascii="Arial" w:hAnsi="Arial" w:cs="Arial"/>
          <w:sz w:val="26"/>
          <w:szCs w:val="26"/>
        </w:rPr>
      </w:pPr>
      <w:r>
        <w:rPr>
          <w:rFonts w:ascii="Arial" w:hAnsi="Arial" w:cs="Arial"/>
          <w:b/>
          <w:sz w:val="26"/>
          <w:szCs w:val="26"/>
        </w:rPr>
        <w:lastRenderedPageBreak/>
        <w:t>PPL ELECTRIC UTILITIES CORPORATION</w:t>
      </w:r>
    </w:p>
    <w:p w:rsidR="00274C7B" w:rsidRPr="00A872CB" w:rsidRDefault="00274C7B" w:rsidP="002C6FE9">
      <w:pPr>
        <w:jc w:val="center"/>
        <w:rPr>
          <w:rFonts w:ascii="Arial" w:hAnsi="Arial" w:cs="Arial"/>
          <w:b/>
          <w:szCs w:val="24"/>
        </w:rPr>
      </w:pPr>
    </w:p>
    <w:p w:rsidR="00603A6A" w:rsidRPr="004B713A" w:rsidRDefault="00A102E2" w:rsidP="002C6FE9">
      <w:pPr>
        <w:jc w:val="center"/>
        <w:rPr>
          <w:rFonts w:ascii="Arial" w:hAnsi="Arial" w:cs="Arial"/>
          <w:b/>
          <w:sz w:val="26"/>
          <w:szCs w:val="26"/>
        </w:rPr>
      </w:pPr>
      <w:r w:rsidRPr="004B713A">
        <w:rPr>
          <w:rFonts w:ascii="Arial" w:hAnsi="Arial" w:cs="Arial"/>
          <w:b/>
          <w:sz w:val="26"/>
          <w:szCs w:val="26"/>
        </w:rPr>
        <w:t>Notes To T</w:t>
      </w:r>
      <w:r w:rsidR="00603A6A" w:rsidRPr="004B713A">
        <w:rPr>
          <w:rFonts w:ascii="Arial" w:hAnsi="Arial" w:cs="Arial"/>
          <w:b/>
          <w:sz w:val="26"/>
          <w:szCs w:val="26"/>
        </w:rPr>
        <w:t>he Financial Statement</w:t>
      </w:r>
      <w:r w:rsidR="00AC2934">
        <w:rPr>
          <w:rFonts w:ascii="Arial" w:hAnsi="Arial" w:cs="Arial"/>
          <w:b/>
          <w:sz w:val="26"/>
          <w:szCs w:val="26"/>
        </w:rPr>
        <w:t>s</w:t>
      </w:r>
    </w:p>
    <w:p w:rsidR="00603A6A" w:rsidRPr="00274C7B" w:rsidRDefault="00603A6A" w:rsidP="002C6FE9">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rsidR="00A872CB" w:rsidRDefault="00A872CB" w:rsidP="002C6FE9">
      <w:pPr>
        <w:rPr>
          <w:rFonts w:ascii="Arial" w:hAnsi="Arial" w:cs="Arial"/>
          <w:b/>
          <w:szCs w:val="24"/>
          <w:u w:val="single"/>
        </w:rPr>
      </w:pPr>
    </w:p>
    <w:p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650F45">
        <w:rPr>
          <w:rFonts w:ascii="Arial" w:hAnsi="Arial" w:cs="Arial"/>
          <w:szCs w:val="24"/>
        </w:rPr>
        <w:t>Generation Supply Charge-1 (GSC-1)</w:t>
      </w:r>
      <w:r>
        <w:rPr>
          <w:rFonts w:ascii="Arial" w:hAnsi="Arial" w:cs="Arial"/>
          <w:szCs w:val="24"/>
        </w:rPr>
        <w:t xml:space="preserve"> Over/(Under)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for the purpose of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or Company) officially filed 1307(e) </w:t>
      </w:r>
      <w:r w:rsidR="00DB5B84">
        <w:rPr>
          <w:rFonts w:ascii="Arial" w:hAnsi="Arial" w:cs="Arial"/>
          <w:szCs w:val="24"/>
        </w:rPr>
        <w:t>s</w:t>
      </w:r>
      <w:r>
        <w:rPr>
          <w:rFonts w:ascii="Arial" w:hAnsi="Arial" w:cs="Arial"/>
          <w:szCs w:val="24"/>
        </w:rPr>
        <w:t>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A96E21">
        <w:rPr>
          <w:rFonts w:ascii="Arial" w:hAnsi="Arial" w:cs="Arial"/>
          <w:szCs w:val="26"/>
        </w:rPr>
        <w:t>May 14</w:t>
      </w:r>
      <w:r w:rsidR="00223812">
        <w:rPr>
          <w:rFonts w:ascii="Arial" w:hAnsi="Arial" w:cs="Arial"/>
          <w:szCs w:val="26"/>
        </w:rPr>
        <w:t>, 201</w:t>
      </w:r>
      <w:r w:rsidR="009B30FF">
        <w:rPr>
          <w:rFonts w:ascii="Arial" w:hAnsi="Arial" w:cs="Arial"/>
          <w:szCs w:val="26"/>
        </w:rPr>
        <w:t>5</w:t>
      </w:r>
      <w:r w:rsidR="00087B16" w:rsidRPr="00223812">
        <w:rPr>
          <w:rFonts w:ascii="Arial" w:hAnsi="Arial" w:cs="Arial"/>
          <w:szCs w:val="24"/>
        </w:rPr>
        <w:t xml:space="preserve"> and </w:t>
      </w:r>
      <w:r w:rsidR="00D01E10">
        <w:rPr>
          <w:rFonts w:ascii="Arial" w:hAnsi="Arial" w:cs="Arial"/>
          <w:szCs w:val="26"/>
        </w:rPr>
        <w:t>May 2</w:t>
      </w:r>
      <w:r w:rsidR="00510142">
        <w:rPr>
          <w:rFonts w:ascii="Arial" w:hAnsi="Arial" w:cs="Arial"/>
          <w:szCs w:val="26"/>
        </w:rPr>
        <w:t>0</w:t>
      </w:r>
      <w:r w:rsidR="001514EB" w:rsidRPr="009B30FF">
        <w:rPr>
          <w:rFonts w:ascii="Arial" w:hAnsi="Arial" w:cs="Arial"/>
          <w:szCs w:val="26"/>
        </w:rPr>
        <w:t xml:space="preserve">, </w:t>
      </w:r>
      <w:r w:rsidR="00223812">
        <w:rPr>
          <w:rFonts w:ascii="Arial" w:hAnsi="Arial" w:cs="Arial"/>
          <w:szCs w:val="26"/>
        </w:rPr>
        <w:t>201</w:t>
      </w:r>
      <w:r w:rsidR="009B30FF">
        <w:rPr>
          <w:rFonts w:ascii="Arial" w:hAnsi="Arial" w:cs="Arial"/>
          <w:szCs w:val="26"/>
        </w:rPr>
        <w:t>4</w:t>
      </w:r>
      <w:r w:rsidR="00920F5F">
        <w:rPr>
          <w:rFonts w:ascii="Arial" w:hAnsi="Arial" w:cs="Arial"/>
          <w:szCs w:val="24"/>
        </w:rPr>
        <w:t xml:space="preserve"> and are</w:t>
      </w:r>
      <w:r>
        <w:rPr>
          <w:rFonts w:ascii="Arial" w:hAnsi="Arial" w:cs="Arial"/>
          <w:szCs w:val="24"/>
        </w:rPr>
        <w:t xml:space="preserve"> available at Docket No</w:t>
      </w:r>
      <w:r w:rsidR="00BB70B4">
        <w:rPr>
          <w:rFonts w:ascii="Arial" w:hAnsi="Arial" w:cs="Arial"/>
          <w:szCs w:val="24"/>
        </w:rPr>
        <w:t>s</w:t>
      </w:r>
      <w:r w:rsidR="00B84F69">
        <w:rPr>
          <w:rFonts w:ascii="Arial" w:hAnsi="Arial" w:cs="Arial"/>
          <w:szCs w:val="24"/>
        </w:rPr>
        <w:t xml:space="preserve">. </w:t>
      </w:r>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0F7F9C">
        <w:rPr>
          <w:rFonts w:ascii="Arial" w:hAnsi="Arial" w:cs="Arial"/>
          <w:szCs w:val="24"/>
        </w:rPr>
        <w:t>5</w:t>
      </w:r>
      <w:r w:rsidR="0019642C" w:rsidRPr="00BB70B4">
        <w:rPr>
          <w:rFonts w:ascii="Arial" w:hAnsi="Arial" w:cs="Arial"/>
          <w:szCs w:val="24"/>
        </w:rPr>
        <w:noBreakHyphen/>
      </w:r>
      <w:r w:rsidR="00415568">
        <w:rPr>
          <w:rFonts w:ascii="Arial" w:hAnsi="Arial" w:cs="Arial"/>
          <w:szCs w:val="24"/>
        </w:rPr>
        <w:t>2481531</w:t>
      </w:r>
      <w:r w:rsidR="00DB7D54">
        <w:rPr>
          <w:rFonts w:ascii="Arial" w:hAnsi="Arial" w:cs="Arial"/>
          <w:szCs w:val="24"/>
        </w:rPr>
        <w:t xml:space="preserve"> and </w:t>
      </w:r>
      <w:r w:rsidR="00B84F69">
        <w:rPr>
          <w:rFonts w:ascii="Arial" w:hAnsi="Arial" w:cs="Arial"/>
          <w:szCs w:val="24"/>
        </w:rPr>
        <w:t>M</w:t>
      </w:r>
      <w:r w:rsidR="00B84F69">
        <w:rPr>
          <w:rFonts w:ascii="Arial" w:hAnsi="Arial" w:cs="Arial"/>
          <w:szCs w:val="24"/>
        </w:rPr>
        <w:noBreakHyphen/>
        <w:t>2014</w:t>
      </w:r>
      <w:r w:rsidR="00B84F69">
        <w:rPr>
          <w:rFonts w:ascii="Arial" w:hAnsi="Arial" w:cs="Arial"/>
          <w:szCs w:val="24"/>
        </w:rPr>
        <w:noBreakHyphen/>
      </w:r>
      <w:r w:rsidR="00415568">
        <w:rPr>
          <w:rFonts w:ascii="Arial" w:hAnsi="Arial" w:cs="Arial"/>
          <w:szCs w:val="24"/>
        </w:rPr>
        <w:t>2419665</w:t>
      </w:r>
      <w:r w:rsidR="00EF3EAA">
        <w:rPr>
          <w:rFonts w:ascii="Arial" w:hAnsi="Arial" w:cs="Arial"/>
          <w:szCs w:val="24"/>
        </w:rPr>
        <w:t>, respectively</w:t>
      </w:r>
      <w:r w:rsidR="009E480C">
        <w:rPr>
          <w:rFonts w:ascii="Arial" w:hAnsi="Arial" w:cs="Arial"/>
          <w:szCs w:val="24"/>
        </w:rPr>
        <w:t>,</w:t>
      </w:r>
      <w:r w:rsidR="00920F5F">
        <w:rPr>
          <w:rFonts w:ascii="Arial" w:hAnsi="Arial" w:cs="Arial"/>
          <w:szCs w:val="24"/>
        </w:rPr>
        <w:t xml:space="preserve"> at</w:t>
      </w:r>
      <w:r>
        <w:rPr>
          <w:rFonts w:ascii="Arial" w:hAnsi="Arial" w:cs="Arial"/>
          <w:szCs w:val="24"/>
        </w:rPr>
        <w:t xml:space="preserve"> </w:t>
      </w:r>
      <w:hyperlink r:id="rId31" w:history="1">
        <w:r w:rsidR="00EF3EAA" w:rsidRPr="005167A9">
          <w:rPr>
            <w:rStyle w:val="Hyperlink"/>
            <w:rFonts w:ascii="Arial" w:hAnsi="Arial" w:cs="Arial"/>
            <w:szCs w:val="24"/>
          </w:rPr>
          <w:t>http://www.puc.pa.gov</w:t>
        </w:r>
      </w:hyperlink>
      <w:r w:rsidR="00EF3EAA">
        <w:rPr>
          <w:rFonts w:ascii="Arial" w:hAnsi="Arial" w:cs="Arial"/>
          <w:szCs w:val="24"/>
        </w:rPr>
        <w:t>.</w:t>
      </w:r>
    </w:p>
    <w:p w:rsidR="00A872CB" w:rsidRDefault="00A872CB" w:rsidP="002C6FE9">
      <w:pPr>
        <w:rPr>
          <w:rFonts w:ascii="Arial" w:hAnsi="Arial" w:cs="Arial"/>
          <w:b/>
          <w:szCs w:val="24"/>
          <w:u w:val="single"/>
        </w:rPr>
      </w:pPr>
    </w:p>
    <w:p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0F5ADB">
        <w:rPr>
          <w:rFonts w:ascii="Arial" w:hAnsi="Arial" w:cs="Arial"/>
          <w:b/>
          <w:szCs w:val="24"/>
          <w:u w:val="single"/>
        </w:rPr>
        <w:t>G</w:t>
      </w:r>
      <w:r w:rsidR="00CA6607" w:rsidRPr="008452A6">
        <w:rPr>
          <w:rFonts w:ascii="Arial" w:hAnsi="Arial" w:cs="Arial"/>
          <w:b/>
          <w:szCs w:val="24"/>
          <w:u w:val="single"/>
        </w:rPr>
        <w:t>S</w:t>
      </w:r>
      <w:r w:rsidR="00A64B53" w:rsidRPr="008452A6">
        <w:rPr>
          <w:rFonts w:ascii="Arial" w:hAnsi="Arial" w:cs="Arial"/>
          <w:b/>
          <w:szCs w:val="24"/>
          <w:u w:val="single"/>
        </w:rPr>
        <w:t>C</w:t>
      </w:r>
      <w:r w:rsidR="000F5ADB">
        <w:rPr>
          <w:rFonts w:ascii="Arial" w:hAnsi="Arial" w:cs="Arial"/>
          <w:b/>
          <w:szCs w:val="24"/>
          <w:u w:val="single"/>
        </w:rPr>
        <w:t>-1</w:t>
      </w:r>
      <w:r w:rsidR="00574D7F" w:rsidRPr="008452A6">
        <w:rPr>
          <w:rFonts w:ascii="Arial" w:hAnsi="Arial" w:cs="Arial"/>
          <w:b/>
          <w:szCs w:val="24"/>
          <w:u w:val="single"/>
        </w:rPr>
        <w:t xml:space="preserve"> Revenues</w:t>
      </w:r>
    </w:p>
    <w:p w:rsidR="00574D7F" w:rsidRPr="008452A6" w:rsidRDefault="00574D7F" w:rsidP="00574D7F">
      <w:pPr>
        <w:tabs>
          <w:tab w:val="decimal" w:pos="6120"/>
          <w:tab w:val="decimal" w:pos="7560"/>
        </w:tabs>
        <w:jc w:val="both"/>
        <w:rPr>
          <w:rFonts w:ascii="Arial" w:hAnsi="Arial" w:cs="Arial"/>
          <w:szCs w:val="24"/>
        </w:rPr>
      </w:pPr>
    </w:p>
    <w:p w:rsidR="00556547" w:rsidRPr="00274C7B" w:rsidRDefault="00574D7F" w:rsidP="00556547">
      <w:pPr>
        <w:pStyle w:val="BlockText"/>
        <w:ind w:left="375" w:hanging="634"/>
        <w:rPr>
          <w:rFonts w:ascii="Arial" w:hAnsi="Arial" w:cs="Arial"/>
          <w:szCs w:val="24"/>
        </w:rPr>
      </w:pPr>
      <w:r w:rsidRPr="008452A6">
        <w:rPr>
          <w:rFonts w:ascii="Arial" w:hAnsi="Arial" w:cs="Arial"/>
          <w:szCs w:val="24"/>
        </w:rPr>
        <w:tab/>
      </w:r>
      <w:r w:rsidR="00497111">
        <w:rPr>
          <w:rFonts w:ascii="Arial" w:hAnsi="Arial" w:cs="Arial"/>
          <w:szCs w:val="24"/>
        </w:rPr>
        <w:t>G</w:t>
      </w:r>
      <w:r w:rsidR="00CA6607" w:rsidRPr="008452A6">
        <w:rPr>
          <w:rFonts w:ascii="Arial" w:hAnsi="Arial" w:cs="Arial"/>
          <w:szCs w:val="24"/>
        </w:rPr>
        <w:t>S</w:t>
      </w:r>
      <w:r w:rsidR="00A64B53" w:rsidRPr="008452A6">
        <w:rPr>
          <w:rFonts w:ascii="Arial" w:hAnsi="Arial" w:cs="Arial"/>
          <w:szCs w:val="24"/>
        </w:rPr>
        <w:t>C</w:t>
      </w:r>
      <w:r w:rsidR="00497111">
        <w:rPr>
          <w:rFonts w:ascii="Arial" w:hAnsi="Arial" w:cs="Arial"/>
          <w:szCs w:val="24"/>
        </w:rPr>
        <w:t>-1</w:t>
      </w:r>
      <w:r w:rsidR="00EB552D" w:rsidRPr="008452A6">
        <w:rPr>
          <w:rFonts w:ascii="Arial" w:hAnsi="Arial" w:cs="Arial"/>
          <w:szCs w:val="24"/>
        </w:rPr>
        <w:t xml:space="preserve"> Revenues</w:t>
      </w:r>
      <w:r w:rsidR="00122823" w:rsidRPr="008452A6">
        <w:rPr>
          <w:rFonts w:ascii="Arial" w:hAnsi="Arial" w:cs="Arial"/>
          <w:szCs w:val="24"/>
        </w:rPr>
        <w:t xml:space="preserve"> </w:t>
      </w:r>
      <w:r w:rsidR="00556547" w:rsidRPr="002D0A9C">
        <w:rPr>
          <w:rFonts w:ascii="Arial" w:hAnsi="Arial" w:cs="Arial"/>
          <w:szCs w:val="24"/>
        </w:rPr>
        <w:t xml:space="preserve">are derived by multiplying the sales volumes billed during the month by the applicable </w:t>
      </w:r>
      <w:r w:rsidR="00556547">
        <w:rPr>
          <w:rFonts w:ascii="Arial" w:hAnsi="Arial" w:cs="Arial"/>
          <w:szCs w:val="24"/>
        </w:rPr>
        <w:t>GSC-1</w:t>
      </w:r>
      <w:r w:rsidR="00556547" w:rsidRPr="002D0A9C">
        <w:rPr>
          <w:rFonts w:ascii="Arial" w:hAnsi="Arial" w:cs="Arial"/>
          <w:szCs w:val="24"/>
        </w:rPr>
        <w:t xml:space="preserve"> rate, excluding E-Factor, to each kilowatt-hour (kWh) of en</w:t>
      </w:r>
      <w:r w:rsidR="00556547">
        <w:rPr>
          <w:rFonts w:ascii="Arial" w:hAnsi="Arial" w:cs="Arial"/>
          <w:szCs w:val="24"/>
        </w:rPr>
        <w:t xml:space="preserve">ergy </w:t>
      </w:r>
      <w:r w:rsidR="00556547" w:rsidRPr="002A05FA">
        <w:rPr>
          <w:rFonts w:ascii="Arial" w:hAnsi="Arial" w:cs="Arial"/>
          <w:szCs w:val="24"/>
        </w:rPr>
        <w:t xml:space="preserve">supplied to each Residential and Small Commercial and Industrial (C&amp;I) customer who takes Basic Utility Supply Service (BUSS), as defined in the GSC-1 Tariff Rider.  </w:t>
      </w:r>
    </w:p>
    <w:p w:rsidR="00574D7F" w:rsidRPr="00274C7B" w:rsidRDefault="00574D7F" w:rsidP="00574D7F">
      <w:pPr>
        <w:tabs>
          <w:tab w:val="decimal" w:pos="6120"/>
          <w:tab w:val="decimal" w:pos="7560"/>
        </w:tabs>
        <w:rPr>
          <w:rFonts w:ascii="Arial" w:hAnsi="Arial" w:cs="Arial"/>
          <w:szCs w:val="24"/>
        </w:rPr>
      </w:pPr>
    </w:p>
    <w:p w:rsidR="007E3F5B" w:rsidRPr="007E3F5B" w:rsidRDefault="00BB63D5"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GSC-1 Expenses</w:t>
      </w:r>
    </w:p>
    <w:p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rsidR="007E3F5B" w:rsidRPr="007E3F5B" w:rsidRDefault="00EA5A7B" w:rsidP="007E3F5B">
      <w:pPr>
        <w:suppressAutoHyphens/>
        <w:overflowPunct w:val="0"/>
        <w:autoSpaceDE w:val="0"/>
        <w:autoSpaceDN w:val="0"/>
        <w:adjustRightInd w:val="0"/>
        <w:ind w:left="360"/>
        <w:textAlignment w:val="baseline"/>
        <w:rPr>
          <w:rFonts w:ascii="Arial" w:hAnsi="Arial" w:cs="Arial"/>
        </w:rPr>
      </w:pPr>
      <w:r>
        <w:rPr>
          <w:rFonts w:ascii="Arial" w:hAnsi="Arial" w:cs="Arial"/>
          <w:szCs w:val="24"/>
        </w:rPr>
        <w:t>The GSC-1 E</w:t>
      </w:r>
      <w:r w:rsidR="007E3F5B" w:rsidRPr="007E3F5B">
        <w:rPr>
          <w:rFonts w:ascii="Arial" w:hAnsi="Arial" w:cs="Arial"/>
          <w:szCs w:val="24"/>
        </w:rPr>
        <w:t>xpenses are actual expenses incurred to provide generation supply service to Residential and Small C&amp;I customers receiving default service.  The GSC</w:t>
      </w:r>
      <w:r w:rsidR="007E3F5B" w:rsidRPr="007E3F5B">
        <w:rPr>
          <w:rFonts w:ascii="Arial" w:hAnsi="Arial" w:cs="Arial"/>
          <w:szCs w:val="24"/>
        </w:rPr>
        <w:noBreakHyphen/>
        <w:t xml:space="preserve">1 expenses include payments to power suppliers (i.e., RFP Bidders), </w:t>
      </w:r>
      <w:r w:rsidR="007E3F5B" w:rsidRPr="007E3F5B">
        <w:rPr>
          <w:rFonts w:ascii="Arial" w:hAnsi="Arial" w:cs="Arial"/>
        </w:rPr>
        <w:t>energy procurement expenses related to PJM Reliability Pricing Model capacity costs, other PJM-related expenses, net metering expenses</w:t>
      </w:r>
      <w:r w:rsidR="00C139DF">
        <w:rPr>
          <w:rFonts w:ascii="Arial" w:hAnsi="Arial" w:cs="Arial"/>
        </w:rPr>
        <w:t>,</w:t>
      </w:r>
      <w:r w:rsidR="007E3F5B" w:rsidRPr="007E3F5B">
        <w:rPr>
          <w:rFonts w:ascii="Arial" w:hAnsi="Arial" w:cs="Arial"/>
        </w:rPr>
        <w:t xml:space="preserve"> and administrative expenses</w:t>
      </w:r>
      <w:r w:rsidR="00D1655B">
        <w:rPr>
          <w:rFonts w:ascii="Arial" w:hAnsi="Arial" w:cs="Arial"/>
        </w:rPr>
        <w:t>.</w:t>
      </w:r>
      <w:r w:rsidR="007E3F5B" w:rsidRPr="007E3F5B">
        <w:rPr>
          <w:rFonts w:ascii="Arial" w:hAnsi="Arial" w:cs="Arial"/>
        </w:rPr>
        <w:t xml:space="preserve">  </w:t>
      </w:r>
    </w:p>
    <w:p w:rsidR="00702AE9" w:rsidRDefault="00702AE9" w:rsidP="00A61F83">
      <w:pPr>
        <w:pStyle w:val="BlockText"/>
        <w:ind w:left="375" w:right="0" w:hanging="634"/>
        <w:rPr>
          <w:rFonts w:ascii="Arial" w:hAnsi="Arial" w:cs="Arial"/>
          <w:szCs w:val="24"/>
        </w:rPr>
      </w:pPr>
    </w:p>
    <w:p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Over/(Under) Collections</w:t>
      </w:r>
    </w:p>
    <w:p w:rsidR="00A61F83" w:rsidRPr="00274C7B" w:rsidRDefault="00A61F83" w:rsidP="00A61F83">
      <w:pPr>
        <w:tabs>
          <w:tab w:val="decimal" w:pos="6120"/>
          <w:tab w:val="decimal" w:pos="7560"/>
        </w:tabs>
        <w:rPr>
          <w:rFonts w:ascii="Arial" w:hAnsi="Arial" w:cs="Arial"/>
          <w:szCs w:val="24"/>
          <w:u w:val="single"/>
        </w:rPr>
      </w:pPr>
    </w:p>
    <w:p w:rsidR="0033021B" w:rsidRPr="0033021B" w:rsidRDefault="00A61F83" w:rsidP="0033021B">
      <w:pPr>
        <w:tabs>
          <w:tab w:val="left" w:pos="360"/>
        </w:tabs>
        <w:ind w:left="360"/>
        <w:rPr>
          <w:rFonts w:ascii="Arial" w:hAnsi="Arial" w:cs="Arial"/>
          <w:szCs w:val="24"/>
        </w:rPr>
      </w:pPr>
      <w:r>
        <w:rPr>
          <w:rFonts w:ascii="Arial" w:hAnsi="Arial" w:cs="Arial"/>
          <w:szCs w:val="24"/>
        </w:rPr>
        <w:t xml:space="preserve">The </w:t>
      </w:r>
      <w:r w:rsidRPr="00274C7B">
        <w:rPr>
          <w:rFonts w:ascii="Arial" w:hAnsi="Arial" w:cs="Arial"/>
          <w:szCs w:val="24"/>
        </w:rPr>
        <w:t xml:space="preserve">Over/(Under) Collections are the differences between the </w:t>
      </w:r>
      <w:r w:rsidR="00A70BBA">
        <w:rPr>
          <w:rFonts w:ascii="Arial" w:hAnsi="Arial" w:cs="Arial"/>
          <w:szCs w:val="24"/>
        </w:rPr>
        <w:t>GSC-1</w:t>
      </w:r>
      <w:r w:rsidR="00646799">
        <w:rPr>
          <w:rFonts w:ascii="Arial" w:hAnsi="Arial" w:cs="Arial"/>
          <w:szCs w:val="24"/>
        </w:rPr>
        <w:t xml:space="preserve"> Revenues</w:t>
      </w:r>
      <w:r>
        <w:rPr>
          <w:rFonts w:ascii="Arial" w:hAnsi="Arial" w:cs="Arial"/>
          <w:szCs w:val="24"/>
        </w:rPr>
        <w:t xml:space="preserve"> </w:t>
      </w:r>
      <w:r w:rsidRPr="00274C7B">
        <w:rPr>
          <w:rFonts w:ascii="Arial" w:hAnsi="Arial" w:cs="Arial"/>
          <w:szCs w:val="24"/>
        </w:rPr>
        <w:t xml:space="preserve">and the </w:t>
      </w:r>
      <w:r w:rsidR="000F5ADB">
        <w:rPr>
          <w:rFonts w:ascii="Arial" w:hAnsi="Arial" w:cs="Arial"/>
          <w:szCs w:val="24"/>
        </w:rPr>
        <w:t>G</w:t>
      </w:r>
      <w:r w:rsidR="00702AE9">
        <w:rPr>
          <w:rFonts w:ascii="Arial" w:hAnsi="Arial" w:cs="Arial"/>
          <w:szCs w:val="24"/>
        </w:rPr>
        <w:t>S</w:t>
      </w:r>
      <w:r>
        <w:rPr>
          <w:rFonts w:ascii="Arial" w:hAnsi="Arial" w:cs="Arial"/>
          <w:szCs w:val="24"/>
        </w:rPr>
        <w:t>C</w:t>
      </w:r>
      <w:r w:rsidR="000F5ADB">
        <w:rPr>
          <w:rFonts w:ascii="Arial" w:hAnsi="Arial" w:cs="Arial"/>
          <w:szCs w:val="24"/>
        </w:rPr>
        <w:t>-1</w:t>
      </w:r>
      <w:r w:rsidRPr="00274C7B">
        <w:rPr>
          <w:rFonts w:ascii="Arial" w:hAnsi="Arial" w:cs="Arial"/>
          <w:szCs w:val="24"/>
        </w:rPr>
        <w:t xml:space="preserve"> </w:t>
      </w:r>
      <w:r w:rsidR="0033021B" w:rsidRPr="0033021B">
        <w:rPr>
          <w:rFonts w:ascii="Arial" w:hAnsi="Arial" w:cs="Arial"/>
          <w:szCs w:val="24"/>
        </w:rPr>
        <w:t xml:space="preserve">Expenses.  The resulting amounts represent the portion of GSC-1 Revenues refundable to or </w:t>
      </w:r>
      <w:r w:rsidR="00646799">
        <w:rPr>
          <w:rFonts w:ascii="Arial" w:hAnsi="Arial" w:cs="Arial"/>
          <w:szCs w:val="24"/>
        </w:rPr>
        <w:t>GSC-1 E</w:t>
      </w:r>
      <w:r w:rsidR="0033021B" w:rsidRPr="0033021B">
        <w:rPr>
          <w:rFonts w:ascii="Arial" w:hAnsi="Arial" w:cs="Arial"/>
          <w:szCs w:val="24"/>
        </w:rPr>
        <w:t>xpenses recoverable from customers through subsequent GSC-1 filings.  Interest is applied to both over and under collections.  Differences arise for two primary reasons:</w:t>
      </w:r>
    </w:p>
    <w:p w:rsidR="0033021B" w:rsidRPr="0033021B" w:rsidRDefault="0033021B" w:rsidP="0033021B">
      <w:pPr>
        <w:overflowPunct w:val="0"/>
        <w:autoSpaceDE w:val="0"/>
        <w:autoSpaceDN w:val="0"/>
        <w:adjustRightInd w:val="0"/>
        <w:textAlignment w:val="baseline"/>
      </w:pPr>
    </w:p>
    <w:p w:rsidR="00C11899" w:rsidRDefault="0033021B" w:rsidP="00C11899">
      <w:pPr>
        <w:numPr>
          <w:ilvl w:val="0"/>
          <w:numId w:val="3"/>
        </w:numPr>
        <w:overflowPunct w:val="0"/>
        <w:autoSpaceDE w:val="0"/>
        <w:autoSpaceDN w:val="0"/>
        <w:adjustRightInd w:val="0"/>
        <w:ind w:left="1080"/>
        <w:textAlignment w:val="baseline"/>
        <w:rPr>
          <w:rFonts w:ascii="Arial" w:hAnsi="Arial" w:cs="Arial"/>
          <w:szCs w:val="24"/>
        </w:rPr>
      </w:pPr>
      <w:r w:rsidRPr="0033021B">
        <w:rPr>
          <w:rFonts w:ascii="Arial" w:hAnsi="Arial" w:cs="Arial"/>
          <w:szCs w:val="24"/>
        </w:rPr>
        <w:t>Variations between the actual monthly volumes billed to customers and the estimates used to determine the GSC-1 rate</w:t>
      </w:r>
      <w:r w:rsidR="003275EC">
        <w:rPr>
          <w:rFonts w:ascii="Arial" w:hAnsi="Arial" w:cs="Arial"/>
          <w:szCs w:val="24"/>
        </w:rPr>
        <w:t>s</w:t>
      </w:r>
      <w:r w:rsidRPr="0033021B">
        <w:rPr>
          <w:rFonts w:ascii="Arial" w:hAnsi="Arial" w:cs="Arial"/>
          <w:szCs w:val="24"/>
        </w:rPr>
        <w:t>.</w:t>
      </w:r>
    </w:p>
    <w:p w:rsidR="00646799" w:rsidRDefault="00646799" w:rsidP="00646799">
      <w:pPr>
        <w:overflowPunct w:val="0"/>
        <w:autoSpaceDE w:val="0"/>
        <w:autoSpaceDN w:val="0"/>
        <w:adjustRightInd w:val="0"/>
        <w:ind w:left="720"/>
        <w:textAlignment w:val="baseline"/>
        <w:rPr>
          <w:rFonts w:ascii="Arial" w:hAnsi="Arial" w:cs="Arial"/>
          <w:szCs w:val="24"/>
        </w:rPr>
      </w:pPr>
    </w:p>
    <w:p w:rsidR="00841E22" w:rsidRPr="00C11899" w:rsidRDefault="0033021B" w:rsidP="00C11899">
      <w:pPr>
        <w:numPr>
          <w:ilvl w:val="0"/>
          <w:numId w:val="3"/>
        </w:numPr>
        <w:overflowPunct w:val="0"/>
        <w:autoSpaceDE w:val="0"/>
        <w:autoSpaceDN w:val="0"/>
        <w:adjustRightInd w:val="0"/>
        <w:ind w:left="1080"/>
        <w:textAlignment w:val="baseline"/>
        <w:rPr>
          <w:rFonts w:ascii="Arial" w:hAnsi="Arial" w:cs="Arial"/>
          <w:szCs w:val="24"/>
        </w:rPr>
        <w:sectPr w:rsidR="00841E22" w:rsidRPr="00C11899" w:rsidSect="0032421B">
          <w:pgSz w:w="12240" w:h="15840" w:code="1"/>
          <w:pgMar w:top="1440" w:right="1440" w:bottom="1440" w:left="1440" w:header="720" w:footer="720" w:gutter="0"/>
          <w:pgNumType w:fmt="numberInDash" w:start="3"/>
          <w:cols w:space="720"/>
          <w:noEndnote/>
          <w:docGrid w:linePitch="326"/>
        </w:sectPr>
      </w:pPr>
      <w:r w:rsidRPr="00C11899">
        <w:rPr>
          <w:rFonts w:ascii="Arial" w:hAnsi="Arial" w:cs="Arial"/>
          <w:szCs w:val="24"/>
        </w:rPr>
        <w:t>Variations between the actual GSC-1 expenses and the estimates used to determine the GSC-1 rate</w:t>
      </w:r>
      <w:r w:rsidR="003275EC">
        <w:rPr>
          <w:rFonts w:ascii="Arial" w:hAnsi="Arial" w:cs="Arial"/>
          <w:szCs w:val="24"/>
        </w:rPr>
        <w:t>s</w:t>
      </w:r>
      <w:r w:rsidRPr="00C11899">
        <w:rPr>
          <w:rFonts w:ascii="Arial" w:hAnsi="Arial" w:cs="Arial"/>
          <w:szCs w:val="24"/>
        </w:rPr>
        <w:t>.</w:t>
      </w:r>
    </w:p>
    <w:p w:rsidR="00867BCA" w:rsidRPr="00A872CB" w:rsidRDefault="00867BCA" w:rsidP="00867BCA">
      <w:pPr>
        <w:jc w:val="center"/>
        <w:rPr>
          <w:rFonts w:ascii="Arial" w:hAnsi="Arial" w:cs="Arial"/>
          <w:b/>
          <w:szCs w:val="24"/>
        </w:rPr>
      </w:pPr>
    </w:p>
    <w:p w:rsidR="00867BCA" w:rsidRPr="004B713A" w:rsidRDefault="00867BCA" w:rsidP="00867BCA">
      <w:pPr>
        <w:jc w:val="center"/>
        <w:rPr>
          <w:rFonts w:ascii="Arial" w:hAnsi="Arial" w:cs="Arial"/>
          <w:b/>
          <w:sz w:val="26"/>
          <w:szCs w:val="26"/>
        </w:rPr>
      </w:pPr>
    </w:p>
    <w:p w:rsidR="00A102E2" w:rsidRPr="00274C7B" w:rsidRDefault="00A102E2" w:rsidP="00872410">
      <w:pPr>
        <w:tabs>
          <w:tab w:val="left" w:pos="540"/>
          <w:tab w:val="left" w:pos="1170"/>
          <w:tab w:val="decimal" w:pos="6120"/>
          <w:tab w:val="decimal" w:pos="7560"/>
        </w:tabs>
        <w:jc w:val="both"/>
        <w:rPr>
          <w:rFonts w:ascii="Arial" w:hAnsi="Arial" w:cs="Arial"/>
          <w:szCs w:val="24"/>
        </w:rPr>
        <w:sectPr w:rsidR="00A102E2" w:rsidRPr="00274C7B" w:rsidSect="00B84ECC">
          <w:headerReference w:type="even" r:id="rId32"/>
          <w:headerReference w:type="default" r:id="rId33"/>
          <w:footerReference w:type="default" r:id="rId34"/>
          <w:headerReference w:type="first" r:id="rId35"/>
          <w:pgSz w:w="12240" w:h="15840" w:code="1"/>
          <w:pgMar w:top="1440" w:right="1440" w:bottom="1440" w:left="1440" w:header="720" w:footer="720" w:gutter="0"/>
          <w:pgNumType w:fmt="numberInDash" w:start="2"/>
          <w:cols w:space="720"/>
          <w:noEndnote/>
          <w:docGrid w:linePitch="326"/>
        </w:sectPr>
      </w:pPr>
    </w:p>
    <w:p w:rsidR="00A102E2" w:rsidRDefault="00A102E2" w:rsidP="00872410">
      <w:pPr>
        <w:tabs>
          <w:tab w:val="left" w:pos="8640"/>
        </w:tabs>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A54BE6" w:rsidRDefault="00A54BE6" w:rsidP="00B203A1">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C7615" w:rsidRPr="00533F20" w:rsidRDefault="009C7615" w:rsidP="002C6FE9">
      <w:pPr>
        <w:tabs>
          <w:tab w:val="left" w:pos="8640"/>
        </w:tabs>
        <w:jc w:val="center"/>
        <w:rPr>
          <w:rFonts w:ascii="Arial" w:hAnsi="Arial" w:cs="Arial"/>
          <w:b/>
          <w:sz w:val="36"/>
          <w:szCs w:val="36"/>
        </w:rPr>
      </w:pPr>
      <w:r w:rsidRPr="00533F20">
        <w:rPr>
          <w:rFonts w:ascii="Arial" w:hAnsi="Arial" w:cs="Arial"/>
          <w:b/>
          <w:sz w:val="36"/>
          <w:szCs w:val="36"/>
        </w:rPr>
        <w:t>BACKGROUND</w:t>
      </w:r>
    </w:p>
    <w:p w:rsidR="009C7615" w:rsidRDefault="009C7615" w:rsidP="002C6FE9">
      <w:pPr>
        <w:tabs>
          <w:tab w:val="left" w:pos="8640"/>
        </w:tabs>
        <w:jc w:val="center"/>
        <w:rPr>
          <w:rFonts w:ascii="Arial" w:hAnsi="Arial" w:cs="Arial"/>
          <w:b/>
          <w:sz w:val="36"/>
          <w:szCs w:val="36"/>
        </w:rPr>
      </w:pPr>
    </w:p>
    <w:p w:rsidR="009C7615" w:rsidRDefault="009C7615" w:rsidP="002C6FE9">
      <w:pPr>
        <w:tabs>
          <w:tab w:val="left" w:pos="8640"/>
        </w:tabs>
        <w:jc w:val="center"/>
        <w:rPr>
          <w:rFonts w:ascii="Arial" w:hAnsi="Arial" w:cs="Arial"/>
          <w:b/>
          <w:sz w:val="36"/>
          <w:szCs w:val="36"/>
        </w:rPr>
      </w:pPr>
      <w:r>
        <w:rPr>
          <w:rFonts w:ascii="Arial" w:hAnsi="Arial" w:cs="Arial"/>
          <w:b/>
          <w:sz w:val="36"/>
          <w:szCs w:val="36"/>
        </w:rPr>
        <w:t xml:space="preserve">AND </w:t>
      </w:r>
    </w:p>
    <w:p w:rsidR="009C7615" w:rsidRDefault="009C7615" w:rsidP="002C6FE9">
      <w:pPr>
        <w:tabs>
          <w:tab w:val="left" w:pos="8640"/>
        </w:tabs>
        <w:jc w:val="center"/>
        <w:rPr>
          <w:rFonts w:ascii="Arial" w:hAnsi="Arial" w:cs="Arial"/>
          <w:b/>
          <w:sz w:val="36"/>
          <w:szCs w:val="36"/>
        </w:rPr>
      </w:pPr>
    </w:p>
    <w:p w:rsidR="00A102E2" w:rsidRPr="00533F20" w:rsidRDefault="00A102E2" w:rsidP="002C6FE9">
      <w:pPr>
        <w:tabs>
          <w:tab w:val="left" w:pos="8640"/>
        </w:tabs>
        <w:jc w:val="center"/>
        <w:rPr>
          <w:rFonts w:ascii="Arial" w:hAnsi="Arial" w:cs="Arial"/>
          <w:b/>
          <w:sz w:val="36"/>
          <w:szCs w:val="36"/>
        </w:rPr>
      </w:pPr>
      <w:r w:rsidRPr="00533F20">
        <w:rPr>
          <w:rFonts w:ascii="Arial" w:hAnsi="Arial" w:cs="Arial"/>
          <w:b/>
          <w:sz w:val="36"/>
          <w:szCs w:val="36"/>
        </w:rPr>
        <w:t>OPERATIONAL REVIEW</w:t>
      </w:r>
    </w:p>
    <w:p w:rsidR="006022F8" w:rsidRPr="00BA0701" w:rsidRDefault="00603A6A" w:rsidP="002C6FE9">
      <w:pPr>
        <w:pStyle w:val="BodyText"/>
        <w:ind w:right="0" w:hanging="1260"/>
        <w:jc w:val="both"/>
        <w:rPr>
          <w:rFonts w:ascii="Arial" w:hAnsi="Arial" w:cs="Arial"/>
          <w:b/>
          <w:sz w:val="40"/>
          <w:szCs w:val="40"/>
          <w:u w:val="single"/>
        </w:rPr>
        <w:sectPr w:rsidR="006022F8" w:rsidRPr="00BA0701" w:rsidSect="00A06831">
          <w:headerReference w:type="even" r:id="rId36"/>
          <w:headerReference w:type="default" r:id="rId37"/>
          <w:footerReference w:type="default" r:id="rId38"/>
          <w:headerReference w:type="first" r:id="rId39"/>
          <w:type w:val="continuous"/>
          <w:pgSz w:w="12240" w:h="15840" w:code="1"/>
          <w:pgMar w:top="1440" w:right="1440" w:bottom="1440" w:left="1440" w:header="720" w:footer="720" w:gutter="0"/>
          <w:pgNumType w:start="8"/>
          <w:cols w:space="720"/>
          <w:noEndnote/>
          <w:titlePg/>
        </w:sectPr>
      </w:pPr>
      <w:r w:rsidRPr="00BA0701">
        <w:rPr>
          <w:rFonts w:ascii="Arial" w:hAnsi="Arial" w:cs="Arial"/>
        </w:rPr>
        <w:tab/>
        <w:t xml:space="preserve">  </w:t>
      </w:r>
    </w:p>
    <w:p w:rsidR="00585CB5"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7800F2" w:rsidRPr="00BA0701" w:rsidRDefault="007800F2" w:rsidP="008A5900">
      <w:pPr>
        <w:tabs>
          <w:tab w:val="left" w:pos="1170"/>
          <w:tab w:val="decimal" w:pos="6120"/>
          <w:tab w:val="decimal" w:pos="7560"/>
        </w:tabs>
        <w:rPr>
          <w:rFonts w:ascii="Arial" w:hAnsi="Arial" w:cs="Arial"/>
          <w:b/>
          <w:sz w:val="26"/>
          <w:szCs w:val="26"/>
          <w:u w:val="single"/>
        </w:rPr>
      </w:pPr>
    </w:p>
    <w:p w:rsidR="00E61CF3" w:rsidRDefault="00E61CF3" w:rsidP="00E61CF3">
      <w:pPr>
        <w:ind w:firstLine="720"/>
        <w:rPr>
          <w:rFonts w:ascii="Arial" w:hAnsi="Arial" w:cs="Arial"/>
          <w:szCs w:val="24"/>
        </w:rPr>
      </w:pPr>
    </w:p>
    <w:p w:rsidR="00E61CF3" w:rsidRDefault="00E61CF3" w:rsidP="00E61CF3">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w:t>
      </w:r>
      <w:r w:rsidR="00A70BBA">
        <w:rPr>
          <w:rFonts w:ascii="Arial" w:hAnsi="Arial" w:cs="Arial"/>
          <w:szCs w:val="24"/>
        </w:rPr>
        <w:t>PPL</w:t>
      </w:r>
      <w:r>
        <w:rPr>
          <w:rFonts w:ascii="Arial" w:hAnsi="Arial" w:cs="Arial"/>
          <w:szCs w:val="24"/>
        </w:rPr>
        <w:t xml:space="preserve"> and is presented solely for informational purposes.  </w:t>
      </w:r>
    </w:p>
    <w:p w:rsidR="00E61CF3" w:rsidRDefault="00E61CF3" w:rsidP="00A97788">
      <w:pPr>
        <w:pStyle w:val="BodyText"/>
        <w:ind w:right="0"/>
        <w:rPr>
          <w:rFonts w:ascii="Arial" w:hAnsi="Arial" w:cs="Arial"/>
          <w:sz w:val="26"/>
          <w:szCs w:val="26"/>
          <w:lang w:val="en-US"/>
        </w:rPr>
      </w:pPr>
    </w:p>
    <w:p w:rsidR="00D6329E" w:rsidRPr="00860F48" w:rsidRDefault="00E61CF3" w:rsidP="00D6329E">
      <w:pPr>
        <w:pStyle w:val="BodyText"/>
        <w:ind w:right="0"/>
        <w:rPr>
          <w:rFonts w:ascii="Arial" w:hAnsi="Arial" w:cs="Arial"/>
          <w:szCs w:val="24"/>
        </w:rPr>
      </w:pPr>
      <w:r>
        <w:rPr>
          <w:rFonts w:ascii="Arial" w:hAnsi="Arial" w:cs="Arial"/>
          <w:szCs w:val="24"/>
          <w:lang w:val="en-US"/>
        </w:rPr>
        <w:tab/>
      </w:r>
      <w:r w:rsidR="00811BEC" w:rsidRPr="00860F48">
        <w:rPr>
          <w:rFonts w:ascii="Arial" w:hAnsi="Arial" w:cs="Arial"/>
          <w:szCs w:val="24"/>
        </w:rPr>
        <w:t>PPL is a wholly</w:t>
      </w:r>
      <w:r w:rsidR="00DB420E">
        <w:rPr>
          <w:rFonts w:ascii="Arial" w:hAnsi="Arial" w:cs="Arial"/>
          <w:szCs w:val="24"/>
          <w:lang w:val="en-US"/>
        </w:rPr>
        <w:t>-</w:t>
      </w:r>
      <w:r w:rsidR="00811BEC" w:rsidRPr="00860F48">
        <w:rPr>
          <w:rFonts w:ascii="Arial" w:hAnsi="Arial" w:cs="Arial"/>
          <w:szCs w:val="24"/>
        </w:rPr>
        <w:t>owned subsidiary of PPL Corporation that furnishes electric distribution, transmission, and default supply services to approximately 1.4 million customers throughout 29 counties in eastern and central Pennsylvania.  According to PPL’s annual reports filed wit</w:t>
      </w:r>
      <w:r w:rsidR="00773161">
        <w:rPr>
          <w:rFonts w:ascii="Arial" w:hAnsi="Arial" w:cs="Arial"/>
          <w:szCs w:val="24"/>
        </w:rPr>
        <w:t>h the PUC, for the years of 201</w:t>
      </w:r>
      <w:r w:rsidR="00773161">
        <w:rPr>
          <w:rFonts w:ascii="Arial" w:hAnsi="Arial" w:cs="Arial"/>
          <w:szCs w:val="24"/>
          <w:lang w:val="en-US"/>
        </w:rPr>
        <w:t>5</w:t>
      </w:r>
      <w:r w:rsidR="00773161">
        <w:rPr>
          <w:rFonts w:ascii="Arial" w:hAnsi="Arial" w:cs="Arial"/>
          <w:szCs w:val="24"/>
        </w:rPr>
        <w:t xml:space="preserve"> and 201</w:t>
      </w:r>
      <w:r w:rsidR="00773161">
        <w:rPr>
          <w:rFonts w:ascii="Arial" w:hAnsi="Arial" w:cs="Arial"/>
          <w:szCs w:val="24"/>
          <w:lang w:val="en-US"/>
        </w:rPr>
        <w:t>4</w:t>
      </w:r>
      <w:r w:rsidR="00811BEC" w:rsidRPr="00860F48">
        <w:rPr>
          <w:rFonts w:ascii="Arial" w:hAnsi="Arial" w:cs="Arial"/>
          <w:szCs w:val="24"/>
        </w:rPr>
        <w:t xml:space="preserve">, PPL’s total electric distribution revenues from residential, commercial, and industrial customers was </w:t>
      </w:r>
      <w:r w:rsidR="00D6329E" w:rsidRPr="00860F48">
        <w:rPr>
          <w:rFonts w:ascii="Arial" w:hAnsi="Arial" w:cs="Arial"/>
          <w:szCs w:val="24"/>
        </w:rPr>
        <w:t>$</w:t>
      </w:r>
      <w:r w:rsidR="00D6329E">
        <w:rPr>
          <w:rFonts w:ascii="Arial" w:hAnsi="Arial" w:cs="Arial"/>
          <w:szCs w:val="24"/>
          <w:lang w:val="en-US"/>
        </w:rPr>
        <w:t>1,803,262,583 and $1,712,983,559, respectively</w:t>
      </w:r>
      <w:r w:rsidR="00D6329E" w:rsidRPr="00860F48">
        <w:rPr>
          <w:rFonts w:ascii="Arial" w:hAnsi="Arial" w:cs="Arial"/>
          <w:szCs w:val="24"/>
        </w:rPr>
        <w:t>.</w:t>
      </w:r>
    </w:p>
    <w:p w:rsidR="00D6329E" w:rsidRDefault="00D6329E" w:rsidP="00811BEC">
      <w:pPr>
        <w:pStyle w:val="BodyText"/>
        <w:rPr>
          <w:rFonts w:ascii="Arial" w:hAnsi="Arial" w:cs="Arial"/>
          <w:szCs w:val="24"/>
          <w:lang w:val="en-US"/>
        </w:rPr>
      </w:pPr>
    </w:p>
    <w:p w:rsidR="00811BEC" w:rsidRPr="00785DCA" w:rsidRDefault="00811BEC" w:rsidP="00004AFA">
      <w:pPr>
        <w:pStyle w:val="BodyText"/>
        <w:ind w:right="0"/>
        <w:rPr>
          <w:rFonts w:ascii="Arial" w:hAnsi="Arial" w:cs="Arial"/>
          <w:szCs w:val="24"/>
          <w:lang w:val="en-US"/>
        </w:rPr>
      </w:pPr>
      <w:r w:rsidRPr="00860F48">
        <w:rPr>
          <w:rFonts w:ascii="Arial" w:hAnsi="Arial" w:cs="Arial"/>
          <w:szCs w:val="24"/>
        </w:rPr>
        <w:tab/>
        <w:t>By Order entered on June 30, 2009, at Docket No. P-2008-2060309, the Commission approved PPL’s Default Service Program and Procurement Plan (DSPP) for the period January 1, 2011 t</w:t>
      </w:r>
      <w:r w:rsidR="00355EE7">
        <w:rPr>
          <w:rFonts w:ascii="Arial" w:hAnsi="Arial" w:cs="Arial"/>
          <w:szCs w:val="24"/>
        </w:rPr>
        <w:t xml:space="preserve">hrough May 31, 2013.  </w:t>
      </w:r>
      <w:r w:rsidR="00355EE7">
        <w:rPr>
          <w:rFonts w:ascii="Arial" w:hAnsi="Arial" w:cs="Arial"/>
          <w:szCs w:val="24"/>
          <w:lang w:val="en-US"/>
        </w:rPr>
        <w:t xml:space="preserve">Effective </w:t>
      </w:r>
      <w:r w:rsidRPr="00860F48">
        <w:rPr>
          <w:rFonts w:ascii="Arial" w:hAnsi="Arial" w:cs="Arial"/>
          <w:szCs w:val="24"/>
        </w:rPr>
        <w:t xml:space="preserve">January 1, 2011, the Generation Supply Charge Rider was replaced with a GSC-1 and GSC-2 Rider.  </w:t>
      </w:r>
      <w:r w:rsidR="00785DCA">
        <w:rPr>
          <w:rFonts w:ascii="Arial" w:hAnsi="Arial" w:cs="Arial"/>
          <w:szCs w:val="24"/>
          <w:lang w:val="en-US"/>
        </w:rPr>
        <w:t xml:space="preserve">By Order entered January 24, 2013, at Docket No. </w:t>
      </w:r>
      <w:r w:rsidR="00785DCA" w:rsidRPr="00785DCA">
        <w:rPr>
          <w:rFonts w:ascii="Arial" w:hAnsi="Arial" w:cs="Arial"/>
          <w:szCs w:val="24"/>
          <w:lang w:val="en-US"/>
        </w:rPr>
        <w:t>P-2012-2302074</w:t>
      </w:r>
      <w:r w:rsidR="00785DCA">
        <w:rPr>
          <w:rFonts w:ascii="Arial" w:hAnsi="Arial" w:cs="Arial"/>
          <w:szCs w:val="24"/>
          <w:lang w:val="en-US"/>
        </w:rPr>
        <w:t>, the Commission approved PPL’</w:t>
      </w:r>
      <w:r w:rsidR="000B7815">
        <w:rPr>
          <w:rFonts w:ascii="Arial" w:hAnsi="Arial" w:cs="Arial"/>
          <w:szCs w:val="24"/>
          <w:lang w:val="en-US"/>
        </w:rPr>
        <w:t xml:space="preserve">s DSSP for the subsequent period June 1, 2013 through May 31, 2015.  </w:t>
      </w:r>
    </w:p>
    <w:p w:rsidR="00811BEC" w:rsidRPr="00860F48" w:rsidRDefault="00811BEC" w:rsidP="00811BEC">
      <w:pPr>
        <w:pStyle w:val="BodyText"/>
        <w:rPr>
          <w:rFonts w:ascii="Arial" w:hAnsi="Arial" w:cs="Arial"/>
          <w:szCs w:val="24"/>
        </w:rPr>
      </w:pPr>
    </w:p>
    <w:p w:rsidR="00811BEC" w:rsidRPr="00860F48" w:rsidRDefault="003B78B7" w:rsidP="00811BEC">
      <w:pPr>
        <w:pStyle w:val="BodyText"/>
        <w:rPr>
          <w:rFonts w:ascii="Arial" w:hAnsi="Arial" w:cs="Arial"/>
          <w:szCs w:val="24"/>
        </w:rPr>
      </w:pPr>
      <w:r>
        <w:rPr>
          <w:rFonts w:ascii="Arial" w:hAnsi="Arial" w:cs="Arial"/>
          <w:szCs w:val="24"/>
          <w:lang w:val="en-US"/>
        </w:rPr>
        <w:tab/>
      </w:r>
    </w:p>
    <w:p w:rsidR="00B84ECC" w:rsidRDefault="00B84ECC" w:rsidP="00811BEC">
      <w:pPr>
        <w:pStyle w:val="BodyText"/>
        <w:ind w:right="0"/>
        <w:rPr>
          <w:rFonts w:ascii="Arial" w:hAnsi="Arial" w:cs="Arial"/>
        </w:rPr>
      </w:pPr>
      <w:r>
        <w:rPr>
          <w:rFonts w:ascii="Arial" w:hAnsi="Arial" w:cs="Arial"/>
        </w:rPr>
        <w:br w:type="page"/>
      </w:r>
    </w:p>
    <w:p w:rsidR="00AB4423" w:rsidRDefault="00AB4423" w:rsidP="00AB4423">
      <w:pPr>
        <w:jc w:val="center"/>
        <w:rPr>
          <w:rFonts w:ascii="Arial" w:hAnsi="Arial" w:cs="Arial"/>
          <w:b/>
          <w:sz w:val="26"/>
          <w:szCs w:val="26"/>
        </w:rPr>
      </w:pPr>
      <w:r>
        <w:rPr>
          <w:rFonts w:ascii="Arial" w:hAnsi="Arial" w:cs="Arial"/>
          <w:b/>
          <w:sz w:val="26"/>
          <w:szCs w:val="26"/>
        </w:rPr>
        <w:lastRenderedPageBreak/>
        <w:t>PPL ELECTRIC UTILITIES CORPORATION</w:t>
      </w:r>
    </w:p>
    <w:p w:rsidR="00AB4423" w:rsidRDefault="00AB4423" w:rsidP="00AB4423">
      <w:pPr>
        <w:keepNext/>
        <w:tabs>
          <w:tab w:val="left" w:pos="360"/>
        </w:tabs>
        <w:suppressAutoHyphens/>
        <w:overflowPunct w:val="0"/>
        <w:autoSpaceDE w:val="0"/>
        <w:autoSpaceDN w:val="0"/>
        <w:adjustRightInd w:val="0"/>
        <w:jc w:val="center"/>
        <w:textAlignment w:val="baseline"/>
        <w:outlineLvl w:val="0"/>
        <w:rPr>
          <w:rFonts w:ascii="Arial" w:hAnsi="Arial" w:cs="Arial"/>
          <w:b/>
          <w:sz w:val="26"/>
          <w:szCs w:val="26"/>
        </w:rPr>
      </w:pPr>
    </w:p>
    <w:p w:rsidR="00AB4423" w:rsidRPr="00AB4423" w:rsidRDefault="002C76BB" w:rsidP="00AB4423">
      <w:pPr>
        <w:keepNext/>
        <w:tabs>
          <w:tab w:val="left" w:pos="360"/>
        </w:tabs>
        <w:suppressAutoHyphens/>
        <w:overflowPunct w:val="0"/>
        <w:autoSpaceDE w:val="0"/>
        <w:autoSpaceDN w:val="0"/>
        <w:adjustRightInd w:val="0"/>
        <w:jc w:val="center"/>
        <w:textAlignment w:val="baseline"/>
        <w:outlineLvl w:val="0"/>
        <w:rPr>
          <w:rFonts w:ascii="Arial" w:hAnsi="Arial" w:cs="Arial"/>
          <w:b/>
          <w:sz w:val="26"/>
          <w:szCs w:val="26"/>
        </w:rPr>
      </w:pPr>
      <w:r>
        <w:rPr>
          <w:rFonts w:ascii="Arial" w:hAnsi="Arial" w:cs="Arial"/>
          <w:b/>
          <w:sz w:val="26"/>
          <w:szCs w:val="26"/>
        </w:rPr>
        <w:t>Disposition O</w:t>
      </w:r>
      <w:r w:rsidR="00AB4423" w:rsidRPr="00AB4423">
        <w:rPr>
          <w:rFonts w:ascii="Arial" w:hAnsi="Arial" w:cs="Arial"/>
          <w:b/>
          <w:sz w:val="26"/>
          <w:szCs w:val="26"/>
        </w:rPr>
        <w:t>f Prior Period</w:t>
      </w:r>
      <w:r>
        <w:rPr>
          <w:rFonts w:ascii="Arial" w:hAnsi="Arial" w:cs="Arial"/>
          <w:b/>
          <w:sz w:val="26"/>
          <w:szCs w:val="26"/>
        </w:rPr>
        <w:t>’s</w:t>
      </w:r>
      <w:r w:rsidR="00AB4423" w:rsidRPr="00AB4423">
        <w:rPr>
          <w:rFonts w:ascii="Arial" w:hAnsi="Arial" w:cs="Arial"/>
          <w:b/>
          <w:sz w:val="26"/>
          <w:szCs w:val="26"/>
        </w:rPr>
        <w:t xml:space="preserve"> Audit Finding</w:t>
      </w:r>
    </w:p>
    <w:p w:rsidR="00AB4423" w:rsidRPr="00AB4423" w:rsidRDefault="00AB4423" w:rsidP="00AB4423">
      <w:pPr>
        <w:overflowPunct w:val="0"/>
        <w:autoSpaceDE w:val="0"/>
        <w:autoSpaceDN w:val="0"/>
        <w:adjustRightInd w:val="0"/>
        <w:textAlignment w:val="baseline"/>
        <w:rPr>
          <w:rFonts w:ascii="Arial" w:hAnsi="Arial" w:cs="Arial"/>
          <w:szCs w:val="24"/>
        </w:rPr>
      </w:pPr>
    </w:p>
    <w:p w:rsidR="00AB4423" w:rsidRPr="00AB4423" w:rsidRDefault="00AB4423" w:rsidP="00AB4423">
      <w:pPr>
        <w:overflowPunct w:val="0"/>
        <w:autoSpaceDE w:val="0"/>
        <w:autoSpaceDN w:val="0"/>
        <w:adjustRightInd w:val="0"/>
        <w:textAlignment w:val="baseline"/>
        <w:rPr>
          <w:rFonts w:ascii="Arial" w:hAnsi="Arial" w:cs="Arial"/>
          <w:szCs w:val="24"/>
        </w:rPr>
      </w:pPr>
    </w:p>
    <w:p w:rsidR="00AB4423" w:rsidRPr="00AB4423" w:rsidRDefault="002C76BB" w:rsidP="005D512A">
      <w:pPr>
        <w:tabs>
          <w:tab w:val="left" w:pos="720"/>
        </w:tabs>
        <w:suppressAutoHyphens/>
        <w:rPr>
          <w:rFonts w:ascii="Arial" w:hAnsi="Arial" w:cs="Arial"/>
          <w:szCs w:val="24"/>
        </w:rPr>
      </w:pPr>
      <w:r>
        <w:rPr>
          <w:rFonts w:ascii="Arial" w:hAnsi="Arial" w:cs="Arial"/>
          <w:szCs w:val="24"/>
        </w:rPr>
        <w:tab/>
      </w:r>
      <w:r w:rsidR="00AB4423" w:rsidRPr="00AB4423">
        <w:rPr>
          <w:rFonts w:ascii="Arial" w:hAnsi="Arial" w:cs="Arial"/>
          <w:szCs w:val="24"/>
        </w:rPr>
        <w:t xml:space="preserve">Our </w:t>
      </w:r>
      <w:r>
        <w:rPr>
          <w:rFonts w:ascii="Arial" w:hAnsi="Arial" w:cs="Arial"/>
          <w:szCs w:val="24"/>
        </w:rPr>
        <w:t xml:space="preserve">previous </w:t>
      </w:r>
      <w:r w:rsidR="00AB4423" w:rsidRPr="00AB4423">
        <w:rPr>
          <w:rFonts w:ascii="Arial" w:hAnsi="Arial" w:cs="Arial"/>
          <w:szCs w:val="24"/>
        </w:rPr>
        <w:t>audit of PPL’s GSC-1 for the twelve months ended April 30, 201</w:t>
      </w:r>
      <w:r w:rsidR="001B7BF4">
        <w:rPr>
          <w:rFonts w:ascii="Arial" w:hAnsi="Arial" w:cs="Arial"/>
          <w:szCs w:val="24"/>
        </w:rPr>
        <w:t>3</w:t>
      </w:r>
      <w:r>
        <w:rPr>
          <w:rFonts w:ascii="Arial" w:hAnsi="Arial" w:cs="Arial"/>
          <w:szCs w:val="24"/>
        </w:rPr>
        <w:t xml:space="preserve">, at Docket No. </w:t>
      </w:r>
      <w:r w:rsidRPr="002C76BB">
        <w:rPr>
          <w:rFonts w:ascii="Arial" w:hAnsi="Arial" w:cs="Arial"/>
          <w:szCs w:val="24"/>
        </w:rPr>
        <w:t>D-2013-2398262</w:t>
      </w:r>
      <w:r>
        <w:rPr>
          <w:rFonts w:ascii="Arial" w:hAnsi="Arial" w:cs="Arial"/>
          <w:szCs w:val="24"/>
        </w:rPr>
        <w:t xml:space="preserve">, </w:t>
      </w:r>
      <w:r w:rsidR="00AB4423" w:rsidRPr="00AB4423">
        <w:rPr>
          <w:rFonts w:ascii="Arial" w:hAnsi="Arial" w:cs="Arial"/>
          <w:szCs w:val="24"/>
        </w:rPr>
        <w:t>disclosed the following finding:</w:t>
      </w:r>
    </w:p>
    <w:p w:rsidR="00AB4423" w:rsidRPr="00AB4423" w:rsidRDefault="00AB4423" w:rsidP="00AB4423">
      <w:pPr>
        <w:keepNext/>
        <w:tabs>
          <w:tab w:val="left" w:pos="-2880"/>
          <w:tab w:val="left" w:pos="1080"/>
        </w:tabs>
        <w:suppressAutoHyphens/>
        <w:overflowPunct w:val="0"/>
        <w:autoSpaceDE w:val="0"/>
        <w:autoSpaceDN w:val="0"/>
        <w:adjustRightInd w:val="0"/>
        <w:textAlignment w:val="baseline"/>
        <w:outlineLvl w:val="0"/>
        <w:rPr>
          <w:rFonts w:ascii="Arial" w:hAnsi="Arial" w:cs="Arial"/>
          <w:b/>
          <w:szCs w:val="24"/>
          <w:u w:val="single"/>
        </w:rPr>
      </w:pPr>
    </w:p>
    <w:p w:rsidR="00AB4423" w:rsidRPr="00AB4423" w:rsidRDefault="00AB4423" w:rsidP="00AB4423">
      <w:pPr>
        <w:keepNext/>
        <w:tabs>
          <w:tab w:val="left" w:pos="-2880"/>
          <w:tab w:val="left" w:pos="1080"/>
        </w:tabs>
        <w:suppressAutoHyphens/>
        <w:overflowPunct w:val="0"/>
        <w:autoSpaceDE w:val="0"/>
        <w:autoSpaceDN w:val="0"/>
        <w:adjustRightInd w:val="0"/>
        <w:ind w:left="1170" w:hanging="1170"/>
        <w:textAlignment w:val="baseline"/>
        <w:outlineLvl w:val="0"/>
        <w:rPr>
          <w:rFonts w:ascii="Arial" w:hAnsi="Arial" w:cs="Arial"/>
          <w:b/>
          <w:szCs w:val="24"/>
        </w:rPr>
      </w:pPr>
      <w:r w:rsidRPr="00AB4423">
        <w:rPr>
          <w:rFonts w:ascii="Arial" w:hAnsi="Arial" w:cs="Arial"/>
          <w:b/>
          <w:szCs w:val="24"/>
        </w:rPr>
        <w:t>Finding – PPL Electric Utilities Corporation Adjusted The Time Of Use Rate Components While The Billing Rates Were Frozen.</w:t>
      </w:r>
    </w:p>
    <w:p w:rsidR="00AB4423" w:rsidRPr="00AB4423" w:rsidRDefault="00AB4423" w:rsidP="00AB4423">
      <w:pPr>
        <w:keepNext/>
        <w:tabs>
          <w:tab w:val="left" w:pos="-2880"/>
        </w:tabs>
        <w:suppressAutoHyphens/>
        <w:overflowPunct w:val="0"/>
        <w:autoSpaceDE w:val="0"/>
        <w:autoSpaceDN w:val="0"/>
        <w:adjustRightInd w:val="0"/>
        <w:textAlignment w:val="baseline"/>
        <w:outlineLvl w:val="0"/>
        <w:rPr>
          <w:rFonts w:ascii="Arial" w:hAnsi="Arial" w:cs="Arial"/>
          <w:b/>
          <w:szCs w:val="24"/>
          <w:u w:val="single"/>
        </w:rPr>
      </w:pPr>
    </w:p>
    <w:p w:rsidR="00AB4423" w:rsidRPr="00AB4423" w:rsidRDefault="00AB4423" w:rsidP="00AB4423">
      <w:pPr>
        <w:tabs>
          <w:tab w:val="left" w:pos="-2880"/>
        </w:tabs>
        <w:overflowPunct w:val="0"/>
        <w:autoSpaceDE w:val="0"/>
        <w:autoSpaceDN w:val="0"/>
        <w:adjustRightInd w:val="0"/>
        <w:textAlignment w:val="baseline"/>
        <w:rPr>
          <w:rFonts w:ascii="Arial" w:hAnsi="Arial" w:cs="Arial"/>
          <w:b/>
          <w:szCs w:val="24"/>
        </w:rPr>
      </w:pPr>
      <w:r w:rsidRPr="00AB4423">
        <w:rPr>
          <w:rFonts w:ascii="Arial" w:hAnsi="Arial" w:cs="Arial"/>
          <w:b/>
          <w:szCs w:val="24"/>
        </w:rPr>
        <w:t>Recommendation</w:t>
      </w:r>
    </w:p>
    <w:p w:rsidR="00AB4423" w:rsidRPr="00AB4423" w:rsidRDefault="00AB4423" w:rsidP="00AB4423">
      <w:pPr>
        <w:tabs>
          <w:tab w:val="left" w:pos="-2880"/>
        </w:tabs>
        <w:overflowPunct w:val="0"/>
        <w:autoSpaceDE w:val="0"/>
        <w:autoSpaceDN w:val="0"/>
        <w:adjustRightInd w:val="0"/>
        <w:textAlignment w:val="baseline"/>
        <w:rPr>
          <w:rFonts w:ascii="Arial" w:hAnsi="Arial" w:cs="Arial"/>
          <w:b/>
          <w:szCs w:val="24"/>
          <w:u w:val="single"/>
        </w:rPr>
      </w:pPr>
    </w:p>
    <w:p w:rsidR="00C007DA" w:rsidRPr="00C007DA" w:rsidRDefault="00C007DA" w:rsidP="005D512A">
      <w:pPr>
        <w:tabs>
          <w:tab w:val="left" w:pos="-1440"/>
          <w:tab w:val="left" w:pos="-720"/>
          <w:tab w:val="left" w:pos="864"/>
          <w:tab w:val="decimal" w:pos="6192"/>
          <w:tab w:val="decimal" w:pos="7344"/>
        </w:tabs>
        <w:suppressAutoHyphens/>
        <w:ind w:firstLine="720"/>
        <w:rPr>
          <w:rFonts w:ascii="Arial" w:hAnsi="Arial" w:cs="Arial"/>
          <w:szCs w:val="24"/>
        </w:rPr>
      </w:pPr>
      <w:r w:rsidRPr="00C007DA">
        <w:rPr>
          <w:rFonts w:ascii="Arial" w:hAnsi="Arial" w:cs="Arial"/>
          <w:szCs w:val="24"/>
        </w:rPr>
        <w:t>We recommend, consistent with Order entered August 30, 2012 at Docket No. R-2011-2264771, that when its T</w:t>
      </w:r>
      <w:r w:rsidR="009B6654">
        <w:rPr>
          <w:rFonts w:ascii="Arial" w:hAnsi="Arial" w:cs="Arial"/>
          <w:szCs w:val="24"/>
        </w:rPr>
        <w:t xml:space="preserve">ime of </w:t>
      </w:r>
      <w:r w:rsidRPr="00C007DA">
        <w:rPr>
          <w:rFonts w:ascii="Arial" w:hAnsi="Arial" w:cs="Arial"/>
          <w:szCs w:val="24"/>
        </w:rPr>
        <w:t>U</w:t>
      </w:r>
      <w:r w:rsidR="009B6654">
        <w:rPr>
          <w:rFonts w:ascii="Arial" w:hAnsi="Arial" w:cs="Arial"/>
          <w:szCs w:val="24"/>
        </w:rPr>
        <w:t>se (TOU)</w:t>
      </w:r>
      <w:r w:rsidRPr="00C007DA">
        <w:rPr>
          <w:rFonts w:ascii="Arial" w:hAnsi="Arial" w:cs="Arial"/>
          <w:szCs w:val="24"/>
        </w:rPr>
        <w:t xml:space="preserve"> rates are unfrozen and reconciled</w:t>
      </w:r>
      <w:r w:rsidR="009B6654">
        <w:rPr>
          <w:rFonts w:ascii="Arial" w:hAnsi="Arial" w:cs="Arial"/>
          <w:szCs w:val="24"/>
        </w:rPr>
        <w:t xml:space="preserve">, </w:t>
      </w:r>
      <w:r w:rsidRPr="00C007DA">
        <w:rPr>
          <w:rFonts w:ascii="Arial" w:hAnsi="Arial" w:cs="Arial"/>
          <w:szCs w:val="24"/>
        </w:rPr>
        <w:t xml:space="preserve">the Company refund through a subsequent TOU rate filing to the following rate </w:t>
      </w:r>
      <w:r w:rsidRPr="00C007DA">
        <w:rPr>
          <w:rFonts w:ascii="Arial" w:hAnsi="Arial" w:cs="Arial"/>
        </w:rPr>
        <w:t>classes:</w:t>
      </w:r>
      <w:r w:rsidRPr="00C007DA">
        <w:rPr>
          <w:rFonts w:ascii="Arial" w:hAnsi="Arial" w:cs="Arial"/>
          <w:szCs w:val="24"/>
        </w:rPr>
        <w:t xml:space="preserve">  </w:t>
      </w:r>
      <w:r w:rsidRPr="00C007DA">
        <w:rPr>
          <w:rFonts w:ascii="Arial" w:hAnsi="Arial" w:cs="Arial"/>
        </w:rPr>
        <w:t>$21,466 to RS Off</w:t>
      </w:r>
      <w:r w:rsidR="009B6654">
        <w:rPr>
          <w:rFonts w:ascii="Arial" w:hAnsi="Arial" w:cs="Arial"/>
        </w:rPr>
        <w:t>-</w:t>
      </w:r>
      <w:r w:rsidRPr="00C007DA">
        <w:rPr>
          <w:rFonts w:ascii="Arial" w:hAnsi="Arial" w:cs="Arial"/>
        </w:rPr>
        <w:t>Peak, $753 to RTS Off</w:t>
      </w:r>
      <w:r w:rsidR="009B6654">
        <w:rPr>
          <w:rFonts w:ascii="Arial" w:hAnsi="Arial" w:cs="Arial"/>
        </w:rPr>
        <w:t>-</w:t>
      </w:r>
      <w:r w:rsidRPr="00C007DA">
        <w:rPr>
          <w:rFonts w:ascii="Arial" w:hAnsi="Arial" w:cs="Arial"/>
        </w:rPr>
        <w:t>Peak, $2,265 to RTS On</w:t>
      </w:r>
      <w:r w:rsidR="009B6654">
        <w:rPr>
          <w:rFonts w:ascii="Arial" w:hAnsi="Arial" w:cs="Arial"/>
        </w:rPr>
        <w:t>-</w:t>
      </w:r>
      <w:r w:rsidRPr="00C007DA">
        <w:rPr>
          <w:rFonts w:ascii="Arial" w:hAnsi="Arial" w:cs="Arial"/>
        </w:rPr>
        <w:t>Peak.  In addition, PPL should recoup the following interest amounts through a subsequent TOU rate filing from the following rate classes:  $525 to RS On</w:t>
      </w:r>
      <w:r w:rsidR="009B6654">
        <w:rPr>
          <w:rFonts w:ascii="Arial" w:hAnsi="Arial" w:cs="Arial"/>
        </w:rPr>
        <w:t>-</w:t>
      </w:r>
      <w:r w:rsidRPr="00C007DA">
        <w:rPr>
          <w:rFonts w:ascii="Arial" w:hAnsi="Arial" w:cs="Arial"/>
        </w:rPr>
        <w:t>Peak, $6,532 to SC&amp;I Off</w:t>
      </w:r>
      <w:r w:rsidR="009B6654">
        <w:rPr>
          <w:rFonts w:ascii="Arial" w:hAnsi="Arial" w:cs="Arial"/>
        </w:rPr>
        <w:t>-</w:t>
      </w:r>
      <w:r w:rsidRPr="00C007DA">
        <w:rPr>
          <w:rFonts w:ascii="Arial" w:hAnsi="Arial" w:cs="Arial"/>
        </w:rPr>
        <w:t>Peak, $2,087 SC&amp;I On</w:t>
      </w:r>
      <w:r w:rsidR="009B6654">
        <w:rPr>
          <w:rFonts w:ascii="Arial" w:hAnsi="Arial" w:cs="Arial"/>
        </w:rPr>
        <w:t>-</w:t>
      </w:r>
      <w:r w:rsidRPr="00C007DA">
        <w:rPr>
          <w:rFonts w:ascii="Arial" w:hAnsi="Arial" w:cs="Arial"/>
        </w:rPr>
        <w:t>Peak.  We also recommend that the Company establish controls to ensure that in the future the E</w:t>
      </w:r>
      <w:r w:rsidRPr="00C007DA">
        <w:rPr>
          <w:rFonts w:ascii="Arial" w:hAnsi="Arial" w:cs="Arial"/>
        </w:rPr>
        <w:noBreakHyphen/>
        <w:t xml:space="preserve">Factor and C-Factor components of the approved tariff rates are not adjusted once the rate is in effect. </w:t>
      </w:r>
    </w:p>
    <w:p w:rsidR="00AB4423" w:rsidRPr="00AB4423" w:rsidRDefault="00AB4423" w:rsidP="00C007DA">
      <w:pPr>
        <w:tabs>
          <w:tab w:val="left" w:pos="-2880"/>
        </w:tabs>
        <w:overflowPunct w:val="0"/>
        <w:autoSpaceDE w:val="0"/>
        <w:autoSpaceDN w:val="0"/>
        <w:adjustRightInd w:val="0"/>
        <w:textAlignment w:val="baseline"/>
        <w:rPr>
          <w:rFonts w:ascii="Arial" w:hAnsi="Arial" w:cs="Arial"/>
          <w:b/>
          <w:szCs w:val="24"/>
          <w:u w:val="single"/>
        </w:rPr>
      </w:pPr>
    </w:p>
    <w:p w:rsidR="00AB4423" w:rsidRPr="00AB4423" w:rsidRDefault="00AB4423" w:rsidP="00AB4423">
      <w:pPr>
        <w:keepNext/>
        <w:tabs>
          <w:tab w:val="left" w:pos="-3060"/>
          <w:tab w:val="center" w:pos="4680"/>
        </w:tabs>
        <w:suppressAutoHyphens/>
        <w:overflowPunct w:val="0"/>
        <w:autoSpaceDE w:val="0"/>
        <w:autoSpaceDN w:val="0"/>
        <w:adjustRightInd w:val="0"/>
        <w:textAlignment w:val="baseline"/>
        <w:outlineLvl w:val="0"/>
        <w:rPr>
          <w:rFonts w:ascii="Arial" w:hAnsi="Arial" w:cs="Arial"/>
          <w:b/>
          <w:szCs w:val="24"/>
        </w:rPr>
      </w:pPr>
      <w:r w:rsidRPr="00AB4423">
        <w:rPr>
          <w:rFonts w:ascii="Arial" w:hAnsi="Arial" w:cs="Arial"/>
          <w:b/>
          <w:szCs w:val="24"/>
        </w:rPr>
        <w:t>Disposition</w:t>
      </w:r>
    </w:p>
    <w:p w:rsidR="00AB4423" w:rsidRPr="00AB4423" w:rsidRDefault="00AB4423" w:rsidP="00AB4423">
      <w:pPr>
        <w:keepNext/>
        <w:tabs>
          <w:tab w:val="left" w:pos="-3060"/>
          <w:tab w:val="center" w:pos="4680"/>
        </w:tabs>
        <w:suppressAutoHyphens/>
        <w:overflowPunct w:val="0"/>
        <w:autoSpaceDE w:val="0"/>
        <w:autoSpaceDN w:val="0"/>
        <w:adjustRightInd w:val="0"/>
        <w:textAlignment w:val="baseline"/>
        <w:outlineLvl w:val="0"/>
        <w:rPr>
          <w:rFonts w:ascii="Arial" w:hAnsi="Arial" w:cs="Arial"/>
          <w:szCs w:val="24"/>
        </w:rPr>
      </w:pPr>
    </w:p>
    <w:p w:rsidR="00AB4423" w:rsidRPr="00AB4423" w:rsidRDefault="00C82705" w:rsidP="005D512A">
      <w:pPr>
        <w:tabs>
          <w:tab w:val="left" w:pos="-1440"/>
          <w:tab w:val="left" w:pos="-720"/>
        </w:tabs>
        <w:suppressAutoHyphens/>
        <w:overflowPunct w:val="0"/>
        <w:autoSpaceDE w:val="0"/>
        <w:autoSpaceDN w:val="0"/>
        <w:adjustRightInd w:val="0"/>
        <w:textAlignment w:val="baseline"/>
      </w:pPr>
      <w:r>
        <w:rPr>
          <w:rFonts w:ascii="Arial" w:hAnsi="Arial" w:cs="Arial"/>
        </w:rPr>
        <w:tab/>
        <w:t>The C</w:t>
      </w:r>
      <w:r w:rsidR="00AB4423" w:rsidRPr="00AB4423">
        <w:rPr>
          <w:rFonts w:ascii="Arial" w:hAnsi="Arial" w:cs="Arial"/>
        </w:rPr>
        <w:t xml:space="preserve">ompany </w:t>
      </w:r>
      <w:r w:rsidR="002A112A">
        <w:rPr>
          <w:rFonts w:ascii="Arial" w:hAnsi="Arial" w:cs="Arial"/>
        </w:rPr>
        <w:t xml:space="preserve">refunded </w:t>
      </w:r>
      <w:r w:rsidR="002A112A" w:rsidRPr="002A112A">
        <w:rPr>
          <w:rFonts w:ascii="Arial" w:hAnsi="Arial" w:cs="Arial"/>
        </w:rPr>
        <w:t>$21,466 to RS Off</w:t>
      </w:r>
      <w:r w:rsidR="009B6654">
        <w:rPr>
          <w:rFonts w:ascii="Arial" w:hAnsi="Arial" w:cs="Arial"/>
        </w:rPr>
        <w:t>-</w:t>
      </w:r>
      <w:r w:rsidR="002A112A" w:rsidRPr="002A112A">
        <w:rPr>
          <w:rFonts w:ascii="Arial" w:hAnsi="Arial" w:cs="Arial"/>
        </w:rPr>
        <w:t>Peak, $753 to RTS Off</w:t>
      </w:r>
      <w:r w:rsidR="009B6654">
        <w:rPr>
          <w:rFonts w:ascii="Arial" w:hAnsi="Arial" w:cs="Arial"/>
        </w:rPr>
        <w:t>-</w:t>
      </w:r>
      <w:r w:rsidR="002A112A" w:rsidRPr="002A112A">
        <w:rPr>
          <w:rFonts w:ascii="Arial" w:hAnsi="Arial" w:cs="Arial"/>
        </w:rPr>
        <w:t xml:space="preserve">Peak, </w:t>
      </w:r>
      <w:r w:rsidR="00FA5EDE">
        <w:rPr>
          <w:rFonts w:ascii="Arial" w:hAnsi="Arial" w:cs="Arial"/>
        </w:rPr>
        <w:t xml:space="preserve">and </w:t>
      </w:r>
      <w:r w:rsidR="002A112A" w:rsidRPr="002A112A">
        <w:rPr>
          <w:rFonts w:ascii="Arial" w:hAnsi="Arial" w:cs="Arial"/>
        </w:rPr>
        <w:t>$2,265 to RTS On</w:t>
      </w:r>
      <w:r w:rsidR="009B6654">
        <w:rPr>
          <w:rFonts w:ascii="Arial" w:hAnsi="Arial" w:cs="Arial"/>
        </w:rPr>
        <w:t>-</w:t>
      </w:r>
      <w:r w:rsidR="002A112A" w:rsidRPr="002A112A">
        <w:rPr>
          <w:rFonts w:ascii="Arial" w:hAnsi="Arial" w:cs="Arial"/>
        </w:rPr>
        <w:t>Peak</w:t>
      </w:r>
      <w:r>
        <w:rPr>
          <w:rFonts w:ascii="Arial" w:hAnsi="Arial" w:cs="Arial"/>
        </w:rPr>
        <w:t xml:space="preserve"> and </w:t>
      </w:r>
      <w:r w:rsidR="009B6654">
        <w:rPr>
          <w:rFonts w:ascii="Arial" w:hAnsi="Arial" w:cs="Arial"/>
        </w:rPr>
        <w:t xml:space="preserve">recouped </w:t>
      </w:r>
      <w:r>
        <w:rPr>
          <w:rFonts w:ascii="Arial" w:hAnsi="Arial" w:cs="Arial"/>
        </w:rPr>
        <w:t>$525 from RS On</w:t>
      </w:r>
      <w:r w:rsidR="009B6654">
        <w:rPr>
          <w:rFonts w:ascii="Arial" w:hAnsi="Arial" w:cs="Arial"/>
        </w:rPr>
        <w:t>-</w:t>
      </w:r>
      <w:r>
        <w:rPr>
          <w:rFonts w:ascii="Arial" w:hAnsi="Arial" w:cs="Arial"/>
        </w:rPr>
        <w:t>Peak, $6,532 from</w:t>
      </w:r>
      <w:r w:rsidRPr="00C007DA">
        <w:rPr>
          <w:rFonts w:ascii="Arial" w:hAnsi="Arial" w:cs="Arial"/>
        </w:rPr>
        <w:t xml:space="preserve"> SC&amp;I Off</w:t>
      </w:r>
      <w:r w:rsidR="009B6654">
        <w:rPr>
          <w:rFonts w:ascii="Arial" w:hAnsi="Arial" w:cs="Arial"/>
        </w:rPr>
        <w:noBreakHyphen/>
      </w:r>
      <w:r w:rsidRPr="00C007DA">
        <w:rPr>
          <w:rFonts w:ascii="Arial" w:hAnsi="Arial" w:cs="Arial"/>
        </w:rPr>
        <w:t xml:space="preserve">Peak, </w:t>
      </w:r>
      <w:r>
        <w:rPr>
          <w:rFonts w:ascii="Arial" w:hAnsi="Arial" w:cs="Arial"/>
        </w:rPr>
        <w:t xml:space="preserve">and </w:t>
      </w:r>
      <w:r w:rsidRPr="00C007DA">
        <w:rPr>
          <w:rFonts w:ascii="Arial" w:hAnsi="Arial" w:cs="Arial"/>
        </w:rPr>
        <w:t xml:space="preserve">$2,087 </w:t>
      </w:r>
      <w:r>
        <w:rPr>
          <w:rFonts w:ascii="Arial" w:hAnsi="Arial" w:cs="Arial"/>
        </w:rPr>
        <w:t xml:space="preserve">from </w:t>
      </w:r>
      <w:r w:rsidRPr="00C007DA">
        <w:rPr>
          <w:rFonts w:ascii="Arial" w:hAnsi="Arial" w:cs="Arial"/>
        </w:rPr>
        <w:t>SC&amp;I On</w:t>
      </w:r>
      <w:r w:rsidR="009B6654">
        <w:rPr>
          <w:rFonts w:ascii="Arial" w:hAnsi="Arial" w:cs="Arial"/>
        </w:rPr>
        <w:t>-</w:t>
      </w:r>
      <w:r w:rsidRPr="00C007DA">
        <w:rPr>
          <w:rFonts w:ascii="Arial" w:hAnsi="Arial" w:cs="Arial"/>
        </w:rPr>
        <w:t>Peak</w:t>
      </w:r>
      <w:r w:rsidR="003768AF">
        <w:rPr>
          <w:rFonts w:ascii="Arial" w:hAnsi="Arial" w:cs="Arial"/>
        </w:rPr>
        <w:t xml:space="preserve"> through the E-Factor balance </w:t>
      </w:r>
      <w:r>
        <w:rPr>
          <w:rFonts w:ascii="Arial" w:hAnsi="Arial" w:cs="Arial"/>
        </w:rPr>
        <w:t xml:space="preserve">at </w:t>
      </w:r>
      <w:r w:rsidR="00EF5E7A">
        <w:rPr>
          <w:rFonts w:ascii="Arial" w:hAnsi="Arial" w:cs="Arial"/>
        </w:rPr>
        <w:t xml:space="preserve">March 31, 2015.  Additionally, the Company established </w:t>
      </w:r>
      <w:r w:rsidR="0099127B">
        <w:rPr>
          <w:rFonts w:ascii="Arial" w:hAnsi="Arial" w:cs="Arial"/>
        </w:rPr>
        <w:t>a process change that ensures the approved tariff rates are not adjusted once the rate is in effect</w:t>
      </w:r>
      <w:r w:rsidR="002A112A" w:rsidRPr="002A112A">
        <w:rPr>
          <w:rFonts w:ascii="Arial" w:hAnsi="Arial" w:cs="Arial"/>
        </w:rPr>
        <w:t xml:space="preserve">.  </w:t>
      </w:r>
    </w:p>
    <w:p w:rsidR="00AB4423" w:rsidRDefault="00AB4423"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70621F" w:rsidRDefault="0070621F" w:rsidP="0070621F">
      <w:pPr>
        <w:rPr>
          <w:rFonts w:ascii="Arial" w:hAnsi="Arial" w:cs="Arial"/>
          <w:b/>
          <w:sz w:val="26"/>
          <w:szCs w:val="26"/>
        </w:rPr>
      </w:pPr>
    </w:p>
    <w:p w:rsidR="002A112A" w:rsidRDefault="002A112A" w:rsidP="0070621F">
      <w:pPr>
        <w:rPr>
          <w:rFonts w:ascii="Arial" w:hAnsi="Arial" w:cs="Arial"/>
          <w:b/>
          <w:sz w:val="26"/>
          <w:szCs w:val="26"/>
        </w:rPr>
      </w:pPr>
    </w:p>
    <w:p w:rsidR="002A112A" w:rsidRDefault="002A112A" w:rsidP="0070621F">
      <w:pPr>
        <w:rPr>
          <w:rFonts w:ascii="Arial" w:hAnsi="Arial" w:cs="Arial"/>
          <w:b/>
          <w:sz w:val="26"/>
          <w:szCs w:val="26"/>
        </w:rPr>
      </w:pPr>
    </w:p>
    <w:p w:rsidR="002A112A" w:rsidRDefault="002A112A" w:rsidP="0070621F">
      <w:pPr>
        <w:rPr>
          <w:rFonts w:ascii="Arial" w:hAnsi="Arial" w:cs="Arial"/>
          <w:b/>
          <w:sz w:val="26"/>
          <w:szCs w:val="26"/>
        </w:rPr>
      </w:pPr>
    </w:p>
    <w:p w:rsidR="002A112A" w:rsidRDefault="002A112A" w:rsidP="0070621F">
      <w:pPr>
        <w:rPr>
          <w:rFonts w:ascii="Arial" w:hAnsi="Arial" w:cs="Arial"/>
          <w:b/>
          <w:sz w:val="26"/>
          <w:szCs w:val="26"/>
        </w:rPr>
      </w:pPr>
    </w:p>
    <w:p w:rsidR="002A112A" w:rsidRDefault="002A112A" w:rsidP="0070621F">
      <w:pPr>
        <w:rPr>
          <w:rFonts w:ascii="Arial" w:hAnsi="Arial" w:cs="Arial"/>
          <w:b/>
          <w:sz w:val="26"/>
          <w:szCs w:val="26"/>
        </w:rPr>
      </w:pPr>
    </w:p>
    <w:p w:rsidR="00156C4F" w:rsidRDefault="00156C4F" w:rsidP="00B92B31">
      <w:pPr>
        <w:jc w:val="center"/>
        <w:rPr>
          <w:rFonts w:ascii="Arial" w:hAnsi="Arial" w:cs="Arial"/>
          <w:b/>
          <w:sz w:val="26"/>
          <w:szCs w:val="26"/>
        </w:rPr>
        <w:sectPr w:rsidR="00156C4F" w:rsidSect="00556458">
          <w:headerReference w:type="even" r:id="rId40"/>
          <w:headerReference w:type="default" r:id="rId41"/>
          <w:footerReference w:type="default" r:id="rId42"/>
          <w:headerReference w:type="first" r:id="rId43"/>
          <w:pgSz w:w="12240" w:h="15840" w:code="1"/>
          <w:pgMar w:top="1440" w:right="1440" w:bottom="1440" w:left="1440" w:header="720" w:footer="720" w:gutter="0"/>
          <w:pgNumType w:fmt="numberInDash" w:start="6"/>
          <w:cols w:space="720"/>
          <w:noEndnote/>
        </w:sectPr>
      </w:pPr>
    </w:p>
    <w:p w:rsidR="00B92B31" w:rsidRDefault="009C7A49" w:rsidP="00B92B31">
      <w:pPr>
        <w:jc w:val="center"/>
        <w:rPr>
          <w:rFonts w:ascii="Arial" w:hAnsi="Arial" w:cs="Arial"/>
          <w:b/>
          <w:sz w:val="26"/>
          <w:szCs w:val="26"/>
        </w:rPr>
      </w:pPr>
      <w:r>
        <w:rPr>
          <w:rFonts w:ascii="Arial" w:hAnsi="Arial" w:cs="Arial"/>
          <w:b/>
          <w:sz w:val="26"/>
          <w:szCs w:val="26"/>
        </w:rPr>
        <w:lastRenderedPageBreak/>
        <w:t>PPL ELECTRIC UTILITIES CORPORATION</w:t>
      </w:r>
    </w:p>
    <w:p w:rsidR="00B92B31" w:rsidRDefault="00B92B31" w:rsidP="002C6FE9">
      <w:pPr>
        <w:pStyle w:val="BodyTextIndent2"/>
        <w:ind w:right="0" w:firstLine="0"/>
        <w:jc w:val="center"/>
        <w:rPr>
          <w:rFonts w:ascii="Arial" w:hAnsi="Arial" w:cs="Arial"/>
          <w:b/>
          <w:sz w:val="26"/>
          <w:szCs w:val="26"/>
          <w:lang w:val="en-US"/>
        </w:rPr>
      </w:pPr>
    </w:p>
    <w:p w:rsidR="00603A6A" w:rsidRPr="00B92B31" w:rsidRDefault="00603A6A" w:rsidP="002C6FE9">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sidR="00B92B31">
        <w:rPr>
          <w:rFonts w:ascii="Arial" w:hAnsi="Arial" w:cs="Arial"/>
          <w:b/>
          <w:sz w:val="26"/>
          <w:szCs w:val="26"/>
          <w:lang w:val="en-US"/>
        </w:rPr>
        <w:t>cknowledgements</w:t>
      </w:r>
    </w:p>
    <w:p w:rsidR="00603A6A" w:rsidRPr="00BA0701" w:rsidRDefault="00603A6A" w:rsidP="002C6FE9">
      <w:pPr>
        <w:pStyle w:val="BodyTextIndent2"/>
        <w:tabs>
          <w:tab w:val="left" w:pos="4320"/>
        </w:tabs>
        <w:ind w:right="0" w:firstLine="0"/>
        <w:rPr>
          <w:rFonts w:ascii="Arial" w:hAnsi="Arial" w:cs="Arial"/>
          <w:b/>
          <w:sz w:val="26"/>
          <w:szCs w:val="26"/>
          <w:u w:val="single"/>
        </w:rPr>
      </w:pPr>
    </w:p>
    <w:p w:rsidR="002C6FE9" w:rsidRPr="00BA0701" w:rsidRDefault="002C6FE9" w:rsidP="002C6FE9">
      <w:pPr>
        <w:pStyle w:val="BodyTextIndent2"/>
        <w:tabs>
          <w:tab w:val="left" w:pos="4320"/>
        </w:tabs>
        <w:ind w:right="0" w:firstLine="0"/>
        <w:rPr>
          <w:rFonts w:ascii="Arial" w:hAnsi="Arial" w:cs="Arial"/>
          <w:b/>
          <w:sz w:val="26"/>
          <w:szCs w:val="26"/>
          <w:u w:val="single"/>
        </w:rPr>
      </w:pPr>
    </w:p>
    <w:p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sidR="00A92072">
        <w:rPr>
          <w:rFonts w:ascii="Arial" w:hAnsi="Arial" w:cs="Arial"/>
          <w:szCs w:val="24"/>
        </w:rPr>
        <w:t xml:space="preserve">on to the officers and staff of </w:t>
      </w:r>
      <w:r w:rsidR="009C7A49">
        <w:rPr>
          <w:rFonts w:ascii="Arial" w:hAnsi="Arial" w:cs="Arial"/>
          <w:szCs w:val="24"/>
        </w:rPr>
        <w:t xml:space="preserve">PPL </w:t>
      </w:r>
      <w:r w:rsidR="007374E2">
        <w:rPr>
          <w:rFonts w:ascii="Arial" w:hAnsi="Arial" w:cs="Arial"/>
          <w:szCs w:val="24"/>
          <w:lang w:val="en-US"/>
        </w:rPr>
        <w:t>Electric Utilities Corporation</w:t>
      </w:r>
      <w:r w:rsidRPr="00454049">
        <w:rPr>
          <w:rFonts w:ascii="Arial" w:hAnsi="Arial" w:cs="Arial"/>
          <w:szCs w:val="24"/>
        </w:rPr>
        <w:t xml:space="preserve"> for the cooperation and assistance given </w:t>
      </w:r>
      <w:r w:rsidR="00CD093C">
        <w:rPr>
          <w:rFonts w:ascii="Arial" w:hAnsi="Arial" w:cs="Arial"/>
          <w:szCs w:val="24"/>
          <w:lang w:val="en-US"/>
        </w:rPr>
        <w:t xml:space="preserve">to </w:t>
      </w:r>
      <w:r w:rsidR="00982801" w:rsidRPr="00454049">
        <w:rPr>
          <w:rFonts w:ascii="Arial" w:hAnsi="Arial" w:cs="Arial"/>
          <w:szCs w:val="24"/>
        </w:rPr>
        <w:t>u</w:t>
      </w:r>
      <w:r w:rsidRPr="00454049">
        <w:rPr>
          <w:rFonts w:ascii="Arial" w:hAnsi="Arial" w:cs="Arial"/>
          <w:szCs w:val="24"/>
        </w:rPr>
        <w:t xml:space="preserve">s during the course of our examination.  The audit was conducted by </w:t>
      </w:r>
      <w:r w:rsidR="008E21A3">
        <w:rPr>
          <w:rFonts w:ascii="Arial" w:hAnsi="Arial" w:cs="Arial"/>
          <w:szCs w:val="24"/>
          <w:lang w:val="en-US"/>
        </w:rPr>
        <w:t xml:space="preserve">Kenneth W. Raffensperger, assisted by David </w:t>
      </w:r>
      <w:r w:rsidR="003E2824">
        <w:rPr>
          <w:rFonts w:ascii="Arial" w:hAnsi="Arial" w:cs="Arial"/>
          <w:szCs w:val="24"/>
          <w:lang w:val="en-US"/>
        </w:rPr>
        <w:t>G. Kennerly, CPA</w:t>
      </w:r>
      <w:r w:rsidR="007374E2">
        <w:rPr>
          <w:rFonts w:ascii="Arial" w:hAnsi="Arial" w:cs="Arial"/>
          <w:szCs w:val="24"/>
          <w:lang w:val="en-US"/>
        </w:rPr>
        <w:t xml:space="preserve">, and </w:t>
      </w:r>
      <w:r w:rsidR="009C35C9">
        <w:rPr>
          <w:rFonts w:ascii="Arial" w:hAnsi="Arial" w:cs="Arial"/>
          <w:szCs w:val="24"/>
          <w:lang w:val="en-US"/>
        </w:rPr>
        <w:t xml:space="preserve">Xuequn </w:t>
      </w:r>
      <w:r w:rsidR="007374E2">
        <w:rPr>
          <w:rFonts w:ascii="Arial" w:hAnsi="Arial" w:cs="Arial"/>
          <w:szCs w:val="24"/>
          <w:lang w:val="en-US"/>
        </w:rPr>
        <w:t>Wu, CPA</w:t>
      </w:r>
      <w:r w:rsidR="00F77CAB">
        <w:rPr>
          <w:rFonts w:ascii="Arial" w:hAnsi="Arial" w:cs="Arial"/>
          <w:szCs w:val="24"/>
        </w:rPr>
        <w:t xml:space="preserve">. </w:t>
      </w:r>
    </w:p>
    <w:p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556458">
      <w:pgSz w:w="12240" w:h="15840" w:code="1"/>
      <w:pgMar w:top="1440" w:right="1440" w:bottom="1440" w:left="1440" w:header="720" w:footer="720" w:gutter="0"/>
      <w:pgNumType w:fmt="numberInDash"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74" w:rsidRDefault="002F6874">
      <w:r>
        <w:separator/>
      </w:r>
    </w:p>
  </w:endnote>
  <w:endnote w:type="continuationSeparator" w:id="0">
    <w:p w:rsidR="002F6874" w:rsidRDefault="002F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40C51" w:rsidRDefault="00B4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D6CFD" w:rsidRDefault="00B40C51" w:rsidP="006D6CFD">
    <w:pPr>
      <w:pStyle w:val="Footer"/>
      <w:tabs>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E6" w:rsidRPr="00745CE2" w:rsidRDefault="00CF64E6" w:rsidP="00745C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71042"/>
      <w:docPartObj>
        <w:docPartGallery w:val="Page Numbers (Bottom of Page)"/>
        <w:docPartUnique/>
      </w:docPartObj>
    </w:sdtPr>
    <w:sdtEndPr>
      <w:rPr>
        <w:rFonts w:ascii="Arial" w:hAnsi="Arial" w:cs="Arial"/>
        <w:noProof/>
      </w:rPr>
    </w:sdtEndPr>
    <w:sdtContent>
      <w:p w:rsidR="001822F1" w:rsidRPr="001822F1" w:rsidRDefault="001822F1" w:rsidP="001822F1">
        <w:pPr>
          <w:pStyle w:val="Footer"/>
          <w:jc w:val="center"/>
          <w:rPr>
            <w:rFonts w:ascii="Arial" w:hAnsi="Arial" w:cs="Arial"/>
          </w:rPr>
        </w:pPr>
        <w:r w:rsidRPr="001822F1">
          <w:rPr>
            <w:rFonts w:ascii="Arial" w:hAnsi="Arial" w:cs="Arial"/>
          </w:rPr>
          <w:fldChar w:fldCharType="begin"/>
        </w:r>
        <w:r w:rsidRPr="001822F1">
          <w:rPr>
            <w:rFonts w:ascii="Arial" w:hAnsi="Arial" w:cs="Arial"/>
          </w:rPr>
          <w:instrText xml:space="preserve"> PAGE   \* MERGEFORMAT </w:instrText>
        </w:r>
        <w:r w:rsidRPr="001822F1">
          <w:rPr>
            <w:rFonts w:ascii="Arial" w:hAnsi="Arial" w:cs="Arial"/>
          </w:rPr>
          <w:fldChar w:fldCharType="separate"/>
        </w:r>
        <w:r w:rsidR="000C634C">
          <w:rPr>
            <w:rFonts w:ascii="Arial" w:hAnsi="Arial" w:cs="Arial"/>
            <w:noProof/>
          </w:rPr>
          <w:t>- 2 -</w:t>
        </w:r>
        <w:r w:rsidRPr="001822F1">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B84ECC" w:rsidRDefault="00B40C51" w:rsidP="000A0A1E">
    <w:pPr>
      <w:pStyle w:val="Footer"/>
      <w:tabs>
        <w:tab w:val="center" w:pos="4680"/>
        <w:tab w:val="left" w:pos="5325"/>
      </w:tabs>
      <w:rPr>
        <w:rFonts w:ascii="Arial" w:hAnsi="Arial" w:cs="Arial"/>
      </w:rPr>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60E4B" w:rsidRDefault="00B40C51" w:rsidP="00660E4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27489"/>
      <w:docPartObj>
        <w:docPartGallery w:val="Page Numbers (Bottom of Page)"/>
        <w:docPartUnique/>
      </w:docPartObj>
    </w:sdtPr>
    <w:sdtEndPr>
      <w:rPr>
        <w:rFonts w:ascii="Arial" w:hAnsi="Arial" w:cs="Arial"/>
        <w:noProof/>
      </w:rPr>
    </w:sdtEndPr>
    <w:sdtContent>
      <w:p w:rsidR="00B40C51" w:rsidRPr="00B84ECC" w:rsidRDefault="00B40C51" w:rsidP="00B84ECC">
        <w:pPr>
          <w:pStyle w:val="Footer"/>
          <w:jc w:val="center"/>
          <w:rPr>
            <w:rFonts w:ascii="Arial" w:hAnsi="Arial" w:cs="Arial"/>
          </w:rPr>
        </w:pPr>
        <w:r w:rsidRPr="00B84ECC">
          <w:rPr>
            <w:rFonts w:ascii="Arial" w:hAnsi="Arial" w:cs="Arial"/>
          </w:rPr>
          <w:fldChar w:fldCharType="begin"/>
        </w:r>
        <w:r w:rsidRPr="00B84ECC">
          <w:rPr>
            <w:rFonts w:ascii="Arial" w:hAnsi="Arial" w:cs="Arial"/>
          </w:rPr>
          <w:instrText xml:space="preserve"> PAGE   \* MERGEFORMAT </w:instrText>
        </w:r>
        <w:r w:rsidRPr="00B84ECC">
          <w:rPr>
            <w:rFonts w:ascii="Arial" w:hAnsi="Arial" w:cs="Arial"/>
          </w:rPr>
          <w:fldChar w:fldCharType="separate"/>
        </w:r>
        <w:r w:rsidR="0017400C">
          <w:rPr>
            <w:rFonts w:ascii="Arial" w:hAnsi="Arial" w:cs="Arial"/>
            <w:noProof/>
          </w:rPr>
          <w:t>- 8 -</w:t>
        </w:r>
        <w:r w:rsidRPr="00B84EC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74" w:rsidRDefault="002F6874">
      <w:r>
        <w:separator/>
      </w:r>
    </w:p>
  </w:footnote>
  <w:footnote w:type="continuationSeparator" w:id="0">
    <w:p w:rsidR="002F6874" w:rsidRDefault="002F6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F1" w:rsidRPr="00F16CBF" w:rsidRDefault="001822F1" w:rsidP="00F16CB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4F" w:rsidRDefault="00156C4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C71" w:rsidRDefault="009E2C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F16CBF" w:rsidRDefault="00B40C51" w:rsidP="00F16C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A"/>
    <w:rsid w:val="0000003F"/>
    <w:rsid w:val="00000DBA"/>
    <w:rsid w:val="0000435B"/>
    <w:rsid w:val="000044BA"/>
    <w:rsid w:val="00004AFA"/>
    <w:rsid w:val="00004C2F"/>
    <w:rsid w:val="00004CA4"/>
    <w:rsid w:val="00007433"/>
    <w:rsid w:val="000113A6"/>
    <w:rsid w:val="000121EF"/>
    <w:rsid w:val="000121FF"/>
    <w:rsid w:val="00013916"/>
    <w:rsid w:val="000139AC"/>
    <w:rsid w:val="00013E33"/>
    <w:rsid w:val="0001603D"/>
    <w:rsid w:val="0001787C"/>
    <w:rsid w:val="0002059A"/>
    <w:rsid w:val="000205F6"/>
    <w:rsid w:val="000218B3"/>
    <w:rsid w:val="00021A4A"/>
    <w:rsid w:val="00021D0E"/>
    <w:rsid w:val="00023070"/>
    <w:rsid w:val="00023C49"/>
    <w:rsid w:val="00023D6C"/>
    <w:rsid w:val="00026320"/>
    <w:rsid w:val="00026407"/>
    <w:rsid w:val="000273E3"/>
    <w:rsid w:val="00032921"/>
    <w:rsid w:val="00032D59"/>
    <w:rsid w:val="000341BF"/>
    <w:rsid w:val="0003605F"/>
    <w:rsid w:val="00037805"/>
    <w:rsid w:val="00037B6E"/>
    <w:rsid w:val="00040916"/>
    <w:rsid w:val="00043FB8"/>
    <w:rsid w:val="00044085"/>
    <w:rsid w:val="0005099E"/>
    <w:rsid w:val="00050E61"/>
    <w:rsid w:val="000520F5"/>
    <w:rsid w:val="00052414"/>
    <w:rsid w:val="00060F95"/>
    <w:rsid w:val="00062018"/>
    <w:rsid w:val="00063D24"/>
    <w:rsid w:val="00064772"/>
    <w:rsid w:val="0006485F"/>
    <w:rsid w:val="0006620B"/>
    <w:rsid w:val="00066DE9"/>
    <w:rsid w:val="00067076"/>
    <w:rsid w:val="0006791A"/>
    <w:rsid w:val="00070202"/>
    <w:rsid w:val="0007061A"/>
    <w:rsid w:val="0007135A"/>
    <w:rsid w:val="0007246E"/>
    <w:rsid w:val="000729CE"/>
    <w:rsid w:val="00073634"/>
    <w:rsid w:val="000755F3"/>
    <w:rsid w:val="0007587B"/>
    <w:rsid w:val="00075A09"/>
    <w:rsid w:val="00077ACC"/>
    <w:rsid w:val="000800B8"/>
    <w:rsid w:val="000801C6"/>
    <w:rsid w:val="00084C85"/>
    <w:rsid w:val="00085CC9"/>
    <w:rsid w:val="00086242"/>
    <w:rsid w:val="00086899"/>
    <w:rsid w:val="000872F3"/>
    <w:rsid w:val="00087B16"/>
    <w:rsid w:val="00090FB4"/>
    <w:rsid w:val="00091123"/>
    <w:rsid w:val="00092642"/>
    <w:rsid w:val="00092DB6"/>
    <w:rsid w:val="0009303F"/>
    <w:rsid w:val="00093611"/>
    <w:rsid w:val="00095285"/>
    <w:rsid w:val="000957CE"/>
    <w:rsid w:val="00096D2A"/>
    <w:rsid w:val="000975B5"/>
    <w:rsid w:val="0009762E"/>
    <w:rsid w:val="000A01C6"/>
    <w:rsid w:val="000A0A1E"/>
    <w:rsid w:val="000A1FB4"/>
    <w:rsid w:val="000A2869"/>
    <w:rsid w:val="000A567E"/>
    <w:rsid w:val="000A619D"/>
    <w:rsid w:val="000A62FF"/>
    <w:rsid w:val="000A778C"/>
    <w:rsid w:val="000B0557"/>
    <w:rsid w:val="000B0764"/>
    <w:rsid w:val="000B0780"/>
    <w:rsid w:val="000B1C77"/>
    <w:rsid w:val="000B1F38"/>
    <w:rsid w:val="000B2024"/>
    <w:rsid w:val="000B33F3"/>
    <w:rsid w:val="000B53F3"/>
    <w:rsid w:val="000B5A70"/>
    <w:rsid w:val="000B7627"/>
    <w:rsid w:val="000B7815"/>
    <w:rsid w:val="000C13A6"/>
    <w:rsid w:val="000C21A3"/>
    <w:rsid w:val="000C37FB"/>
    <w:rsid w:val="000C5A40"/>
    <w:rsid w:val="000C634C"/>
    <w:rsid w:val="000C6906"/>
    <w:rsid w:val="000C7BD3"/>
    <w:rsid w:val="000D0E08"/>
    <w:rsid w:val="000D3B57"/>
    <w:rsid w:val="000D5374"/>
    <w:rsid w:val="000D7573"/>
    <w:rsid w:val="000E243A"/>
    <w:rsid w:val="000E5B2F"/>
    <w:rsid w:val="000E680B"/>
    <w:rsid w:val="000E683E"/>
    <w:rsid w:val="000E6DA4"/>
    <w:rsid w:val="000E7079"/>
    <w:rsid w:val="000E79C5"/>
    <w:rsid w:val="000F0DB3"/>
    <w:rsid w:val="000F1C31"/>
    <w:rsid w:val="000F1F78"/>
    <w:rsid w:val="000F21F5"/>
    <w:rsid w:val="000F2B86"/>
    <w:rsid w:val="000F42BA"/>
    <w:rsid w:val="000F471E"/>
    <w:rsid w:val="000F4FD3"/>
    <w:rsid w:val="000F5128"/>
    <w:rsid w:val="000F5ADB"/>
    <w:rsid w:val="000F604A"/>
    <w:rsid w:val="000F7F9C"/>
    <w:rsid w:val="000F7FB6"/>
    <w:rsid w:val="00100CBC"/>
    <w:rsid w:val="00101AEE"/>
    <w:rsid w:val="00102650"/>
    <w:rsid w:val="0010288F"/>
    <w:rsid w:val="00103C65"/>
    <w:rsid w:val="00104433"/>
    <w:rsid w:val="00104C7C"/>
    <w:rsid w:val="00107B86"/>
    <w:rsid w:val="00107D1C"/>
    <w:rsid w:val="001100E2"/>
    <w:rsid w:val="00110192"/>
    <w:rsid w:val="001113B2"/>
    <w:rsid w:val="00112259"/>
    <w:rsid w:val="00112ACE"/>
    <w:rsid w:val="001134C2"/>
    <w:rsid w:val="00114BFB"/>
    <w:rsid w:val="001153AC"/>
    <w:rsid w:val="00115EBC"/>
    <w:rsid w:val="00116159"/>
    <w:rsid w:val="00117B56"/>
    <w:rsid w:val="001200DF"/>
    <w:rsid w:val="00120DB0"/>
    <w:rsid w:val="001214A1"/>
    <w:rsid w:val="00122823"/>
    <w:rsid w:val="0012331C"/>
    <w:rsid w:val="00124AA1"/>
    <w:rsid w:val="00125323"/>
    <w:rsid w:val="00125499"/>
    <w:rsid w:val="00125868"/>
    <w:rsid w:val="00127342"/>
    <w:rsid w:val="00127A20"/>
    <w:rsid w:val="00127AA9"/>
    <w:rsid w:val="00127B3C"/>
    <w:rsid w:val="00127DFB"/>
    <w:rsid w:val="00130093"/>
    <w:rsid w:val="00130848"/>
    <w:rsid w:val="00131AA1"/>
    <w:rsid w:val="00132710"/>
    <w:rsid w:val="00133F42"/>
    <w:rsid w:val="00134718"/>
    <w:rsid w:val="00135D1D"/>
    <w:rsid w:val="001362D0"/>
    <w:rsid w:val="00136C93"/>
    <w:rsid w:val="001372AC"/>
    <w:rsid w:val="00137B4A"/>
    <w:rsid w:val="0014145E"/>
    <w:rsid w:val="00141E2D"/>
    <w:rsid w:val="00142905"/>
    <w:rsid w:val="00144699"/>
    <w:rsid w:val="00144A0A"/>
    <w:rsid w:val="001514EB"/>
    <w:rsid w:val="001526A2"/>
    <w:rsid w:val="001544DA"/>
    <w:rsid w:val="00155428"/>
    <w:rsid w:val="00156871"/>
    <w:rsid w:val="00156C4F"/>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857"/>
    <w:rsid w:val="00171C73"/>
    <w:rsid w:val="00173807"/>
    <w:rsid w:val="0017400C"/>
    <w:rsid w:val="00174069"/>
    <w:rsid w:val="00174374"/>
    <w:rsid w:val="001762E8"/>
    <w:rsid w:val="00176F2E"/>
    <w:rsid w:val="00177AC4"/>
    <w:rsid w:val="0018083D"/>
    <w:rsid w:val="00180DD2"/>
    <w:rsid w:val="00181F1C"/>
    <w:rsid w:val="001822F1"/>
    <w:rsid w:val="00182996"/>
    <w:rsid w:val="00183222"/>
    <w:rsid w:val="00184FC8"/>
    <w:rsid w:val="00190D54"/>
    <w:rsid w:val="00191CD9"/>
    <w:rsid w:val="00191DE9"/>
    <w:rsid w:val="001938E4"/>
    <w:rsid w:val="0019411C"/>
    <w:rsid w:val="00194A52"/>
    <w:rsid w:val="0019642C"/>
    <w:rsid w:val="001A554F"/>
    <w:rsid w:val="001A73EE"/>
    <w:rsid w:val="001A74CF"/>
    <w:rsid w:val="001A7AEB"/>
    <w:rsid w:val="001B1714"/>
    <w:rsid w:val="001B1718"/>
    <w:rsid w:val="001B189C"/>
    <w:rsid w:val="001B3DEB"/>
    <w:rsid w:val="001B53BB"/>
    <w:rsid w:val="001B53DE"/>
    <w:rsid w:val="001B7BF4"/>
    <w:rsid w:val="001C0282"/>
    <w:rsid w:val="001C1F79"/>
    <w:rsid w:val="001C489C"/>
    <w:rsid w:val="001C596B"/>
    <w:rsid w:val="001C7A18"/>
    <w:rsid w:val="001C7DDC"/>
    <w:rsid w:val="001D0131"/>
    <w:rsid w:val="001D2094"/>
    <w:rsid w:val="001D29EF"/>
    <w:rsid w:val="001D3DD3"/>
    <w:rsid w:val="001D586A"/>
    <w:rsid w:val="001D5AAC"/>
    <w:rsid w:val="001D5FDC"/>
    <w:rsid w:val="001E0438"/>
    <w:rsid w:val="001E0DBF"/>
    <w:rsid w:val="001E2986"/>
    <w:rsid w:val="001E321B"/>
    <w:rsid w:val="001E3B80"/>
    <w:rsid w:val="001E5A12"/>
    <w:rsid w:val="001E65CD"/>
    <w:rsid w:val="001E725C"/>
    <w:rsid w:val="001E7B96"/>
    <w:rsid w:val="001F02FF"/>
    <w:rsid w:val="001F0CF2"/>
    <w:rsid w:val="001F0D69"/>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1FE2"/>
    <w:rsid w:val="002126A0"/>
    <w:rsid w:val="00214AAB"/>
    <w:rsid w:val="00215815"/>
    <w:rsid w:val="0021588B"/>
    <w:rsid w:val="00215AF5"/>
    <w:rsid w:val="002167D6"/>
    <w:rsid w:val="002174F2"/>
    <w:rsid w:val="00217B2D"/>
    <w:rsid w:val="00220112"/>
    <w:rsid w:val="00220713"/>
    <w:rsid w:val="00220C91"/>
    <w:rsid w:val="002214DE"/>
    <w:rsid w:val="0022240E"/>
    <w:rsid w:val="00222543"/>
    <w:rsid w:val="002228B5"/>
    <w:rsid w:val="0022335A"/>
    <w:rsid w:val="00223812"/>
    <w:rsid w:val="00225C3F"/>
    <w:rsid w:val="002261F2"/>
    <w:rsid w:val="00226C71"/>
    <w:rsid w:val="00226E00"/>
    <w:rsid w:val="002276C3"/>
    <w:rsid w:val="00227708"/>
    <w:rsid w:val="002302F5"/>
    <w:rsid w:val="0023043A"/>
    <w:rsid w:val="0023046A"/>
    <w:rsid w:val="0023151D"/>
    <w:rsid w:val="00231877"/>
    <w:rsid w:val="00233C92"/>
    <w:rsid w:val="002340F0"/>
    <w:rsid w:val="002346D4"/>
    <w:rsid w:val="00235911"/>
    <w:rsid w:val="00235F15"/>
    <w:rsid w:val="002360D1"/>
    <w:rsid w:val="00236413"/>
    <w:rsid w:val="0023645D"/>
    <w:rsid w:val="00236491"/>
    <w:rsid w:val="0024004F"/>
    <w:rsid w:val="002402BE"/>
    <w:rsid w:val="00240BF4"/>
    <w:rsid w:val="002415EF"/>
    <w:rsid w:val="002431B3"/>
    <w:rsid w:val="00243425"/>
    <w:rsid w:val="0024376F"/>
    <w:rsid w:val="002442D9"/>
    <w:rsid w:val="002459E3"/>
    <w:rsid w:val="00250416"/>
    <w:rsid w:val="00250512"/>
    <w:rsid w:val="00251AE8"/>
    <w:rsid w:val="00252162"/>
    <w:rsid w:val="00252976"/>
    <w:rsid w:val="00252C4A"/>
    <w:rsid w:val="00256947"/>
    <w:rsid w:val="00257491"/>
    <w:rsid w:val="0025787C"/>
    <w:rsid w:val="0026157F"/>
    <w:rsid w:val="00261D12"/>
    <w:rsid w:val="002657DB"/>
    <w:rsid w:val="0026596E"/>
    <w:rsid w:val="002659A0"/>
    <w:rsid w:val="002668BF"/>
    <w:rsid w:val="002675D2"/>
    <w:rsid w:val="0026786B"/>
    <w:rsid w:val="00270B62"/>
    <w:rsid w:val="00271574"/>
    <w:rsid w:val="002722B7"/>
    <w:rsid w:val="002733BD"/>
    <w:rsid w:val="00273587"/>
    <w:rsid w:val="00274C7B"/>
    <w:rsid w:val="00275092"/>
    <w:rsid w:val="002762D5"/>
    <w:rsid w:val="00276BBC"/>
    <w:rsid w:val="002777CB"/>
    <w:rsid w:val="00280A1C"/>
    <w:rsid w:val="002822DE"/>
    <w:rsid w:val="00282823"/>
    <w:rsid w:val="002837DD"/>
    <w:rsid w:val="00285097"/>
    <w:rsid w:val="00286EEF"/>
    <w:rsid w:val="00286FC7"/>
    <w:rsid w:val="00287B77"/>
    <w:rsid w:val="00290CBE"/>
    <w:rsid w:val="00294BC2"/>
    <w:rsid w:val="00297C27"/>
    <w:rsid w:val="002A05FA"/>
    <w:rsid w:val="002A112A"/>
    <w:rsid w:val="002A1350"/>
    <w:rsid w:val="002A17BE"/>
    <w:rsid w:val="002A430A"/>
    <w:rsid w:val="002A46D9"/>
    <w:rsid w:val="002A52FE"/>
    <w:rsid w:val="002A63A0"/>
    <w:rsid w:val="002A683C"/>
    <w:rsid w:val="002B2069"/>
    <w:rsid w:val="002B31F3"/>
    <w:rsid w:val="002B33C2"/>
    <w:rsid w:val="002B4861"/>
    <w:rsid w:val="002B4D0A"/>
    <w:rsid w:val="002B704C"/>
    <w:rsid w:val="002B7BBF"/>
    <w:rsid w:val="002C0472"/>
    <w:rsid w:val="002C094A"/>
    <w:rsid w:val="002C0F1A"/>
    <w:rsid w:val="002C2B78"/>
    <w:rsid w:val="002C3793"/>
    <w:rsid w:val="002C4DE2"/>
    <w:rsid w:val="002C6059"/>
    <w:rsid w:val="002C615D"/>
    <w:rsid w:val="002C6BDC"/>
    <w:rsid w:val="002C6FE9"/>
    <w:rsid w:val="002C76BB"/>
    <w:rsid w:val="002C7A73"/>
    <w:rsid w:val="002C7BB8"/>
    <w:rsid w:val="002D00C5"/>
    <w:rsid w:val="002D07E4"/>
    <w:rsid w:val="002D20DC"/>
    <w:rsid w:val="002D2160"/>
    <w:rsid w:val="002D2A89"/>
    <w:rsid w:val="002D4706"/>
    <w:rsid w:val="002D69B2"/>
    <w:rsid w:val="002D6F2D"/>
    <w:rsid w:val="002E063D"/>
    <w:rsid w:val="002E27B4"/>
    <w:rsid w:val="002E28CC"/>
    <w:rsid w:val="002E32C7"/>
    <w:rsid w:val="002E47C0"/>
    <w:rsid w:val="002E6266"/>
    <w:rsid w:val="002E658D"/>
    <w:rsid w:val="002F0791"/>
    <w:rsid w:val="002F1DAD"/>
    <w:rsid w:val="002F3B8B"/>
    <w:rsid w:val="002F3D9F"/>
    <w:rsid w:val="002F434B"/>
    <w:rsid w:val="002F5562"/>
    <w:rsid w:val="002F6874"/>
    <w:rsid w:val="002F74A8"/>
    <w:rsid w:val="0030039A"/>
    <w:rsid w:val="003046F1"/>
    <w:rsid w:val="00306F55"/>
    <w:rsid w:val="003070AE"/>
    <w:rsid w:val="00307A98"/>
    <w:rsid w:val="00307B59"/>
    <w:rsid w:val="003116E5"/>
    <w:rsid w:val="00311CC5"/>
    <w:rsid w:val="00311E3C"/>
    <w:rsid w:val="00312248"/>
    <w:rsid w:val="00312F3B"/>
    <w:rsid w:val="003144B0"/>
    <w:rsid w:val="0031467A"/>
    <w:rsid w:val="003152B6"/>
    <w:rsid w:val="00315FE4"/>
    <w:rsid w:val="00316AEC"/>
    <w:rsid w:val="00316F74"/>
    <w:rsid w:val="003170E4"/>
    <w:rsid w:val="00317567"/>
    <w:rsid w:val="003176A3"/>
    <w:rsid w:val="00317FAA"/>
    <w:rsid w:val="00320342"/>
    <w:rsid w:val="00321356"/>
    <w:rsid w:val="0032421B"/>
    <w:rsid w:val="00324BEF"/>
    <w:rsid w:val="003252A0"/>
    <w:rsid w:val="00325A77"/>
    <w:rsid w:val="00326A2F"/>
    <w:rsid w:val="003275EC"/>
    <w:rsid w:val="003278F2"/>
    <w:rsid w:val="00327996"/>
    <w:rsid w:val="00327BF4"/>
    <w:rsid w:val="0033021B"/>
    <w:rsid w:val="00331A7B"/>
    <w:rsid w:val="00332C89"/>
    <w:rsid w:val="0033425E"/>
    <w:rsid w:val="0033432E"/>
    <w:rsid w:val="00335252"/>
    <w:rsid w:val="00337589"/>
    <w:rsid w:val="003378A0"/>
    <w:rsid w:val="00340566"/>
    <w:rsid w:val="003412E5"/>
    <w:rsid w:val="0034157F"/>
    <w:rsid w:val="00344F76"/>
    <w:rsid w:val="0034755D"/>
    <w:rsid w:val="00351D1B"/>
    <w:rsid w:val="00352FC6"/>
    <w:rsid w:val="00353540"/>
    <w:rsid w:val="00354F80"/>
    <w:rsid w:val="00355EE7"/>
    <w:rsid w:val="00356E86"/>
    <w:rsid w:val="0035729D"/>
    <w:rsid w:val="003647E7"/>
    <w:rsid w:val="00364A22"/>
    <w:rsid w:val="00365150"/>
    <w:rsid w:val="0036545F"/>
    <w:rsid w:val="00366087"/>
    <w:rsid w:val="003700C2"/>
    <w:rsid w:val="0037130A"/>
    <w:rsid w:val="00371CB2"/>
    <w:rsid w:val="00375B51"/>
    <w:rsid w:val="003768AF"/>
    <w:rsid w:val="00380936"/>
    <w:rsid w:val="00382551"/>
    <w:rsid w:val="003848DC"/>
    <w:rsid w:val="00387BE6"/>
    <w:rsid w:val="003901BB"/>
    <w:rsid w:val="0039075F"/>
    <w:rsid w:val="0039136E"/>
    <w:rsid w:val="00391529"/>
    <w:rsid w:val="00392E12"/>
    <w:rsid w:val="00393679"/>
    <w:rsid w:val="003937C5"/>
    <w:rsid w:val="00394CA5"/>
    <w:rsid w:val="00394D61"/>
    <w:rsid w:val="003952B2"/>
    <w:rsid w:val="003952CF"/>
    <w:rsid w:val="00395304"/>
    <w:rsid w:val="003A0885"/>
    <w:rsid w:val="003A19DA"/>
    <w:rsid w:val="003A1ACD"/>
    <w:rsid w:val="003A227A"/>
    <w:rsid w:val="003A2489"/>
    <w:rsid w:val="003A31EF"/>
    <w:rsid w:val="003A355A"/>
    <w:rsid w:val="003A5371"/>
    <w:rsid w:val="003A571F"/>
    <w:rsid w:val="003A6161"/>
    <w:rsid w:val="003A667B"/>
    <w:rsid w:val="003A7DEF"/>
    <w:rsid w:val="003B098F"/>
    <w:rsid w:val="003B0D4E"/>
    <w:rsid w:val="003B4D36"/>
    <w:rsid w:val="003B6287"/>
    <w:rsid w:val="003B66CB"/>
    <w:rsid w:val="003B6F71"/>
    <w:rsid w:val="003B78A7"/>
    <w:rsid w:val="003B78B7"/>
    <w:rsid w:val="003B78D3"/>
    <w:rsid w:val="003B7EE7"/>
    <w:rsid w:val="003C30C9"/>
    <w:rsid w:val="003C5289"/>
    <w:rsid w:val="003C535D"/>
    <w:rsid w:val="003C71D0"/>
    <w:rsid w:val="003D122C"/>
    <w:rsid w:val="003D14BD"/>
    <w:rsid w:val="003D1E44"/>
    <w:rsid w:val="003D24DD"/>
    <w:rsid w:val="003D2CE3"/>
    <w:rsid w:val="003D4700"/>
    <w:rsid w:val="003D517B"/>
    <w:rsid w:val="003D5488"/>
    <w:rsid w:val="003D6E5E"/>
    <w:rsid w:val="003D7478"/>
    <w:rsid w:val="003E0A0F"/>
    <w:rsid w:val="003E1B51"/>
    <w:rsid w:val="003E2824"/>
    <w:rsid w:val="003E45E6"/>
    <w:rsid w:val="003E4CD2"/>
    <w:rsid w:val="003E5FAC"/>
    <w:rsid w:val="003E61CF"/>
    <w:rsid w:val="003E72B1"/>
    <w:rsid w:val="003F0CA7"/>
    <w:rsid w:val="003F2548"/>
    <w:rsid w:val="003F2706"/>
    <w:rsid w:val="003F34D9"/>
    <w:rsid w:val="003F37FC"/>
    <w:rsid w:val="003F5020"/>
    <w:rsid w:val="003F51CA"/>
    <w:rsid w:val="003F6358"/>
    <w:rsid w:val="003F7122"/>
    <w:rsid w:val="003F7A2F"/>
    <w:rsid w:val="0040067C"/>
    <w:rsid w:val="00401247"/>
    <w:rsid w:val="004017E2"/>
    <w:rsid w:val="004025CC"/>
    <w:rsid w:val="004031DD"/>
    <w:rsid w:val="00403EC3"/>
    <w:rsid w:val="0040424A"/>
    <w:rsid w:val="004061AE"/>
    <w:rsid w:val="00407464"/>
    <w:rsid w:val="00407CBC"/>
    <w:rsid w:val="004104A9"/>
    <w:rsid w:val="0041272E"/>
    <w:rsid w:val="004134C3"/>
    <w:rsid w:val="00415568"/>
    <w:rsid w:val="004158C9"/>
    <w:rsid w:val="0041646C"/>
    <w:rsid w:val="004209B2"/>
    <w:rsid w:val="0042203E"/>
    <w:rsid w:val="004221F7"/>
    <w:rsid w:val="00423BA0"/>
    <w:rsid w:val="004247A6"/>
    <w:rsid w:val="00425206"/>
    <w:rsid w:val="00426617"/>
    <w:rsid w:val="00426A90"/>
    <w:rsid w:val="00426B52"/>
    <w:rsid w:val="004272FF"/>
    <w:rsid w:val="004274D2"/>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AEC"/>
    <w:rsid w:val="004479D9"/>
    <w:rsid w:val="00451747"/>
    <w:rsid w:val="00451C99"/>
    <w:rsid w:val="00454049"/>
    <w:rsid w:val="00455A87"/>
    <w:rsid w:val="00456707"/>
    <w:rsid w:val="00456735"/>
    <w:rsid w:val="004600B4"/>
    <w:rsid w:val="00461399"/>
    <w:rsid w:val="00462586"/>
    <w:rsid w:val="0046284E"/>
    <w:rsid w:val="004641A1"/>
    <w:rsid w:val="004643B5"/>
    <w:rsid w:val="004656A9"/>
    <w:rsid w:val="00466AE2"/>
    <w:rsid w:val="00470EBD"/>
    <w:rsid w:val="00471AE0"/>
    <w:rsid w:val="00471CD2"/>
    <w:rsid w:val="00475E3A"/>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E31"/>
    <w:rsid w:val="00490E83"/>
    <w:rsid w:val="00490F56"/>
    <w:rsid w:val="004910E2"/>
    <w:rsid w:val="00491B28"/>
    <w:rsid w:val="004943D8"/>
    <w:rsid w:val="004954AD"/>
    <w:rsid w:val="00495565"/>
    <w:rsid w:val="004963F4"/>
    <w:rsid w:val="00497111"/>
    <w:rsid w:val="00497AE8"/>
    <w:rsid w:val="004A0391"/>
    <w:rsid w:val="004A22B0"/>
    <w:rsid w:val="004A3ED0"/>
    <w:rsid w:val="004B0195"/>
    <w:rsid w:val="004B05B7"/>
    <w:rsid w:val="004B28D8"/>
    <w:rsid w:val="004B40CC"/>
    <w:rsid w:val="004B6F0B"/>
    <w:rsid w:val="004B713A"/>
    <w:rsid w:val="004C30BC"/>
    <w:rsid w:val="004C392C"/>
    <w:rsid w:val="004C5BEE"/>
    <w:rsid w:val="004C5D7C"/>
    <w:rsid w:val="004C5EC6"/>
    <w:rsid w:val="004C6702"/>
    <w:rsid w:val="004C7C01"/>
    <w:rsid w:val="004D0F1B"/>
    <w:rsid w:val="004D212C"/>
    <w:rsid w:val="004D22DD"/>
    <w:rsid w:val="004D27AE"/>
    <w:rsid w:val="004D28EE"/>
    <w:rsid w:val="004D2AF3"/>
    <w:rsid w:val="004D4BDA"/>
    <w:rsid w:val="004D51A5"/>
    <w:rsid w:val="004D73F3"/>
    <w:rsid w:val="004D775D"/>
    <w:rsid w:val="004E31EC"/>
    <w:rsid w:val="004E365D"/>
    <w:rsid w:val="004E38C1"/>
    <w:rsid w:val="004E3923"/>
    <w:rsid w:val="004E39AC"/>
    <w:rsid w:val="004E51B1"/>
    <w:rsid w:val="004E7A72"/>
    <w:rsid w:val="004F04EB"/>
    <w:rsid w:val="004F074C"/>
    <w:rsid w:val="004F1459"/>
    <w:rsid w:val="004F148E"/>
    <w:rsid w:val="004F1BB5"/>
    <w:rsid w:val="004F2F67"/>
    <w:rsid w:val="004F338D"/>
    <w:rsid w:val="004F3D1E"/>
    <w:rsid w:val="004F3D6A"/>
    <w:rsid w:val="004F4084"/>
    <w:rsid w:val="004F4239"/>
    <w:rsid w:val="004F49A8"/>
    <w:rsid w:val="004F549F"/>
    <w:rsid w:val="004F56F6"/>
    <w:rsid w:val="004F60B2"/>
    <w:rsid w:val="004F630C"/>
    <w:rsid w:val="004F702B"/>
    <w:rsid w:val="005027B6"/>
    <w:rsid w:val="0050329D"/>
    <w:rsid w:val="005062FF"/>
    <w:rsid w:val="00506812"/>
    <w:rsid w:val="00510142"/>
    <w:rsid w:val="00510F30"/>
    <w:rsid w:val="005117C9"/>
    <w:rsid w:val="00511B6E"/>
    <w:rsid w:val="00511BB9"/>
    <w:rsid w:val="00514499"/>
    <w:rsid w:val="005149DA"/>
    <w:rsid w:val="005155C0"/>
    <w:rsid w:val="0051751F"/>
    <w:rsid w:val="00517EE4"/>
    <w:rsid w:val="00520331"/>
    <w:rsid w:val="00520C83"/>
    <w:rsid w:val="00521DC2"/>
    <w:rsid w:val="00523189"/>
    <w:rsid w:val="00527DB0"/>
    <w:rsid w:val="005303D6"/>
    <w:rsid w:val="00532013"/>
    <w:rsid w:val="00532CF5"/>
    <w:rsid w:val="00533F20"/>
    <w:rsid w:val="005343B2"/>
    <w:rsid w:val="00543B93"/>
    <w:rsid w:val="00543E11"/>
    <w:rsid w:val="00543E95"/>
    <w:rsid w:val="0054747F"/>
    <w:rsid w:val="0054778C"/>
    <w:rsid w:val="005477C7"/>
    <w:rsid w:val="0055013A"/>
    <w:rsid w:val="00552349"/>
    <w:rsid w:val="00556458"/>
    <w:rsid w:val="00556547"/>
    <w:rsid w:val="005610BC"/>
    <w:rsid w:val="00562488"/>
    <w:rsid w:val="00563474"/>
    <w:rsid w:val="00564E42"/>
    <w:rsid w:val="00565C5E"/>
    <w:rsid w:val="00566BD7"/>
    <w:rsid w:val="005673C4"/>
    <w:rsid w:val="0057027F"/>
    <w:rsid w:val="00570A82"/>
    <w:rsid w:val="005711A2"/>
    <w:rsid w:val="005735A0"/>
    <w:rsid w:val="00573B4E"/>
    <w:rsid w:val="00574D7F"/>
    <w:rsid w:val="005752BE"/>
    <w:rsid w:val="00575CE0"/>
    <w:rsid w:val="00576F3D"/>
    <w:rsid w:val="0058190E"/>
    <w:rsid w:val="00581BAD"/>
    <w:rsid w:val="00582DA8"/>
    <w:rsid w:val="00585AE4"/>
    <w:rsid w:val="00585CB5"/>
    <w:rsid w:val="00585EDC"/>
    <w:rsid w:val="0059197B"/>
    <w:rsid w:val="0059332A"/>
    <w:rsid w:val="005944B3"/>
    <w:rsid w:val="005958E2"/>
    <w:rsid w:val="00596491"/>
    <w:rsid w:val="005968F8"/>
    <w:rsid w:val="00596E7E"/>
    <w:rsid w:val="0059750C"/>
    <w:rsid w:val="0059782B"/>
    <w:rsid w:val="005A00E6"/>
    <w:rsid w:val="005A126F"/>
    <w:rsid w:val="005A1AE1"/>
    <w:rsid w:val="005A1D27"/>
    <w:rsid w:val="005A2984"/>
    <w:rsid w:val="005A3C2E"/>
    <w:rsid w:val="005A4625"/>
    <w:rsid w:val="005A54BF"/>
    <w:rsid w:val="005A6B87"/>
    <w:rsid w:val="005A7F54"/>
    <w:rsid w:val="005B4804"/>
    <w:rsid w:val="005B4AFB"/>
    <w:rsid w:val="005B5BEB"/>
    <w:rsid w:val="005B7848"/>
    <w:rsid w:val="005B7EBC"/>
    <w:rsid w:val="005C07CE"/>
    <w:rsid w:val="005C12C2"/>
    <w:rsid w:val="005C150B"/>
    <w:rsid w:val="005C2791"/>
    <w:rsid w:val="005C3C13"/>
    <w:rsid w:val="005C5844"/>
    <w:rsid w:val="005C7DE6"/>
    <w:rsid w:val="005D0DD5"/>
    <w:rsid w:val="005D1BB9"/>
    <w:rsid w:val="005D382D"/>
    <w:rsid w:val="005D3AD0"/>
    <w:rsid w:val="005D4C61"/>
    <w:rsid w:val="005D512A"/>
    <w:rsid w:val="005D59DC"/>
    <w:rsid w:val="005E0281"/>
    <w:rsid w:val="005E2E69"/>
    <w:rsid w:val="005E30F4"/>
    <w:rsid w:val="005E345F"/>
    <w:rsid w:val="005E410F"/>
    <w:rsid w:val="005E58D3"/>
    <w:rsid w:val="005E5A6D"/>
    <w:rsid w:val="005E6846"/>
    <w:rsid w:val="005F08C7"/>
    <w:rsid w:val="005F103D"/>
    <w:rsid w:val="005F135F"/>
    <w:rsid w:val="005F3703"/>
    <w:rsid w:val="005F37E1"/>
    <w:rsid w:val="005F3D4B"/>
    <w:rsid w:val="005F4698"/>
    <w:rsid w:val="005F4FCE"/>
    <w:rsid w:val="005F5986"/>
    <w:rsid w:val="005F5BAF"/>
    <w:rsid w:val="005F7276"/>
    <w:rsid w:val="0060133F"/>
    <w:rsid w:val="00601FFD"/>
    <w:rsid w:val="006022F8"/>
    <w:rsid w:val="00602508"/>
    <w:rsid w:val="00603A6A"/>
    <w:rsid w:val="00605ED3"/>
    <w:rsid w:val="006075AB"/>
    <w:rsid w:val="006107B5"/>
    <w:rsid w:val="006116D0"/>
    <w:rsid w:val="006148B7"/>
    <w:rsid w:val="00614F05"/>
    <w:rsid w:val="0061669C"/>
    <w:rsid w:val="00616B90"/>
    <w:rsid w:val="00616BC8"/>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688"/>
    <w:rsid w:val="00641CF6"/>
    <w:rsid w:val="00641ED4"/>
    <w:rsid w:val="00641FA5"/>
    <w:rsid w:val="0064344D"/>
    <w:rsid w:val="00643DDB"/>
    <w:rsid w:val="00644535"/>
    <w:rsid w:val="0064644C"/>
    <w:rsid w:val="00646799"/>
    <w:rsid w:val="00646B75"/>
    <w:rsid w:val="00650F45"/>
    <w:rsid w:val="00651238"/>
    <w:rsid w:val="00651535"/>
    <w:rsid w:val="006519B2"/>
    <w:rsid w:val="00651D9B"/>
    <w:rsid w:val="00653FF5"/>
    <w:rsid w:val="00655A1F"/>
    <w:rsid w:val="00657383"/>
    <w:rsid w:val="00660803"/>
    <w:rsid w:val="00660E4B"/>
    <w:rsid w:val="00662A48"/>
    <w:rsid w:val="006640D5"/>
    <w:rsid w:val="006641F7"/>
    <w:rsid w:val="00665726"/>
    <w:rsid w:val="00665938"/>
    <w:rsid w:val="00665D12"/>
    <w:rsid w:val="006661F1"/>
    <w:rsid w:val="0066665C"/>
    <w:rsid w:val="00666F26"/>
    <w:rsid w:val="00667740"/>
    <w:rsid w:val="00667AD7"/>
    <w:rsid w:val="00667C44"/>
    <w:rsid w:val="00670A26"/>
    <w:rsid w:val="00671A95"/>
    <w:rsid w:val="00672AB3"/>
    <w:rsid w:val="00672E57"/>
    <w:rsid w:val="00673039"/>
    <w:rsid w:val="00673DA1"/>
    <w:rsid w:val="006751FC"/>
    <w:rsid w:val="00675B5B"/>
    <w:rsid w:val="00675F04"/>
    <w:rsid w:val="006763A0"/>
    <w:rsid w:val="00677436"/>
    <w:rsid w:val="00682D93"/>
    <w:rsid w:val="00682DB6"/>
    <w:rsid w:val="00682E87"/>
    <w:rsid w:val="006853D0"/>
    <w:rsid w:val="006871BB"/>
    <w:rsid w:val="00687A7F"/>
    <w:rsid w:val="00687C09"/>
    <w:rsid w:val="00687DFA"/>
    <w:rsid w:val="00691067"/>
    <w:rsid w:val="0069111B"/>
    <w:rsid w:val="006914FB"/>
    <w:rsid w:val="00693909"/>
    <w:rsid w:val="00694438"/>
    <w:rsid w:val="00696673"/>
    <w:rsid w:val="00696C48"/>
    <w:rsid w:val="00697219"/>
    <w:rsid w:val="00697A55"/>
    <w:rsid w:val="006A040B"/>
    <w:rsid w:val="006A13EA"/>
    <w:rsid w:val="006A1CA9"/>
    <w:rsid w:val="006A47C9"/>
    <w:rsid w:val="006A54AF"/>
    <w:rsid w:val="006A708B"/>
    <w:rsid w:val="006B0723"/>
    <w:rsid w:val="006B0BDC"/>
    <w:rsid w:val="006B16B4"/>
    <w:rsid w:val="006B1DC2"/>
    <w:rsid w:val="006B369C"/>
    <w:rsid w:val="006B6F38"/>
    <w:rsid w:val="006B713E"/>
    <w:rsid w:val="006B7457"/>
    <w:rsid w:val="006C0223"/>
    <w:rsid w:val="006C6769"/>
    <w:rsid w:val="006C7689"/>
    <w:rsid w:val="006C7E12"/>
    <w:rsid w:val="006D0403"/>
    <w:rsid w:val="006D05AF"/>
    <w:rsid w:val="006D0D7C"/>
    <w:rsid w:val="006D1167"/>
    <w:rsid w:val="006D174D"/>
    <w:rsid w:val="006D225E"/>
    <w:rsid w:val="006D3F06"/>
    <w:rsid w:val="006D491A"/>
    <w:rsid w:val="006D4A53"/>
    <w:rsid w:val="006D6CFD"/>
    <w:rsid w:val="006D7B2C"/>
    <w:rsid w:val="006E1CD1"/>
    <w:rsid w:val="006E2856"/>
    <w:rsid w:val="006E2BF0"/>
    <w:rsid w:val="006E3259"/>
    <w:rsid w:val="006E601B"/>
    <w:rsid w:val="006E73C0"/>
    <w:rsid w:val="006E7937"/>
    <w:rsid w:val="006F09F2"/>
    <w:rsid w:val="006F12E1"/>
    <w:rsid w:val="006F187A"/>
    <w:rsid w:val="006F1B21"/>
    <w:rsid w:val="006F1D4F"/>
    <w:rsid w:val="006F404B"/>
    <w:rsid w:val="006F6A64"/>
    <w:rsid w:val="006F75A6"/>
    <w:rsid w:val="00701B57"/>
    <w:rsid w:val="00701B93"/>
    <w:rsid w:val="00702111"/>
    <w:rsid w:val="0070231A"/>
    <w:rsid w:val="00702AE9"/>
    <w:rsid w:val="0070418D"/>
    <w:rsid w:val="00704A33"/>
    <w:rsid w:val="00705BDB"/>
    <w:rsid w:val="0070621F"/>
    <w:rsid w:val="0070657A"/>
    <w:rsid w:val="007065C6"/>
    <w:rsid w:val="0070716E"/>
    <w:rsid w:val="00707EB3"/>
    <w:rsid w:val="0071079C"/>
    <w:rsid w:val="00710899"/>
    <w:rsid w:val="00710DD6"/>
    <w:rsid w:val="00711488"/>
    <w:rsid w:val="0071189C"/>
    <w:rsid w:val="00712815"/>
    <w:rsid w:val="00713390"/>
    <w:rsid w:val="00713B31"/>
    <w:rsid w:val="00713FD3"/>
    <w:rsid w:val="00714BD7"/>
    <w:rsid w:val="00714F93"/>
    <w:rsid w:val="00716151"/>
    <w:rsid w:val="00717C62"/>
    <w:rsid w:val="00717DA4"/>
    <w:rsid w:val="00721877"/>
    <w:rsid w:val="00722347"/>
    <w:rsid w:val="00722EC1"/>
    <w:rsid w:val="00724781"/>
    <w:rsid w:val="007248CE"/>
    <w:rsid w:val="00724903"/>
    <w:rsid w:val="00724B91"/>
    <w:rsid w:val="00724C77"/>
    <w:rsid w:val="00724E09"/>
    <w:rsid w:val="00726818"/>
    <w:rsid w:val="00727CA2"/>
    <w:rsid w:val="007305BC"/>
    <w:rsid w:val="00730A01"/>
    <w:rsid w:val="00731A39"/>
    <w:rsid w:val="0073252D"/>
    <w:rsid w:val="00734BB3"/>
    <w:rsid w:val="00735411"/>
    <w:rsid w:val="0073571A"/>
    <w:rsid w:val="00735963"/>
    <w:rsid w:val="007374E2"/>
    <w:rsid w:val="00737B9F"/>
    <w:rsid w:val="007427DB"/>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3678"/>
    <w:rsid w:val="00764C74"/>
    <w:rsid w:val="00765A54"/>
    <w:rsid w:val="00767070"/>
    <w:rsid w:val="00767701"/>
    <w:rsid w:val="007679BD"/>
    <w:rsid w:val="00767F3D"/>
    <w:rsid w:val="00770E06"/>
    <w:rsid w:val="00770F06"/>
    <w:rsid w:val="00771AC1"/>
    <w:rsid w:val="00772CFF"/>
    <w:rsid w:val="00773161"/>
    <w:rsid w:val="007741F6"/>
    <w:rsid w:val="00775CED"/>
    <w:rsid w:val="007800F2"/>
    <w:rsid w:val="0078175F"/>
    <w:rsid w:val="0078217D"/>
    <w:rsid w:val="00782F03"/>
    <w:rsid w:val="00783837"/>
    <w:rsid w:val="0078504C"/>
    <w:rsid w:val="00785170"/>
    <w:rsid w:val="00785DCA"/>
    <w:rsid w:val="007865BB"/>
    <w:rsid w:val="007871A5"/>
    <w:rsid w:val="00790365"/>
    <w:rsid w:val="007925BC"/>
    <w:rsid w:val="00792F02"/>
    <w:rsid w:val="007930AC"/>
    <w:rsid w:val="0079430C"/>
    <w:rsid w:val="00794DF0"/>
    <w:rsid w:val="007955F2"/>
    <w:rsid w:val="00796A55"/>
    <w:rsid w:val="007A0BD5"/>
    <w:rsid w:val="007A0DA3"/>
    <w:rsid w:val="007A4358"/>
    <w:rsid w:val="007A5362"/>
    <w:rsid w:val="007A61F2"/>
    <w:rsid w:val="007A673B"/>
    <w:rsid w:val="007A71E5"/>
    <w:rsid w:val="007A73B2"/>
    <w:rsid w:val="007A7443"/>
    <w:rsid w:val="007B0707"/>
    <w:rsid w:val="007B2269"/>
    <w:rsid w:val="007B24B7"/>
    <w:rsid w:val="007B36A8"/>
    <w:rsid w:val="007B36DE"/>
    <w:rsid w:val="007B5031"/>
    <w:rsid w:val="007B5B7D"/>
    <w:rsid w:val="007B659A"/>
    <w:rsid w:val="007C1DA2"/>
    <w:rsid w:val="007C2BC0"/>
    <w:rsid w:val="007C4AE9"/>
    <w:rsid w:val="007C55FC"/>
    <w:rsid w:val="007C735E"/>
    <w:rsid w:val="007D0884"/>
    <w:rsid w:val="007D1671"/>
    <w:rsid w:val="007D21F8"/>
    <w:rsid w:val="007D28AE"/>
    <w:rsid w:val="007D3F07"/>
    <w:rsid w:val="007D52DF"/>
    <w:rsid w:val="007D542D"/>
    <w:rsid w:val="007D55CA"/>
    <w:rsid w:val="007D5608"/>
    <w:rsid w:val="007D5AD1"/>
    <w:rsid w:val="007D686D"/>
    <w:rsid w:val="007D70A8"/>
    <w:rsid w:val="007E0164"/>
    <w:rsid w:val="007E12A7"/>
    <w:rsid w:val="007E2BE8"/>
    <w:rsid w:val="007E3504"/>
    <w:rsid w:val="007E3F5B"/>
    <w:rsid w:val="007E43B6"/>
    <w:rsid w:val="007E65CD"/>
    <w:rsid w:val="007E7265"/>
    <w:rsid w:val="007E7C5C"/>
    <w:rsid w:val="007E7EEF"/>
    <w:rsid w:val="007E7FE2"/>
    <w:rsid w:val="007F019A"/>
    <w:rsid w:val="007F0A3E"/>
    <w:rsid w:val="007F0EAA"/>
    <w:rsid w:val="007F2602"/>
    <w:rsid w:val="007F2834"/>
    <w:rsid w:val="007F2B4E"/>
    <w:rsid w:val="007F4500"/>
    <w:rsid w:val="007F46A8"/>
    <w:rsid w:val="007F49CA"/>
    <w:rsid w:val="007F5740"/>
    <w:rsid w:val="008012AB"/>
    <w:rsid w:val="00801C19"/>
    <w:rsid w:val="00801D66"/>
    <w:rsid w:val="00801FC0"/>
    <w:rsid w:val="00802A1C"/>
    <w:rsid w:val="008038D0"/>
    <w:rsid w:val="008050EC"/>
    <w:rsid w:val="00805F24"/>
    <w:rsid w:val="0080742D"/>
    <w:rsid w:val="0081069E"/>
    <w:rsid w:val="0081074C"/>
    <w:rsid w:val="00811BEC"/>
    <w:rsid w:val="00811DFD"/>
    <w:rsid w:val="00812C60"/>
    <w:rsid w:val="0081452D"/>
    <w:rsid w:val="008149AB"/>
    <w:rsid w:val="00815670"/>
    <w:rsid w:val="00817C8D"/>
    <w:rsid w:val="00817ED9"/>
    <w:rsid w:val="00820797"/>
    <w:rsid w:val="00821375"/>
    <w:rsid w:val="00822BA1"/>
    <w:rsid w:val="00824C80"/>
    <w:rsid w:val="0082525F"/>
    <w:rsid w:val="00825425"/>
    <w:rsid w:val="0082664D"/>
    <w:rsid w:val="00830A3A"/>
    <w:rsid w:val="008311FB"/>
    <w:rsid w:val="00831314"/>
    <w:rsid w:val="00831802"/>
    <w:rsid w:val="00832164"/>
    <w:rsid w:val="0083276A"/>
    <w:rsid w:val="008330E5"/>
    <w:rsid w:val="00833D24"/>
    <w:rsid w:val="00841639"/>
    <w:rsid w:val="00841E22"/>
    <w:rsid w:val="00842CCC"/>
    <w:rsid w:val="008452A6"/>
    <w:rsid w:val="008459B2"/>
    <w:rsid w:val="00847108"/>
    <w:rsid w:val="008473BC"/>
    <w:rsid w:val="008473EE"/>
    <w:rsid w:val="00847E7A"/>
    <w:rsid w:val="00851064"/>
    <w:rsid w:val="00851F85"/>
    <w:rsid w:val="00852ADD"/>
    <w:rsid w:val="0085381D"/>
    <w:rsid w:val="00854B62"/>
    <w:rsid w:val="00854CD2"/>
    <w:rsid w:val="0085754C"/>
    <w:rsid w:val="00860F48"/>
    <w:rsid w:val="00861305"/>
    <w:rsid w:val="00861348"/>
    <w:rsid w:val="00861C32"/>
    <w:rsid w:val="0086381C"/>
    <w:rsid w:val="00864495"/>
    <w:rsid w:val="008650C7"/>
    <w:rsid w:val="00865C16"/>
    <w:rsid w:val="008661B6"/>
    <w:rsid w:val="0086662F"/>
    <w:rsid w:val="00866B40"/>
    <w:rsid w:val="00867119"/>
    <w:rsid w:val="00867BCA"/>
    <w:rsid w:val="00872410"/>
    <w:rsid w:val="00872DBC"/>
    <w:rsid w:val="00872EB6"/>
    <w:rsid w:val="0087481E"/>
    <w:rsid w:val="00874A8D"/>
    <w:rsid w:val="0087568A"/>
    <w:rsid w:val="008767C8"/>
    <w:rsid w:val="008769FB"/>
    <w:rsid w:val="0087746D"/>
    <w:rsid w:val="00880143"/>
    <w:rsid w:val="008804F0"/>
    <w:rsid w:val="008807C7"/>
    <w:rsid w:val="00880FC5"/>
    <w:rsid w:val="0088180F"/>
    <w:rsid w:val="00882840"/>
    <w:rsid w:val="0088418E"/>
    <w:rsid w:val="00885C66"/>
    <w:rsid w:val="00886AEF"/>
    <w:rsid w:val="00887922"/>
    <w:rsid w:val="00887951"/>
    <w:rsid w:val="00890E5E"/>
    <w:rsid w:val="00892368"/>
    <w:rsid w:val="00892401"/>
    <w:rsid w:val="0089372C"/>
    <w:rsid w:val="00893C6F"/>
    <w:rsid w:val="00893CCC"/>
    <w:rsid w:val="00895167"/>
    <w:rsid w:val="008956AA"/>
    <w:rsid w:val="008A513B"/>
    <w:rsid w:val="008A5900"/>
    <w:rsid w:val="008A625B"/>
    <w:rsid w:val="008A6ADC"/>
    <w:rsid w:val="008A78C2"/>
    <w:rsid w:val="008B2B45"/>
    <w:rsid w:val="008B32CA"/>
    <w:rsid w:val="008B3A11"/>
    <w:rsid w:val="008B3CA2"/>
    <w:rsid w:val="008B3DB4"/>
    <w:rsid w:val="008B42FC"/>
    <w:rsid w:val="008B4555"/>
    <w:rsid w:val="008B4D20"/>
    <w:rsid w:val="008B52AD"/>
    <w:rsid w:val="008B57FE"/>
    <w:rsid w:val="008B77B8"/>
    <w:rsid w:val="008C165C"/>
    <w:rsid w:val="008C22BD"/>
    <w:rsid w:val="008C528C"/>
    <w:rsid w:val="008C6D3F"/>
    <w:rsid w:val="008C7183"/>
    <w:rsid w:val="008D0CE5"/>
    <w:rsid w:val="008D1623"/>
    <w:rsid w:val="008D1C8A"/>
    <w:rsid w:val="008D5C54"/>
    <w:rsid w:val="008D6778"/>
    <w:rsid w:val="008D69BD"/>
    <w:rsid w:val="008D7525"/>
    <w:rsid w:val="008D78AA"/>
    <w:rsid w:val="008E055E"/>
    <w:rsid w:val="008E21A3"/>
    <w:rsid w:val="008E454B"/>
    <w:rsid w:val="008E4744"/>
    <w:rsid w:val="008E47D0"/>
    <w:rsid w:val="008E5DDE"/>
    <w:rsid w:val="008F08D7"/>
    <w:rsid w:val="008F0B1D"/>
    <w:rsid w:val="008F2ED1"/>
    <w:rsid w:val="008F2F17"/>
    <w:rsid w:val="008F3EA1"/>
    <w:rsid w:val="008F4AFE"/>
    <w:rsid w:val="008F73B3"/>
    <w:rsid w:val="008F75DC"/>
    <w:rsid w:val="00901AE6"/>
    <w:rsid w:val="009030A7"/>
    <w:rsid w:val="0090369B"/>
    <w:rsid w:val="0090408B"/>
    <w:rsid w:val="00904098"/>
    <w:rsid w:val="00904298"/>
    <w:rsid w:val="00904784"/>
    <w:rsid w:val="00904DA0"/>
    <w:rsid w:val="00905A2E"/>
    <w:rsid w:val="00905DB8"/>
    <w:rsid w:val="00907662"/>
    <w:rsid w:val="009107A9"/>
    <w:rsid w:val="00910F3F"/>
    <w:rsid w:val="0091100F"/>
    <w:rsid w:val="009113EE"/>
    <w:rsid w:val="00911CB4"/>
    <w:rsid w:val="00911D87"/>
    <w:rsid w:val="00913068"/>
    <w:rsid w:val="00913108"/>
    <w:rsid w:val="00915DCC"/>
    <w:rsid w:val="00915EBD"/>
    <w:rsid w:val="00916672"/>
    <w:rsid w:val="0092012F"/>
    <w:rsid w:val="00920BFB"/>
    <w:rsid w:val="00920F5F"/>
    <w:rsid w:val="009218D3"/>
    <w:rsid w:val="00921CB6"/>
    <w:rsid w:val="00922EB1"/>
    <w:rsid w:val="00923D60"/>
    <w:rsid w:val="00924C5E"/>
    <w:rsid w:val="00926296"/>
    <w:rsid w:val="00927DE6"/>
    <w:rsid w:val="009306D8"/>
    <w:rsid w:val="009309D8"/>
    <w:rsid w:val="00930D43"/>
    <w:rsid w:val="00931A4A"/>
    <w:rsid w:val="0093582F"/>
    <w:rsid w:val="00935A25"/>
    <w:rsid w:val="00936125"/>
    <w:rsid w:val="00936E59"/>
    <w:rsid w:val="0093794E"/>
    <w:rsid w:val="009409E7"/>
    <w:rsid w:val="00940A87"/>
    <w:rsid w:val="00941610"/>
    <w:rsid w:val="00941633"/>
    <w:rsid w:val="00941B6E"/>
    <w:rsid w:val="00943427"/>
    <w:rsid w:val="0094494A"/>
    <w:rsid w:val="00944E78"/>
    <w:rsid w:val="009461B4"/>
    <w:rsid w:val="00947B64"/>
    <w:rsid w:val="009505C3"/>
    <w:rsid w:val="00950F5C"/>
    <w:rsid w:val="00951A27"/>
    <w:rsid w:val="00951C43"/>
    <w:rsid w:val="00956E22"/>
    <w:rsid w:val="00960B97"/>
    <w:rsid w:val="00961E0B"/>
    <w:rsid w:val="00963937"/>
    <w:rsid w:val="00963C82"/>
    <w:rsid w:val="009649F5"/>
    <w:rsid w:val="00964F0A"/>
    <w:rsid w:val="00966413"/>
    <w:rsid w:val="009719D2"/>
    <w:rsid w:val="009723BC"/>
    <w:rsid w:val="00972479"/>
    <w:rsid w:val="0097249C"/>
    <w:rsid w:val="0097308D"/>
    <w:rsid w:val="009732E2"/>
    <w:rsid w:val="009754AD"/>
    <w:rsid w:val="00975A81"/>
    <w:rsid w:val="00975EB0"/>
    <w:rsid w:val="00976B69"/>
    <w:rsid w:val="00977081"/>
    <w:rsid w:val="00977B69"/>
    <w:rsid w:val="00977E9F"/>
    <w:rsid w:val="009801D6"/>
    <w:rsid w:val="00981241"/>
    <w:rsid w:val="00982207"/>
    <w:rsid w:val="00982801"/>
    <w:rsid w:val="009859F6"/>
    <w:rsid w:val="009878C5"/>
    <w:rsid w:val="0099127B"/>
    <w:rsid w:val="009912A7"/>
    <w:rsid w:val="00992AF7"/>
    <w:rsid w:val="00992BA2"/>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96E"/>
    <w:rsid w:val="009A6C8D"/>
    <w:rsid w:val="009A6D22"/>
    <w:rsid w:val="009A7731"/>
    <w:rsid w:val="009A7A97"/>
    <w:rsid w:val="009A7D85"/>
    <w:rsid w:val="009B06AB"/>
    <w:rsid w:val="009B0730"/>
    <w:rsid w:val="009B0D12"/>
    <w:rsid w:val="009B30FF"/>
    <w:rsid w:val="009B6654"/>
    <w:rsid w:val="009B69E1"/>
    <w:rsid w:val="009C00EF"/>
    <w:rsid w:val="009C0330"/>
    <w:rsid w:val="009C0E17"/>
    <w:rsid w:val="009C1714"/>
    <w:rsid w:val="009C1B8B"/>
    <w:rsid w:val="009C1D8C"/>
    <w:rsid w:val="009C2C7A"/>
    <w:rsid w:val="009C3461"/>
    <w:rsid w:val="009C35C9"/>
    <w:rsid w:val="009C390C"/>
    <w:rsid w:val="009C421D"/>
    <w:rsid w:val="009C4CE3"/>
    <w:rsid w:val="009C5761"/>
    <w:rsid w:val="009C591A"/>
    <w:rsid w:val="009C618A"/>
    <w:rsid w:val="009C66E5"/>
    <w:rsid w:val="009C743C"/>
    <w:rsid w:val="009C7615"/>
    <w:rsid w:val="009C78A4"/>
    <w:rsid w:val="009C7A49"/>
    <w:rsid w:val="009C7CE3"/>
    <w:rsid w:val="009D046D"/>
    <w:rsid w:val="009D1054"/>
    <w:rsid w:val="009D2580"/>
    <w:rsid w:val="009D2B95"/>
    <w:rsid w:val="009D5148"/>
    <w:rsid w:val="009D7B2B"/>
    <w:rsid w:val="009E069B"/>
    <w:rsid w:val="009E1031"/>
    <w:rsid w:val="009E1AD0"/>
    <w:rsid w:val="009E2560"/>
    <w:rsid w:val="009E2C71"/>
    <w:rsid w:val="009E2CF4"/>
    <w:rsid w:val="009E354C"/>
    <w:rsid w:val="009E40F9"/>
    <w:rsid w:val="009E480C"/>
    <w:rsid w:val="009E5086"/>
    <w:rsid w:val="009E51F4"/>
    <w:rsid w:val="009E530E"/>
    <w:rsid w:val="009E630F"/>
    <w:rsid w:val="009E66C6"/>
    <w:rsid w:val="009E72A6"/>
    <w:rsid w:val="009E73ED"/>
    <w:rsid w:val="009E7F57"/>
    <w:rsid w:val="009F2A23"/>
    <w:rsid w:val="009F3087"/>
    <w:rsid w:val="009F32CC"/>
    <w:rsid w:val="009F47F6"/>
    <w:rsid w:val="009F5323"/>
    <w:rsid w:val="009F5A44"/>
    <w:rsid w:val="009F640F"/>
    <w:rsid w:val="009F7834"/>
    <w:rsid w:val="00A011B0"/>
    <w:rsid w:val="00A01327"/>
    <w:rsid w:val="00A01EE3"/>
    <w:rsid w:val="00A02596"/>
    <w:rsid w:val="00A038DC"/>
    <w:rsid w:val="00A03F53"/>
    <w:rsid w:val="00A040C9"/>
    <w:rsid w:val="00A05851"/>
    <w:rsid w:val="00A06831"/>
    <w:rsid w:val="00A06B69"/>
    <w:rsid w:val="00A06DFC"/>
    <w:rsid w:val="00A07C41"/>
    <w:rsid w:val="00A102E2"/>
    <w:rsid w:val="00A11321"/>
    <w:rsid w:val="00A11631"/>
    <w:rsid w:val="00A13B42"/>
    <w:rsid w:val="00A14270"/>
    <w:rsid w:val="00A149B0"/>
    <w:rsid w:val="00A1631F"/>
    <w:rsid w:val="00A20C60"/>
    <w:rsid w:val="00A21240"/>
    <w:rsid w:val="00A21BAC"/>
    <w:rsid w:val="00A22D28"/>
    <w:rsid w:val="00A23722"/>
    <w:rsid w:val="00A237B3"/>
    <w:rsid w:val="00A26C73"/>
    <w:rsid w:val="00A27C57"/>
    <w:rsid w:val="00A3064A"/>
    <w:rsid w:val="00A31464"/>
    <w:rsid w:val="00A34707"/>
    <w:rsid w:val="00A34749"/>
    <w:rsid w:val="00A36F4F"/>
    <w:rsid w:val="00A37021"/>
    <w:rsid w:val="00A37528"/>
    <w:rsid w:val="00A402BA"/>
    <w:rsid w:val="00A411A3"/>
    <w:rsid w:val="00A42C68"/>
    <w:rsid w:val="00A43C3A"/>
    <w:rsid w:val="00A44403"/>
    <w:rsid w:val="00A45E23"/>
    <w:rsid w:val="00A45FF1"/>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B53"/>
    <w:rsid w:val="00A66770"/>
    <w:rsid w:val="00A70087"/>
    <w:rsid w:val="00A70BBA"/>
    <w:rsid w:val="00A70E52"/>
    <w:rsid w:val="00A716EE"/>
    <w:rsid w:val="00A723D9"/>
    <w:rsid w:val="00A73004"/>
    <w:rsid w:val="00A73814"/>
    <w:rsid w:val="00A757D9"/>
    <w:rsid w:val="00A75C36"/>
    <w:rsid w:val="00A76570"/>
    <w:rsid w:val="00A77917"/>
    <w:rsid w:val="00A822F2"/>
    <w:rsid w:val="00A82B4E"/>
    <w:rsid w:val="00A82D04"/>
    <w:rsid w:val="00A83441"/>
    <w:rsid w:val="00A83754"/>
    <w:rsid w:val="00A83F55"/>
    <w:rsid w:val="00A853A2"/>
    <w:rsid w:val="00A872CB"/>
    <w:rsid w:val="00A90664"/>
    <w:rsid w:val="00A91A2E"/>
    <w:rsid w:val="00A91AC0"/>
    <w:rsid w:val="00A92072"/>
    <w:rsid w:val="00A92797"/>
    <w:rsid w:val="00A93FEB"/>
    <w:rsid w:val="00A9498F"/>
    <w:rsid w:val="00A96E21"/>
    <w:rsid w:val="00A97327"/>
    <w:rsid w:val="00A97788"/>
    <w:rsid w:val="00A97915"/>
    <w:rsid w:val="00AA0677"/>
    <w:rsid w:val="00AA0D69"/>
    <w:rsid w:val="00AA2140"/>
    <w:rsid w:val="00AA3137"/>
    <w:rsid w:val="00AA34DF"/>
    <w:rsid w:val="00AA4E8F"/>
    <w:rsid w:val="00AA6565"/>
    <w:rsid w:val="00AA6D9C"/>
    <w:rsid w:val="00AA7D3D"/>
    <w:rsid w:val="00AB054F"/>
    <w:rsid w:val="00AB0C92"/>
    <w:rsid w:val="00AB22B2"/>
    <w:rsid w:val="00AB4423"/>
    <w:rsid w:val="00AB4A23"/>
    <w:rsid w:val="00AB73B0"/>
    <w:rsid w:val="00AC0BE6"/>
    <w:rsid w:val="00AC0F26"/>
    <w:rsid w:val="00AC0FA7"/>
    <w:rsid w:val="00AC2934"/>
    <w:rsid w:val="00AC3395"/>
    <w:rsid w:val="00AC3930"/>
    <w:rsid w:val="00AC5BA5"/>
    <w:rsid w:val="00AC66DD"/>
    <w:rsid w:val="00AC6C24"/>
    <w:rsid w:val="00AC6E09"/>
    <w:rsid w:val="00AC7CA8"/>
    <w:rsid w:val="00AC7E8D"/>
    <w:rsid w:val="00AD0238"/>
    <w:rsid w:val="00AD072C"/>
    <w:rsid w:val="00AD0E57"/>
    <w:rsid w:val="00AD1368"/>
    <w:rsid w:val="00AD16B2"/>
    <w:rsid w:val="00AD3B3E"/>
    <w:rsid w:val="00AD42E5"/>
    <w:rsid w:val="00AD4332"/>
    <w:rsid w:val="00AD516F"/>
    <w:rsid w:val="00AE1513"/>
    <w:rsid w:val="00AE1B23"/>
    <w:rsid w:val="00AE24BF"/>
    <w:rsid w:val="00AE30FE"/>
    <w:rsid w:val="00AE370F"/>
    <w:rsid w:val="00AE5431"/>
    <w:rsid w:val="00AE5537"/>
    <w:rsid w:val="00AE57AD"/>
    <w:rsid w:val="00AE5DEE"/>
    <w:rsid w:val="00AE7AC0"/>
    <w:rsid w:val="00AE7EE2"/>
    <w:rsid w:val="00AF0030"/>
    <w:rsid w:val="00AF1D04"/>
    <w:rsid w:val="00AF3037"/>
    <w:rsid w:val="00AF421E"/>
    <w:rsid w:val="00AF5049"/>
    <w:rsid w:val="00B01DAF"/>
    <w:rsid w:val="00B022E3"/>
    <w:rsid w:val="00B02A73"/>
    <w:rsid w:val="00B0369E"/>
    <w:rsid w:val="00B061F9"/>
    <w:rsid w:val="00B07375"/>
    <w:rsid w:val="00B07E6A"/>
    <w:rsid w:val="00B100AF"/>
    <w:rsid w:val="00B1144D"/>
    <w:rsid w:val="00B123A6"/>
    <w:rsid w:val="00B12594"/>
    <w:rsid w:val="00B1289D"/>
    <w:rsid w:val="00B12F10"/>
    <w:rsid w:val="00B13F05"/>
    <w:rsid w:val="00B17C3B"/>
    <w:rsid w:val="00B20012"/>
    <w:rsid w:val="00B203A1"/>
    <w:rsid w:val="00B20F91"/>
    <w:rsid w:val="00B21250"/>
    <w:rsid w:val="00B220FC"/>
    <w:rsid w:val="00B25F94"/>
    <w:rsid w:val="00B2645B"/>
    <w:rsid w:val="00B26BF9"/>
    <w:rsid w:val="00B27091"/>
    <w:rsid w:val="00B305EF"/>
    <w:rsid w:val="00B3201E"/>
    <w:rsid w:val="00B32596"/>
    <w:rsid w:val="00B332AD"/>
    <w:rsid w:val="00B34505"/>
    <w:rsid w:val="00B360B2"/>
    <w:rsid w:val="00B400C7"/>
    <w:rsid w:val="00B401C2"/>
    <w:rsid w:val="00B4032F"/>
    <w:rsid w:val="00B40C51"/>
    <w:rsid w:val="00B416D0"/>
    <w:rsid w:val="00B4219D"/>
    <w:rsid w:val="00B43940"/>
    <w:rsid w:val="00B44EC8"/>
    <w:rsid w:val="00B45624"/>
    <w:rsid w:val="00B45A28"/>
    <w:rsid w:val="00B47332"/>
    <w:rsid w:val="00B47A0D"/>
    <w:rsid w:val="00B512D6"/>
    <w:rsid w:val="00B51612"/>
    <w:rsid w:val="00B5185F"/>
    <w:rsid w:val="00B51BCF"/>
    <w:rsid w:val="00B5221C"/>
    <w:rsid w:val="00B52546"/>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7B84"/>
    <w:rsid w:val="00B91CB3"/>
    <w:rsid w:val="00B91EF5"/>
    <w:rsid w:val="00B92B31"/>
    <w:rsid w:val="00B9340F"/>
    <w:rsid w:val="00B93414"/>
    <w:rsid w:val="00B94CDE"/>
    <w:rsid w:val="00B95D00"/>
    <w:rsid w:val="00B96F59"/>
    <w:rsid w:val="00B97377"/>
    <w:rsid w:val="00B97973"/>
    <w:rsid w:val="00BA0701"/>
    <w:rsid w:val="00BA115E"/>
    <w:rsid w:val="00BA1777"/>
    <w:rsid w:val="00BA1ACC"/>
    <w:rsid w:val="00BA3655"/>
    <w:rsid w:val="00BA3AE3"/>
    <w:rsid w:val="00BA47A6"/>
    <w:rsid w:val="00BA7733"/>
    <w:rsid w:val="00BA7CEE"/>
    <w:rsid w:val="00BB3A97"/>
    <w:rsid w:val="00BB4368"/>
    <w:rsid w:val="00BB5441"/>
    <w:rsid w:val="00BB63D5"/>
    <w:rsid w:val="00BB6D95"/>
    <w:rsid w:val="00BB70B4"/>
    <w:rsid w:val="00BB7EF0"/>
    <w:rsid w:val="00BC1906"/>
    <w:rsid w:val="00BC27BA"/>
    <w:rsid w:val="00BC4456"/>
    <w:rsid w:val="00BC6415"/>
    <w:rsid w:val="00BC6991"/>
    <w:rsid w:val="00BD01AA"/>
    <w:rsid w:val="00BD06CF"/>
    <w:rsid w:val="00BD2181"/>
    <w:rsid w:val="00BD47A6"/>
    <w:rsid w:val="00BD4BD4"/>
    <w:rsid w:val="00BD4D64"/>
    <w:rsid w:val="00BD5BAB"/>
    <w:rsid w:val="00BD5BE5"/>
    <w:rsid w:val="00BD6358"/>
    <w:rsid w:val="00BD667E"/>
    <w:rsid w:val="00BD716C"/>
    <w:rsid w:val="00BD72DC"/>
    <w:rsid w:val="00BD739F"/>
    <w:rsid w:val="00BD7732"/>
    <w:rsid w:val="00BE0A89"/>
    <w:rsid w:val="00BE1A8C"/>
    <w:rsid w:val="00BE2313"/>
    <w:rsid w:val="00BE3628"/>
    <w:rsid w:val="00BE38CA"/>
    <w:rsid w:val="00BE52E2"/>
    <w:rsid w:val="00BE66D7"/>
    <w:rsid w:val="00BE7630"/>
    <w:rsid w:val="00BF0283"/>
    <w:rsid w:val="00BF02BF"/>
    <w:rsid w:val="00BF2483"/>
    <w:rsid w:val="00BF25F5"/>
    <w:rsid w:val="00BF46B0"/>
    <w:rsid w:val="00BF4781"/>
    <w:rsid w:val="00BF4801"/>
    <w:rsid w:val="00BF5263"/>
    <w:rsid w:val="00BF6C99"/>
    <w:rsid w:val="00C00107"/>
    <w:rsid w:val="00C007DA"/>
    <w:rsid w:val="00C0104B"/>
    <w:rsid w:val="00C01BE9"/>
    <w:rsid w:val="00C03DDD"/>
    <w:rsid w:val="00C05ECC"/>
    <w:rsid w:val="00C06DBF"/>
    <w:rsid w:val="00C075A4"/>
    <w:rsid w:val="00C10119"/>
    <w:rsid w:val="00C11899"/>
    <w:rsid w:val="00C126BD"/>
    <w:rsid w:val="00C134BB"/>
    <w:rsid w:val="00C139DF"/>
    <w:rsid w:val="00C14323"/>
    <w:rsid w:val="00C146A2"/>
    <w:rsid w:val="00C14EB6"/>
    <w:rsid w:val="00C15440"/>
    <w:rsid w:val="00C160B6"/>
    <w:rsid w:val="00C21C04"/>
    <w:rsid w:val="00C22151"/>
    <w:rsid w:val="00C23EE5"/>
    <w:rsid w:val="00C248FF"/>
    <w:rsid w:val="00C2508B"/>
    <w:rsid w:val="00C26C2A"/>
    <w:rsid w:val="00C30AFE"/>
    <w:rsid w:val="00C30BF0"/>
    <w:rsid w:val="00C30F93"/>
    <w:rsid w:val="00C32440"/>
    <w:rsid w:val="00C32746"/>
    <w:rsid w:val="00C35E45"/>
    <w:rsid w:val="00C36945"/>
    <w:rsid w:val="00C40240"/>
    <w:rsid w:val="00C43481"/>
    <w:rsid w:val="00C43B9C"/>
    <w:rsid w:val="00C43E65"/>
    <w:rsid w:val="00C4423A"/>
    <w:rsid w:val="00C44C21"/>
    <w:rsid w:val="00C46158"/>
    <w:rsid w:val="00C4655C"/>
    <w:rsid w:val="00C46718"/>
    <w:rsid w:val="00C479D8"/>
    <w:rsid w:val="00C50DB1"/>
    <w:rsid w:val="00C5173D"/>
    <w:rsid w:val="00C51C3B"/>
    <w:rsid w:val="00C51E41"/>
    <w:rsid w:val="00C5346B"/>
    <w:rsid w:val="00C5418E"/>
    <w:rsid w:val="00C54A5C"/>
    <w:rsid w:val="00C55287"/>
    <w:rsid w:val="00C56062"/>
    <w:rsid w:val="00C5662F"/>
    <w:rsid w:val="00C5683B"/>
    <w:rsid w:val="00C56C89"/>
    <w:rsid w:val="00C56DDC"/>
    <w:rsid w:val="00C5700C"/>
    <w:rsid w:val="00C623B5"/>
    <w:rsid w:val="00C64054"/>
    <w:rsid w:val="00C6495E"/>
    <w:rsid w:val="00C64F90"/>
    <w:rsid w:val="00C650D4"/>
    <w:rsid w:val="00C65883"/>
    <w:rsid w:val="00C666A5"/>
    <w:rsid w:val="00C66C90"/>
    <w:rsid w:val="00C67331"/>
    <w:rsid w:val="00C70782"/>
    <w:rsid w:val="00C71911"/>
    <w:rsid w:val="00C71AC4"/>
    <w:rsid w:val="00C73134"/>
    <w:rsid w:val="00C74B5B"/>
    <w:rsid w:val="00C74CA8"/>
    <w:rsid w:val="00C77DE8"/>
    <w:rsid w:val="00C817A2"/>
    <w:rsid w:val="00C82705"/>
    <w:rsid w:val="00C831AA"/>
    <w:rsid w:val="00C842F4"/>
    <w:rsid w:val="00C85B05"/>
    <w:rsid w:val="00C86F0A"/>
    <w:rsid w:val="00C87B1A"/>
    <w:rsid w:val="00C9021E"/>
    <w:rsid w:val="00C9051B"/>
    <w:rsid w:val="00C90A2D"/>
    <w:rsid w:val="00C91234"/>
    <w:rsid w:val="00C92104"/>
    <w:rsid w:val="00C92575"/>
    <w:rsid w:val="00C930D2"/>
    <w:rsid w:val="00C93452"/>
    <w:rsid w:val="00C93E64"/>
    <w:rsid w:val="00C9491A"/>
    <w:rsid w:val="00C94C7F"/>
    <w:rsid w:val="00C96A61"/>
    <w:rsid w:val="00C96D6F"/>
    <w:rsid w:val="00CA01DA"/>
    <w:rsid w:val="00CA02B0"/>
    <w:rsid w:val="00CA06F2"/>
    <w:rsid w:val="00CA149A"/>
    <w:rsid w:val="00CA16E6"/>
    <w:rsid w:val="00CA1B88"/>
    <w:rsid w:val="00CA2493"/>
    <w:rsid w:val="00CA4AAA"/>
    <w:rsid w:val="00CA4DBE"/>
    <w:rsid w:val="00CA5666"/>
    <w:rsid w:val="00CA6607"/>
    <w:rsid w:val="00CA73D9"/>
    <w:rsid w:val="00CA78CB"/>
    <w:rsid w:val="00CB2507"/>
    <w:rsid w:val="00CB3BBE"/>
    <w:rsid w:val="00CB3F8F"/>
    <w:rsid w:val="00CB5A06"/>
    <w:rsid w:val="00CB6237"/>
    <w:rsid w:val="00CB6586"/>
    <w:rsid w:val="00CB7667"/>
    <w:rsid w:val="00CC16C3"/>
    <w:rsid w:val="00CC1765"/>
    <w:rsid w:val="00CC3E14"/>
    <w:rsid w:val="00CC50AA"/>
    <w:rsid w:val="00CC5F47"/>
    <w:rsid w:val="00CC6816"/>
    <w:rsid w:val="00CD093C"/>
    <w:rsid w:val="00CD2466"/>
    <w:rsid w:val="00CD252D"/>
    <w:rsid w:val="00CD2564"/>
    <w:rsid w:val="00CD336C"/>
    <w:rsid w:val="00CD3391"/>
    <w:rsid w:val="00CD39D7"/>
    <w:rsid w:val="00CD4D1F"/>
    <w:rsid w:val="00CD6745"/>
    <w:rsid w:val="00CD6F3E"/>
    <w:rsid w:val="00CE29A6"/>
    <w:rsid w:val="00CE446E"/>
    <w:rsid w:val="00CE66C3"/>
    <w:rsid w:val="00CE6E1B"/>
    <w:rsid w:val="00CE7BEE"/>
    <w:rsid w:val="00CE7E6D"/>
    <w:rsid w:val="00CF0F4E"/>
    <w:rsid w:val="00CF25C5"/>
    <w:rsid w:val="00CF29F2"/>
    <w:rsid w:val="00CF2C55"/>
    <w:rsid w:val="00CF341F"/>
    <w:rsid w:val="00CF4EE0"/>
    <w:rsid w:val="00CF5756"/>
    <w:rsid w:val="00CF5FEE"/>
    <w:rsid w:val="00CF64E6"/>
    <w:rsid w:val="00CF7877"/>
    <w:rsid w:val="00CF7FA9"/>
    <w:rsid w:val="00D01C14"/>
    <w:rsid w:val="00D01E10"/>
    <w:rsid w:val="00D020E3"/>
    <w:rsid w:val="00D02D26"/>
    <w:rsid w:val="00D05A45"/>
    <w:rsid w:val="00D07400"/>
    <w:rsid w:val="00D1049C"/>
    <w:rsid w:val="00D10F1E"/>
    <w:rsid w:val="00D118C9"/>
    <w:rsid w:val="00D128BE"/>
    <w:rsid w:val="00D13923"/>
    <w:rsid w:val="00D15B6B"/>
    <w:rsid w:val="00D1655B"/>
    <w:rsid w:val="00D21193"/>
    <w:rsid w:val="00D227E7"/>
    <w:rsid w:val="00D24ED6"/>
    <w:rsid w:val="00D26E40"/>
    <w:rsid w:val="00D26FE3"/>
    <w:rsid w:val="00D3240A"/>
    <w:rsid w:val="00D32571"/>
    <w:rsid w:val="00D3294F"/>
    <w:rsid w:val="00D32B5E"/>
    <w:rsid w:val="00D32C94"/>
    <w:rsid w:val="00D36F2A"/>
    <w:rsid w:val="00D37168"/>
    <w:rsid w:val="00D3745C"/>
    <w:rsid w:val="00D406DC"/>
    <w:rsid w:val="00D41BE7"/>
    <w:rsid w:val="00D448E6"/>
    <w:rsid w:val="00D46EA3"/>
    <w:rsid w:val="00D471AB"/>
    <w:rsid w:val="00D4735A"/>
    <w:rsid w:val="00D47E9A"/>
    <w:rsid w:val="00D51103"/>
    <w:rsid w:val="00D5244D"/>
    <w:rsid w:val="00D52450"/>
    <w:rsid w:val="00D5400B"/>
    <w:rsid w:val="00D541E0"/>
    <w:rsid w:val="00D54C8A"/>
    <w:rsid w:val="00D5687A"/>
    <w:rsid w:val="00D57EE0"/>
    <w:rsid w:val="00D6329E"/>
    <w:rsid w:val="00D63CE7"/>
    <w:rsid w:val="00D64873"/>
    <w:rsid w:val="00D64B95"/>
    <w:rsid w:val="00D65322"/>
    <w:rsid w:val="00D66B88"/>
    <w:rsid w:val="00D671FD"/>
    <w:rsid w:val="00D67336"/>
    <w:rsid w:val="00D678CC"/>
    <w:rsid w:val="00D67DC2"/>
    <w:rsid w:val="00D67DD1"/>
    <w:rsid w:val="00D70268"/>
    <w:rsid w:val="00D70460"/>
    <w:rsid w:val="00D7143A"/>
    <w:rsid w:val="00D71674"/>
    <w:rsid w:val="00D7183C"/>
    <w:rsid w:val="00D728A2"/>
    <w:rsid w:val="00D7296F"/>
    <w:rsid w:val="00D736DE"/>
    <w:rsid w:val="00D75147"/>
    <w:rsid w:val="00D75C3F"/>
    <w:rsid w:val="00D7637F"/>
    <w:rsid w:val="00D77716"/>
    <w:rsid w:val="00D77A1D"/>
    <w:rsid w:val="00D8155B"/>
    <w:rsid w:val="00D815DE"/>
    <w:rsid w:val="00D82D04"/>
    <w:rsid w:val="00D82D36"/>
    <w:rsid w:val="00D83760"/>
    <w:rsid w:val="00D83D3F"/>
    <w:rsid w:val="00D841AC"/>
    <w:rsid w:val="00D856FE"/>
    <w:rsid w:val="00D8576B"/>
    <w:rsid w:val="00D858C4"/>
    <w:rsid w:val="00D90CF9"/>
    <w:rsid w:val="00D90F53"/>
    <w:rsid w:val="00D90FC5"/>
    <w:rsid w:val="00D926C1"/>
    <w:rsid w:val="00D92754"/>
    <w:rsid w:val="00D92DE7"/>
    <w:rsid w:val="00D92F0F"/>
    <w:rsid w:val="00D93DEB"/>
    <w:rsid w:val="00D967FF"/>
    <w:rsid w:val="00D97085"/>
    <w:rsid w:val="00DA1061"/>
    <w:rsid w:val="00DA3882"/>
    <w:rsid w:val="00DA3DCE"/>
    <w:rsid w:val="00DA4244"/>
    <w:rsid w:val="00DA49BA"/>
    <w:rsid w:val="00DA4F4F"/>
    <w:rsid w:val="00DA72F8"/>
    <w:rsid w:val="00DB031C"/>
    <w:rsid w:val="00DB08BC"/>
    <w:rsid w:val="00DB0A71"/>
    <w:rsid w:val="00DB0B5C"/>
    <w:rsid w:val="00DB1B5F"/>
    <w:rsid w:val="00DB1F9E"/>
    <w:rsid w:val="00DB327D"/>
    <w:rsid w:val="00DB420E"/>
    <w:rsid w:val="00DB4A5C"/>
    <w:rsid w:val="00DB4DB6"/>
    <w:rsid w:val="00DB51F8"/>
    <w:rsid w:val="00DB5359"/>
    <w:rsid w:val="00DB53BE"/>
    <w:rsid w:val="00DB5B84"/>
    <w:rsid w:val="00DB742D"/>
    <w:rsid w:val="00DB783D"/>
    <w:rsid w:val="00DB7D54"/>
    <w:rsid w:val="00DB7F6F"/>
    <w:rsid w:val="00DC0CA0"/>
    <w:rsid w:val="00DC13D5"/>
    <w:rsid w:val="00DC2F37"/>
    <w:rsid w:val="00DC43A5"/>
    <w:rsid w:val="00DC4C25"/>
    <w:rsid w:val="00DC5247"/>
    <w:rsid w:val="00DC5289"/>
    <w:rsid w:val="00DC5660"/>
    <w:rsid w:val="00DC5A03"/>
    <w:rsid w:val="00DC68C9"/>
    <w:rsid w:val="00DC6D7A"/>
    <w:rsid w:val="00DC79AD"/>
    <w:rsid w:val="00DD0094"/>
    <w:rsid w:val="00DD2DB4"/>
    <w:rsid w:val="00DD355C"/>
    <w:rsid w:val="00DD3934"/>
    <w:rsid w:val="00DD3B17"/>
    <w:rsid w:val="00DD50DB"/>
    <w:rsid w:val="00DD5D4B"/>
    <w:rsid w:val="00DD6212"/>
    <w:rsid w:val="00DD7092"/>
    <w:rsid w:val="00DE2AE3"/>
    <w:rsid w:val="00DE2B5A"/>
    <w:rsid w:val="00DE3586"/>
    <w:rsid w:val="00DE433C"/>
    <w:rsid w:val="00DE782D"/>
    <w:rsid w:val="00DE7EEE"/>
    <w:rsid w:val="00DF1555"/>
    <w:rsid w:val="00DF1881"/>
    <w:rsid w:val="00DF18F0"/>
    <w:rsid w:val="00DF3356"/>
    <w:rsid w:val="00DF4F9B"/>
    <w:rsid w:val="00DF50A7"/>
    <w:rsid w:val="00DF51E9"/>
    <w:rsid w:val="00DF5CDF"/>
    <w:rsid w:val="00E008F7"/>
    <w:rsid w:val="00E01EE8"/>
    <w:rsid w:val="00E02355"/>
    <w:rsid w:val="00E028D9"/>
    <w:rsid w:val="00E030EF"/>
    <w:rsid w:val="00E03CF8"/>
    <w:rsid w:val="00E049EE"/>
    <w:rsid w:val="00E06741"/>
    <w:rsid w:val="00E108E3"/>
    <w:rsid w:val="00E10E98"/>
    <w:rsid w:val="00E11EFF"/>
    <w:rsid w:val="00E1213A"/>
    <w:rsid w:val="00E16D91"/>
    <w:rsid w:val="00E16F42"/>
    <w:rsid w:val="00E17C69"/>
    <w:rsid w:val="00E17DE4"/>
    <w:rsid w:val="00E203B0"/>
    <w:rsid w:val="00E20FA6"/>
    <w:rsid w:val="00E2127D"/>
    <w:rsid w:val="00E25E13"/>
    <w:rsid w:val="00E27342"/>
    <w:rsid w:val="00E30DCC"/>
    <w:rsid w:val="00E3140D"/>
    <w:rsid w:val="00E3220D"/>
    <w:rsid w:val="00E3239F"/>
    <w:rsid w:val="00E32448"/>
    <w:rsid w:val="00E324B9"/>
    <w:rsid w:val="00E32A94"/>
    <w:rsid w:val="00E32B46"/>
    <w:rsid w:val="00E3341E"/>
    <w:rsid w:val="00E3382E"/>
    <w:rsid w:val="00E350DB"/>
    <w:rsid w:val="00E35DAF"/>
    <w:rsid w:val="00E35E01"/>
    <w:rsid w:val="00E36261"/>
    <w:rsid w:val="00E36FAA"/>
    <w:rsid w:val="00E373DE"/>
    <w:rsid w:val="00E4062D"/>
    <w:rsid w:val="00E41A4F"/>
    <w:rsid w:val="00E42784"/>
    <w:rsid w:val="00E42C22"/>
    <w:rsid w:val="00E42D0E"/>
    <w:rsid w:val="00E43030"/>
    <w:rsid w:val="00E449F5"/>
    <w:rsid w:val="00E46CE2"/>
    <w:rsid w:val="00E4767F"/>
    <w:rsid w:val="00E47FDD"/>
    <w:rsid w:val="00E503DF"/>
    <w:rsid w:val="00E508A6"/>
    <w:rsid w:val="00E509D3"/>
    <w:rsid w:val="00E50F7B"/>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DC8"/>
    <w:rsid w:val="00E65640"/>
    <w:rsid w:val="00E65995"/>
    <w:rsid w:val="00E65BBA"/>
    <w:rsid w:val="00E66AE6"/>
    <w:rsid w:val="00E6719F"/>
    <w:rsid w:val="00E67CB3"/>
    <w:rsid w:val="00E7112D"/>
    <w:rsid w:val="00E71943"/>
    <w:rsid w:val="00E71A4A"/>
    <w:rsid w:val="00E74262"/>
    <w:rsid w:val="00E7495B"/>
    <w:rsid w:val="00E77A2A"/>
    <w:rsid w:val="00E77ACB"/>
    <w:rsid w:val="00E77E2C"/>
    <w:rsid w:val="00E80C8A"/>
    <w:rsid w:val="00E81BF4"/>
    <w:rsid w:val="00E81C12"/>
    <w:rsid w:val="00E8551E"/>
    <w:rsid w:val="00E858E3"/>
    <w:rsid w:val="00E8630B"/>
    <w:rsid w:val="00E86501"/>
    <w:rsid w:val="00E902D2"/>
    <w:rsid w:val="00E904C6"/>
    <w:rsid w:val="00E90C0F"/>
    <w:rsid w:val="00E9100A"/>
    <w:rsid w:val="00E919F0"/>
    <w:rsid w:val="00E93FB0"/>
    <w:rsid w:val="00E940A7"/>
    <w:rsid w:val="00EA1BA7"/>
    <w:rsid w:val="00EA1ED8"/>
    <w:rsid w:val="00EA3A72"/>
    <w:rsid w:val="00EA40BC"/>
    <w:rsid w:val="00EA496C"/>
    <w:rsid w:val="00EA5A7B"/>
    <w:rsid w:val="00EA6898"/>
    <w:rsid w:val="00EA6B7F"/>
    <w:rsid w:val="00EA7251"/>
    <w:rsid w:val="00EA78E7"/>
    <w:rsid w:val="00EB0009"/>
    <w:rsid w:val="00EB1783"/>
    <w:rsid w:val="00EB1C32"/>
    <w:rsid w:val="00EB4B8E"/>
    <w:rsid w:val="00EB552D"/>
    <w:rsid w:val="00EB7305"/>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734E"/>
    <w:rsid w:val="00EE04B7"/>
    <w:rsid w:val="00EE3654"/>
    <w:rsid w:val="00EE477D"/>
    <w:rsid w:val="00EE4F36"/>
    <w:rsid w:val="00EE646D"/>
    <w:rsid w:val="00EE79BE"/>
    <w:rsid w:val="00EF0792"/>
    <w:rsid w:val="00EF0B2B"/>
    <w:rsid w:val="00EF2091"/>
    <w:rsid w:val="00EF2F61"/>
    <w:rsid w:val="00EF3455"/>
    <w:rsid w:val="00EF39F2"/>
    <w:rsid w:val="00EF3EAA"/>
    <w:rsid w:val="00EF4077"/>
    <w:rsid w:val="00EF41F7"/>
    <w:rsid w:val="00EF4429"/>
    <w:rsid w:val="00EF5E7A"/>
    <w:rsid w:val="00EF68E6"/>
    <w:rsid w:val="00EF7179"/>
    <w:rsid w:val="00EF7B48"/>
    <w:rsid w:val="00F029E0"/>
    <w:rsid w:val="00F0305D"/>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A0F"/>
    <w:rsid w:val="00F17EE3"/>
    <w:rsid w:val="00F21319"/>
    <w:rsid w:val="00F225EC"/>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79D6"/>
    <w:rsid w:val="00F47A57"/>
    <w:rsid w:val="00F51138"/>
    <w:rsid w:val="00F51D41"/>
    <w:rsid w:val="00F53D58"/>
    <w:rsid w:val="00F53F8B"/>
    <w:rsid w:val="00F54579"/>
    <w:rsid w:val="00F54726"/>
    <w:rsid w:val="00F564F3"/>
    <w:rsid w:val="00F56AA4"/>
    <w:rsid w:val="00F56E6C"/>
    <w:rsid w:val="00F570A4"/>
    <w:rsid w:val="00F571A3"/>
    <w:rsid w:val="00F5735C"/>
    <w:rsid w:val="00F61966"/>
    <w:rsid w:val="00F61AAD"/>
    <w:rsid w:val="00F62744"/>
    <w:rsid w:val="00F63233"/>
    <w:rsid w:val="00F633AD"/>
    <w:rsid w:val="00F64504"/>
    <w:rsid w:val="00F64C8A"/>
    <w:rsid w:val="00F65CB3"/>
    <w:rsid w:val="00F67346"/>
    <w:rsid w:val="00F70E71"/>
    <w:rsid w:val="00F7122A"/>
    <w:rsid w:val="00F716F7"/>
    <w:rsid w:val="00F71BFB"/>
    <w:rsid w:val="00F71D14"/>
    <w:rsid w:val="00F71F7A"/>
    <w:rsid w:val="00F7208A"/>
    <w:rsid w:val="00F72294"/>
    <w:rsid w:val="00F7471A"/>
    <w:rsid w:val="00F75143"/>
    <w:rsid w:val="00F7569D"/>
    <w:rsid w:val="00F75700"/>
    <w:rsid w:val="00F77CAB"/>
    <w:rsid w:val="00F80340"/>
    <w:rsid w:val="00F80C54"/>
    <w:rsid w:val="00F8313B"/>
    <w:rsid w:val="00F834DB"/>
    <w:rsid w:val="00F84277"/>
    <w:rsid w:val="00F85143"/>
    <w:rsid w:val="00F85BC1"/>
    <w:rsid w:val="00F87DF1"/>
    <w:rsid w:val="00F90D8F"/>
    <w:rsid w:val="00F91BD4"/>
    <w:rsid w:val="00F92A4A"/>
    <w:rsid w:val="00F94BCD"/>
    <w:rsid w:val="00F95AF0"/>
    <w:rsid w:val="00F964A3"/>
    <w:rsid w:val="00F96D79"/>
    <w:rsid w:val="00FA03EF"/>
    <w:rsid w:val="00FA17D2"/>
    <w:rsid w:val="00FA1CDE"/>
    <w:rsid w:val="00FA1E64"/>
    <w:rsid w:val="00FA292A"/>
    <w:rsid w:val="00FA2EE5"/>
    <w:rsid w:val="00FA3684"/>
    <w:rsid w:val="00FA49E0"/>
    <w:rsid w:val="00FA551F"/>
    <w:rsid w:val="00FA5EDE"/>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E0065"/>
    <w:rsid w:val="00FE013E"/>
    <w:rsid w:val="00FE173E"/>
    <w:rsid w:val="00FE1CAB"/>
    <w:rsid w:val="00FE23A1"/>
    <w:rsid w:val="00FE251E"/>
    <w:rsid w:val="00FE2833"/>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6.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www.puc.pa.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629F-0D1B-4BE1-A3C7-A1626C6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106</TotalTime>
  <Pages>12</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Administrator</cp:lastModifiedBy>
  <cp:revision>65</cp:revision>
  <cp:lastPrinted>2016-03-03T15:51:00Z</cp:lastPrinted>
  <dcterms:created xsi:type="dcterms:W3CDTF">2016-09-07T19:11:00Z</dcterms:created>
  <dcterms:modified xsi:type="dcterms:W3CDTF">2017-04-07T18:27:00Z</dcterms:modified>
</cp:coreProperties>
</file>