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C233C2">
        <w:rPr>
          <w:rFonts w:ascii="Times New Roman" w:hAnsi="Times New Roman"/>
          <w:sz w:val="24"/>
          <w:szCs w:val="24"/>
        </w:rPr>
        <w:t xml:space="preserve">April </w:t>
      </w:r>
      <w:r w:rsidR="00C10FD8">
        <w:rPr>
          <w:rFonts w:ascii="Times New Roman" w:hAnsi="Times New Roman"/>
          <w:sz w:val="24"/>
          <w:szCs w:val="24"/>
        </w:rPr>
        <w:t>20</w:t>
      </w:r>
      <w:r w:rsidR="008244F6">
        <w:rPr>
          <w:rFonts w:ascii="Times New Roman" w:hAnsi="Times New Roman"/>
          <w:sz w:val="24"/>
          <w:szCs w:val="24"/>
        </w:rPr>
        <w:t>, 2017</w:t>
      </w:r>
    </w:p>
    <w:p w:rsidR="00577603"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 xml:space="preserve">Petition of Duquesne Light Company </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P-2016-2540046</w:t>
      </w:r>
    </w:p>
    <w:p w:rsidR="00C10FD8" w:rsidRPr="00C10FD8" w:rsidRDefault="00C10FD8" w:rsidP="00C10FD8">
      <w:pPr>
        <w:spacing w:line="233" w:lineRule="auto"/>
        <w:jc w:val="both"/>
        <w:rPr>
          <w:rFonts w:ascii="Times New Roman" w:eastAsia="Times New Roman" w:hAnsi="Times New Roman"/>
          <w:snapToGrid w:val="0"/>
          <w:sz w:val="24"/>
          <w:szCs w:val="26"/>
        </w:rPr>
      </w:pPr>
      <w:proofErr w:type="gramStart"/>
      <w:r w:rsidRPr="00C10FD8">
        <w:rPr>
          <w:rFonts w:ascii="Times New Roman" w:eastAsia="Times New Roman" w:hAnsi="Times New Roman"/>
          <w:snapToGrid w:val="0"/>
          <w:sz w:val="24"/>
          <w:szCs w:val="26"/>
        </w:rPr>
        <w:t>for</w:t>
      </w:r>
      <w:proofErr w:type="gramEnd"/>
      <w:r w:rsidRPr="00C10FD8">
        <w:rPr>
          <w:rFonts w:ascii="Times New Roman" w:eastAsia="Times New Roman" w:hAnsi="Times New Roman"/>
          <w:snapToGrid w:val="0"/>
          <w:sz w:val="24"/>
          <w:szCs w:val="26"/>
        </w:rPr>
        <w:t xml:space="preserve"> Approval of its Long-Term</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Infrastructure Improvement Plan</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ab/>
      </w:r>
      <w:proofErr w:type="gramStart"/>
      <w:r w:rsidRPr="00C10FD8">
        <w:rPr>
          <w:rFonts w:ascii="Times New Roman" w:eastAsia="Times New Roman" w:hAnsi="Times New Roman"/>
          <w:snapToGrid w:val="0"/>
          <w:sz w:val="24"/>
          <w:szCs w:val="26"/>
        </w:rPr>
        <w:t>and</w:t>
      </w:r>
      <w:proofErr w:type="gramEnd"/>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 xml:space="preserve">Petition of Duquesne Light Company </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P-2016-2540046</w:t>
      </w:r>
    </w:p>
    <w:p w:rsidR="00C10FD8" w:rsidRPr="00C10FD8" w:rsidRDefault="00C10FD8" w:rsidP="00C10FD8">
      <w:pPr>
        <w:spacing w:line="233" w:lineRule="auto"/>
        <w:jc w:val="both"/>
        <w:rPr>
          <w:rFonts w:ascii="Times New Roman" w:eastAsia="Times New Roman" w:hAnsi="Times New Roman"/>
          <w:snapToGrid w:val="0"/>
          <w:sz w:val="24"/>
          <w:szCs w:val="26"/>
        </w:rPr>
      </w:pPr>
      <w:proofErr w:type="gramStart"/>
      <w:r w:rsidRPr="00C10FD8">
        <w:rPr>
          <w:rFonts w:ascii="Times New Roman" w:eastAsia="Times New Roman" w:hAnsi="Times New Roman"/>
          <w:snapToGrid w:val="0"/>
          <w:sz w:val="24"/>
          <w:szCs w:val="26"/>
        </w:rPr>
        <w:t>for</w:t>
      </w:r>
      <w:proofErr w:type="gramEnd"/>
      <w:r w:rsidRPr="00C10FD8">
        <w:rPr>
          <w:rFonts w:ascii="Times New Roman" w:eastAsia="Times New Roman" w:hAnsi="Times New Roman"/>
          <w:snapToGrid w:val="0"/>
          <w:sz w:val="24"/>
          <w:szCs w:val="26"/>
        </w:rPr>
        <w:t xml:space="preserve"> Approval of a Distribution</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p>
    <w:p w:rsidR="00C10FD8" w:rsidRPr="00C10FD8" w:rsidRDefault="00C10FD8" w:rsidP="00C10FD8">
      <w:pPr>
        <w:spacing w:line="233" w:lineRule="auto"/>
        <w:jc w:val="both"/>
        <w:rPr>
          <w:rFonts w:ascii="Times New Roman" w:eastAsia="Times New Roman" w:hAnsi="Times New Roman"/>
          <w:snapToGrid w:val="0"/>
          <w:sz w:val="24"/>
          <w:szCs w:val="26"/>
        </w:rPr>
      </w:pPr>
      <w:r w:rsidRPr="00C10FD8">
        <w:rPr>
          <w:rFonts w:ascii="Times New Roman" w:eastAsia="Times New Roman" w:hAnsi="Times New Roman"/>
          <w:snapToGrid w:val="0"/>
          <w:sz w:val="24"/>
          <w:szCs w:val="26"/>
        </w:rPr>
        <w:t>System Improvement Charge</w:t>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r>
      <w:r w:rsidRPr="00C10FD8">
        <w:rPr>
          <w:rFonts w:ascii="Times New Roman" w:eastAsia="Times New Roman" w:hAnsi="Times New Roman"/>
          <w:snapToGrid w:val="0"/>
          <w:sz w:val="24"/>
          <w:szCs w:val="26"/>
        </w:rPr>
        <w:tab/>
        <w:t>:</w:t>
      </w:r>
    </w:p>
    <w:p w:rsidR="002F611F" w:rsidRDefault="002F611F" w:rsidP="002F611F">
      <w:pPr>
        <w:rPr>
          <w:rFonts w:ascii="Times New Roman" w:hAnsi="Times New Roman"/>
          <w:sz w:val="24"/>
          <w:szCs w:val="24"/>
        </w:rPr>
      </w:pPr>
    </w:p>
    <w:p w:rsidR="00531CC3" w:rsidRDefault="00531CC3" w:rsidP="002F611F">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Default="00577603" w:rsidP="00577603">
      <w:pPr>
        <w:jc w:val="center"/>
        <w:rPr>
          <w:rFonts w:ascii="Times New Roman" w:hAnsi="Times New Roman"/>
          <w:sz w:val="24"/>
          <w:szCs w:val="24"/>
        </w:rPr>
      </w:pPr>
    </w:p>
    <w:p w:rsidR="00CF786A" w:rsidRPr="00CA6486" w:rsidRDefault="00CF786A"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A4631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C10FD8">
        <w:rPr>
          <w:rFonts w:ascii="Times New Roman" w:hAnsi="Times New Roman"/>
          <w:sz w:val="24"/>
          <w:szCs w:val="24"/>
        </w:rPr>
        <w:t xml:space="preserve"> Katrina L. Dunderdale</w:t>
      </w:r>
      <w:r w:rsidR="00E17242" w:rsidRPr="00CA6486">
        <w:rPr>
          <w:rFonts w:ascii="Times New Roman" w:hAnsi="Times New Roman"/>
          <w:sz w:val="24"/>
          <w:szCs w:val="24"/>
        </w:rPr>
        <w:t xml:space="preserve">, dated </w:t>
      </w:r>
      <w:r w:rsidR="00C10FD8" w:rsidRPr="00C10FD8">
        <w:rPr>
          <w:rFonts w:ascii="Times New Roman" w:eastAsia="Times New Roman" w:hAnsi="Times New Roman"/>
          <w:snapToGrid w:val="0"/>
          <w:sz w:val="24"/>
          <w:szCs w:val="26"/>
        </w:rPr>
        <w:t>March 8, 2017</w:t>
      </w:r>
      <w:r w:rsidRPr="00CA6486">
        <w:rPr>
          <w:rFonts w:ascii="Times New Roman" w:hAnsi="Times New Roman"/>
          <w:sz w:val="24"/>
          <w:szCs w:val="24"/>
        </w:rPr>
        <w:t>;</w:t>
      </w:r>
    </w:p>
    <w:p w:rsidR="00A46316" w:rsidRDefault="00A46316" w:rsidP="006859AE">
      <w:pPr>
        <w:spacing w:line="360" w:lineRule="auto"/>
        <w:jc w:val="both"/>
        <w:rPr>
          <w:rFonts w:ascii="Times New Roman" w:hAnsi="Times New Roman"/>
          <w:sz w:val="24"/>
          <w:szCs w:val="24"/>
        </w:rPr>
      </w:pPr>
    </w:p>
    <w:p w:rsidR="00577603" w:rsidRPr="00CA6486" w:rsidRDefault="008244F6" w:rsidP="006859AE">
      <w:pPr>
        <w:spacing w:line="360" w:lineRule="auto"/>
        <w:jc w:val="both"/>
        <w:rPr>
          <w:rFonts w:ascii="Times New Roman" w:hAnsi="Times New Roman"/>
          <w:sz w:val="24"/>
          <w:szCs w:val="24"/>
        </w:rPr>
      </w:pPr>
      <w:r>
        <w:rPr>
          <w:rFonts w:ascii="Times New Roman" w:hAnsi="Times New Roman"/>
          <w:sz w:val="24"/>
          <w:szCs w:val="24"/>
        </w:rPr>
        <w:tab/>
      </w:r>
      <w:r w:rsidR="00577603" w:rsidRPr="00CA6486">
        <w:rPr>
          <w:rFonts w:ascii="Times New Roman" w:hAnsi="Times New Roman"/>
          <w:sz w:val="24"/>
          <w:szCs w:val="24"/>
        </w:rPr>
        <w:t>THEREFORE,</w:t>
      </w:r>
    </w:p>
    <w:p w:rsidR="00577603" w:rsidRPr="00CA6486" w:rsidRDefault="00577603" w:rsidP="006859AE">
      <w:pPr>
        <w:spacing w:line="276" w:lineRule="auto"/>
        <w:rPr>
          <w:rFonts w:ascii="Times New Roman" w:hAnsi="Times New Roman"/>
          <w:sz w:val="24"/>
          <w:szCs w:val="24"/>
        </w:rPr>
      </w:pPr>
    </w:p>
    <w:p w:rsidR="00C10FD8" w:rsidRDefault="00577603" w:rsidP="00C10FD8">
      <w:pPr>
        <w:spacing w:line="360" w:lineRule="auto"/>
        <w:rPr>
          <w:rFonts w:ascii="Times New Roman" w:hAnsi="Times New Roman"/>
          <w:sz w:val="24"/>
          <w:szCs w:val="24"/>
        </w:rPr>
      </w:pPr>
      <w:r w:rsidRPr="00CA6486">
        <w:rPr>
          <w:rFonts w:ascii="Times New Roman" w:hAnsi="Times New Roman"/>
          <w:sz w:val="24"/>
          <w:szCs w:val="24"/>
        </w:rPr>
        <w:tab/>
        <w:t>IT IS ORDERED:</w:t>
      </w:r>
    </w:p>
    <w:p w:rsidR="00C10FD8" w:rsidRDefault="00C10FD8" w:rsidP="00C10FD8">
      <w:pPr>
        <w:spacing w:line="360" w:lineRule="auto"/>
        <w:rPr>
          <w:rFonts w:ascii="Times New Roman" w:hAnsi="Times New Roman"/>
          <w:sz w:val="24"/>
          <w:szCs w:val="24"/>
        </w:rPr>
      </w:pPr>
    </w:p>
    <w:p w:rsidR="00C10FD8" w:rsidRDefault="00C10FD8" w:rsidP="00C10FD8">
      <w:pPr>
        <w:spacing w:line="360" w:lineRule="auto"/>
        <w:jc w:val="both"/>
        <w:rPr>
          <w:rFonts w:ascii="Times New Roman" w:eastAsia="Times New Roman" w:hAnsi="Times New Roman"/>
          <w:snapToGrid w:val="0"/>
          <w:sz w:val="24"/>
          <w:szCs w:val="24"/>
        </w:rPr>
      </w:pPr>
      <w:r>
        <w:rPr>
          <w:rFonts w:ascii="Times New Roman" w:eastAsia="Times New Roman" w:hAnsi="Times New Roman"/>
          <w:spacing w:val="-3"/>
          <w:sz w:val="24"/>
          <w:szCs w:val="24"/>
        </w:rPr>
        <w:tab/>
      </w:r>
      <w:r w:rsidR="00FF1897">
        <w:rPr>
          <w:rFonts w:ascii="Times New Roman" w:eastAsia="Times New Roman" w:hAnsi="Times New Roman"/>
          <w:spacing w:val="-3"/>
          <w:sz w:val="24"/>
          <w:szCs w:val="24"/>
        </w:rPr>
        <w:tab/>
      </w:r>
      <w:r w:rsidRPr="00C10FD8">
        <w:rPr>
          <w:rFonts w:ascii="Times New Roman" w:eastAsia="Times New Roman" w:hAnsi="Times New Roman"/>
          <w:snapToGrid w:val="0"/>
          <w:sz w:val="24"/>
          <w:szCs w:val="24"/>
        </w:rPr>
        <w:t>1.</w:t>
      </w:r>
      <w:r w:rsidRPr="00C10FD8">
        <w:rPr>
          <w:rFonts w:ascii="Times New Roman" w:eastAsia="Times New Roman" w:hAnsi="Times New Roman"/>
          <w:snapToGrid w:val="0"/>
          <w:sz w:val="24"/>
          <w:szCs w:val="24"/>
        </w:rPr>
        <w:tab/>
        <w:t>That the Joint Petition for Settlement submitted by Duquesne Light Company, the Bureau of Investigation and Enforcement, and the Office of Consumer Advocate at Docket No. P-2016-2540046, be approved.</w:t>
      </w:r>
    </w:p>
    <w:p w:rsidR="00C10FD8" w:rsidRDefault="00C10FD8" w:rsidP="00C10FD8">
      <w:pPr>
        <w:spacing w:line="360" w:lineRule="auto"/>
        <w:jc w:val="both"/>
        <w:rPr>
          <w:rFonts w:ascii="Times New Roman" w:eastAsia="Times New Roman" w:hAnsi="Times New Roman"/>
          <w:snapToGrid w:val="0"/>
          <w:sz w:val="24"/>
          <w:szCs w:val="24"/>
        </w:rPr>
        <w:sectPr w:rsidR="00C10FD8" w:rsidSect="00C233C2">
          <w:footerReference w:type="default" r:id="rId9"/>
          <w:pgSz w:w="12240" w:h="15840" w:code="1"/>
          <w:pgMar w:top="1296" w:right="1440" w:bottom="1152" w:left="1440" w:header="720" w:footer="720" w:gutter="0"/>
          <w:cols w:space="720"/>
          <w:docGrid w:linePitch="360"/>
        </w:sectPr>
      </w:pPr>
    </w:p>
    <w:p w:rsidR="00C10FD8" w:rsidRPr="00C10FD8" w:rsidRDefault="00C10FD8" w:rsidP="00C10FD8">
      <w:pPr>
        <w:spacing w:line="360" w:lineRule="auto"/>
        <w:jc w:val="both"/>
        <w:rPr>
          <w:rFonts w:ascii="Times New Roman" w:eastAsia="Times New Roman" w:hAnsi="Times New Roman"/>
          <w:snapToGrid w:val="0"/>
          <w:sz w:val="24"/>
          <w:szCs w:val="24"/>
        </w:rPr>
      </w:pPr>
      <w:r w:rsidRPr="00C10FD8">
        <w:rPr>
          <w:rFonts w:ascii="Times New Roman" w:eastAsia="Times New Roman" w:hAnsi="Times New Roman"/>
          <w:snapToGrid w:val="0"/>
          <w:sz w:val="24"/>
          <w:szCs w:val="24"/>
        </w:rPr>
        <w:lastRenderedPageBreak/>
        <w:tab/>
      </w:r>
      <w:r w:rsidRPr="00C10FD8">
        <w:rPr>
          <w:rFonts w:ascii="Times New Roman" w:eastAsia="Times New Roman" w:hAnsi="Times New Roman"/>
          <w:snapToGrid w:val="0"/>
          <w:sz w:val="24"/>
          <w:szCs w:val="24"/>
        </w:rPr>
        <w:tab/>
        <w:t>2.</w:t>
      </w:r>
      <w:r w:rsidRPr="00C10FD8">
        <w:rPr>
          <w:rFonts w:ascii="Times New Roman" w:eastAsia="Times New Roman" w:hAnsi="Times New Roman"/>
          <w:snapToGrid w:val="0"/>
          <w:sz w:val="24"/>
          <w:szCs w:val="24"/>
        </w:rPr>
        <w:tab/>
        <w:t>That Duquesne Light Company may be permitted to file a tariff or tariff supplement containing the rates, rules and regulations consistent with this Joint Petition for Settlement.</w:t>
      </w:r>
    </w:p>
    <w:p w:rsidR="00C10FD8" w:rsidRPr="00C10FD8" w:rsidRDefault="00C10FD8" w:rsidP="00C10FD8">
      <w:pPr>
        <w:spacing w:line="360" w:lineRule="auto"/>
        <w:jc w:val="both"/>
        <w:rPr>
          <w:rFonts w:ascii="Times New Roman" w:eastAsia="Times New Roman" w:hAnsi="Times New Roman"/>
          <w:snapToGrid w:val="0"/>
          <w:sz w:val="24"/>
          <w:szCs w:val="24"/>
        </w:rPr>
      </w:pPr>
    </w:p>
    <w:p w:rsidR="00C10FD8" w:rsidRPr="00C10FD8" w:rsidRDefault="00C10FD8" w:rsidP="00C10FD8">
      <w:pPr>
        <w:spacing w:line="360" w:lineRule="auto"/>
        <w:jc w:val="both"/>
        <w:rPr>
          <w:rFonts w:ascii="Times New Roman" w:eastAsia="Times New Roman" w:hAnsi="Times New Roman"/>
          <w:snapToGrid w:val="0"/>
          <w:sz w:val="24"/>
          <w:szCs w:val="24"/>
        </w:rPr>
      </w:pPr>
      <w:r w:rsidRPr="00C10FD8">
        <w:rPr>
          <w:rFonts w:ascii="Times New Roman" w:eastAsia="Times New Roman" w:hAnsi="Times New Roman"/>
          <w:snapToGrid w:val="0"/>
          <w:sz w:val="24"/>
          <w:szCs w:val="24"/>
        </w:rPr>
        <w:tab/>
      </w:r>
      <w:r w:rsidRPr="00C10FD8">
        <w:rPr>
          <w:rFonts w:ascii="Times New Roman" w:eastAsia="Times New Roman" w:hAnsi="Times New Roman"/>
          <w:snapToGrid w:val="0"/>
          <w:sz w:val="24"/>
          <w:szCs w:val="24"/>
        </w:rPr>
        <w:tab/>
        <w:t>3.</w:t>
      </w:r>
      <w:r w:rsidRPr="00C10FD8">
        <w:rPr>
          <w:rFonts w:ascii="Times New Roman" w:eastAsia="Times New Roman" w:hAnsi="Times New Roman"/>
          <w:snapToGrid w:val="0"/>
          <w:sz w:val="24"/>
          <w:szCs w:val="24"/>
        </w:rPr>
        <w:tab/>
        <w:t>That the said tariff or tariff supplement may be filed on less than statutory notice, and may be filed to become effective for service rendered on and after the date on which the Commission’s Order in this case is entered.</w:t>
      </w:r>
    </w:p>
    <w:p w:rsidR="00C10FD8" w:rsidRPr="00C10FD8" w:rsidRDefault="00C10FD8" w:rsidP="00C10FD8">
      <w:pPr>
        <w:spacing w:line="360" w:lineRule="auto"/>
        <w:jc w:val="both"/>
        <w:rPr>
          <w:rFonts w:ascii="Times New Roman" w:eastAsia="Times New Roman" w:hAnsi="Times New Roman"/>
          <w:snapToGrid w:val="0"/>
          <w:sz w:val="24"/>
          <w:szCs w:val="24"/>
        </w:rPr>
      </w:pPr>
    </w:p>
    <w:p w:rsidR="00C10FD8" w:rsidRPr="00C10FD8" w:rsidRDefault="00C10FD8" w:rsidP="00C10FD8">
      <w:pPr>
        <w:spacing w:line="360" w:lineRule="auto"/>
        <w:jc w:val="both"/>
        <w:rPr>
          <w:rFonts w:ascii="Times New Roman" w:eastAsia="Times New Roman" w:hAnsi="Times New Roman"/>
          <w:snapToGrid w:val="0"/>
          <w:sz w:val="24"/>
          <w:szCs w:val="24"/>
        </w:rPr>
      </w:pPr>
      <w:r w:rsidRPr="00C10FD8">
        <w:rPr>
          <w:rFonts w:ascii="Times New Roman" w:eastAsia="Times New Roman" w:hAnsi="Times New Roman"/>
          <w:snapToGrid w:val="0"/>
          <w:sz w:val="24"/>
          <w:szCs w:val="24"/>
        </w:rPr>
        <w:tab/>
      </w:r>
      <w:r w:rsidRPr="00C10FD8">
        <w:rPr>
          <w:rFonts w:ascii="Times New Roman" w:eastAsia="Times New Roman" w:hAnsi="Times New Roman"/>
          <w:snapToGrid w:val="0"/>
          <w:sz w:val="24"/>
          <w:szCs w:val="24"/>
        </w:rPr>
        <w:tab/>
        <w:t>4.</w:t>
      </w:r>
      <w:r w:rsidRPr="00C10FD8">
        <w:rPr>
          <w:rFonts w:ascii="Times New Roman" w:eastAsia="Times New Roman" w:hAnsi="Times New Roman"/>
          <w:snapToGrid w:val="0"/>
          <w:sz w:val="24"/>
          <w:szCs w:val="24"/>
        </w:rPr>
        <w:tab/>
        <w:t>That upon acceptance and approval by the Commission of the tariff or tariff supplement as being consistent with this Order, the proceeding at Docket No. P</w:t>
      </w:r>
      <w:r w:rsidRPr="00C10FD8">
        <w:rPr>
          <w:rFonts w:ascii="Times New Roman" w:eastAsia="Times New Roman" w:hAnsi="Times New Roman"/>
          <w:snapToGrid w:val="0"/>
          <w:sz w:val="24"/>
          <w:szCs w:val="24"/>
        </w:rPr>
        <w:noBreakHyphen/>
        <w:t>2016-2540046 shall be terminated, and the record and docket marked closed.</w:t>
      </w:r>
    </w:p>
    <w:p w:rsidR="00687DB3" w:rsidRDefault="00A406D4" w:rsidP="00C10FD8">
      <w:pPr>
        <w:spacing w:line="360" w:lineRule="auto"/>
        <w:ind w:firstLine="720"/>
        <w:jc w:val="both"/>
        <w:rPr>
          <w:rFonts w:ascii="Times New Roman" w:eastAsia="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08CD32A6" wp14:editId="431CC739">
            <wp:simplePos x="0" y="0"/>
            <wp:positionH relativeFrom="column">
              <wp:posOffset>2917825</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7603" w:rsidRPr="00CA6486" w:rsidRDefault="0094719D" w:rsidP="0094719D">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A46316" w:rsidRDefault="00A46316" w:rsidP="00577603">
      <w:pPr>
        <w:rPr>
          <w:rFonts w:ascii="Times New Roman" w:hAnsi="Times New Roman"/>
          <w:sz w:val="24"/>
          <w:szCs w:val="24"/>
        </w:rPr>
      </w:pPr>
    </w:p>
    <w:p w:rsidR="00A46316" w:rsidRDefault="00A46316"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C233C2"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C233C2">
        <w:rPr>
          <w:rFonts w:ascii="Times New Roman" w:hAnsi="Times New Roman"/>
          <w:sz w:val="24"/>
          <w:szCs w:val="24"/>
        </w:rPr>
        <w:t xml:space="preserve">April </w:t>
      </w:r>
      <w:r w:rsidR="00C10FD8">
        <w:rPr>
          <w:rFonts w:ascii="Times New Roman" w:hAnsi="Times New Roman"/>
          <w:sz w:val="24"/>
          <w:szCs w:val="24"/>
        </w:rPr>
        <w:t>20</w:t>
      </w:r>
      <w:r w:rsidR="00C233C2">
        <w:rPr>
          <w:rFonts w:ascii="Times New Roman" w:hAnsi="Times New Roman"/>
          <w:sz w:val="24"/>
          <w:szCs w:val="24"/>
        </w:rPr>
        <w:t>, 2017</w:t>
      </w:r>
    </w:p>
    <w:p w:rsidR="00C233C2" w:rsidRPr="00CA6486" w:rsidRDefault="00C233C2"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A406D4">
        <w:rPr>
          <w:rFonts w:ascii="Times New Roman" w:hAnsi="Times New Roman"/>
          <w:sz w:val="24"/>
          <w:szCs w:val="24"/>
        </w:rPr>
        <w:t>April 20, 2017</w:t>
      </w:r>
    </w:p>
    <w:sectPr w:rsidR="00B4392F" w:rsidRPr="00CA6486" w:rsidSect="00C233C2">
      <w:footerReference w:type="default" r:id="rId11"/>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08" w:rsidRDefault="000E5C08" w:rsidP="00577603">
      <w:r>
        <w:separator/>
      </w:r>
    </w:p>
  </w:endnote>
  <w:endnote w:type="continuationSeparator" w:id="0">
    <w:p w:rsidR="000E5C08" w:rsidRDefault="000E5C0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81" w:rsidRPr="007672AE" w:rsidRDefault="00DD5581">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264663390"/>
      <w:docPartObj>
        <w:docPartGallery w:val="Page Numbers (Bottom of Page)"/>
        <w:docPartUnique/>
      </w:docPartObj>
    </w:sdtPr>
    <w:sdtEndPr>
      <w:rPr>
        <w:noProof/>
      </w:rPr>
    </w:sdtEndPr>
    <w:sdtContent>
      <w:p w:rsidR="00C10FD8" w:rsidRPr="007672AE" w:rsidRDefault="00C10FD8">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A406D4">
          <w:rPr>
            <w:rFonts w:ascii="Times New Roman" w:hAnsi="Times New Roman"/>
            <w:noProof/>
            <w:sz w:val="20"/>
            <w:szCs w:val="20"/>
          </w:rPr>
          <w:t>2</w:t>
        </w:r>
        <w:r w:rsidRPr="007672A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08" w:rsidRDefault="000E5C08" w:rsidP="00577603">
      <w:r>
        <w:separator/>
      </w:r>
    </w:p>
  </w:footnote>
  <w:footnote w:type="continuationSeparator" w:id="0">
    <w:p w:rsidR="000E5C08" w:rsidRDefault="000E5C08"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40018"/>
    <w:rsid w:val="00052E3E"/>
    <w:rsid w:val="000844A5"/>
    <w:rsid w:val="00085D71"/>
    <w:rsid w:val="000A179A"/>
    <w:rsid w:val="000A63CB"/>
    <w:rsid w:val="000C14A2"/>
    <w:rsid w:val="000C3643"/>
    <w:rsid w:val="000C6988"/>
    <w:rsid w:val="000D4CC8"/>
    <w:rsid w:val="000D5F69"/>
    <w:rsid w:val="000E5C08"/>
    <w:rsid w:val="001013CF"/>
    <w:rsid w:val="00115803"/>
    <w:rsid w:val="00125F74"/>
    <w:rsid w:val="00134222"/>
    <w:rsid w:val="00143DCF"/>
    <w:rsid w:val="00184032"/>
    <w:rsid w:val="001A7A94"/>
    <w:rsid w:val="001D4E5B"/>
    <w:rsid w:val="001D5649"/>
    <w:rsid w:val="001D654E"/>
    <w:rsid w:val="001D7592"/>
    <w:rsid w:val="001E3817"/>
    <w:rsid w:val="001F6775"/>
    <w:rsid w:val="00227917"/>
    <w:rsid w:val="0023685D"/>
    <w:rsid w:val="00245A5A"/>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53C6"/>
    <w:rsid w:val="003365BA"/>
    <w:rsid w:val="003410FE"/>
    <w:rsid w:val="0035079A"/>
    <w:rsid w:val="00372617"/>
    <w:rsid w:val="0038237F"/>
    <w:rsid w:val="00385E75"/>
    <w:rsid w:val="00391736"/>
    <w:rsid w:val="003922EF"/>
    <w:rsid w:val="003B47A2"/>
    <w:rsid w:val="003B4E07"/>
    <w:rsid w:val="003C1A25"/>
    <w:rsid w:val="003D6178"/>
    <w:rsid w:val="003F5CA8"/>
    <w:rsid w:val="004031CC"/>
    <w:rsid w:val="0040782F"/>
    <w:rsid w:val="00422C47"/>
    <w:rsid w:val="00440E92"/>
    <w:rsid w:val="00442788"/>
    <w:rsid w:val="0044606E"/>
    <w:rsid w:val="00451040"/>
    <w:rsid w:val="00451BD4"/>
    <w:rsid w:val="00461867"/>
    <w:rsid w:val="00461D0C"/>
    <w:rsid w:val="00491BAF"/>
    <w:rsid w:val="00495A06"/>
    <w:rsid w:val="004A4684"/>
    <w:rsid w:val="004B2AB3"/>
    <w:rsid w:val="004C5399"/>
    <w:rsid w:val="004D1BC3"/>
    <w:rsid w:val="004E445E"/>
    <w:rsid w:val="00513883"/>
    <w:rsid w:val="0053164C"/>
    <w:rsid w:val="00531CC3"/>
    <w:rsid w:val="00533816"/>
    <w:rsid w:val="00534A0E"/>
    <w:rsid w:val="00536AD8"/>
    <w:rsid w:val="00543086"/>
    <w:rsid w:val="0054758E"/>
    <w:rsid w:val="00547892"/>
    <w:rsid w:val="00550274"/>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87DB3"/>
    <w:rsid w:val="006A62FB"/>
    <w:rsid w:val="006B2B82"/>
    <w:rsid w:val="006D5B2B"/>
    <w:rsid w:val="006E3DEA"/>
    <w:rsid w:val="006F3F31"/>
    <w:rsid w:val="007061E7"/>
    <w:rsid w:val="00744935"/>
    <w:rsid w:val="00744BD0"/>
    <w:rsid w:val="007672AE"/>
    <w:rsid w:val="007A0A01"/>
    <w:rsid w:val="007A4000"/>
    <w:rsid w:val="007A44A6"/>
    <w:rsid w:val="007A738F"/>
    <w:rsid w:val="007C2265"/>
    <w:rsid w:val="007C7618"/>
    <w:rsid w:val="007D692A"/>
    <w:rsid w:val="007E3C9C"/>
    <w:rsid w:val="00800BED"/>
    <w:rsid w:val="008148F1"/>
    <w:rsid w:val="008244F6"/>
    <w:rsid w:val="008312BE"/>
    <w:rsid w:val="00842672"/>
    <w:rsid w:val="0085572D"/>
    <w:rsid w:val="00871EEB"/>
    <w:rsid w:val="00876B81"/>
    <w:rsid w:val="00885CBF"/>
    <w:rsid w:val="00892B7B"/>
    <w:rsid w:val="008A1028"/>
    <w:rsid w:val="008A4505"/>
    <w:rsid w:val="008C4FDB"/>
    <w:rsid w:val="008D6D3F"/>
    <w:rsid w:val="008F4EF1"/>
    <w:rsid w:val="008F5BA5"/>
    <w:rsid w:val="008F60F4"/>
    <w:rsid w:val="00912FB5"/>
    <w:rsid w:val="00916825"/>
    <w:rsid w:val="00922798"/>
    <w:rsid w:val="009408D5"/>
    <w:rsid w:val="00943357"/>
    <w:rsid w:val="0094719D"/>
    <w:rsid w:val="009543C9"/>
    <w:rsid w:val="00954588"/>
    <w:rsid w:val="00960F87"/>
    <w:rsid w:val="0096560D"/>
    <w:rsid w:val="00966A62"/>
    <w:rsid w:val="009714D3"/>
    <w:rsid w:val="00991F61"/>
    <w:rsid w:val="009A0F10"/>
    <w:rsid w:val="009A62B3"/>
    <w:rsid w:val="009B272B"/>
    <w:rsid w:val="009C6EDE"/>
    <w:rsid w:val="009E33FD"/>
    <w:rsid w:val="009E7057"/>
    <w:rsid w:val="009F23FA"/>
    <w:rsid w:val="00A118DC"/>
    <w:rsid w:val="00A14B56"/>
    <w:rsid w:val="00A15432"/>
    <w:rsid w:val="00A21079"/>
    <w:rsid w:val="00A406D4"/>
    <w:rsid w:val="00A46316"/>
    <w:rsid w:val="00A529F4"/>
    <w:rsid w:val="00A7354A"/>
    <w:rsid w:val="00A770A9"/>
    <w:rsid w:val="00AA1373"/>
    <w:rsid w:val="00AC0834"/>
    <w:rsid w:val="00AC132D"/>
    <w:rsid w:val="00AC3136"/>
    <w:rsid w:val="00AC3230"/>
    <w:rsid w:val="00AC3AFC"/>
    <w:rsid w:val="00AD6CC9"/>
    <w:rsid w:val="00B05A2D"/>
    <w:rsid w:val="00B21F40"/>
    <w:rsid w:val="00B4119A"/>
    <w:rsid w:val="00B4392F"/>
    <w:rsid w:val="00B65524"/>
    <w:rsid w:val="00B6647F"/>
    <w:rsid w:val="00B71993"/>
    <w:rsid w:val="00B951B5"/>
    <w:rsid w:val="00BA307A"/>
    <w:rsid w:val="00BB2619"/>
    <w:rsid w:val="00BB6128"/>
    <w:rsid w:val="00BC29F8"/>
    <w:rsid w:val="00BD38B5"/>
    <w:rsid w:val="00BD4A29"/>
    <w:rsid w:val="00BE3AA4"/>
    <w:rsid w:val="00BF3B18"/>
    <w:rsid w:val="00BF7AB8"/>
    <w:rsid w:val="00C019A7"/>
    <w:rsid w:val="00C04D76"/>
    <w:rsid w:val="00C10FD8"/>
    <w:rsid w:val="00C11F28"/>
    <w:rsid w:val="00C1282F"/>
    <w:rsid w:val="00C202A9"/>
    <w:rsid w:val="00C233C2"/>
    <w:rsid w:val="00C4283F"/>
    <w:rsid w:val="00C547DA"/>
    <w:rsid w:val="00C71175"/>
    <w:rsid w:val="00C95A82"/>
    <w:rsid w:val="00CA6486"/>
    <w:rsid w:val="00CA6929"/>
    <w:rsid w:val="00CA79C7"/>
    <w:rsid w:val="00CB52DB"/>
    <w:rsid w:val="00CC2B3F"/>
    <w:rsid w:val="00CD2CD8"/>
    <w:rsid w:val="00CD3435"/>
    <w:rsid w:val="00CE494A"/>
    <w:rsid w:val="00CF786A"/>
    <w:rsid w:val="00CF7960"/>
    <w:rsid w:val="00D04B98"/>
    <w:rsid w:val="00D06F19"/>
    <w:rsid w:val="00D20889"/>
    <w:rsid w:val="00D2760A"/>
    <w:rsid w:val="00D524F7"/>
    <w:rsid w:val="00D63366"/>
    <w:rsid w:val="00D96CF9"/>
    <w:rsid w:val="00DA2F02"/>
    <w:rsid w:val="00DB10D3"/>
    <w:rsid w:val="00DD5581"/>
    <w:rsid w:val="00DE6DE4"/>
    <w:rsid w:val="00E06370"/>
    <w:rsid w:val="00E17242"/>
    <w:rsid w:val="00E2017D"/>
    <w:rsid w:val="00E53903"/>
    <w:rsid w:val="00E53B8C"/>
    <w:rsid w:val="00E56536"/>
    <w:rsid w:val="00E5783A"/>
    <w:rsid w:val="00E850D3"/>
    <w:rsid w:val="00E90854"/>
    <w:rsid w:val="00E965D1"/>
    <w:rsid w:val="00E974A2"/>
    <w:rsid w:val="00EA6E89"/>
    <w:rsid w:val="00EC515D"/>
    <w:rsid w:val="00F022E2"/>
    <w:rsid w:val="00F03384"/>
    <w:rsid w:val="00F04CE0"/>
    <w:rsid w:val="00F20483"/>
    <w:rsid w:val="00F24F76"/>
    <w:rsid w:val="00F37419"/>
    <w:rsid w:val="00F53783"/>
    <w:rsid w:val="00F5543B"/>
    <w:rsid w:val="00F73B1B"/>
    <w:rsid w:val="00F757F6"/>
    <w:rsid w:val="00F77FC4"/>
    <w:rsid w:val="00F91579"/>
    <w:rsid w:val="00F94652"/>
    <w:rsid w:val="00FA1A8E"/>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3E52D3-2610-4C8A-BB4F-6328910E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4</cp:revision>
  <cp:lastPrinted>2017-04-20T11:42:00Z</cp:lastPrinted>
  <dcterms:created xsi:type="dcterms:W3CDTF">2017-04-10T18:20:00Z</dcterms:created>
  <dcterms:modified xsi:type="dcterms:W3CDTF">2017-04-20T11:42:00Z</dcterms:modified>
</cp:coreProperties>
</file>