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E22A43" w:rsidTr="00E22A43">
        <w:tc>
          <w:tcPr>
            <w:tcW w:w="2448" w:type="dxa"/>
          </w:tcPr>
          <w:p w:rsidR="00E22A43" w:rsidRDefault="00E22A43">
            <w:pPr>
              <w:pStyle w:val="Heading3"/>
              <w:rPr>
                <w:rFonts w:ascii="Times New Roman" w:hAnsi="Times New Roman" w:cs="Times New Roman"/>
              </w:rPr>
            </w:pPr>
          </w:p>
        </w:tc>
        <w:tc>
          <w:tcPr>
            <w:tcW w:w="5130" w:type="dxa"/>
            <w:hideMark/>
          </w:tcPr>
          <w:p w:rsidR="00E22A43" w:rsidRDefault="00E22A43">
            <w:pPr>
              <w:jc w:val="center"/>
              <w:rPr>
                <w:b/>
                <w:sz w:val="26"/>
                <w:szCs w:val="26"/>
              </w:rPr>
            </w:pPr>
            <w:r>
              <w:rPr>
                <w:b/>
                <w:sz w:val="26"/>
                <w:szCs w:val="26"/>
              </w:rPr>
              <w:t>PENNSYLVANIA</w:t>
            </w:r>
          </w:p>
          <w:p w:rsidR="00E22A43" w:rsidRDefault="00E22A43">
            <w:pPr>
              <w:jc w:val="center"/>
              <w:rPr>
                <w:b/>
                <w:sz w:val="26"/>
                <w:szCs w:val="26"/>
              </w:rPr>
            </w:pPr>
            <w:r>
              <w:rPr>
                <w:b/>
                <w:sz w:val="26"/>
                <w:szCs w:val="26"/>
              </w:rPr>
              <w:t>PUBLIC UTILITY COMMISSION</w:t>
            </w:r>
          </w:p>
          <w:p w:rsidR="00E22A43" w:rsidRDefault="00E22A43">
            <w:pPr>
              <w:pStyle w:val="StyleCentered"/>
              <w:rPr>
                <w:sz w:val="26"/>
                <w:szCs w:val="26"/>
              </w:rPr>
            </w:pPr>
            <w:r>
              <w:rPr>
                <w:sz w:val="26"/>
                <w:szCs w:val="26"/>
              </w:rPr>
              <w:t>Harrisburg, PA  17105-3265</w:t>
            </w:r>
          </w:p>
        </w:tc>
        <w:tc>
          <w:tcPr>
            <w:tcW w:w="2700" w:type="dxa"/>
          </w:tcPr>
          <w:p w:rsidR="00E22A43" w:rsidRDefault="00E22A43">
            <w:pPr>
              <w:rPr>
                <w:sz w:val="26"/>
                <w:szCs w:val="26"/>
              </w:rPr>
            </w:pPr>
          </w:p>
        </w:tc>
      </w:tr>
    </w:tbl>
    <w:p w:rsidR="00E22A43" w:rsidRDefault="00E22A43" w:rsidP="00E22A43">
      <w:pPr>
        <w:rPr>
          <w:sz w:val="26"/>
          <w:szCs w:val="26"/>
        </w:rPr>
      </w:pPr>
    </w:p>
    <w:tbl>
      <w:tblPr>
        <w:tblW w:w="10275" w:type="dxa"/>
        <w:tblLayout w:type="fixed"/>
        <w:tblLook w:val="04A0" w:firstRow="1" w:lastRow="0" w:firstColumn="1" w:lastColumn="0" w:noHBand="0" w:noVBand="1"/>
      </w:tblPr>
      <w:tblGrid>
        <w:gridCol w:w="5146"/>
        <w:gridCol w:w="5129"/>
      </w:tblGrid>
      <w:tr w:rsidR="00E22A43" w:rsidTr="00E22A43">
        <w:tc>
          <w:tcPr>
            <w:tcW w:w="5148" w:type="dxa"/>
          </w:tcPr>
          <w:p w:rsidR="00E22A43" w:rsidRDefault="00E22A43">
            <w:pPr>
              <w:rPr>
                <w:sz w:val="26"/>
                <w:szCs w:val="26"/>
              </w:rPr>
            </w:pPr>
          </w:p>
        </w:tc>
        <w:tc>
          <w:tcPr>
            <w:tcW w:w="5130" w:type="dxa"/>
            <w:hideMark/>
          </w:tcPr>
          <w:p w:rsidR="0017146C" w:rsidRDefault="0017146C" w:rsidP="00E22A43">
            <w:pPr>
              <w:ind w:firstLine="612"/>
              <w:rPr>
                <w:sz w:val="26"/>
                <w:szCs w:val="26"/>
              </w:rPr>
            </w:pPr>
          </w:p>
          <w:p w:rsidR="00E22A43" w:rsidRDefault="00D3209C" w:rsidP="00E22A43">
            <w:pPr>
              <w:ind w:firstLine="612"/>
              <w:rPr>
                <w:sz w:val="26"/>
                <w:szCs w:val="26"/>
              </w:rPr>
            </w:pPr>
            <w:r>
              <w:rPr>
                <w:sz w:val="26"/>
                <w:szCs w:val="26"/>
              </w:rPr>
              <w:t>Public Meeting held May 4</w:t>
            </w:r>
            <w:r w:rsidR="008D354D">
              <w:rPr>
                <w:sz w:val="26"/>
                <w:szCs w:val="26"/>
              </w:rPr>
              <w:t>, 2017</w:t>
            </w:r>
          </w:p>
        </w:tc>
      </w:tr>
      <w:tr w:rsidR="00E22A43" w:rsidTr="00E22A43">
        <w:tc>
          <w:tcPr>
            <w:tcW w:w="5148" w:type="dxa"/>
            <w:hideMark/>
          </w:tcPr>
          <w:p w:rsidR="00E22A43" w:rsidRDefault="00E22A43">
            <w:pPr>
              <w:rPr>
                <w:sz w:val="26"/>
                <w:szCs w:val="26"/>
              </w:rPr>
            </w:pPr>
            <w:r>
              <w:rPr>
                <w:sz w:val="26"/>
                <w:szCs w:val="26"/>
              </w:rPr>
              <w:t>Commissioners Present:</w:t>
            </w:r>
          </w:p>
        </w:tc>
        <w:tc>
          <w:tcPr>
            <w:tcW w:w="5130" w:type="dxa"/>
          </w:tcPr>
          <w:p w:rsidR="00E22A43" w:rsidRDefault="00E22A43">
            <w:pPr>
              <w:rPr>
                <w:sz w:val="26"/>
                <w:szCs w:val="26"/>
              </w:rPr>
            </w:pPr>
          </w:p>
        </w:tc>
      </w:tr>
    </w:tbl>
    <w:p w:rsidR="00E22A43" w:rsidRDefault="00E22A43" w:rsidP="00E22A43">
      <w:pPr>
        <w:rPr>
          <w:sz w:val="26"/>
          <w:szCs w:val="26"/>
        </w:rPr>
      </w:pPr>
    </w:p>
    <w:tbl>
      <w:tblPr>
        <w:tblW w:w="10290" w:type="dxa"/>
        <w:tblLayout w:type="fixed"/>
        <w:tblLook w:val="04A0" w:firstRow="1" w:lastRow="0" w:firstColumn="1" w:lastColumn="0" w:noHBand="0" w:noVBand="1"/>
      </w:tblPr>
      <w:tblGrid>
        <w:gridCol w:w="5954"/>
        <w:gridCol w:w="2896"/>
        <w:gridCol w:w="522"/>
        <w:gridCol w:w="90"/>
        <w:gridCol w:w="828"/>
      </w:tblGrid>
      <w:tr w:rsidR="00E22A43" w:rsidTr="00E22A43">
        <w:tc>
          <w:tcPr>
            <w:tcW w:w="9378" w:type="dxa"/>
            <w:gridSpan w:val="3"/>
            <w:hideMark/>
          </w:tcPr>
          <w:p w:rsidR="00E22A43" w:rsidRDefault="00E22A43">
            <w:pPr>
              <w:overflowPunct/>
              <w:ind w:left="720"/>
              <w:rPr>
                <w:sz w:val="26"/>
                <w:szCs w:val="26"/>
              </w:rPr>
            </w:pPr>
            <w:r>
              <w:rPr>
                <w:sz w:val="26"/>
                <w:szCs w:val="26"/>
              </w:rPr>
              <w:t>Gladys M. Brown, Chairman</w:t>
            </w:r>
          </w:p>
        </w:tc>
        <w:tc>
          <w:tcPr>
            <w:tcW w:w="918" w:type="dxa"/>
            <w:gridSpan w:val="2"/>
          </w:tcPr>
          <w:p w:rsidR="00E22A43" w:rsidRDefault="00E22A43">
            <w:pPr>
              <w:rPr>
                <w:sz w:val="26"/>
                <w:szCs w:val="26"/>
              </w:rPr>
            </w:pPr>
          </w:p>
        </w:tc>
      </w:tr>
      <w:tr w:rsidR="00E22A43" w:rsidTr="00E22A43">
        <w:tc>
          <w:tcPr>
            <w:tcW w:w="9378" w:type="dxa"/>
            <w:gridSpan w:val="3"/>
            <w:hideMark/>
          </w:tcPr>
          <w:p w:rsidR="00E22A43" w:rsidRDefault="00E22A43">
            <w:pPr>
              <w:overflowPunct/>
              <w:ind w:left="720"/>
              <w:rPr>
                <w:sz w:val="26"/>
                <w:szCs w:val="26"/>
              </w:rPr>
            </w:pPr>
            <w:r>
              <w:rPr>
                <w:sz w:val="26"/>
                <w:szCs w:val="26"/>
              </w:rPr>
              <w:t>Andrew G. Place, Vice Chairman</w:t>
            </w:r>
          </w:p>
        </w:tc>
        <w:tc>
          <w:tcPr>
            <w:tcW w:w="918" w:type="dxa"/>
            <w:gridSpan w:val="2"/>
          </w:tcPr>
          <w:p w:rsidR="00E22A43" w:rsidRDefault="00E22A43">
            <w:pPr>
              <w:rPr>
                <w:sz w:val="26"/>
                <w:szCs w:val="26"/>
              </w:rPr>
            </w:pPr>
          </w:p>
        </w:tc>
      </w:tr>
      <w:tr w:rsidR="00E22A43" w:rsidTr="00E22A43">
        <w:tc>
          <w:tcPr>
            <w:tcW w:w="9378" w:type="dxa"/>
            <w:gridSpan w:val="3"/>
            <w:hideMark/>
          </w:tcPr>
          <w:p w:rsidR="00E22A43" w:rsidRDefault="00E22A43">
            <w:pPr>
              <w:overflowPunct/>
              <w:ind w:left="720"/>
              <w:rPr>
                <w:sz w:val="26"/>
                <w:szCs w:val="26"/>
              </w:rPr>
            </w:pPr>
            <w:r>
              <w:rPr>
                <w:sz w:val="26"/>
                <w:szCs w:val="26"/>
              </w:rPr>
              <w:t>John F. Coleman, Jr.</w:t>
            </w:r>
          </w:p>
        </w:tc>
        <w:tc>
          <w:tcPr>
            <w:tcW w:w="918" w:type="dxa"/>
            <w:gridSpan w:val="2"/>
          </w:tcPr>
          <w:p w:rsidR="00E22A43" w:rsidRDefault="00E22A43">
            <w:pPr>
              <w:rPr>
                <w:sz w:val="26"/>
                <w:szCs w:val="26"/>
              </w:rPr>
            </w:pPr>
          </w:p>
        </w:tc>
      </w:tr>
      <w:tr w:rsidR="00E22A43" w:rsidTr="00E22A43">
        <w:tc>
          <w:tcPr>
            <w:tcW w:w="9378" w:type="dxa"/>
            <w:gridSpan w:val="3"/>
            <w:hideMark/>
          </w:tcPr>
          <w:p w:rsidR="00E22A43" w:rsidRDefault="00E22A43">
            <w:pPr>
              <w:overflowPunct/>
              <w:ind w:left="720"/>
              <w:rPr>
                <w:sz w:val="26"/>
                <w:szCs w:val="26"/>
              </w:rPr>
            </w:pPr>
            <w:r>
              <w:rPr>
                <w:sz w:val="26"/>
                <w:szCs w:val="26"/>
              </w:rPr>
              <w:t>Robert F. Powelson</w:t>
            </w:r>
          </w:p>
        </w:tc>
        <w:tc>
          <w:tcPr>
            <w:tcW w:w="918" w:type="dxa"/>
            <w:gridSpan w:val="2"/>
          </w:tcPr>
          <w:p w:rsidR="00E22A43" w:rsidRDefault="00E22A43">
            <w:pPr>
              <w:rPr>
                <w:sz w:val="26"/>
                <w:szCs w:val="26"/>
              </w:rPr>
            </w:pPr>
          </w:p>
        </w:tc>
      </w:tr>
      <w:tr w:rsidR="00E22A43" w:rsidTr="00E22A43">
        <w:trPr>
          <w:gridAfter w:val="3"/>
          <w:wAfter w:w="1440" w:type="dxa"/>
        </w:trPr>
        <w:tc>
          <w:tcPr>
            <w:tcW w:w="5958" w:type="dxa"/>
            <w:hideMark/>
          </w:tcPr>
          <w:p w:rsidR="00E22A43" w:rsidRDefault="00E22A43">
            <w:pPr>
              <w:ind w:left="720"/>
              <w:rPr>
                <w:sz w:val="26"/>
                <w:szCs w:val="26"/>
              </w:rPr>
            </w:pPr>
            <w:r>
              <w:rPr>
                <w:sz w:val="26"/>
                <w:szCs w:val="26"/>
              </w:rPr>
              <w:t>David W. Sweet</w:t>
            </w:r>
          </w:p>
        </w:tc>
        <w:tc>
          <w:tcPr>
            <w:tcW w:w="2898" w:type="dxa"/>
          </w:tcPr>
          <w:p w:rsidR="00E22A43" w:rsidRDefault="00E22A43">
            <w:pPr>
              <w:rPr>
                <w:sz w:val="26"/>
                <w:szCs w:val="26"/>
              </w:rPr>
            </w:pPr>
          </w:p>
        </w:tc>
      </w:tr>
      <w:tr w:rsidR="00E22A43" w:rsidTr="00E22A43">
        <w:trPr>
          <w:gridAfter w:val="3"/>
          <w:wAfter w:w="1440" w:type="dxa"/>
        </w:trPr>
        <w:tc>
          <w:tcPr>
            <w:tcW w:w="5958" w:type="dxa"/>
          </w:tcPr>
          <w:p w:rsidR="00E22A43" w:rsidRDefault="00E22A43">
            <w:pPr>
              <w:rPr>
                <w:sz w:val="26"/>
                <w:szCs w:val="26"/>
              </w:rPr>
            </w:pPr>
          </w:p>
        </w:tc>
        <w:tc>
          <w:tcPr>
            <w:tcW w:w="2898" w:type="dxa"/>
          </w:tcPr>
          <w:p w:rsidR="00E22A43" w:rsidRDefault="00E22A43">
            <w:pPr>
              <w:rPr>
                <w:sz w:val="26"/>
                <w:szCs w:val="26"/>
              </w:rPr>
            </w:pPr>
          </w:p>
        </w:tc>
      </w:tr>
      <w:tr w:rsidR="00E22A43" w:rsidTr="00E22A43">
        <w:trPr>
          <w:gridAfter w:val="3"/>
          <w:wAfter w:w="1440" w:type="dxa"/>
        </w:trPr>
        <w:tc>
          <w:tcPr>
            <w:tcW w:w="5958" w:type="dxa"/>
            <w:hideMark/>
          </w:tcPr>
          <w:p w:rsidR="00E22A43" w:rsidRDefault="00E22A43">
            <w:pPr>
              <w:rPr>
                <w:sz w:val="26"/>
                <w:szCs w:val="26"/>
              </w:rPr>
            </w:pPr>
            <w:r>
              <w:rPr>
                <w:sz w:val="26"/>
                <w:szCs w:val="26"/>
              </w:rPr>
              <w:t xml:space="preserve"> </w:t>
            </w:r>
          </w:p>
        </w:tc>
        <w:tc>
          <w:tcPr>
            <w:tcW w:w="2898" w:type="dxa"/>
          </w:tcPr>
          <w:p w:rsidR="00E22A43" w:rsidRDefault="00E22A43">
            <w:pPr>
              <w:rPr>
                <w:sz w:val="26"/>
                <w:szCs w:val="26"/>
              </w:rPr>
            </w:pPr>
          </w:p>
        </w:tc>
      </w:tr>
      <w:tr w:rsidR="00E22A43" w:rsidTr="00E22A43">
        <w:trPr>
          <w:gridAfter w:val="1"/>
          <w:wAfter w:w="828" w:type="dxa"/>
        </w:trPr>
        <w:tc>
          <w:tcPr>
            <w:tcW w:w="5958" w:type="dxa"/>
          </w:tcPr>
          <w:p w:rsidR="00E22A43" w:rsidRDefault="00E22A43">
            <w:pPr>
              <w:rPr>
                <w:sz w:val="26"/>
                <w:szCs w:val="26"/>
              </w:rPr>
            </w:pPr>
            <w:r>
              <w:rPr>
                <w:sz w:val="26"/>
                <w:szCs w:val="26"/>
              </w:rPr>
              <w:t>Petition of UGI Utilities, Inc. - Electric</w:t>
            </w:r>
          </w:p>
          <w:p w:rsidR="00E22A43" w:rsidRDefault="00E22A43">
            <w:pPr>
              <w:rPr>
                <w:sz w:val="26"/>
                <w:szCs w:val="26"/>
              </w:rPr>
            </w:pPr>
            <w:r>
              <w:rPr>
                <w:sz w:val="26"/>
                <w:szCs w:val="26"/>
              </w:rPr>
              <w:t xml:space="preserve">Division for Approval to Extend its </w:t>
            </w:r>
          </w:p>
          <w:p w:rsidR="00E22A43" w:rsidRDefault="00E22A43">
            <w:pPr>
              <w:rPr>
                <w:sz w:val="26"/>
                <w:szCs w:val="26"/>
              </w:rPr>
            </w:pPr>
            <w:r>
              <w:rPr>
                <w:sz w:val="26"/>
                <w:szCs w:val="26"/>
              </w:rPr>
              <w:t>Phase II Energy Efficiency and Conservation</w:t>
            </w:r>
          </w:p>
          <w:p w:rsidR="00E22A43" w:rsidRDefault="00E22A43">
            <w:pPr>
              <w:rPr>
                <w:sz w:val="26"/>
                <w:szCs w:val="26"/>
              </w:rPr>
            </w:pPr>
            <w:r>
              <w:rPr>
                <w:sz w:val="26"/>
                <w:szCs w:val="26"/>
              </w:rPr>
              <w:t>Plan by One Year</w:t>
            </w:r>
          </w:p>
        </w:tc>
        <w:tc>
          <w:tcPr>
            <w:tcW w:w="3510" w:type="dxa"/>
            <w:gridSpan w:val="3"/>
            <w:hideMark/>
          </w:tcPr>
          <w:p w:rsidR="00E22A43" w:rsidRDefault="00E22A43">
            <w:pPr>
              <w:rPr>
                <w:sz w:val="26"/>
                <w:szCs w:val="26"/>
              </w:rPr>
            </w:pPr>
            <w:r>
              <w:rPr>
                <w:sz w:val="26"/>
                <w:szCs w:val="26"/>
              </w:rPr>
              <w:t>Docket No. M-2015-2477174</w:t>
            </w:r>
          </w:p>
          <w:p w:rsidR="00E22A43" w:rsidRDefault="00E22A43">
            <w:pPr>
              <w:rPr>
                <w:sz w:val="26"/>
                <w:szCs w:val="26"/>
              </w:rPr>
            </w:pPr>
            <w:r>
              <w:rPr>
                <w:sz w:val="26"/>
                <w:szCs w:val="26"/>
              </w:rPr>
              <w:t xml:space="preserve">                     </w:t>
            </w:r>
          </w:p>
        </w:tc>
      </w:tr>
    </w:tbl>
    <w:p w:rsidR="00E22A43" w:rsidRDefault="00E22A43" w:rsidP="00E22A43">
      <w:pPr>
        <w:jc w:val="center"/>
        <w:rPr>
          <w:b/>
          <w:sz w:val="26"/>
          <w:szCs w:val="26"/>
        </w:rPr>
      </w:pPr>
    </w:p>
    <w:p w:rsidR="00E22A43" w:rsidRDefault="00E22A43" w:rsidP="00E22A43">
      <w:pPr>
        <w:jc w:val="center"/>
        <w:rPr>
          <w:b/>
          <w:sz w:val="26"/>
          <w:szCs w:val="26"/>
        </w:rPr>
      </w:pPr>
    </w:p>
    <w:p w:rsidR="00E22A43" w:rsidRDefault="00E22A43" w:rsidP="00E22A43">
      <w:pPr>
        <w:jc w:val="center"/>
        <w:rPr>
          <w:b/>
          <w:sz w:val="26"/>
          <w:szCs w:val="26"/>
        </w:rPr>
      </w:pPr>
      <w:r>
        <w:rPr>
          <w:b/>
          <w:sz w:val="26"/>
          <w:szCs w:val="26"/>
        </w:rPr>
        <w:t>OPINION AND ORDER</w:t>
      </w:r>
      <w:r>
        <w:rPr>
          <w:sz w:val="26"/>
          <w:szCs w:val="26"/>
        </w:rPr>
        <w:t xml:space="preserve"> </w:t>
      </w:r>
    </w:p>
    <w:p w:rsidR="00E22A43" w:rsidRDefault="00E22A43" w:rsidP="00E22A43">
      <w:pPr>
        <w:pStyle w:val="p3"/>
        <w:spacing w:line="360" w:lineRule="auto"/>
        <w:rPr>
          <w:b/>
          <w:sz w:val="26"/>
          <w:szCs w:val="26"/>
        </w:rPr>
      </w:pPr>
    </w:p>
    <w:p w:rsidR="00E22A43" w:rsidRDefault="00E22A43" w:rsidP="00E22A43">
      <w:pPr>
        <w:pStyle w:val="p3"/>
        <w:spacing w:line="360" w:lineRule="auto"/>
        <w:rPr>
          <w:b/>
          <w:sz w:val="26"/>
          <w:szCs w:val="26"/>
        </w:rPr>
      </w:pPr>
      <w:r>
        <w:rPr>
          <w:b/>
          <w:sz w:val="26"/>
          <w:szCs w:val="26"/>
        </w:rPr>
        <w:t>BY THE COMMISSION:</w:t>
      </w:r>
    </w:p>
    <w:p w:rsidR="00E22A43" w:rsidRDefault="00E22A43" w:rsidP="00E22A43">
      <w:pPr>
        <w:pStyle w:val="p3"/>
        <w:spacing w:line="360" w:lineRule="auto"/>
        <w:rPr>
          <w:b/>
          <w:sz w:val="26"/>
          <w:szCs w:val="26"/>
        </w:rPr>
      </w:pPr>
    </w:p>
    <w:p w:rsidR="00CE21F6" w:rsidRDefault="00E22A43" w:rsidP="00E22A43">
      <w:pPr>
        <w:spacing w:line="360" w:lineRule="auto"/>
        <w:rPr>
          <w:sz w:val="26"/>
          <w:szCs w:val="26"/>
        </w:rPr>
      </w:pPr>
      <w:r>
        <w:rPr>
          <w:b/>
          <w:sz w:val="26"/>
          <w:szCs w:val="26"/>
        </w:rPr>
        <w:tab/>
      </w:r>
      <w:r>
        <w:rPr>
          <w:sz w:val="26"/>
          <w:szCs w:val="26"/>
        </w:rPr>
        <w:t xml:space="preserve">Before the Pennsylvania Public Utility Commission (Commission) for consideration and disposition is the Petition of UGI Utilities, Inc. – Electric </w:t>
      </w:r>
      <w:r w:rsidR="00CE21F6">
        <w:rPr>
          <w:sz w:val="26"/>
          <w:szCs w:val="26"/>
        </w:rPr>
        <w:t xml:space="preserve">Division (UGI Electric or </w:t>
      </w:r>
      <w:r>
        <w:rPr>
          <w:sz w:val="26"/>
          <w:szCs w:val="26"/>
        </w:rPr>
        <w:t xml:space="preserve">the Company) to Extend its Phase II Energy Efficiency and Conservation (EE&amp;C) Plan for a period of one year, </w:t>
      </w:r>
      <w:r w:rsidRPr="00E22A43">
        <w:rPr>
          <w:i/>
          <w:sz w:val="26"/>
          <w:szCs w:val="26"/>
        </w:rPr>
        <w:t>i.e.,</w:t>
      </w:r>
      <w:r>
        <w:rPr>
          <w:sz w:val="26"/>
          <w:szCs w:val="26"/>
        </w:rPr>
        <w:t xml:space="preserve"> until May 31, 2019.  </w:t>
      </w:r>
      <w:r w:rsidR="00F96D08">
        <w:rPr>
          <w:sz w:val="26"/>
          <w:szCs w:val="26"/>
        </w:rPr>
        <w:t>UGI </w:t>
      </w:r>
      <w:r w:rsidR="00E608E4">
        <w:rPr>
          <w:sz w:val="26"/>
          <w:szCs w:val="26"/>
        </w:rPr>
        <w:t xml:space="preserve">Electric also requests that it be authorized to move funding between programs within the same customer class based on customer participation.  </w:t>
      </w:r>
      <w:r w:rsidR="00CE21F6">
        <w:rPr>
          <w:sz w:val="26"/>
          <w:szCs w:val="26"/>
        </w:rPr>
        <w:t>As explained herein, t</w:t>
      </w:r>
      <w:r>
        <w:rPr>
          <w:sz w:val="26"/>
          <w:szCs w:val="26"/>
        </w:rPr>
        <w:t xml:space="preserve">he one-year extension would produce several benefits while not affecting the Phase II EE&amp;C Plan’s overall budget cap, the Phase II EE&amp;C Plan’s projected overall budget, or any individual customer class’s budget.  </w:t>
      </w:r>
      <w:r w:rsidR="00D0210A">
        <w:rPr>
          <w:sz w:val="26"/>
          <w:szCs w:val="26"/>
        </w:rPr>
        <w:t xml:space="preserve">The Commission has not received any comments opposing </w:t>
      </w:r>
      <w:r>
        <w:rPr>
          <w:sz w:val="26"/>
          <w:szCs w:val="26"/>
        </w:rPr>
        <w:t xml:space="preserve">UGI </w:t>
      </w:r>
      <w:r w:rsidR="00CE21F6">
        <w:rPr>
          <w:sz w:val="26"/>
          <w:szCs w:val="26"/>
        </w:rPr>
        <w:t>Electric</w:t>
      </w:r>
      <w:r w:rsidR="00D0210A">
        <w:rPr>
          <w:sz w:val="26"/>
          <w:szCs w:val="26"/>
        </w:rPr>
        <w:t>’s</w:t>
      </w:r>
      <w:r w:rsidR="00CE21F6">
        <w:rPr>
          <w:sz w:val="26"/>
          <w:szCs w:val="26"/>
        </w:rPr>
        <w:t xml:space="preserve"> </w:t>
      </w:r>
      <w:r w:rsidR="00D0210A">
        <w:rPr>
          <w:sz w:val="26"/>
          <w:szCs w:val="26"/>
        </w:rPr>
        <w:t xml:space="preserve">request for the </w:t>
      </w:r>
      <w:r>
        <w:rPr>
          <w:sz w:val="26"/>
          <w:szCs w:val="26"/>
        </w:rPr>
        <w:t xml:space="preserve">one-year extension.  </w:t>
      </w:r>
      <w:r w:rsidR="00E608E4">
        <w:rPr>
          <w:sz w:val="26"/>
          <w:szCs w:val="26"/>
        </w:rPr>
        <w:t xml:space="preserve">For the reasons </w:t>
      </w:r>
      <w:r w:rsidR="00754623">
        <w:rPr>
          <w:sz w:val="26"/>
          <w:szCs w:val="26"/>
        </w:rPr>
        <w:t>discussed</w:t>
      </w:r>
      <w:r w:rsidR="00E608E4">
        <w:rPr>
          <w:sz w:val="26"/>
          <w:szCs w:val="26"/>
        </w:rPr>
        <w:t xml:space="preserve"> below, the Commission will grant UGI Electric’s Petition.</w:t>
      </w:r>
    </w:p>
    <w:p w:rsidR="00CE21F6" w:rsidRDefault="00CE21F6" w:rsidP="00D3209C">
      <w:pPr>
        <w:spacing w:line="360" w:lineRule="auto"/>
        <w:jc w:val="center"/>
        <w:rPr>
          <w:b/>
          <w:sz w:val="26"/>
          <w:szCs w:val="26"/>
        </w:rPr>
      </w:pPr>
      <w:r w:rsidRPr="00CE21F6">
        <w:rPr>
          <w:b/>
          <w:sz w:val="26"/>
          <w:szCs w:val="26"/>
        </w:rPr>
        <w:lastRenderedPageBreak/>
        <w:t>Background</w:t>
      </w:r>
      <w:r w:rsidR="0017146C">
        <w:rPr>
          <w:b/>
          <w:sz w:val="26"/>
          <w:szCs w:val="26"/>
        </w:rPr>
        <w:t xml:space="preserve"> </w:t>
      </w:r>
    </w:p>
    <w:p w:rsidR="00CE21F6" w:rsidRDefault="00CE21F6" w:rsidP="00CE21F6">
      <w:pPr>
        <w:spacing w:line="360" w:lineRule="auto"/>
        <w:jc w:val="center"/>
        <w:rPr>
          <w:b/>
          <w:sz w:val="26"/>
          <w:szCs w:val="26"/>
        </w:rPr>
      </w:pPr>
    </w:p>
    <w:p w:rsidR="00C655B3" w:rsidRDefault="00C655B3" w:rsidP="00C655B3">
      <w:pPr>
        <w:spacing w:line="360" w:lineRule="auto"/>
        <w:ind w:firstLine="720"/>
        <w:rPr>
          <w:sz w:val="26"/>
          <w:szCs w:val="26"/>
        </w:rPr>
      </w:pPr>
      <w:r w:rsidRPr="00C655B3">
        <w:rPr>
          <w:sz w:val="26"/>
          <w:szCs w:val="26"/>
        </w:rPr>
        <w:t xml:space="preserve">Act 129 of 2008, P.L. 1592 (Act 129) amended the Pennsylvania Public Utility Code (Code), 66 Pa. C.S. §§ 101 </w:t>
      </w:r>
      <w:r w:rsidRPr="00C655B3">
        <w:rPr>
          <w:i/>
          <w:sz w:val="26"/>
          <w:szCs w:val="26"/>
        </w:rPr>
        <w:t>et seq</w:t>
      </w:r>
      <w:r w:rsidRPr="00C655B3">
        <w:rPr>
          <w:sz w:val="26"/>
          <w:szCs w:val="26"/>
        </w:rPr>
        <w:t xml:space="preserve">., to, </w:t>
      </w:r>
      <w:r w:rsidRPr="00C655B3">
        <w:rPr>
          <w:i/>
          <w:sz w:val="26"/>
          <w:szCs w:val="26"/>
        </w:rPr>
        <w:t>inter alia</w:t>
      </w:r>
      <w:r w:rsidRPr="00C655B3">
        <w:rPr>
          <w:sz w:val="26"/>
          <w:szCs w:val="26"/>
        </w:rPr>
        <w:t xml:space="preserve">, require the Commission to develop and adopt an EE&amp;C </w:t>
      </w:r>
      <w:r w:rsidR="00E608E4">
        <w:rPr>
          <w:sz w:val="26"/>
          <w:szCs w:val="26"/>
        </w:rPr>
        <w:t>Program</w:t>
      </w:r>
      <w:r w:rsidR="00E608E4" w:rsidRPr="00C655B3">
        <w:rPr>
          <w:sz w:val="26"/>
          <w:szCs w:val="26"/>
        </w:rPr>
        <w:t xml:space="preserve"> </w:t>
      </w:r>
      <w:r w:rsidRPr="00C655B3">
        <w:rPr>
          <w:sz w:val="26"/>
          <w:szCs w:val="26"/>
        </w:rPr>
        <w:t xml:space="preserve">by January 15, 2009.  Under Act 129, the Commission’s EE&amp;C program requires electric distribution companies (EDCs) to adopt and implement cost-effective energy efficiency and conservation plans to reduce energy demand and energy consumption within the service territory of each EDC.  66 Pa. C.S. § 2806.1(a).  However, Act 129 exempted EDCs with fewer than </w:t>
      </w:r>
      <w:r w:rsidR="00F96D08">
        <w:rPr>
          <w:sz w:val="26"/>
          <w:szCs w:val="26"/>
        </w:rPr>
        <w:t>100,000 customers from the EE&amp;C </w:t>
      </w:r>
      <w:r w:rsidRPr="00C655B3">
        <w:rPr>
          <w:sz w:val="26"/>
          <w:szCs w:val="26"/>
        </w:rPr>
        <w:t xml:space="preserve">Program.  66 Pa. C.S. § 2806.1(l).  </w:t>
      </w:r>
    </w:p>
    <w:p w:rsidR="00C655B3" w:rsidRDefault="00C655B3" w:rsidP="00C655B3">
      <w:pPr>
        <w:spacing w:line="360" w:lineRule="auto"/>
        <w:ind w:firstLine="720"/>
        <w:rPr>
          <w:sz w:val="26"/>
          <w:szCs w:val="26"/>
        </w:rPr>
      </w:pPr>
    </w:p>
    <w:p w:rsidR="00C655B3" w:rsidRDefault="00C655B3" w:rsidP="00C655B3">
      <w:pPr>
        <w:spacing w:line="360" w:lineRule="auto"/>
        <w:ind w:firstLine="720"/>
        <w:rPr>
          <w:sz w:val="26"/>
          <w:szCs w:val="26"/>
        </w:rPr>
      </w:pPr>
      <w:r>
        <w:rPr>
          <w:sz w:val="26"/>
          <w:szCs w:val="26"/>
        </w:rPr>
        <w:t xml:space="preserve">UGI Electric is not subject to the energy efficiency requirements of Act 129 because it has fewer than 100,000 customers.  </w:t>
      </w:r>
      <w:r w:rsidR="00E608E4">
        <w:rPr>
          <w:sz w:val="26"/>
          <w:szCs w:val="26"/>
        </w:rPr>
        <w:t>The Commission, h</w:t>
      </w:r>
      <w:r>
        <w:rPr>
          <w:sz w:val="26"/>
          <w:szCs w:val="26"/>
        </w:rPr>
        <w:t>owever,</w:t>
      </w:r>
      <w:r w:rsidR="00F96D08">
        <w:rPr>
          <w:sz w:val="26"/>
          <w:szCs w:val="26"/>
        </w:rPr>
        <w:t xml:space="preserve"> on December </w:t>
      </w:r>
      <w:r>
        <w:rPr>
          <w:sz w:val="26"/>
          <w:szCs w:val="26"/>
        </w:rPr>
        <w:t xml:space="preserve">23, 2009, at Docket No. M-2009-2142851, issued a Secretarial Letter that encouraged smaller EDCs to file voluntary EE&amp;C Plans.  </w:t>
      </w:r>
    </w:p>
    <w:p w:rsidR="00C655B3" w:rsidRDefault="00C655B3" w:rsidP="00C655B3">
      <w:pPr>
        <w:spacing w:line="360" w:lineRule="auto"/>
        <w:ind w:firstLine="720"/>
        <w:rPr>
          <w:sz w:val="26"/>
          <w:szCs w:val="26"/>
        </w:rPr>
      </w:pPr>
    </w:p>
    <w:p w:rsidR="00C655B3" w:rsidRDefault="00C655B3" w:rsidP="00C655B3">
      <w:pPr>
        <w:spacing w:line="360" w:lineRule="auto"/>
        <w:ind w:firstLine="720"/>
        <w:rPr>
          <w:sz w:val="26"/>
          <w:szCs w:val="26"/>
        </w:rPr>
      </w:pPr>
      <w:r>
        <w:rPr>
          <w:sz w:val="26"/>
          <w:szCs w:val="26"/>
        </w:rPr>
        <w:t>On November 9, 2010, the Company</w:t>
      </w:r>
      <w:r w:rsidR="00F96D08">
        <w:rPr>
          <w:sz w:val="26"/>
          <w:szCs w:val="26"/>
        </w:rPr>
        <w:t xml:space="preserve"> filed a Petition at Docket No. </w:t>
      </w:r>
      <w:r>
        <w:rPr>
          <w:sz w:val="26"/>
          <w:szCs w:val="26"/>
        </w:rPr>
        <w:t>M</w:t>
      </w:r>
      <w:r w:rsidR="00E608E4">
        <w:rPr>
          <w:sz w:val="26"/>
          <w:szCs w:val="26"/>
        </w:rPr>
        <w:noBreakHyphen/>
      </w:r>
      <w:r>
        <w:rPr>
          <w:sz w:val="26"/>
          <w:szCs w:val="26"/>
        </w:rPr>
        <w:t>2010</w:t>
      </w:r>
      <w:r w:rsidR="00E608E4">
        <w:rPr>
          <w:sz w:val="26"/>
          <w:szCs w:val="26"/>
        </w:rPr>
        <w:noBreakHyphen/>
      </w:r>
      <w:r>
        <w:rPr>
          <w:sz w:val="26"/>
          <w:szCs w:val="26"/>
        </w:rPr>
        <w:t>2210316 requesting approval of its voluntary Phase I EE&amp;C Plan pursuant to the Commission’s Secretarial Letter.  The Com</w:t>
      </w:r>
      <w:r w:rsidR="00F96D08">
        <w:rPr>
          <w:sz w:val="26"/>
          <w:szCs w:val="26"/>
        </w:rPr>
        <w:t>mission ultimately approved UGI </w:t>
      </w:r>
      <w:r>
        <w:rPr>
          <w:sz w:val="26"/>
          <w:szCs w:val="26"/>
        </w:rPr>
        <w:t xml:space="preserve">Electric’s Phase I EE&amp;C Plan on June 1, 2012. </w:t>
      </w:r>
    </w:p>
    <w:p w:rsidR="00C655B3" w:rsidRDefault="00C655B3" w:rsidP="00C655B3">
      <w:pPr>
        <w:spacing w:line="360" w:lineRule="auto"/>
        <w:ind w:firstLine="720"/>
        <w:rPr>
          <w:sz w:val="26"/>
          <w:szCs w:val="26"/>
        </w:rPr>
      </w:pPr>
    </w:p>
    <w:p w:rsidR="00C655B3" w:rsidRDefault="00C655B3" w:rsidP="00C655B3">
      <w:pPr>
        <w:spacing w:line="360" w:lineRule="auto"/>
        <w:ind w:firstLine="720"/>
        <w:rPr>
          <w:sz w:val="26"/>
          <w:szCs w:val="26"/>
        </w:rPr>
      </w:pPr>
      <w:r>
        <w:rPr>
          <w:sz w:val="26"/>
          <w:szCs w:val="26"/>
        </w:rPr>
        <w:t xml:space="preserve">On April 9, 2015, UGI Electric filed a Petition at Docket No. M-2010-2210316 to extend its Phase I EE&amp;C Plan until its Phase II EE&amp;C Plan was approved.  The Commission approved UGI Electric’s Petition by Order entered May 19, 2015. </w:t>
      </w:r>
    </w:p>
    <w:p w:rsidR="00C655B3" w:rsidRDefault="00C655B3" w:rsidP="00C655B3">
      <w:pPr>
        <w:spacing w:line="360" w:lineRule="auto"/>
        <w:ind w:firstLine="720"/>
        <w:rPr>
          <w:sz w:val="26"/>
          <w:szCs w:val="26"/>
        </w:rPr>
      </w:pPr>
    </w:p>
    <w:p w:rsidR="00C655B3" w:rsidRDefault="00C655B3" w:rsidP="00C655B3">
      <w:pPr>
        <w:spacing w:line="360" w:lineRule="auto"/>
        <w:ind w:firstLine="720"/>
        <w:rPr>
          <w:sz w:val="26"/>
          <w:szCs w:val="26"/>
        </w:rPr>
      </w:pPr>
      <w:r>
        <w:rPr>
          <w:sz w:val="26"/>
          <w:szCs w:val="26"/>
        </w:rPr>
        <w:t xml:space="preserve">On April 16, 2016, UGI Electric filed a Petition at Docket No. M-2015-2477174 seeking Commission approval of its Phase II EE&amp;C Plan.  The parties were able to reach a settlement of all issues and, thereafter, filed a Joint Petition for Settlement on April 21, 2016. </w:t>
      </w:r>
      <w:r w:rsidR="00CC49A2">
        <w:rPr>
          <w:sz w:val="26"/>
          <w:szCs w:val="26"/>
        </w:rPr>
        <w:t xml:space="preserve"> </w:t>
      </w:r>
      <w:r>
        <w:rPr>
          <w:sz w:val="26"/>
          <w:szCs w:val="26"/>
        </w:rPr>
        <w:t xml:space="preserve">On April 26, 2016, Administrative Law Judge David A. Salapa issued a </w:t>
      </w:r>
      <w:r>
        <w:rPr>
          <w:sz w:val="26"/>
          <w:szCs w:val="26"/>
        </w:rPr>
        <w:lastRenderedPageBreak/>
        <w:t xml:space="preserve">Recommended Decision recommending the approval of UGI Electric’s Phase II EE&amp;C Plan, as modified by the Joint Petition for Settlement. </w:t>
      </w:r>
      <w:r w:rsidR="00CC49A2">
        <w:rPr>
          <w:sz w:val="26"/>
          <w:szCs w:val="26"/>
        </w:rPr>
        <w:t xml:space="preserve"> </w:t>
      </w:r>
      <w:r>
        <w:rPr>
          <w:sz w:val="26"/>
          <w:szCs w:val="26"/>
        </w:rPr>
        <w:t xml:space="preserve">On June 9, 2016, the Commission entered an Order adopting the Recommended Decision without modification and approving UGI Electric’s Phase II EE&amp;C Plan.  </w:t>
      </w:r>
      <w:r w:rsidRPr="00C655B3">
        <w:rPr>
          <w:i/>
          <w:sz w:val="26"/>
          <w:szCs w:val="26"/>
        </w:rPr>
        <w:t xml:space="preserve">See Petition of </w:t>
      </w:r>
      <w:r>
        <w:rPr>
          <w:i/>
          <w:sz w:val="26"/>
          <w:szCs w:val="26"/>
        </w:rPr>
        <w:t xml:space="preserve">UGI Utilities, Inc. – Electric Division for Approval of Phase II of its Energy Efficiency and Conservation Plan, </w:t>
      </w:r>
      <w:r>
        <w:rPr>
          <w:sz w:val="26"/>
          <w:szCs w:val="26"/>
        </w:rPr>
        <w:t>Docket No. M-2015-2477174 (Order Entered June 9, 2016) (</w:t>
      </w:r>
      <w:r>
        <w:rPr>
          <w:i/>
          <w:sz w:val="26"/>
          <w:szCs w:val="26"/>
        </w:rPr>
        <w:t>Phase II Order)</w:t>
      </w:r>
      <w:r>
        <w:rPr>
          <w:sz w:val="26"/>
          <w:szCs w:val="26"/>
        </w:rPr>
        <w:t xml:space="preserve">. </w:t>
      </w:r>
      <w:r w:rsidR="00CC49A2">
        <w:rPr>
          <w:sz w:val="26"/>
          <w:szCs w:val="26"/>
        </w:rPr>
        <w:t xml:space="preserve"> </w:t>
      </w:r>
      <w:r>
        <w:rPr>
          <w:sz w:val="26"/>
          <w:szCs w:val="26"/>
        </w:rPr>
        <w:t>As currently approved</w:t>
      </w:r>
      <w:r w:rsidR="00953778">
        <w:rPr>
          <w:sz w:val="26"/>
          <w:szCs w:val="26"/>
        </w:rPr>
        <w:t xml:space="preserve"> by the </w:t>
      </w:r>
      <w:r w:rsidR="00953778">
        <w:rPr>
          <w:i/>
          <w:sz w:val="26"/>
          <w:szCs w:val="26"/>
        </w:rPr>
        <w:t>Phase II Order</w:t>
      </w:r>
      <w:r w:rsidR="00953778">
        <w:rPr>
          <w:sz w:val="26"/>
          <w:szCs w:val="26"/>
        </w:rPr>
        <w:t xml:space="preserve">, UGI Electric’s Phase II EE&amp;C Plan is set to expire on May 31, 2018.  </w:t>
      </w:r>
    </w:p>
    <w:p w:rsidR="008D354D" w:rsidRDefault="008D354D" w:rsidP="008D354D">
      <w:pPr>
        <w:spacing w:line="360" w:lineRule="auto"/>
        <w:ind w:left="2160" w:firstLine="720"/>
        <w:rPr>
          <w:sz w:val="26"/>
          <w:szCs w:val="26"/>
        </w:rPr>
      </w:pPr>
    </w:p>
    <w:p w:rsidR="00953778" w:rsidRDefault="00CC49A2" w:rsidP="00D3209C">
      <w:pPr>
        <w:spacing w:line="360" w:lineRule="auto"/>
        <w:jc w:val="center"/>
        <w:rPr>
          <w:b/>
          <w:sz w:val="26"/>
          <w:szCs w:val="26"/>
        </w:rPr>
      </w:pPr>
      <w:r>
        <w:rPr>
          <w:b/>
          <w:sz w:val="26"/>
          <w:szCs w:val="26"/>
        </w:rPr>
        <w:t>Current Petition</w:t>
      </w:r>
    </w:p>
    <w:p w:rsidR="00953778" w:rsidRDefault="00953778" w:rsidP="00953778">
      <w:pPr>
        <w:spacing w:line="360" w:lineRule="auto"/>
        <w:ind w:firstLine="720"/>
        <w:rPr>
          <w:b/>
          <w:sz w:val="26"/>
          <w:szCs w:val="26"/>
        </w:rPr>
      </w:pPr>
    </w:p>
    <w:p w:rsidR="006A6814" w:rsidRDefault="00953778" w:rsidP="008A775C">
      <w:pPr>
        <w:overflowPunct/>
        <w:spacing w:line="360" w:lineRule="auto"/>
        <w:ind w:firstLine="720"/>
        <w:rPr>
          <w:rFonts w:eastAsiaTheme="minorHAnsi"/>
          <w:sz w:val="26"/>
          <w:szCs w:val="26"/>
        </w:rPr>
      </w:pPr>
      <w:r w:rsidRPr="00A35668">
        <w:rPr>
          <w:sz w:val="26"/>
          <w:szCs w:val="26"/>
        </w:rPr>
        <w:t xml:space="preserve">On March 22, 2017, UGI Electric filed a Petition to </w:t>
      </w:r>
      <w:r w:rsidR="00A35668" w:rsidRPr="00A35668">
        <w:rPr>
          <w:sz w:val="26"/>
          <w:szCs w:val="26"/>
        </w:rPr>
        <w:t xml:space="preserve">amend the </w:t>
      </w:r>
      <w:r w:rsidR="00A35668" w:rsidRPr="00A35668">
        <w:rPr>
          <w:i/>
          <w:sz w:val="26"/>
          <w:szCs w:val="26"/>
        </w:rPr>
        <w:t xml:space="preserve">Phase II Order </w:t>
      </w:r>
      <w:r w:rsidR="00A35668" w:rsidRPr="00A35668">
        <w:rPr>
          <w:sz w:val="26"/>
          <w:szCs w:val="26"/>
        </w:rPr>
        <w:t>and e</w:t>
      </w:r>
      <w:r w:rsidRPr="00A35668">
        <w:rPr>
          <w:sz w:val="26"/>
          <w:szCs w:val="26"/>
        </w:rPr>
        <w:t xml:space="preserve">xtend its Phase II EE&amp;C Plan </w:t>
      </w:r>
      <w:r w:rsidR="00A35668" w:rsidRPr="00A35668">
        <w:rPr>
          <w:sz w:val="26"/>
          <w:szCs w:val="26"/>
        </w:rPr>
        <w:t xml:space="preserve">by one year.  </w:t>
      </w:r>
      <w:r w:rsidR="00A35668" w:rsidRPr="00A35668">
        <w:rPr>
          <w:rFonts w:eastAsiaTheme="minorHAnsi"/>
          <w:sz w:val="26"/>
          <w:szCs w:val="26"/>
        </w:rPr>
        <w:t>Sp</w:t>
      </w:r>
      <w:r w:rsidR="006A6814">
        <w:rPr>
          <w:rFonts w:eastAsiaTheme="minorHAnsi"/>
          <w:sz w:val="26"/>
          <w:szCs w:val="26"/>
        </w:rPr>
        <w:t>ecifically, the Company proposed</w:t>
      </w:r>
      <w:r w:rsidR="00A35668" w:rsidRPr="00A35668">
        <w:rPr>
          <w:rFonts w:eastAsiaTheme="minorHAnsi"/>
          <w:sz w:val="26"/>
          <w:szCs w:val="26"/>
        </w:rPr>
        <w:t xml:space="preserve"> the</w:t>
      </w:r>
      <w:r w:rsidR="00A35668">
        <w:rPr>
          <w:rFonts w:eastAsiaTheme="minorHAnsi"/>
          <w:sz w:val="26"/>
          <w:szCs w:val="26"/>
        </w:rPr>
        <w:t xml:space="preserve"> </w:t>
      </w:r>
      <w:r w:rsidR="00A35668" w:rsidRPr="00A35668">
        <w:rPr>
          <w:rFonts w:eastAsiaTheme="minorHAnsi"/>
          <w:sz w:val="26"/>
          <w:szCs w:val="26"/>
        </w:rPr>
        <w:t>following:</w:t>
      </w:r>
    </w:p>
    <w:p w:rsidR="006A6814" w:rsidRPr="00A35668" w:rsidRDefault="006A6814" w:rsidP="00A35668">
      <w:pPr>
        <w:overflowPunct/>
        <w:spacing w:line="360" w:lineRule="auto"/>
        <w:rPr>
          <w:rFonts w:eastAsiaTheme="minorHAnsi"/>
          <w:sz w:val="26"/>
          <w:szCs w:val="26"/>
        </w:rPr>
      </w:pPr>
    </w:p>
    <w:p w:rsidR="00A35668" w:rsidRPr="00A35668" w:rsidRDefault="00A35668" w:rsidP="00A35668">
      <w:pPr>
        <w:overflowPunct/>
        <w:spacing w:line="360" w:lineRule="auto"/>
        <w:ind w:firstLine="720"/>
        <w:rPr>
          <w:rFonts w:eastAsiaTheme="minorHAnsi"/>
          <w:sz w:val="26"/>
          <w:szCs w:val="26"/>
        </w:rPr>
      </w:pPr>
      <w:r w:rsidRPr="00A35668">
        <w:rPr>
          <w:rFonts w:eastAsiaTheme="minorHAnsi"/>
          <w:sz w:val="26"/>
          <w:szCs w:val="26"/>
        </w:rPr>
        <w:t xml:space="preserve">a. </w:t>
      </w:r>
      <w:r w:rsidR="006A6814">
        <w:rPr>
          <w:rFonts w:eastAsiaTheme="minorHAnsi"/>
          <w:sz w:val="26"/>
          <w:szCs w:val="26"/>
        </w:rPr>
        <w:tab/>
      </w:r>
      <w:r w:rsidRPr="00A35668">
        <w:rPr>
          <w:rFonts w:eastAsiaTheme="minorHAnsi"/>
          <w:sz w:val="26"/>
          <w:szCs w:val="26"/>
        </w:rPr>
        <w:t>A one-year extension of the Phase II EE&amp;C Plan, with Phase II ending</w:t>
      </w:r>
    </w:p>
    <w:p w:rsidR="00A35668" w:rsidRPr="00A35668" w:rsidRDefault="00A35668" w:rsidP="00A35668">
      <w:pPr>
        <w:overflowPunct/>
        <w:spacing w:line="360" w:lineRule="auto"/>
        <w:ind w:left="720" w:firstLine="720"/>
        <w:rPr>
          <w:rFonts w:eastAsiaTheme="minorHAnsi"/>
          <w:sz w:val="26"/>
          <w:szCs w:val="26"/>
        </w:rPr>
      </w:pPr>
      <w:r w:rsidRPr="00A35668">
        <w:rPr>
          <w:rFonts w:eastAsiaTheme="minorHAnsi"/>
          <w:sz w:val="26"/>
          <w:szCs w:val="26"/>
        </w:rPr>
        <w:t>May 31,</w:t>
      </w:r>
      <w:r w:rsidR="006A6814">
        <w:rPr>
          <w:rFonts w:eastAsiaTheme="minorHAnsi"/>
          <w:sz w:val="26"/>
          <w:szCs w:val="26"/>
        </w:rPr>
        <w:t xml:space="preserve"> </w:t>
      </w:r>
      <w:r w:rsidRPr="00A35668">
        <w:rPr>
          <w:rFonts w:eastAsiaTheme="minorHAnsi"/>
          <w:sz w:val="26"/>
          <w:szCs w:val="26"/>
        </w:rPr>
        <w:t>2019;</w:t>
      </w:r>
    </w:p>
    <w:p w:rsidR="00A35668" w:rsidRPr="00A35668" w:rsidRDefault="00A35668" w:rsidP="006A6814">
      <w:pPr>
        <w:overflowPunct/>
        <w:spacing w:line="360" w:lineRule="auto"/>
        <w:ind w:firstLine="720"/>
        <w:rPr>
          <w:rFonts w:eastAsiaTheme="minorHAnsi"/>
          <w:sz w:val="26"/>
          <w:szCs w:val="26"/>
        </w:rPr>
      </w:pPr>
      <w:r w:rsidRPr="00A35668">
        <w:rPr>
          <w:rFonts w:eastAsiaTheme="minorHAnsi"/>
          <w:sz w:val="26"/>
          <w:szCs w:val="26"/>
        </w:rPr>
        <w:t xml:space="preserve">b. </w:t>
      </w:r>
      <w:r w:rsidR="006A6814">
        <w:rPr>
          <w:rFonts w:eastAsiaTheme="minorHAnsi"/>
          <w:sz w:val="26"/>
          <w:szCs w:val="26"/>
        </w:rPr>
        <w:tab/>
      </w:r>
      <w:r w:rsidRPr="00A35668">
        <w:rPr>
          <w:rFonts w:eastAsiaTheme="minorHAnsi"/>
          <w:sz w:val="26"/>
          <w:szCs w:val="26"/>
        </w:rPr>
        <w:t>No change to the overall budget cap of $7.5 million for the Phase II EE&amp;C</w:t>
      </w:r>
    </w:p>
    <w:p w:rsidR="00A35668" w:rsidRPr="00A35668" w:rsidRDefault="00A35668" w:rsidP="006A6814">
      <w:pPr>
        <w:overflowPunct/>
        <w:spacing w:line="360" w:lineRule="auto"/>
        <w:ind w:left="720" w:firstLine="720"/>
        <w:rPr>
          <w:rFonts w:eastAsiaTheme="minorHAnsi"/>
          <w:sz w:val="26"/>
          <w:szCs w:val="26"/>
        </w:rPr>
      </w:pPr>
      <w:r w:rsidRPr="00A35668">
        <w:rPr>
          <w:rFonts w:eastAsiaTheme="minorHAnsi"/>
          <w:sz w:val="26"/>
          <w:szCs w:val="26"/>
        </w:rPr>
        <w:t>Plan;</w:t>
      </w:r>
    </w:p>
    <w:p w:rsidR="00A35668" w:rsidRPr="00A35668" w:rsidRDefault="00A35668" w:rsidP="006A6814">
      <w:pPr>
        <w:overflowPunct/>
        <w:spacing w:line="360" w:lineRule="auto"/>
        <w:ind w:firstLine="720"/>
        <w:rPr>
          <w:rFonts w:eastAsiaTheme="minorHAnsi"/>
          <w:sz w:val="26"/>
          <w:szCs w:val="26"/>
        </w:rPr>
      </w:pPr>
      <w:r w:rsidRPr="00A35668">
        <w:rPr>
          <w:rFonts w:eastAsiaTheme="minorHAnsi"/>
          <w:sz w:val="26"/>
          <w:szCs w:val="26"/>
        </w:rPr>
        <w:t xml:space="preserve">c. </w:t>
      </w:r>
      <w:r w:rsidR="006A6814">
        <w:rPr>
          <w:rFonts w:eastAsiaTheme="minorHAnsi"/>
          <w:sz w:val="26"/>
          <w:szCs w:val="26"/>
        </w:rPr>
        <w:tab/>
      </w:r>
      <w:r w:rsidRPr="00A35668">
        <w:rPr>
          <w:rFonts w:eastAsiaTheme="minorHAnsi"/>
          <w:sz w:val="26"/>
          <w:szCs w:val="26"/>
        </w:rPr>
        <w:t>No change to the projected overall budget of $6.76 million for the Phase II</w:t>
      </w:r>
    </w:p>
    <w:p w:rsidR="00A35668" w:rsidRPr="00A35668" w:rsidRDefault="00A35668" w:rsidP="006A6814">
      <w:pPr>
        <w:overflowPunct/>
        <w:spacing w:line="360" w:lineRule="auto"/>
        <w:ind w:left="720" w:firstLine="720"/>
        <w:rPr>
          <w:rFonts w:eastAsiaTheme="minorHAnsi"/>
          <w:sz w:val="26"/>
          <w:szCs w:val="26"/>
        </w:rPr>
      </w:pPr>
      <w:r w:rsidRPr="00A35668">
        <w:rPr>
          <w:rFonts w:eastAsiaTheme="minorHAnsi"/>
          <w:sz w:val="26"/>
          <w:szCs w:val="26"/>
        </w:rPr>
        <w:t>EE&amp;C Plan;</w:t>
      </w:r>
    </w:p>
    <w:p w:rsidR="00A35668" w:rsidRPr="00A35668" w:rsidRDefault="00A35668" w:rsidP="006A6814">
      <w:pPr>
        <w:overflowPunct/>
        <w:spacing w:line="360" w:lineRule="auto"/>
        <w:ind w:firstLine="720"/>
        <w:rPr>
          <w:rFonts w:eastAsiaTheme="minorHAnsi"/>
          <w:sz w:val="26"/>
          <w:szCs w:val="26"/>
        </w:rPr>
      </w:pPr>
      <w:r w:rsidRPr="00A35668">
        <w:rPr>
          <w:rFonts w:eastAsiaTheme="minorHAnsi"/>
          <w:sz w:val="26"/>
          <w:szCs w:val="26"/>
        </w:rPr>
        <w:t xml:space="preserve">d. </w:t>
      </w:r>
      <w:r w:rsidR="006A6814">
        <w:rPr>
          <w:rFonts w:eastAsiaTheme="minorHAnsi"/>
          <w:sz w:val="26"/>
          <w:szCs w:val="26"/>
        </w:rPr>
        <w:tab/>
      </w:r>
      <w:r w:rsidRPr="00A35668">
        <w:rPr>
          <w:rFonts w:eastAsiaTheme="minorHAnsi"/>
          <w:sz w:val="26"/>
          <w:szCs w:val="26"/>
        </w:rPr>
        <w:t>No change to the projected Residential and Commercial &amp; Industrial</w:t>
      </w:r>
    </w:p>
    <w:p w:rsidR="00A35668" w:rsidRPr="00A35668" w:rsidRDefault="006A6814" w:rsidP="006A6814">
      <w:pPr>
        <w:overflowPunct/>
        <w:spacing w:line="360" w:lineRule="auto"/>
        <w:ind w:left="720" w:firstLine="720"/>
        <w:rPr>
          <w:rFonts w:eastAsiaTheme="minorHAnsi"/>
          <w:sz w:val="26"/>
          <w:szCs w:val="26"/>
        </w:rPr>
      </w:pPr>
      <w:r>
        <w:rPr>
          <w:rFonts w:eastAsiaTheme="minorHAnsi"/>
          <w:sz w:val="26"/>
          <w:szCs w:val="26"/>
        </w:rPr>
        <w:t>(C&amp;I</w:t>
      </w:r>
      <w:r w:rsidR="00A35668" w:rsidRPr="00A35668">
        <w:rPr>
          <w:rFonts w:eastAsiaTheme="minorHAnsi"/>
          <w:sz w:val="26"/>
          <w:szCs w:val="26"/>
        </w:rPr>
        <w:t>) class budgets of $3.01 million and $2.77 million, respectively;</w:t>
      </w:r>
      <w:r>
        <w:rPr>
          <w:rFonts w:eastAsiaTheme="minorHAnsi"/>
          <w:sz w:val="26"/>
          <w:szCs w:val="26"/>
        </w:rPr>
        <w:t xml:space="preserve"> and</w:t>
      </w:r>
    </w:p>
    <w:p w:rsidR="00953778" w:rsidRDefault="00A35668" w:rsidP="006A6814">
      <w:pPr>
        <w:overflowPunct/>
        <w:spacing w:line="360" w:lineRule="auto"/>
        <w:ind w:left="1440" w:hanging="720"/>
        <w:rPr>
          <w:rFonts w:eastAsiaTheme="minorHAnsi"/>
          <w:sz w:val="26"/>
          <w:szCs w:val="26"/>
        </w:rPr>
      </w:pPr>
      <w:r w:rsidRPr="00A35668">
        <w:rPr>
          <w:rFonts w:eastAsiaTheme="minorHAnsi"/>
          <w:sz w:val="26"/>
          <w:szCs w:val="26"/>
        </w:rPr>
        <w:t xml:space="preserve">e. </w:t>
      </w:r>
      <w:r w:rsidR="006A6814">
        <w:rPr>
          <w:rFonts w:eastAsiaTheme="minorHAnsi"/>
          <w:sz w:val="26"/>
          <w:szCs w:val="26"/>
        </w:rPr>
        <w:tab/>
      </w:r>
      <w:r w:rsidRPr="00A35668">
        <w:rPr>
          <w:rFonts w:eastAsiaTheme="minorHAnsi"/>
          <w:sz w:val="26"/>
          <w:szCs w:val="26"/>
        </w:rPr>
        <w:t xml:space="preserve">UGI Electric may move funding between programs within the </w:t>
      </w:r>
      <w:r w:rsidR="006A6814">
        <w:rPr>
          <w:rFonts w:eastAsiaTheme="minorHAnsi"/>
          <w:sz w:val="26"/>
          <w:szCs w:val="26"/>
        </w:rPr>
        <w:t>same c</w:t>
      </w:r>
      <w:r w:rsidRPr="00A35668">
        <w:rPr>
          <w:rFonts w:eastAsiaTheme="minorHAnsi"/>
          <w:sz w:val="26"/>
          <w:szCs w:val="26"/>
        </w:rPr>
        <w:t>ustomer class based on customer participation.</w:t>
      </w:r>
      <w:r w:rsidR="006A6814">
        <w:rPr>
          <w:rFonts w:eastAsiaTheme="minorHAnsi"/>
          <w:sz w:val="26"/>
          <w:szCs w:val="26"/>
        </w:rPr>
        <w:t xml:space="preserve">  Petition at 3. </w:t>
      </w:r>
    </w:p>
    <w:p w:rsidR="00F96D08" w:rsidRDefault="00F96D08" w:rsidP="006A6814">
      <w:pPr>
        <w:overflowPunct/>
        <w:spacing w:line="360" w:lineRule="auto"/>
        <w:ind w:left="1440" w:hanging="720"/>
        <w:rPr>
          <w:rFonts w:eastAsiaTheme="minorHAnsi"/>
          <w:sz w:val="26"/>
          <w:szCs w:val="26"/>
        </w:rPr>
      </w:pPr>
    </w:p>
    <w:p w:rsidR="00FC5FC6" w:rsidRDefault="00CC49A2" w:rsidP="008A775C">
      <w:pPr>
        <w:overflowPunct/>
        <w:spacing w:line="360" w:lineRule="auto"/>
        <w:ind w:firstLine="720"/>
        <w:rPr>
          <w:rFonts w:eastAsiaTheme="minorHAnsi"/>
          <w:sz w:val="26"/>
          <w:szCs w:val="26"/>
        </w:rPr>
      </w:pPr>
      <w:r>
        <w:rPr>
          <w:sz w:val="26"/>
          <w:szCs w:val="26"/>
        </w:rPr>
        <w:t xml:space="preserve">UGI Electric has discussed its proposal with all other parties in this proceeding: the Office of Consumer Advocate (OCA) and Office of Small Business Advocate (OSBA).  </w:t>
      </w:r>
      <w:r w:rsidR="00F1795E">
        <w:rPr>
          <w:rFonts w:eastAsiaTheme="minorHAnsi"/>
          <w:sz w:val="26"/>
          <w:szCs w:val="26"/>
        </w:rPr>
        <w:t xml:space="preserve">The Company’s understanding is that the OCA and OSBA do not oppose the </w:t>
      </w:r>
      <w:r w:rsidR="00F1795E">
        <w:rPr>
          <w:rFonts w:eastAsiaTheme="minorHAnsi"/>
          <w:sz w:val="26"/>
          <w:szCs w:val="26"/>
        </w:rPr>
        <w:lastRenderedPageBreak/>
        <w:t xml:space="preserve">one-year extension.  </w:t>
      </w:r>
      <w:r w:rsidR="00FC5FC6" w:rsidRPr="00A35668">
        <w:rPr>
          <w:sz w:val="26"/>
          <w:szCs w:val="26"/>
        </w:rPr>
        <w:t xml:space="preserve">On </w:t>
      </w:r>
      <w:r w:rsidR="00FC5FC6">
        <w:rPr>
          <w:sz w:val="26"/>
          <w:szCs w:val="26"/>
        </w:rPr>
        <w:t>April 11</w:t>
      </w:r>
      <w:r w:rsidR="00FC5FC6" w:rsidRPr="00A35668">
        <w:rPr>
          <w:sz w:val="26"/>
          <w:szCs w:val="26"/>
        </w:rPr>
        <w:t>, 2017</w:t>
      </w:r>
      <w:r w:rsidR="008A775C">
        <w:rPr>
          <w:sz w:val="26"/>
          <w:szCs w:val="26"/>
        </w:rPr>
        <w:t xml:space="preserve">, the OCA filed a letter </w:t>
      </w:r>
      <w:r w:rsidR="00A50126">
        <w:rPr>
          <w:sz w:val="26"/>
          <w:szCs w:val="26"/>
        </w:rPr>
        <w:t>to confirm</w:t>
      </w:r>
      <w:r w:rsidR="008A775C">
        <w:rPr>
          <w:sz w:val="26"/>
          <w:szCs w:val="26"/>
        </w:rPr>
        <w:t xml:space="preserve"> that UGI Electric</w:t>
      </w:r>
      <w:r w:rsidR="00A50126">
        <w:rPr>
          <w:sz w:val="26"/>
          <w:szCs w:val="26"/>
        </w:rPr>
        <w:t xml:space="preserve"> correctly states</w:t>
      </w:r>
      <w:r w:rsidR="008A775C">
        <w:rPr>
          <w:sz w:val="26"/>
          <w:szCs w:val="26"/>
        </w:rPr>
        <w:t xml:space="preserve"> in Paragraph 13 of its Petition, that the OCA does not oppose the proposed one</w:t>
      </w:r>
      <w:r>
        <w:rPr>
          <w:sz w:val="26"/>
          <w:szCs w:val="26"/>
        </w:rPr>
        <w:noBreakHyphen/>
      </w:r>
      <w:r w:rsidR="008A775C">
        <w:rPr>
          <w:sz w:val="26"/>
          <w:szCs w:val="26"/>
        </w:rPr>
        <w:t xml:space="preserve">year extension of the Company’s EE&amp;C Plan.  </w:t>
      </w:r>
      <w:r>
        <w:rPr>
          <w:sz w:val="26"/>
          <w:szCs w:val="26"/>
        </w:rPr>
        <w:t>No other responses were filed.</w:t>
      </w:r>
    </w:p>
    <w:p w:rsidR="008D354D" w:rsidRDefault="008D354D" w:rsidP="006A6814">
      <w:pPr>
        <w:overflowPunct/>
        <w:spacing w:line="360" w:lineRule="auto"/>
        <w:ind w:left="1440" w:hanging="720"/>
        <w:rPr>
          <w:rFonts w:eastAsiaTheme="minorHAnsi"/>
          <w:sz w:val="26"/>
          <w:szCs w:val="26"/>
        </w:rPr>
      </w:pPr>
    </w:p>
    <w:p w:rsidR="006A6814" w:rsidRDefault="006A6814" w:rsidP="00D3209C">
      <w:pPr>
        <w:overflowPunct/>
        <w:spacing w:line="360" w:lineRule="auto"/>
        <w:jc w:val="center"/>
        <w:rPr>
          <w:rFonts w:eastAsiaTheme="minorHAnsi"/>
          <w:b/>
          <w:sz w:val="26"/>
          <w:szCs w:val="26"/>
        </w:rPr>
      </w:pPr>
      <w:r w:rsidRPr="006A6814">
        <w:rPr>
          <w:rFonts w:eastAsiaTheme="minorHAnsi"/>
          <w:b/>
          <w:sz w:val="26"/>
          <w:szCs w:val="26"/>
        </w:rPr>
        <w:t>Discussion</w:t>
      </w:r>
    </w:p>
    <w:p w:rsidR="006A6814" w:rsidRDefault="006A6814" w:rsidP="006A6814">
      <w:pPr>
        <w:overflowPunct/>
        <w:spacing w:line="360" w:lineRule="auto"/>
        <w:ind w:left="1440" w:hanging="720"/>
        <w:jc w:val="center"/>
        <w:rPr>
          <w:rFonts w:eastAsiaTheme="minorHAnsi"/>
          <w:b/>
          <w:sz w:val="26"/>
          <w:szCs w:val="26"/>
        </w:rPr>
      </w:pPr>
    </w:p>
    <w:p w:rsidR="006A6814" w:rsidRDefault="006A6814" w:rsidP="006A6814">
      <w:pPr>
        <w:overflowPunct/>
        <w:spacing w:line="360" w:lineRule="auto"/>
        <w:ind w:firstLine="720"/>
        <w:rPr>
          <w:rFonts w:eastAsiaTheme="minorHAnsi"/>
          <w:sz w:val="26"/>
          <w:szCs w:val="26"/>
        </w:rPr>
      </w:pPr>
      <w:r>
        <w:rPr>
          <w:rFonts w:eastAsiaTheme="minorHAnsi"/>
          <w:sz w:val="26"/>
          <w:szCs w:val="26"/>
        </w:rPr>
        <w:t xml:space="preserve">By this Petition, UGI Electric seeks approval </w:t>
      </w:r>
      <w:r w:rsidRPr="00A35668">
        <w:rPr>
          <w:sz w:val="26"/>
          <w:szCs w:val="26"/>
        </w:rPr>
        <w:t xml:space="preserve">to amend the </w:t>
      </w:r>
      <w:r w:rsidRPr="00A35668">
        <w:rPr>
          <w:i/>
          <w:sz w:val="26"/>
          <w:szCs w:val="26"/>
        </w:rPr>
        <w:t xml:space="preserve">Phase II Order </w:t>
      </w:r>
      <w:r w:rsidRPr="00A35668">
        <w:rPr>
          <w:sz w:val="26"/>
          <w:szCs w:val="26"/>
        </w:rPr>
        <w:t xml:space="preserve">and extend its </w:t>
      </w:r>
      <w:r w:rsidR="007E0461">
        <w:rPr>
          <w:sz w:val="26"/>
          <w:szCs w:val="26"/>
        </w:rPr>
        <w:t xml:space="preserve">current Phase II EE&amp;C </w:t>
      </w:r>
      <w:r w:rsidRPr="00A35668">
        <w:rPr>
          <w:sz w:val="26"/>
          <w:szCs w:val="26"/>
        </w:rPr>
        <w:t>Plan by one year</w:t>
      </w:r>
      <w:r>
        <w:rPr>
          <w:rFonts w:eastAsiaTheme="minorHAnsi"/>
          <w:sz w:val="26"/>
          <w:szCs w:val="26"/>
        </w:rPr>
        <w:t xml:space="preserve">. </w:t>
      </w:r>
      <w:r w:rsidR="007E0461">
        <w:rPr>
          <w:rFonts w:eastAsiaTheme="minorHAnsi"/>
          <w:sz w:val="26"/>
          <w:szCs w:val="26"/>
        </w:rPr>
        <w:t xml:space="preserve"> First, t</w:t>
      </w:r>
      <w:r>
        <w:rPr>
          <w:rFonts w:eastAsiaTheme="minorHAnsi"/>
          <w:sz w:val="26"/>
          <w:szCs w:val="26"/>
        </w:rPr>
        <w:t>he company notes that the extension is necessary because the Phase II EE&amp;C Plan began in earnest much later</w:t>
      </w:r>
      <w:r w:rsidR="007E0461">
        <w:rPr>
          <w:rFonts w:eastAsiaTheme="minorHAnsi"/>
          <w:sz w:val="26"/>
          <w:szCs w:val="26"/>
        </w:rPr>
        <w:t xml:space="preserve"> than originally anticipated.  Phase II was anticipated to begin on June 1, 2015, but the Phase II EE&amp;C Plan was not finally approved until June 9, 2016.  This effectively reduced the Phase II EE&amp;C Plan’s term from three years to about two years.  As a result, the Phase II EE&amp;C programs have only ramped up in recent months.  A one-year extension would restore the Phase II EE&amp;C Plan’s three-year term and allow these programs to ramp up fully.  Petition at 3-4. </w:t>
      </w:r>
    </w:p>
    <w:p w:rsidR="007E0461" w:rsidRDefault="007E0461" w:rsidP="006A6814">
      <w:pPr>
        <w:overflowPunct/>
        <w:spacing w:line="360" w:lineRule="auto"/>
        <w:ind w:firstLine="720"/>
        <w:rPr>
          <w:rFonts w:eastAsiaTheme="minorHAnsi"/>
          <w:sz w:val="26"/>
          <w:szCs w:val="26"/>
        </w:rPr>
      </w:pPr>
    </w:p>
    <w:p w:rsidR="007E0461" w:rsidRDefault="007E0461" w:rsidP="006A6814">
      <w:pPr>
        <w:overflowPunct/>
        <w:spacing w:line="360" w:lineRule="auto"/>
        <w:ind w:firstLine="720"/>
        <w:rPr>
          <w:rFonts w:eastAsiaTheme="minorHAnsi"/>
          <w:sz w:val="26"/>
          <w:szCs w:val="26"/>
        </w:rPr>
      </w:pPr>
      <w:r>
        <w:rPr>
          <w:rFonts w:eastAsiaTheme="minorHAnsi"/>
          <w:sz w:val="26"/>
          <w:szCs w:val="26"/>
        </w:rPr>
        <w:t xml:space="preserve">Second, UGI Electric states that the one-year extension would have no effect on the overall budget </w:t>
      </w:r>
      <w:r w:rsidR="00754623">
        <w:rPr>
          <w:rFonts w:eastAsiaTheme="minorHAnsi"/>
          <w:sz w:val="26"/>
          <w:szCs w:val="26"/>
        </w:rPr>
        <w:t>for</w:t>
      </w:r>
      <w:r>
        <w:rPr>
          <w:rFonts w:eastAsiaTheme="minorHAnsi"/>
          <w:sz w:val="26"/>
          <w:szCs w:val="26"/>
        </w:rPr>
        <w:t xml:space="preserve"> the </w:t>
      </w:r>
      <w:r w:rsidR="00CC49A2">
        <w:rPr>
          <w:rFonts w:eastAsiaTheme="minorHAnsi"/>
          <w:sz w:val="26"/>
          <w:szCs w:val="26"/>
        </w:rPr>
        <w:t>residential</w:t>
      </w:r>
      <w:r w:rsidR="00F1795E">
        <w:rPr>
          <w:rFonts w:eastAsiaTheme="minorHAnsi"/>
          <w:sz w:val="26"/>
          <w:szCs w:val="26"/>
        </w:rPr>
        <w:t>,</w:t>
      </w:r>
      <w:r w:rsidR="00CC49A2">
        <w:rPr>
          <w:rFonts w:eastAsiaTheme="minorHAnsi"/>
          <w:sz w:val="26"/>
          <w:szCs w:val="26"/>
        </w:rPr>
        <w:t xml:space="preserve"> </w:t>
      </w:r>
      <w:r>
        <w:rPr>
          <w:rFonts w:eastAsiaTheme="minorHAnsi"/>
          <w:sz w:val="26"/>
          <w:szCs w:val="26"/>
        </w:rPr>
        <w:t xml:space="preserve">and </w:t>
      </w:r>
      <w:r w:rsidR="007C1643">
        <w:rPr>
          <w:rFonts w:eastAsiaTheme="minorHAnsi"/>
          <w:sz w:val="26"/>
          <w:szCs w:val="26"/>
        </w:rPr>
        <w:t xml:space="preserve">commercial </w:t>
      </w:r>
      <w:r w:rsidR="00F1795E">
        <w:rPr>
          <w:rFonts w:eastAsiaTheme="minorHAnsi"/>
          <w:sz w:val="26"/>
          <w:szCs w:val="26"/>
        </w:rPr>
        <w:t>and industrial (</w:t>
      </w:r>
      <w:r>
        <w:rPr>
          <w:rFonts w:eastAsiaTheme="minorHAnsi"/>
          <w:sz w:val="26"/>
          <w:szCs w:val="26"/>
        </w:rPr>
        <w:t>C&amp;I</w:t>
      </w:r>
      <w:r w:rsidR="00F1795E">
        <w:rPr>
          <w:rFonts w:eastAsiaTheme="minorHAnsi"/>
          <w:sz w:val="26"/>
          <w:szCs w:val="26"/>
        </w:rPr>
        <w:t>)</w:t>
      </w:r>
      <w:r>
        <w:rPr>
          <w:rFonts w:eastAsiaTheme="minorHAnsi"/>
          <w:sz w:val="26"/>
          <w:szCs w:val="26"/>
        </w:rPr>
        <w:t xml:space="preserve"> class </w:t>
      </w:r>
      <w:r w:rsidR="00754623">
        <w:rPr>
          <w:rFonts w:eastAsiaTheme="minorHAnsi"/>
          <w:sz w:val="26"/>
          <w:szCs w:val="26"/>
        </w:rPr>
        <w:t>programs</w:t>
      </w:r>
      <w:r>
        <w:rPr>
          <w:rFonts w:eastAsiaTheme="minorHAnsi"/>
          <w:sz w:val="26"/>
          <w:szCs w:val="26"/>
        </w:rPr>
        <w:t xml:space="preserve">.  Since the beginning of Phase II was delayed, UGI Electric’s spending to date is approximately $1.75 million under budget.  Specifically, </w:t>
      </w:r>
      <w:r w:rsidR="00CC49A2">
        <w:rPr>
          <w:rFonts w:eastAsiaTheme="minorHAnsi"/>
          <w:sz w:val="26"/>
          <w:szCs w:val="26"/>
        </w:rPr>
        <w:t xml:space="preserve">residential </w:t>
      </w:r>
      <w:r>
        <w:rPr>
          <w:rFonts w:eastAsiaTheme="minorHAnsi"/>
          <w:sz w:val="26"/>
          <w:szCs w:val="26"/>
        </w:rPr>
        <w:t xml:space="preserve">spending is $554,227 </w:t>
      </w:r>
      <w:r w:rsidR="007549B3">
        <w:rPr>
          <w:rFonts w:eastAsiaTheme="minorHAnsi"/>
          <w:sz w:val="26"/>
          <w:szCs w:val="26"/>
        </w:rPr>
        <w:t xml:space="preserve">less than </w:t>
      </w:r>
      <w:r>
        <w:rPr>
          <w:rFonts w:eastAsiaTheme="minorHAnsi"/>
          <w:sz w:val="26"/>
          <w:szCs w:val="26"/>
        </w:rPr>
        <w:t>budget</w:t>
      </w:r>
      <w:r w:rsidR="007549B3">
        <w:rPr>
          <w:rFonts w:eastAsiaTheme="minorHAnsi"/>
          <w:sz w:val="26"/>
          <w:szCs w:val="26"/>
        </w:rPr>
        <w:t>ed</w:t>
      </w:r>
      <w:r>
        <w:rPr>
          <w:rFonts w:eastAsiaTheme="minorHAnsi"/>
          <w:sz w:val="26"/>
          <w:szCs w:val="26"/>
        </w:rPr>
        <w:t xml:space="preserve">, C&amp;I spending is $1,060,626 </w:t>
      </w:r>
      <w:r w:rsidR="007549B3">
        <w:rPr>
          <w:rFonts w:eastAsiaTheme="minorHAnsi"/>
          <w:sz w:val="26"/>
          <w:szCs w:val="26"/>
        </w:rPr>
        <w:t>less than</w:t>
      </w:r>
      <w:r>
        <w:rPr>
          <w:rFonts w:eastAsiaTheme="minorHAnsi"/>
          <w:sz w:val="26"/>
          <w:szCs w:val="26"/>
        </w:rPr>
        <w:t xml:space="preserve"> budget</w:t>
      </w:r>
      <w:r w:rsidR="007549B3">
        <w:rPr>
          <w:rFonts w:eastAsiaTheme="minorHAnsi"/>
          <w:sz w:val="26"/>
          <w:szCs w:val="26"/>
        </w:rPr>
        <w:t>ed</w:t>
      </w:r>
      <w:r>
        <w:rPr>
          <w:rFonts w:eastAsiaTheme="minorHAnsi"/>
          <w:sz w:val="26"/>
          <w:szCs w:val="26"/>
        </w:rPr>
        <w:t xml:space="preserve">, and administrative expenses are $140,635 </w:t>
      </w:r>
      <w:r w:rsidR="007549B3">
        <w:rPr>
          <w:rFonts w:eastAsiaTheme="minorHAnsi"/>
          <w:sz w:val="26"/>
          <w:szCs w:val="26"/>
        </w:rPr>
        <w:t>less than</w:t>
      </w:r>
      <w:r>
        <w:rPr>
          <w:rFonts w:eastAsiaTheme="minorHAnsi"/>
          <w:sz w:val="26"/>
          <w:szCs w:val="26"/>
        </w:rPr>
        <w:t xml:space="preserve"> budget</w:t>
      </w:r>
      <w:r w:rsidR="007549B3">
        <w:rPr>
          <w:rFonts w:eastAsiaTheme="minorHAnsi"/>
          <w:sz w:val="26"/>
          <w:szCs w:val="26"/>
        </w:rPr>
        <w:t>ed</w:t>
      </w:r>
      <w:r>
        <w:rPr>
          <w:rFonts w:eastAsiaTheme="minorHAnsi"/>
          <w:sz w:val="26"/>
          <w:szCs w:val="26"/>
        </w:rPr>
        <w:t xml:space="preserve">.  Therefore, UGI Electric will be able to accommodate another year of </w:t>
      </w:r>
      <w:r w:rsidR="00D3209C">
        <w:rPr>
          <w:rFonts w:eastAsiaTheme="minorHAnsi"/>
          <w:sz w:val="26"/>
          <w:szCs w:val="26"/>
        </w:rPr>
        <w:t xml:space="preserve">the </w:t>
      </w:r>
      <w:r>
        <w:rPr>
          <w:rFonts w:eastAsiaTheme="minorHAnsi"/>
          <w:sz w:val="26"/>
          <w:szCs w:val="26"/>
        </w:rPr>
        <w:t xml:space="preserve">Phase II </w:t>
      </w:r>
      <w:r w:rsidR="00F1795E">
        <w:rPr>
          <w:rFonts w:eastAsiaTheme="minorHAnsi"/>
          <w:sz w:val="26"/>
          <w:szCs w:val="26"/>
        </w:rPr>
        <w:t xml:space="preserve">Plan </w:t>
      </w:r>
      <w:r>
        <w:rPr>
          <w:rFonts w:eastAsiaTheme="minorHAnsi"/>
          <w:sz w:val="26"/>
          <w:szCs w:val="26"/>
        </w:rPr>
        <w:t>without exceeding the overall Plan budget or indi</w:t>
      </w:r>
      <w:r w:rsidR="003D57D7">
        <w:rPr>
          <w:rFonts w:eastAsiaTheme="minorHAnsi"/>
          <w:sz w:val="26"/>
          <w:szCs w:val="26"/>
        </w:rPr>
        <w:t xml:space="preserve">vidual customer class budgets. </w:t>
      </w:r>
      <w:r w:rsidR="00F1795E">
        <w:rPr>
          <w:rFonts w:eastAsiaTheme="minorHAnsi"/>
          <w:sz w:val="26"/>
          <w:szCs w:val="26"/>
        </w:rPr>
        <w:t xml:space="preserve"> </w:t>
      </w:r>
      <w:r>
        <w:rPr>
          <w:rFonts w:eastAsiaTheme="minorHAnsi"/>
          <w:sz w:val="26"/>
          <w:szCs w:val="26"/>
        </w:rPr>
        <w:t xml:space="preserve">Petition at 4. </w:t>
      </w:r>
    </w:p>
    <w:p w:rsidR="007E0461" w:rsidRDefault="007E0461" w:rsidP="006A6814">
      <w:pPr>
        <w:overflowPunct/>
        <w:spacing w:line="360" w:lineRule="auto"/>
        <w:ind w:firstLine="720"/>
        <w:rPr>
          <w:rFonts w:eastAsiaTheme="minorHAnsi"/>
          <w:sz w:val="26"/>
          <w:szCs w:val="26"/>
        </w:rPr>
      </w:pPr>
    </w:p>
    <w:p w:rsidR="007E0461" w:rsidRDefault="007E0461" w:rsidP="006A6814">
      <w:pPr>
        <w:overflowPunct/>
        <w:spacing w:line="360" w:lineRule="auto"/>
        <w:ind w:firstLine="720"/>
        <w:rPr>
          <w:rFonts w:eastAsiaTheme="minorHAnsi"/>
          <w:sz w:val="26"/>
          <w:szCs w:val="26"/>
        </w:rPr>
      </w:pPr>
      <w:r>
        <w:rPr>
          <w:rFonts w:eastAsiaTheme="minorHAnsi"/>
          <w:sz w:val="26"/>
          <w:szCs w:val="26"/>
        </w:rPr>
        <w:t xml:space="preserve">Third, the Company avers that if the one-year extension is granted, UGI Electric will have better data on the Phase II programs’ performance.  Such data will greatly help </w:t>
      </w:r>
      <w:r>
        <w:rPr>
          <w:rFonts w:eastAsiaTheme="minorHAnsi"/>
          <w:sz w:val="26"/>
          <w:szCs w:val="26"/>
        </w:rPr>
        <w:lastRenderedPageBreak/>
        <w:t xml:space="preserve">UGI Electric in the design and development of its Phase III EE&amp;C Plan as well as the parties’ evaluation of Phase II and recommendations for Phase III. </w:t>
      </w:r>
      <w:r w:rsidR="00F1795E">
        <w:rPr>
          <w:rFonts w:eastAsiaTheme="minorHAnsi"/>
          <w:sz w:val="26"/>
          <w:szCs w:val="26"/>
        </w:rPr>
        <w:t xml:space="preserve"> </w:t>
      </w:r>
      <w:r>
        <w:rPr>
          <w:rFonts w:eastAsiaTheme="minorHAnsi"/>
          <w:sz w:val="26"/>
          <w:szCs w:val="26"/>
        </w:rPr>
        <w:t xml:space="preserve">Petition at 4. </w:t>
      </w:r>
    </w:p>
    <w:p w:rsidR="007E0461" w:rsidRDefault="007E0461" w:rsidP="006A6814">
      <w:pPr>
        <w:overflowPunct/>
        <w:spacing w:line="360" w:lineRule="auto"/>
        <w:ind w:firstLine="720"/>
        <w:rPr>
          <w:rFonts w:eastAsiaTheme="minorHAnsi"/>
          <w:sz w:val="26"/>
          <w:szCs w:val="26"/>
        </w:rPr>
      </w:pPr>
    </w:p>
    <w:p w:rsidR="007E0461" w:rsidRDefault="007E0461" w:rsidP="006A6814">
      <w:pPr>
        <w:overflowPunct/>
        <w:spacing w:line="360" w:lineRule="auto"/>
        <w:ind w:firstLine="720"/>
        <w:rPr>
          <w:rFonts w:eastAsiaTheme="minorHAnsi"/>
          <w:sz w:val="26"/>
          <w:szCs w:val="26"/>
        </w:rPr>
      </w:pPr>
      <w:r>
        <w:rPr>
          <w:rFonts w:eastAsiaTheme="minorHAnsi"/>
          <w:sz w:val="26"/>
          <w:szCs w:val="26"/>
        </w:rPr>
        <w:t>Fourth, UGI Electric is requesting the ability to move funding</w:t>
      </w:r>
      <w:r w:rsidR="009D144D">
        <w:rPr>
          <w:rFonts w:eastAsiaTheme="minorHAnsi"/>
          <w:sz w:val="26"/>
          <w:szCs w:val="26"/>
        </w:rPr>
        <w:t xml:space="preserve"> between programs within the same customer class based on customer participation.  This request will be beneficial to UGI Electric</w:t>
      </w:r>
      <w:r w:rsidR="00E204D4">
        <w:rPr>
          <w:rFonts w:eastAsiaTheme="minorHAnsi"/>
          <w:sz w:val="26"/>
          <w:szCs w:val="26"/>
        </w:rPr>
        <w:t>’</w:t>
      </w:r>
      <w:r w:rsidR="009D144D">
        <w:rPr>
          <w:rFonts w:eastAsiaTheme="minorHAnsi"/>
          <w:sz w:val="26"/>
          <w:szCs w:val="26"/>
        </w:rPr>
        <w:t>s customers because it expands the customers’ ability to participate in the Phase II EE&amp;C programs while ensuring that available program funds are not shifted between customer classes.  Moreover, UGI Electric will be able to gather better information on what programs are the most popular with customers, which will be valuable in the Company’s design and development of it</w:t>
      </w:r>
      <w:r w:rsidR="003D57D7">
        <w:rPr>
          <w:rFonts w:eastAsiaTheme="minorHAnsi"/>
          <w:sz w:val="26"/>
          <w:szCs w:val="26"/>
        </w:rPr>
        <w:t xml:space="preserve">s Phase III EE&amp;C Plan. </w:t>
      </w:r>
      <w:r w:rsidR="00F1795E">
        <w:rPr>
          <w:rFonts w:eastAsiaTheme="minorHAnsi"/>
          <w:sz w:val="26"/>
          <w:szCs w:val="26"/>
        </w:rPr>
        <w:t xml:space="preserve"> </w:t>
      </w:r>
      <w:r w:rsidR="009D144D">
        <w:rPr>
          <w:rFonts w:eastAsiaTheme="minorHAnsi"/>
          <w:sz w:val="26"/>
          <w:szCs w:val="26"/>
        </w:rPr>
        <w:t xml:space="preserve">Petition at 4. </w:t>
      </w:r>
    </w:p>
    <w:p w:rsidR="009D144D" w:rsidRDefault="009D144D" w:rsidP="006A6814">
      <w:pPr>
        <w:overflowPunct/>
        <w:spacing w:line="360" w:lineRule="auto"/>
        <w:ind w:firstLine="720"/>
        <w:rPr>
          <w:rFonts w:eastAsiaTheme="minorHAnsi"/>
          <w:sz w:val="26"/>
          <w:szCs w:val="26"/>
        </w:rPr>
      </w:pPr>
    </w:p>
    <w:p w:rsidR="009D144D" w:rsidRDefault="009D144D" w:rsidP="00D3209C">
      <w:pPr>
        <w:overflowPunct/>
        <w:spacing w:line="360" w:lineRule="auto"/>
        <w:jc w:val="center"/>
        <w:rPr>
          <w:rFonts w:eastAsiaTheme="minorHAnsi"/>
          <w:b/>
          <w:sz w:val="26"/>
          <w:szCs w:val="26"/>
        </w:rPr>
      </w:pPr>
      <w:r w:rsidRPr="009D144D">
        <w:rPr>
          <w:rFonts w:eastAsiaTheme="minorHAnsi"/>
          <w:b/>
          <w:sz w:val="26"/>
          <w:szCs w:val="26"/>
        </w:rPr>
        <w:t>Disposition</w:t>
      </w:r>
      <w:r w:rsidR="0017146C">
        <w:rPr>
          <w:rFonts w:eastAsiaTheme="minorHAnsi"/>
          <w:b/>
          <w:sz w:val="26"/>
          <w:szCs w:val="26"/>
        </w:rPr>
        <w:t xml:space="preserve"> </w:t>
      </w:r>
    </w:p>
    <w:p w:rsidR="009D144D" w:rsidRDefault="009D144D" w:rsidP="009D144D">
      <w:pPr>
        <w:overflowPunct/>
        <w:spacing w:line="360" w:lineRule="auto"/>
        <w:ind w:firstLine="720"/>
        <w:jc w:val="center"/>
        <w:rPr>
          <w:rFonts w:eastAsiaTheme="minorHAnsi"/>
          <w:b/>
          <w:sz w:val="26"/>
          <w:szCs w:val="26"/>
        </w:rPr>
      </w:pPr>
    </w:p>
    <w:p w:rsidR="009D144D" w:rsidRDefault="009D144D" w:rsidP="009D144D">
      <w:pPr>
        <w:overflowPunct/>
        <w:spacing w:line="360" w:lineRule="auto"/>
        <w:ind w:firstLine="720"/>
        <w:rPr>
          <w:sz w:val="26"/>
          <w:szCs w:val="26"/>
        </w:rPr>
      </w:pPr>
      <w:r>
        <w:rPr>
          <w:rFonts w:eastAsiaTheme="minorHAnsi"/>
          <w:sz w:val="26"/>
          <w:szCs w:val="26"/>
        </w:rPr>
        <w:t xml:space="preserve">Upon review of the record in this proceeding and the applicable law, we find that </w:t>
      </w:r>
      <w:r w:rsidR="00F1795E">
        <w:rPr>
          <w:rFonts w:eastAsiaTheme="minorHAnsi"/>
          <w:sz w:val="26"/>
          <w:szCs w:val="26"/>
        </w:rPr>
        <w:t xml:space="preserve">the </w:t>
      </w:r>
      <w:r>
        <w:rPr>
          <w:rFonts w:eastAsiaTheme="minorHAnsi"/>
          <w:sz w:val="26"/>
          <w:szCs w:val="26"/>
        </w:rPr>
        <w:t xml:space="preserve">Petition filed by UGI Electric </w:t>
      </w:r>
      <w:r w:rsidR="0017146C" w:rsidRPr="00A35668">
        <w:rPr>
          <w:sz w:val="26"/>
          <w:szCs w:val="26"/>
        </w:rPr>
        <w:t xml:space="preserve">to amend the </w:t>
      </w:r>
      <w:r w:rsidR="0017146C" w:rsidRPr="00A35668">
        <w:rPr>
          <w:i/>
          <w:sz w:val="26"/>
          <w:szCs w:val="26"/>
        </w:rPr>
        <w:t xml:space="preserve">Phase II Order </w:t>
      </w:r>
      <w:r w:rsidR="00F1795E">
        <w:rPr>
          <w:sz w:val="26"/>
          <w:szCs w:val="26"/>
        </w:rPr>
        <w:t>to</w:t>
      </w:r>
      <w:r w:rsidR="00F1795E" w:rsidRPr="00A35668">
        <w:rPr>
          <w:sz w:val="26"/>
          <w:szCs w:val="26"/>
        </w:rPr>
        <w:t xml:space="preserve"> </w:t>
      </w:r>
      <w:r w:rsidR="0017146C" w:rsidRPr="00A35668">
        <w:rPr>
          <w:sz w:val="26"/>
          <w:szCs w:val="26"/>
        </w:rPr>
        <w:t xml:space="preserve">extend its </w:t>
      </w:r>
      <w:r w:rsidR="0017146C">
        <w:rPr>
          <w:sz w:val="26"/>
          <w:szCs w:val="26"/>
        </w:rPr>
        <w:t xml:space="preserve">current Phase II EE&amp;C </w:t>
      </w:r>
      <w:r w:rsidR="0017146C" w:rsidRPr="00A35668">
        <w:rPr>
          <w:sz w:val="26"/>
          <w:szCs w:val="26"/>
        </w:rPr>
        <w:t>Plan by one year</w:t>
      </w:r>
      <w:r w:rsidR="00F1795E">
        <w:rPr>
          <w:sz w:val="26"/>
          <w:szCs w:val="26"/>
        </w:rPr>
        <w:t xml:space="preserve"> and have the authority to move funding between programs within the same customer class based on customer participation</w:t>
      </w:r>
      <w:r w:rsidR="0017146C">
        <w:rPr>
          <w:sz w:val="26"/>
          <w:szCs w:val="26"/>
        </w:rPr>
        <w:t xml:space="preserve"> </w:t>
      </w:r>
      <w:r>
        <w:rPr>
          <w:sz w:val="26"/>
          <w:szCs w:val="26"/>
        </w:rPr>
        <w:t xml:space="preserve">is reasonable, appropriate under the circumstances, in the public interest, and should be approved.  </w:t>
      </w:r>
    </w:p>
    <w:p w:rsidR="008C48F9" w:rsidRDefault="008C48F9" w:rsidP="009D144D">
      <w:pPr>
        <w:overflowPunct/>
        <w:spacing w:line="360" w:lineRule="auto"/>
        <w:ind w:firstLine="720"/>
        <w:rPr>
          <w:sz w:val="26"/>
          <w:szCs w:val="26"/>
        </w:rPr>
      </w:pPr>
    </w:p>
    <w:p w:rsidR="008C48F9" w:rsidRDefault="008C48F9" w:rsidP="009D144D">
      <w:pPr>
        <w:overflowPunct/>
        <w:spacing w:line="360" w:lineRule="auto"/>
        <w:ind w:firstLine="720"/>
        <w:rPr>
          <w:sz w:val="26"/>
          <w:szCs w:val="26"/>
        </w:rPr>
      </w:pPr>
      <w:r>
        <w:rPr>
          <w:sz w:val="26"/>
          <w:szCs w:val="26"/>
        </w:rPr>
        <w:t>No objections to this Petition have been received.  Accordingly, we shall approve UGI Electric’s request for a one-year extension of its current Phase II Energy Efficiency and Conservation Plan, until May 31, 2019</w:t>
      </w:r>
      <w:r w:rsidR="00AA2D3B">
        <w:rPr>
          <w:sz w:val="26"/>
          <w:szCs w:val="26"/>
        </w:rPr>
        <w:t>,</w:t>
      </w:r>
      <w:r w:rsidR="00F1795E">
        <w:rPr>
          <w:sz w:val="26"/>
          <w:szCs w:val="26"/>
        </w:rPr>
        <w:t xml:space="preserve"> and authorize it to move funding between programs within the same customer class based on customer participation</w:t>
      </w:r>
      <w:r>
        <w:rPr>
          <w:sz w:val="26"/>
          <w:szCs w:val="26"/>
        </w:rPr>
        <w:t xml:space="preserve">.  </w:t>
      </w:r>
    </w:p>
    <w:p w:rsidR="0030684B" w:rsidRDefault="0030684B" w:rsidP="00D3209C">
      <w:pPr>
        <w:overflowPunct/>
        <w:spacing w:line="360" w:lineRule="auto"/>
        <w:jc w:val="center"/>
        <w:rPr>
          <w:b/>
          <w:sz w:val="26"/>
          <w:szCs w:val="26"/>
        </w:rPr>
      </w:pPr>
    </w:p>
    <w:p w:rsidR="008C48F9" w:rsidRDefault="008C48F9" w:rsidP="00D3209C">
      <w:pPr>
        <w:overflowPunct/>
        <w:spacing w:line="360" w:lineRule="auto"/>
        <w:jc w:val="center"/>
        <w:rPr>
          <w:b/>
          <w:sz w:val="26"/>
          <w:szCs w:val="26"/>
        </w:rPr>
      </w:pPr>
      <w:r w:rsidRPr="008C48F9">
        <w:rPr>
          <w:b/>
          <w:sz w:val="26"/>
          <w:szCs w:val="26"/>
        </w:rPr>
        <w:t xml:space="preserve">Conclusion </w:t>
      </w:r>
      <w:r>
        <w:rPr>
          <w:b/>
          <w:sz w:val="26"/>
          <w:szCs w:val="26"/>
        </w:rPr>
        <w:t xml:space="preserve"> </w:t>
      </w:r>
    </w:p>
    <w:p w:rsidR="008C48F9" w:rsidRDefault="008C48F9" w:rsidP="008C48F9">
      <w:pPr>
        <w:overflowPunct/>
        <w:spacing w:line="360" w:lineRule="auto"/>
        <w:ind w:firstLine="720"/>
        <w:jc w:val="center"/>
        <w:rPr>
          <w:b/>
          <w:sz w:val="26"/>
          <w:szCs w:val="26"/>
        </w:rPr>
      </w:pPr>
    </w:p>
    <w:p w:rsidR="008C48F9" w:rsidRDefault="008C48F9" w:rsidP="0017146C">
      <w:pPr>
        <w:overflowPunct/>
        <w:spacing w:line="360" w:lineRule="auto"/>
        <w:ind w:firstLine="720"/>
        <w:rPr>
          <w:b/>
          <w:sz w:val="26"/>
          <w:szCs w:val="26"/>
        </w:rPr>
      </w:pPr>
      <w:r>
        <w:rPr>
          <w:sz w:val="26"/>
          <w:szCs w:val="26"/>
        </w:rPr>
        <w:t>In light of the above discussion, we shall grant UGI Electric’</w:t>
      </w:r>
      <w:r w:rsidR="0017146C">
        <w:rPr>
          <w:sz w:val="26"/>
          <w:szCs w:val="26"/>
        </w:rPr>
        <w:t xml:space="preserve">s Petition </w:t>
      </w:r>
      <w:r w:rsidR="0017146C" w:rsidRPr="00A35668">
        <w:rPr>
          <w:sz w:val="26"/>
          <w:szCs w:val="26"/>
        </w:rPr>
        <w:t xml:space="preserve">to amend the </w:t>
      </w:r>
      <w:r w:rsidR="0017146C" w:rsidRPr="00A35668">
        <w:rPr>
          <w:i/>
          <w:sz w:val="26"/>
          <w:szCs w:val="26"/>
        </w:rPr>
        <w:t xml:space="preserve">Phase II Order </w:t>
      </w:r>
      <w:r w:rsidR="0017146C" w:rsidRPr="00A35668">
        <w:rPr>
          <w:sz w:val="26"/>
          <w:szCs w:val="26"/>
        </w:rPr>
        <w:t xml:space="preserve">and extend its </w:t>
      </w:r>
      <w:r w:rsidR="0017146C">
        <w:rPr>
          <w:sz w:val="26"/>
          <w:szCs w:val="26"/>
        </w:rPr>
        <w:t xml:space="preserve">current Phase II Energy Efficiency and Conservation </w:t>
      </w:r>
      <w:r w:rsidR="0017146C">
        <w:rPr>
          <w:sz w:val="26"/>
          <w:szCs w:val="26"/>
        </w:rPr>
        <w:lastRenderedPageBreak/>
        <w:t>Plan</w:t>
      </w:r>
      <w:r w:rsidR="0017146C" w:rsidRPr="00A35668">
        <w:rPr>
          <w:sz w:val="26"/>
          <w:szCs w:val="26"/>
        </w:rPr>
        <w:t xml:space="preserve"> by one year</w:t>
      </w:r>
      <w:r w:rsidR="00F1795E" w:rsidRPr="00F1795E">
        <w:rPr>
          <w:sz w:val="26"/>
          <w:szCs w:val="26"/>
        </w:rPr>
        <w:t xml:space="preserve"> </w:t>
      </w:r>
      <w:r w:rsidR="00F1795E">
        <w:rPr>
          <w:sz w:val="26"/>
          <w:szCs w:val="26"/>
        </w:rPr>
        <w:t>and authorize it to move funding between programs within the same customer class based on customer participation</w:t>
      </w:r>
      <w:r>
        <w:rPr>
          <w:sz w:val="26"/>
          <w:szCs w:val="26"/>
        </w:rPr>
        <w:t>, consistent with the discus</w:t>
      </w:r>
      <w:r w:rsidR="0017146C">
        <w:rPr>
          <w:sz w:val="26"/>
          <w:szCs w:val="26"/>
        </w:rPr>
        <w:t xml:space="preserve">sion in this Opinion and Order; </w:t>
      </w:r>
      <w:r w:rsidRPr="008C48F9">
        <w:rPr>
          <w:b/>
          <w:sz w:val="26"/>
          <w:szCs w:val="26"/>
        </w:rPr>
        <w:t>THEREFORE</w:t>
      </w:r>
    </w:p>
    <w:p w:rsidR="0017146C" w:rsidRDefault="0017146C" w:rsidP="0017146C">
      <w:pPr>
        <w:overflowPunct/>
        <w:spacing w:line="360" w:lineRule="auto"/>
        <w:ind w:firstLine="720"/>
        <w:rPr>
          <w:b/>
          <w:sz w:val="26"/>
          <w:szCs w:val="26"/>
        </w:rPr>
      </w:pPr>
    </w:p>
    <w:p w:rsidR="008C48F9" w:rsidRDefault="008C48F9" w:rsidP="008C48F9">
      <w:pPr>
        <w:overflowPunct/>
        <w:spacing w:line="360" w:lineRule="auto"/>
        <w:ind w:firstLine="720"/>
        <w:rPr>
          <w:b/>
          <w:sz w:val="26"/>
          <w:szCs w:val="26"/>
        </w:rPr>
      </w:pPr>
      <w:r>
        <w:rPr>
          <w:b/>
          <w:sz w:val="26"/>
          <w:szCs w:val="26"/>
        </w:rPr>
        <w:t>IT IS ORDERED:</w:t>
      </w:r>
    </w:p>
    <w:p w:rsidR="008C48F9" w:rsidRDefault="008C48F9" w:rsidP="008C48F9">
      <w:pPr>
        <w:overflowPunct/>
        <w:spacing w:line="360" w:lineRule="auto"/>
        <w:ind w:firstLine="720"/>
        <w:rPr>
          <w:b/>
          <w:sz w:val="26"/>
          <w:szCs w:val="26"/>
        </w:rPr>
      </w:pPr>
    </w:p>
    <w:p w:rsidR="008C48F9" w:rsidRDefault="008C48F9" w:rsidP="008C48F9">
      <w:pPr>
        <w:overflowPunct/>
        <w:spacing w:line="360" w:lineRule="auto"/>
        <w:ind w:firstLine="720"/>
        <w:rPr>
          <w:sz w:val="26"/>
          <w:szCs w:val="26"/>
        </w:rPr>
      </w:pPr>
      <w:r>
        <w:rPr>
          <w:sz w:val="26"/>
          <w:szCs w:val="26"/>
        </w:rPr>
        <w:t xml:space="preserve">1. </w:t>
      </w:r>
      <w:r>
        <w:rPr>
          <w:sz w:val="26"/>
          <w:szCs w:val="26"/>
        </w:rPr>
        <w:tab/>
        <w:t xml:space="preserve">That the Petition of UGI Utilities, Inc. – Electric Division </w:t>
      </w:r>
      <w:r w:rsidR="0017146C" w:rsidRPr="00A35668">
        <w:rPr>
          <w:sz w:val="26"/>
          <w:szCs w:val="26"/>
        </w:rPr>
        <w:t xml:space="preserve">to amend the </w:t>
      </w:r>
      <w:r w:rsidR="0017146C" w:rsidRPr="00A35668">
        <w:rPr>
          <w:i/>
          <w:sz w:val="26"/>
          <w:szCs w:val="26"/>
        </w:rPr>
        <w:t xml:space="preserve">Phase II Order </w:t>
      </w:r>
      <w:r w:rsidR="003D57D7">
        <w:rPr>
          <w:sz w:val="26"/>
          <w:szCs w:val="26"/>
        </w:rPr>
        <w:t xml:space="preserve">at Docket Number M-2015-2477174 </w:t>
      </w:r>
      <w:r w:rsidR="0017146C" w:rsidRPr="00A35668">
        <w:rPr>
          <w:sz w:val="26"/>
          <w:szCs w:val="26"/>
        </w:rPr>
        <w:t xml:space="preserve">and extend its </w:t>
      </w:r>
      <w:r w:rsidR="0017146C">
        <w:rPr>
          <w:sz w:val="26"/>
          <w:szCs w:val="26"/>
        </w:rPr>
        <w:t>current Phase II Energy Efficiency and Conservation Plan</w:t>
      </w:r>
      <w:r w:rsidR="0017146C" w:rsidRPr="00A35668">
        <w:rPr>
          <w:sz w:val="26"/>
          <w:szCs w:val="26"/>
        </w:rPr>
        <w:t xml:space="preserve"> </w:t>
      </w:r>
      <w:r w:rsidR="003D57D7">
        <w:rPr>
          <w:sz w:val="26"/>
          <w:szCs w:val="26"/>
        </w:rPr>
        <w:t>until May 31, 2019</w:t>
      </w:r>
      <w:r w:rsidR="00AB1CD0">
        <w:rPr>
          <w:sz w:val="26"/>
          <w:szCs w:val="26"/>
        </w:rPr>
        <w:t>,</w:t>
      </w:r>
      <w:r w:rsidR="00754623">
        <w:rPr>
          <w:sz w:val="26"/>
          <w:szCs w:val="26"/>
        </w:rPr>
        <w:t xml:space="preserve"> as well as authorize it to move funding between programs within the same customer class based on customer participation</w:t>
      </w:r>
      <w:r w:rsidR="003D57D7">
        <w:rPr>
          <w:sz w:val="26"/>
          <w:szCs w:val="26"/>
        </w:rPr>
        <w:t xml:space="preserve">, </w:t>
      </w:r>
      <w:r>
        <w:rPr>
          <w:sz w:val="26"/>
          <w:szCs w:val="26"/>
        </w:rPr>
        <w:t xml:space="preserve">is </w:t>
      </w:r>
      <w:r w:rsidR="0017146C">
        <w:rPr>
          <w:sz w:val="26"/>
          <w:szCs w:val="26"/>
        </w:rPr>
        <w:t xml:space="preserve">granted and </w:t>
      </w:r>
      <w:r>
        <w:rPr>
          <w:sz w:val="26"/>
          <w:szCs w:val="26"/>
        </w:rPr>
        <w:t xml:space="preserve">approved, consistent with this Opinion and Order. </w:t>
      </w:r>
      <w:r w:rsidR="0017146C">
        <w:rPr>
          <w:sz w:val="26"/>
          <w:szCs w:val="26"/>
        </w:rPr>
        <w:t xml:space="preserve"> </w:t>
      </w:r>
      <w:r w:rsidR="003D57D7">
        <w:rPr>
          <w:sz w:val="26"/>
          <w:szCs w:val="26"/>
        </w:rPr>
        <w:t xml:space="preserve"> </w:t>
      </w:r>
    </w:p>
    <w:p w:rsidR="00754623" w:rsidRDefault="00754623" w:rsidP="008C48F9">
      <w:pPr>
        <w:overflowPunct/>
        <w:spacing w:line="360" w:lineRule="auto"/>
        <w:ind w:firstLine="720"/>
        <w:rPr>
          <w:sz w:val="26"/>
          <w:szCs w:val="26"/>
        </w:rPr>
      </w:pPr>
    </w:p>
    <w:p w:rsidR="00754623" w:rsidRDefault="00754623" w:rsidP="008C48F9">
      <w:pPr>
        <w:overflowPunct/>
        <w:spacing w:line="360" w:lineRule="auto"/>
        <w:ind w:firstLine="720"/>
        <w:rPr>
          <w:sz w:val="26"/>
          <w:szCs w:val="26"/>
        </w:rPr>
      </w:pPr>
      <w:r>
        <w:rPr>
          <w:sz w:val="26"/>
          <w:szCs w:val="26"/>
        </w:rPr>
        <w:t>2.</w:t>
      </w:r>
      <w:r>
        <w:rPr>
          <w:sz w:val="26"/>
          <w:szCs w:val="26"/>
        </w:rPr>
        <w:tab/>
        <w:t>That a copy of this Order be served on the Office of Consumer Advocate, the Office of Small Business Advocate, the Commission’s Bureau of Investigation and Enforcement and all parties of record.</w:t>
      </w:r>
    </w:p>
    <w:p w:rsidR="00754623" w:rsidRDefault="00754623" w:rsidP="008C48F9">
      <w:pPr>
        <w:overflowPunct/>
        <w:spacing w:line="360" w:lineRule="auto"/>
        <w:ind w:firstLine="720"/>
        <w:rPr>
          <w:sz w:val="26"/>
          <w:szCs w:val="26"/>
        </w:rPr>
      </w:pPr>
    </w:p>
    <w:p w:rsidR="00754623" w:rsidRDefault="00754623" w:rsidP="008C48F9">
      <w:pPr>
        <w:overflowPunct/>
        <w:spacing w:line="360" w:lineRule="auto"/>
        <w:ind w:firstLine="720"/>
        <w:rPr>
          <w:sz w:val="26"/>
          <w:szCs w:val="26"/>
        </w:rPr>
      </w:pPr>
      <w:r>
        <w:rPr>
          <w:sz w:val="26"/>
          <w:szCs w:val="26"/>
        </w:rPr>
        <w:t>3.</w:t>
      </w:r>
      <w:r>
        <w:rPr>
          <w:sz w:val="26"/>
          <w:szCs w:val="26"/>
        </w:rPr>
        <w:tab/>
        <w:t xml:space="preserve">That this </w:t>
      </w:r>
      <w:r w:rsidR="0030684B">
        <w:rPr>
          <w:sz w:val="26"/>
          <w:szCs w:val="26"/>
        </w:rPr>
        <w:t xml:space="preserve">proceeding at </w:t>
      </w:r>
      <w:r>
        <w:rPr>
          <w:sz w:val="26"/>
          <w:szCs w:val="26"/>
        </w:rPr>
        <w:t xml:space="preserve">Docket </w:t>
      </w:r>
      <w:r w:rsidR="0030684B">
        <w:rPr>
          <w:sz w:val="26"/>
          <w:szCs w:val="26"/>
        </w:rPr>
        <w:t>No. M-2015-2477174</w:t>
      </w:r>
      <w:r>
        <w:rPr>
          <w:sz w:val="26"/>
          <w:szCs w:val="26"/>
        </w:rPr>
        <w:t xml:space="preserve"> be closed.</w:t>
      </w:r>
    </w:p>
    <w:p w:rsidR="007C1643" w:rsidRDefault="007C1643" w:rsidP="00DC6B2C">
      <w:pPr>
        <w:overflowPunct/>
        <w:spacing w:line="360" w:lineRule="auto"/>
        <w:rPr>
          <w:sz w:val="26"/>
          <w:szCs w:val="26"/>
        </w:rPr>
      </w:pPr>
    </w:p>
    <w:p w:rsidR="003D57D7" w:rsidRDefault="00D5076C" w:rsidP="003D57D7">
      <w:pPr>
        <w:widowControl w:val="0"/>
        <w:tabs>
          <w:tab w:val="left" w:pos="5057"/>
        </w:tabs>
        <w:overflowPunct/>
        <w:ind w:left="5057"/>
        <w:rPr>
          <w:b/>
          <w:bCs/>
          <w:sz w:val="26"/>
          <w:szCs w:val="26"/>
        </w:rPr>
      </w:pPr>
      <w:r>
        <w:rPr>
          <w:noProof/>
        </w:rPr>
        <w:drawing>
          <wp:anchor distT="0" distB="0" distL="114300" distR="114300" simplePos="0" relativeHeight="251659264" behindDoc="1" locked="0" layoutInCell="1" allowOverlap="1" wp14:anchorId="675F094A" wp14:editId="43F43C9E">
            <wp:simplePos x="0" y="0"/>
            <wp:positionH relativeFrom="column">
              <wp:posOffset>3143250</wp:posOffset>
            </wp:positionH>
            <wp:positionV relativeFrom="paragraph">
              <wp:posOffset>45085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D57D7" w:rsidRPr="003D57D7">
        <w:rPr>
          <w:b/>
          <w:bCs/>
          <w:sz w:val="26"/>
          <w:szCs w:val="26"/>
        </w:rPr>
        <w:t>BY THE COMMISSION</w:t>
      </w:r>
    </w:p>
    <w:p w:rsidR="00352063" w:rsidRDefault="00352063" w:rsidP="003D57D7">
      <w:pPr>
        <w:widowControl w:val="0"/>
        <w:tabs>
          <w:tab w:val="left" w:pos="5057"/>
        </w:tabs>
        <w:overflowPunct/>
        <w:ind w:left="5057"/>
        <w:rPr>
          <w:b/>
          <w:bCs/>
          <w:sz w:val="26"/>
          <w:szCs w:val="26"/>
        </w:rPr>
      </w:pPr>
    </w:p>
    <w:p w:rsidR="003D57D7" w:rsidRDefault="003D57D7" w:rsidP="003D57D7">
      <w:pPr>
        <w:tabs>
          <w:tab w:val="left" w:pos="5057"/>
        </w:tabs>
        <w:textAlignment w:val="baseline"/>
        <w:rPr>
          <w:b/>
          <w:bCs/>
          <w:sz w:val="26"/>
          <w:szCs w:val="26"/>
        </w:rPr>
      </w:pPr>
    </w:p>
    <w:p w:rsidR="00AB1CD0" w:rsidRPr="003D57D7" w:rsidRDefault="00AB1CD0" w:rsidP="003D57D7">
      <w:pPr>
        <w:tabs>
          <w:tab w:val="left" w:pos="5057"/>
        </w:tabs>
        <w:textAlignment w:val="baseline"/>
        <w:rPr>
          <w:b/>
          <w:bCs/>
          <w:sz w:val="26"/>
          <w:szCs w:val="26"/>
        </w:rPr>
      </w:pPr>
    </w:p>
    <w:p w:rsidR="003D57D7" w:rsidRPr="003D57D7" w:rsidRDefault="003D57D7" w:rsidP="003D57D7">
      <w:pPr>
        <w:widowControl w:val="0"/>
        <w:tabs>
          <w:tab w:val="left" w:pos="5062"/>
        </w:tabs>
        <w:overflowPunct/>
        <w:ind w:left="5062"/>
        <w:rPr>
          <w:sz w:val="26"/>
          <w:szCs w:val="26"/>
        </w:rPr>
      </w:pPr>
      <w:r w:rsidRPr="003D57D7">
        <w:rPr>
          <w:sz w:val="26"/>
          <w:szCs w:val="26"/>
        </w:rPr>
        <w:t>Rosemary Chiavetta</w:t>
      </w:r>
    </w:p>
    <w:p w:rsidR="003D57D7" w:rsidRPr="003D57D7" w:rsidRDefault="003D57D7" w:rsidP="003D57D7">
      <w:pPr>
        <w:widowControl w:val="0"/>
        <w:tabs>
          <w:tab w:val="left" w:pos="5062"/>
        </w:tabs>
        <w:overflowPunct/>
        <w:ind w:left="5062"/>
        <w:rPr>
          <w:sz w:val="26"/>
          <w:szCs w:val="26"/>
        </w:rPr>
      </w:pPr>
      <w:r w:rsidRPr="003D57D7">
        <w:rPr>
          <w:sz w:val="26"/>
          <w:szCs w:val="26"/>
        </w:rPr>
        <w:t>Secretary</w:t>
      </w:r>
    </w:p>
    <w:p w:rsidR="00352063" w:rsidRPr="003D57D7" w:rsidRDefault="00352063" w:rsidP="003D57D7">
      <w:pPr>
        <w:tabs>
          <w:tab w:val="left" w:pos="5062"/>
        </w:tabs>
        <w:textAlignment w:val="baseline"/>
        <w:rPr>
          <w:sz w:val="26"/>
          <w:szCs w:val="26"/>
        </w:rPr>
      </w:pPr>
    </w:p>
    <w:p w:rsidR="003D57D7" w:rsidRPr="003D57D7" w:rsidRDefault="003D57D7" w:rsidP="003D57D7">
      <w:pPr>
        <w:widowControl w:val="0"/>
        <w:tabs>
          <w:tab w:val="left" w:pos="204"/>
        </w:tabs>
        <w:overflowPunct/>
        <w:rPr>
          <w:sz w:val="26"/>
          <w:szCs w:val="26"/>
        </w:rPr>
      </w:pPr>
      <w:r w:rsidRPr="003D57D7">
        <w:rPr>
          <w:sz w:val="26"/>
          <w:szCs w:val="26"/>
        </w:rPr>
        <w:t>(SEAL)</w:t>
      </w:r>
    </w:p>
    <w:p w:rsidR="003D57D7" w:rsidRPr="003D57D7" w:rsidRDefault="003D57D7" w:rsidP="003D57D7">
      <w:pPr>
        <w:tabs>
          <w:tab w:val="left" w:pos="204"/>
        </w:tabs>
        <w:textAlignment w:val="baseline"/>
        <w:rPr>
          <w:sz w:val="26"/>
          <w:szCs w:val="26"/>
        </w:rPr>
      </w:pPr>
    </w:p>
    <w:p w:rsidR="003D57D7" w:rsidRPr="003D57D7" w:rsidRDefault="003D57D7" w:rsidP="003D57D7">
      <w:pPr>
        <w:widowControl w:val="0"/>
        <w:tabs>
          <w:tab w:val="left" w:pos="204"/>
        </w:tabs>
        <w:overflowPunct/>
        <w:rPr>
          <w:sz w:val="26"/>
          <w:szCs w:val="26"/>
        </w:rPr>
      </w:pPr>
      <w:r w:rsidRPr="003D57D7">
        <w:rPr>
          <w:sz w:val="26"/>
          <w:szCs w:val="26"/>
        </w:rPr>
        <w:t xml:space="preserve">ORDER ADOPTED:  </w:t>
      </w:r>
      <w:r w:rsidR="00AB1CD0">
        <w:rPr>
          <w:sz w:val="26"/>
          <w:szCs w:val="26"/>
        </w:rPr>
        <w:t>May 4, 2017</w:t>
      </w:r>
    </w:p>
    <w:p w:rsidR="003D57D7" w:rsidRPr="003D57D7" w:rsidRDefault="003D57D7" w:rsidP="003D57D7">
      <w:pPr>
        <w:widowControl w:val="0"/>
        <w:tabs>
          <w:tab w:val="left" w:pos="204"/>
        </w:tabs>
        <w:overflowPunct/>
        <w:rPr>
          <w:b/>
          <w:sz w:val="26"/>
          <w:szCs w:val="26"/>
        </w:rPr>
      </w:pPr>
      <w:r w:rsidRPr="003D57D7">
        <w:rPr>
          <w:sz w:val="26"/>
          <w:szCs w:val="26"/>
        </w:rPr>
        <w:t xml:space="preserve">ORDER ENTERED:  </w:t>
      </w:r>
      <w:r w:rsidR="00D5076C">
        <w:rPr>
          <w:sz w:val="26"/>
          <w:szCs w:val="26"/>
        </w:rPr>
        <w:t>May 4, 2017</w:t>
      </w:r>
      <w:bookmarkStart w:id="0" w:name="_GoBack"/>
      <w:bookmarkEnd w:id="0"/>
    </w:p>
    <w:sectPr w:rsidR="003D57D7" w:rsidRPr="003D57D7" w:rsidSect="009536F3">
      <w:footerReference w:type="defaul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64" w:rsidRDefault="00C66264" w:rsidP="00F01F7B">
      <w:r>
        <w:separator/>
      </w:r>
    </w:p>
  </w:endnote>
  <w:endnote w:type="continuationSeparator" w:id="0">
    <w:p w:rsidR="00C66264" w:rsidRDefault="00C66264" w:rsidP="00F0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490244"/>
      <w:docPartObj>
        <w:docPartGallery w:val="Page Numbers (Bottom of Page)"/>
        <w:docPartUnique/>
      </w:docPartObj>
    </w:sdtPr>
    <w:sdtEndPr>
      <w:rPr>
        <w:noProof/>
      </w:rPr>
    </w:sdtEndPr>
    <w:sdtContent>
      <w:p w:rsidR="009536F3" w:rsidRDefault="009536F3">
        <w:pPr>
          <w:pStyle w:val="Footer"/>
          <w:jc w:val="center"/>
        </w:pPr>
        <w:r>
          <w:fldChar w:fldCharType="begin"/>
        </w:r>
        <w:r>
          <w:instrText xml:space="preserve"> PAGE   \* MERGEFORMAT </w:instrText>
        </w:r>
        <w:r>
          <w:fldChar w:fldCharType="separate"/>
        </w:r>
        <w:r w:rsidR="00D5076C">
          <w:rPr>
            <w:noProof/>
          </w:rPr>
          <w:t>6</w:t>
        </w:r>
        <w:r>
          <w:rPr>
            <w:noProof/>
          </w:rPr>
          <w:fldChar w:fldCharType="end"/>
        </w:r>
      </w:p>
    </w:sdtContent>
  </w:sdt>
  <w:p w:rsidR="009536F3" w:rsidRDefault="00953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64" w:rsidRDefault="00C66264" w:rsidP="00F01F7B">
      <w:r>
        <w:separator/>
      </w:r>
    </w:p>
  </w:footnote>
  <w:footnote w:type="continuationSeparator" w:id="0">
    <w:p w:rsidR="00C66264" w:rsidRDefault="00C66264" w:rsidP="00F01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43"/>
    <w:rsid w:val="001662B6"/>
    <w:rsid w:val="0017146C"/>
    <w:rsid w:val="00174580"/>
    <w:rsid w:val="0018408A"/>
    <w:rsid w:val="00186DD0"/>
    <w:rsid w:val="001A7444"/>
    <w:rsid w:val="001C34EF"/>
    <w:rsid w:val="0030684B"/>
    <w:rsid w:val="0031200F"/>
    <w:rsid w:val="00334F77"/>
    <w:rsid w:val="00352063"/>
    <w:rsid w:val="003D57D7"/>
    <w:rsid w:val="003F51BC"/>
    <w:rsid w:val="0052611E"/>
    <w:rsid w:val="00543A09"/>
    <w:rsid w:val="00655024"/>
    <w:rsid w:val="006A6814"/>
    <w:rsid w:val="006F1A15"/>
    <w:rsid w:val="00735C68"/>
    <w:rsid w:val="00754623"/>
    <w:rsid w:val="007549B3"/>
    <w:rsid w:val="007C1643"/>
    <w:rsid w:val="007E0461"/>
    <w:rsid w:val="00804594"/>
    <w:rsid w:val="0080551B"/>
    <w:rsid w:val="008508D0"/>
    <w:rsid w:val="00875007"/>
    <w:rsid w:val="008A775C"/>
    <w:rsid w:val="008C48F9"/>
    <w:rsid w:val="008D354D"/>
    <w:rsid w:val="009536F3"/>
    <w:rsid w:val="00953778"/>
    <w:rsid w:val="009566D2"/>
    <w:rsid w:val="009C028E"/>
    <w:rsid w:val="009D144D"/>
    <w:rsid w:val="00A35668"/>
    <w:rsid w:val="00A50126"/>
    <w:rsid w:val="00AA2D3B"/>
    <w:rsid w:val="00AB1CD0"/>
    <w:rsid w:val="00B00C4A"/>
    <w:rsid w:val="00B10EEB"/>
    <w:rsid w:val="00C655B3"/>
    <w:rsid w:val="00C66264"/>
    <w:rsid w:val="00CC49A2"/>
    <w:rsid w:val="00CE21F6"/>
    <w:rsid w:val="00CF75D8"/>
    <w:rsid w:val="00D0210A"/>
    <w:rsid w:val="00D3209C"/>
    <w:rsid w:val="00D5076C"/>
    <w:rsid w:val="00D57208"/>
    <w:rsid w:val="00DA3016"/>
    <w:rsid w:val="00DC6B2C"/>
    <w:rsid w:val="00E204D4"/>
    <w:rsid w:val="00E22A43"/>
    <w:rsid w:val="00E608E4"/>
    <w:rsid w:val="00F01F7B"/>
    <w:rsid w:val="00F1795E"/>
    <w:rsid w:val="00F92473"/>
    <w:rsid w:val="00F96D08"/>
    <w:rsid w:val="00FC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4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nhideWhenUsed/>
    <w:qFormat/>
    <w:rsid w:val="00E22A4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2A43"/>
    <w:rPr>
      <w:rFonts w:ascii="Arial" w:eastAsia="Times New Roman" w:hAnsi="Arial" w:cs="Arial"/>
      <w:b/>
      <w:bCs/>
      <w:sz w:val="26"/>
      <w:szCs w:val="26"/>
    </w:rPr>
  </w:style>
  <w:style w:type="paragraph" w:customStyle="1" w:styleId="p3">
    <w:name w:val="p3"/>
    <w:basedOn w:val="Normal"/>
    <w:uiPriority w:val="99"/>
    <w:rsid w:val="00E22A43"/>
    <w:pPr>
      <w:widowControl w:val="0"/>
      <w:tabs>
        <w:tab w:val="left" w:pos="204"/>
      </w:tabs>
      <w:overflowPunct/>
    </w:pPr>
    <w:rPr>
      <w:szCs w:val="24"/>
    </w:rPr>
  </w:style>
  <w:style w:type="paragraph" w:customStyle="1" w:styleId="StyleCentered">
    <w:name w:val="Style Centered"/>
    <w:basedOn w:val="Normal"/>
    <w:rsid w:val="00E22A43"/>
    <w:pPr>
      <w:jc w:val="center"/>
    </w:pPr>
  </w:style>
  <w:style w:type="paragraph" w:styleId="Header">
    <w:name w:val="header"/>
    <w:basedOn w:val="Normal"/>
    <w:link w:val="HeaderChar"/>
    <w:uiPriority w:val="99"/>
    <w:unhideWhenUsed/>
    <w:rsid w:val="00F01F7B"/>
    <w:pPr>
      <w:tabs>
        <w:tab w:val="center" w:pos="4680"/>
        <w:tab w:val="right" w:pos="9360"/>
      </w:tabs>
    </w:pPr>
  </w:style>
  <w:style w:type="character" w:customStyle="1" w:styleId="HeaderChar">
    <w:name w:val="Header Char"/>
    <w:basedOn w:val="DefaultParagraphFont"/>
    <w:link w:val="Header"/>
    <w:uiPriority w:val="99"/>
    <w:rsid w:val="00F01F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01F7B"/>
    <w:pPr>
      <w:tabs>
        <w:tab w:val="center" w:pos="4680"/>
        <w:tab w:val="right" w:pos="9360"/>
      </w:tabs>
    </w:pPr>
  </w:style>
  <w:style w:type="character" w:customStyle="1" w:styleId="FooterChar">
    <w:name w:val="Footer Char"/>
    <w:basedOn w:val="DefaultParagraphFont"/>
    <w:link w:val="Footer"/>
    <w:uiPriority w:val="99"/>
    <w:rsid w:val="00F01F7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01F7B"/>
    <w:rPr>
      <w:rFonts w:ascii="Tahoma" w:hAnsi="Tahoma" w:cs="Tahoma"/>
      <w:sz w:val="16"/>
      <w:szCs w:val="16"/>
    </w:rPr>
  </w:style>
  <w:style w:type="character" w:customStyle="1" w:styleId="BalloonTextChar">
    <w:name w:val="Balloon Text Char"/>
    <w:basedOn w:val="DefaultParagraphFont"/>
    <w:link w:val="BalloonText"/>
    <w:uiPriority w:val="99"/>
    <w:semiHidden/>
    <w:rsid w:val="00F01F7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210A"/>
    <w:rPr>
      <w:sz w:val="16"/>
      <w:szCs w:val="16"/>
    </w:rPr>
  </w:style>
  <w:style w:type="paragraph" w:styleId="CommentText">
    <w:name w:val="annotation text"/>
    <w:basedOn w:val="Normal"/>
    <w:link w:val="CommentTextChar"/>
    <w:uiPriority w:val="99"/>
    <w:semiHidden/>
    <w:unhideWhenUsed/>
    <w:rsid w:val="00D0210A"/>
    <w:rPr>
      <w:sz w:val="20"/>
    </w:rPr>
  </w:style>
  <w:style w:type="character" w:customStyle="1" w:styleId="CommentTextChar">
    <w:name w:val="Comment Text Char"/>
    <w:basedOn w:val="DefaultParagraphFont"/>
    <w:link w:val="CommentText"/>
    <w:uiPriority w:val="99"/>
    <w:semiHidden/>
    <w:rsid w:val="00D021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10A"/>
    <w:rPr>
      <w:b/>
      <w:bCs/>
    </w:rPr>
  </w:style>
  <w:style w:type="character" w:customStyle="1" w:styleId="CommentSubjectChar">
    <w:name w:val="Comment Subject Char"/>
    <w:basedOn w:val="CommentTextChar"/>
    <w:link w:val="CommentSubject"/>
    <w:uiPriority w:val="99"/>
    <w:semiHidden/>
    <w:rsid w:val="00D0210A"/>
    <w:rPr>
      <w:rFonts w:ascii="Times New Roman" w:eastAsia="Times New Roman" w:hAnsi="Times New Roman" w:cs="Times New Roman"/>
      <w:b/>
      <w:bCs/>
      <w:sz w:val="20"/>
      <w:szCs w:val="20"/>
    </w:rPr>
  </w:style>
  <w:style w:type="paragraph" w:styleId="ListParagraph">
    <w:name w:val="List Paragraph"/>
    <w:basedOn w:val="Normal"/>
    <w:uiPriority w:val="34"/>
    <w:qFormat/>
    <w:rsid w:val="00754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4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nhideWhenUsed/>
    <w:qFormat/>
    <w:rsid w:val="00E22A4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2A43"/>
    <w:rPr>
      <w:rFonts w:ascii="Arial" w:eastAsia="Times New Roman" w:hAnsi="Arial" w:cs="Arial"/>
      <w:b/>
      <w:bCs/>
      <w:sz w:val="26"/>
      <w:szCs w:val="26"/>
    </w:rPr>
  </w:style>
  <w:style w:type="paragraph" w:customStyle="1" w:styleId="p3">
    <w:name w:val="p3"/>
    <w:basedOn w:val="Normal"/>
    <w:uiPriority w:val="99"/>
    <w:rsid w:val="00E22A43"/>
    <w:pPr>
      <w:widowControl w:val="0"/>
      <w:tabs>
        <w:tab w:val="left" w:pos="204"/>
      </w:tabs>
      <w:overflowPunct/>
    </w:pPr>
    <w:rPr>
      <w:szCs w:val="24"/>
    </w:rPr>
  </w:style>
  <w:style w:type="paragraph" w:customStyle="1" w:styleId="StyleCentered">
    <w:name w:val="Style Centered"/>
    <w:basedOn w:val="Normal"/>
    <w:rsid w:val="00E22A43"/>
    <w:pPr>
      <w:jc w:val="center"/>
    </w:pPr>
  </w:style>
  <w:style w:type="paragraph" w:styleId="Header">
    <w:name w:val="header"/>
    <w:basedOn w:val="Normal"/>
    <w:link w:val="HeaderChar"/>
    <w:uiPriority w:val="99"/>
    <w:unhideWhenUsed/>
    <w:rsid w:val="00F01F7B"/>
    <w:pPr>
      <w:tabs>
        <w:tab w:val="center" w:pos="4680"/>
        <w:tab w:val="right" w:pos="9360"/>
      </w:tabs>
    </w:pPr>
  </w:style>
  <w:style w:type="character" w:customStyle="1" w:styleId="HeaderChar">
    <w:name w:val="Header Char"/>
    <w:basedOn w:val="DefaultParagraphFont"/>
    <w:link w:val="Header"/>
    <w:uiPriority w:val="99"/>
    <w:rsid w:val="00F01F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01F7B"/>
    <w:pPr>
      <w:tabs>
        <w:tab w:val="center" w:pos="4680"/>
        <w:tab w:val="right" w:pos="9360"/>
      </w:tabs>
    </w:pPr>
  </w:style>
  <w:style w:type="character" w:customStyle="1" w:styleId="FooterChar">
    <w:name w:val="Footer Char"/>
    <w:basedOn w:val="DefaultParagraphFont"/>
    <w:link w:val="Footer"/>
    <w:uiPriority w:val="99"/>
    <w:rsid w:val="00F01F7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01F7B"/>
    <w:rPr>
      <w:rFonts w:ascii="Tahoma" w:hAnsi="Tahoma" w:cs="Tahoma"/>
      <w:sz w:val="16"/>
      <w:szCs w:val="16"/>
    </w:rPr>
  </w:style>
  <w:style w:type="character" w:customStyle="1" w:styleId="BalloonTextChar">
    <w:name w:val="Balloon Text Char"/>
    <w:basedOn w:val="DefaultParagraphFont"/>
    <w:link w:val="BalloonText"/>
    <w:uiPriority w:val="99"/>
    <w:semiHidden/>
    <w:rsid w:val="00F01F7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210A"/>
    <w:rPr>
      <w:sz w:val="16"/>
      <w:szCs w:val="16"/>
    </w:rPr>
  </w:style>
  <w:style w:type="paragraph" w:styleId="CommentText">
    <w:name w:val="annotation text"/>
    <w:basedOn w:val="Normal"/>
    <w:link w:val="CommentTextChar"/>
    <w:uiPriority w:val="99"/>
    <w:semiHidden/>
    <w:unhideWhenUsed/>
    <w:rsid w:val="00D0210A"/>
    <w:rPr>
      <w:sz w:val="20"/>
    </w:rPr>
  </w:style>
  <w:style w:type="character" w:customStyle="1" w:styleId="CommentTextChar">
    <w:name w:val="Comment Text Char"/>
    <w:basedOn w:val="DefaultParagraphFont"/>
    <w:link w:val="CommentText"/>
    <w:uiPriority w:val="99"/>
    <w:semiHidden/>
    <w:rsid w:val="00D021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10A"/>
    <w:rPr>
      <w:b/>
      <w:bCs/>
    </w:rPr>
  </w:style>
  <w:style w:type="character" w:customStyle="1" w:styleId="CommentSubjectChar">
    <w:name w:val="Comment Subject Char"/>
    <w:basedOn w:val="CommentTextChar"/>
    <w:link w:val="CommentSubject"/>
    <w:uiPriority w:val="99"/>
    <w:semiHidden/>
    <w:rsid w:val="00D0210A"/>
    <w:rPr>
      <w:rFonts w:ascii="Times New Roman" w:eastAsia="Times New Roman" w:hAnsi="Times New Roman" w:cs="Times New Roman"/>
      <w:b/>
      <w:bCs/>
      <w:sz w:val="20"/>
      <w:szCs w:val="20"/>
    </w:rPr>
  </w:style>
  <w:style w:type="paragraph" w:styleId="ListParagraph">
    <w:name w:val="List Paragraph"/>
    <w:basedOn w:val="Normal"/>
    <w:uiPriority w:val="34"/>
    <w:qFormat/>
    <w:rsid w:val="00754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81E7-A669-47FD-A8CF-71A0DFAC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Schneck, Cornelia</dc:creator>
  <cp:lastModifiedBy>Wagner, Nathan R</cp:lastModifiedBy>
  <cp:revision>3</cp:revision>
  <cp:lastPrinted>2017-04-19T19:36:00Z</cp:lastPrinted>
  <dcterms:created xsi:type="dcterms:W3CDTF">2017-04-21T14:48:00Z</dcterms:created>
  <dcterms:modified xsi:type="dcterms:W3CDTF">2017-05-04T11:46:00Z</dcterms:modified>
</cp:coreProperties>
</file>