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38E" w:rsidRPr="00F514FB" w:rsidRDefault="00EB238E" w:rsidP="00EB238E">
      <w:pPr>
        <w:tabs>
          <w:tab w:val="center" w:pos="4680"/>
        </w:tabs>
        <w:suppressAutoHyphens/>
        <w:jc w:val="center"/>
        <w:rPr>
          <w:b/>
          <w:sz w:val="26"/>
          <w:szCs w:val="26"/>
        </w:rPr>
      </w:pPr>
      <w:r w:rsidRPr="00F514FB">
        <w:rPr>
          <w:b/>
          <w:sz w:val="26"/>
          <w:szCs w:val="26"/>
        </w:rPr>
        <w:t>PENNSYLVANIA</w:t>
      </w:r>
    </w:p>
    <w:p w:rsidR="00EB238E" w:rsidRPr="00F514FB" w:rsidRDefault="00EB238E" w:rsidP="00EB238E">
      <w:pPr>
        <w:tabs>
          <w:tab w:val="center" w:pos="4680"/>
        </w:tabs>
        <w:suppressAutoHyphens/>
        <w:jc w:val="center"/>
        <w:rPr>
          <w:sz w:val="26"/>
          <w:szCs w:val="26"/>
        </w:rPr>
      </w:pPr>
      <w:r w:rsidRPr="00F514FB">
        <w:rPr>
          <w:b/>
          <w:sz w:val="26"/>
          <w:szCs w:val="26"/>
        </w:rPr>
        <w:t>PUBLIC UTILITY COMMISSION</w:t>
      </w:r>
    </w:p>
    <w:p w:rsidR="00EB238E" w:rsidRPr="00F514FB" w:rsidRDefault="00EB238E" w:rsidP="00EB238E">
      <w:pPr>
        <w:tabs>
          <w:tab w:val="center" w:pos="4680"/>
        </w:tabs>
        <w:suppressAutoHyphens/>
        <w:jc w:val="center"/>
        <w:rPr>
          <w:sz w:val="26"/>
          <w:szCs w:val="26"/>
        </w:rPr>
      </w:pPr>
      <w:r w:rsidRPr="00F514FB">
        <w:rPr>
          <w:b/>
          <w:sz w:val="26"/>
          <w:szCs w:val="26"/>
        </w:rPr>
        <w:t>Harrisburg, PA 17105-3265</w:t>
      </w:r>
    </w:p>
    <w:p w:rsidR="00EB238E" w:rsidRPr="00F514FB" w:rsidRDefault="00EB238E" w:rsidP="00EB238E">
      <w:pPr>
        <w:tabs>
          <w:tab w:val="left" w:pos="-720"/>
        </w:tabs>
        <w:suppressAutoHyphens/>
        <w:rPr>
          <w:sz w:val="26"/>
          <w:szCs w:val="26"/>
        </w:rPr>
      </w:pPr>
    </w:p>
    <w:p w:rsidR="00EB238E" w:rsidRPr="00F514FB" w:rsidRDefault="00EB238E" w:rsidP="00EB238E">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270"/>
        <w:gridCol w:w="4428"/>
      </w:tblGrid>
      <w:tr w:rsidR="00EB238E" w:rsidRPr="00F514FB" w:rsidTr="000C1A3D">
        <w:tc>
          <w:tcPr>
            <w:tcW w:w="5058" w:type="dxa"/>
            <w:gridSpan w:val="2"/>
          </w:tcPr>
          <w:p w:rsidR="00EB238E" w:rsidRPr="00F514FB" w:rsidRDefault="00EB238E" w:rsidP="000C1A3D">
            <w:pPr>
              <w:jc w:val="both"/>
              <w:rPr>
                <w:sz w:val="26"/>
                <w:szCs w:val="26"/>
              </w:rPr>
            </w:pPr>
          </w:p>
        </w:tc>
        <w:tc>
          <w:tcPr>
            <w:tcW w:w="4428" w:type="dxa"/>
          </w:tcPr>
          <w:p w:rsidR="00EB238E" w:rsidRPr="00F514FB" w:rsidRDefault="00EB238E" w:rsidP="000C1A3D">
            <w:pPr>
              <w:ind w:hanging="738"/>
              <w:jc w:val="right"/>
              <w:rPr>
                <w:sz w:val="26"/>
                <w:szCs w:val="26"/>
              </w:rPr>
            </w:pPr>
            <w:r w:rsidRPr="00F514FB">
              <w:rPr>
                <w:sz w:val="26"/>
                <w:szCs w:val="26"/>
              </w:rPr>
              <w:t xml:space="preserve"> </w:t>
            </w:r>
            <w:r w:rsidR="0008199F">
              <w:rPr>
                <w:sz w:val="26"/>
                <w:szCs w:val="26"/>
              </w:rPr>
              <w:t xml:space="preserve"> </w:t>
            </w:r>
            <w:r w:rsidRPr="00F514FB">
              <w:rPr>
                <w:sz w:val="26"/>
                <w:szCs w:val="26"/>
              </w:rPr>
              <w:t>Public Meeting held</w:t>
            </w:r>
            <w:r>
              <w:rPr>
                <w:sz w:val="26"/>
                <w:szCs w:val="26"/>
              </w:rPr>
              <w:t xml:space="preserve"> </w:t>
            </w:r>
            <w:r w:rsidR="00030EC1">
              <w:rPr>
                <w:sz w:val="26"/>
                <w:szCs w:val="26"/>
              </w:rPr>
              <w:t>May 4</w:t>
            </w:r>
            <w:r w:rsidR="00BD4B16">
              <w:rPr>
                <w:sz w:val="26"/>
                <w:szCs w:val="26"/>
              </w:rPr>
              <w:t>, 2017</w:t>
            </w:r>
          </w:p>
          <w:p w:rsidR="00EB238E" w:rsidRPr="00F514FB" w:rsidRDefault="00EB238E" w:rsidP="000C1A3D">
            <w:pPr>
              <w:rPr>
                <w:sz w:val="26"/>
                <w:szCs w:val="26"/>
              </w:rPr>
            </w:pPr>
          </w:p>
          <w:p w:rsidR="00EB238E" w:rsidRPr="00F514FB" w:rsidRDefault="00EB238E" w:rsidP="000C1A3D">
            <w:pPr>
              <w:rPr>
                <w:sz w:val="26"/>
                <w:szCs w:val="26"/>
              </w:rPr>
            </w:pPr>
          </w:p>
        </w:tc>
      </w:tr>
      <w:tr w:rsidR="00EB238E" w:rsidRPr="00F514FB" w:rsidTr="000C1A3D">
        <w:tc>
          <w:tcPr>
            <w:tcW w:w="5058" w:type="dxa"/>
            <w:gridSpan w:val="2"/>
          </w:tcPr>
          <w:p w:rsidR="00EB238E" w:rsidRPr="00F514FB" w:rsidRDefault="00EB238E" w:rsidP="000C1A3D">
            <w:pPr>
              <w:rPr>
                <w:sz w:val="26"/>
                <w:szCs w:val="26"/>
              </w:rPr>
            </w:pPr>
            <w:r w:rsidRPr="00F514FB">
              <w:rPr>
                <w:sz w:val="26"/>
                <w:szCs w:val="26"/>
              </w:rPr>
              <w:t>Commissioners Present:</w:t>
            </w:r>
          </w:p>
          <w:p w:rsidR="00EB238E" w:rsidRPr="00F514FB" w:rsidRDefault="00EB238E" w:rsidP="000C1A3D">
            <w:pPr>
              <w:rPr>
                <w:sz w:val="26"/>
                <w:szCs w:val="26"/>
              </w:rPr>
            </w:pPr>
          </w:p>
          <w:p w:rsidR="00861327" w:rsidRPr="00861327" w:rsidRDefault="00861327" w:rsidP="00861327">
            <w:pPr>
              <w:tabs>
                <w:tab w:val="left" w:pos="705"/>
              </w:tabs>
              <w:ind w:firstLine="720"/>
              <w:rPr>
                <w:spacing w:val="-3"/>
                <w:sz w:val="26"/>
                <w:szCs w:val="26"/>
              </w:rPr>
            </w:pPr>
            <w:r w:rsidRPr="00861327">
              <w:rPr>
                <w:spacing w:val="-3"/>
                <w:sz w:val="26"/>
                <w:szCs w:val="26"/>
              </w:rPr>
              <w:t>Gladys M. Brown, Chairman</w:t>
            </w:r>
          </w:p>
          <w:p w:rsidR="00861327" w:rsidRPr="00861327" w:rsidRDefault="00861327" w:rsidP="00861327">
            <w:pPr>
              <w:tabs>
                <w:tab w:val="left" w:pos="705"/>
              </w:tabs>
              <w:ind w:firstLine="720"/>
              <w:rPr>
                <w:spacing w:val="-3"/>
                <w:sz w:val="26"/>
                <w:szCs w:val="26"/>
              </w:rPr>
            </w:pPr>
            <w:r w:rsidRPr="00861327">
              <w:rPr>
                <w:spacing w:val="-3"/>
                <w:sz w:val="26"/>
                <w:szCs w:val="26"/>
              </w:rPr>
              <w:t>Andrew G. Place, Vice Chairman</w:t>
            </w:r>
          </w:p>
          <w:p w:rsidR="00861327" w:rsidRPr="00861327" w:rsidRDefault="00861327" w:rsidP="00861327">
            <w:pPr>
              <w:tabs>
                <w:tab w:val="left" w:pos="705"/>
              </w:tabs>
              <w:ind w:firstLine="720"/>
              <w:rPr>
                <w:spacing w:val="-3"/>
                <w:sz w:val="26"/>
                <w:szCs w:val="26"/>
              </w:rPr>
            </w:pPr>
            <w:r w:rsidRPr="00861327">
              <w:rPr>
                <w:spacing w:val="-3"/>
                <w:sz w:val="26"/>
                <w:szCs w:val="26"/>
              </w:rPr>
              <w:t>John F. Coleman, Jr.</w:t>
            </w:r>
          </w:p>
          <w:p w:rsidR="00861327" w:rsidRDefault="00861327" w:rsidP="00861327">
            <w:pPr>
              <w:tabs>
                <w:tab w:val="left" w:pos="705"/>
              </w:tabs>
              <w:ind w:firstLine="720"/>
              <w:rPr>
                <w:spacing w:val="-3"/>
                <w:sz w:val="26"/>
                <w:szCs w:val="26"/>
              </w:rPr>
            </w:pPr>
            <w:r w:rsidRPr="00861327">
              <w:rPr>
                <w:spacing w:val="-3"/>
                <w:sz w:val="26"/>
                <w:szCs w:val="26"/>
              </w:rPr>
              <w:t>Robert F. Powelson</w:t>
            </w:r>
          </w:p>
          <w:p w:rsidR="00BD4B16" w:rsidRPr="00861327" w:rsidRDefault="00BD4B16" w:rsidP="00861327">
            <w:pPr>
              <w:tabs>
                <w:tab w:val="left" w:pos="705"/>
              </w:tabs>
              <w:ind w:firstLine="720"/>
              <w:rPr>
                <w:spacing w:val="-3"/>
                <w:sz w:val="26"/>
                <w:szCs w:val="26"/>
              </w:rPr>
            </w:pPr>
            <w:r>
              <w:rPr>
                <w:spacing w:val="-3"/>
                <w:sz w:val="26"/>
                <w:szCs w:val="26"/>
              </w:rPr>
              <w:t>David W. Sweet</w:t>
            </w:r>
            <w:r w:rsidR="00550DFC">
              <w:rPr>
                <w:spacing w:val="-3"/>
                <w:sz w:val="26"/>
                <w:szCs w:val="26"/>
              </w:rPr>
              <w:t>, Statement</w:t>
            </w:r>
          </w:p>
          <w:p w:rsidR="00EB238E" w:rsidRDefault="00EB238E" w:rsidP="000C1A3D">
            <w:pPr>
              <w:rPr>
                <w:sz w:val="26"/>
                <w:szCs w:val="26"/>
              </w:rPr>
            </w:pPr>
          </w:p>
          <w:p w:rsidR="00B0014B" w:rsidRPr="00F514FB" w:rsidRDefault="00190F3F" w:rsidP="000C1A3D">
            <w:pPr>
              <w:rPr>
                <w:sz w:val="26"/>
                <w:szCs w:val="26"/>
              </w:rPr>
            </w:pPr>
            <w:r>
              <w:rPr>
                <w:sz w:val="26"/>
                <w:szCs w:val="26"/>
              </w:rPr>
              <w:t xml:space="preserve"> </w:t>
            </w:r>
          </w:p>
          <w:p w:rsidR="00EB238E" w:rsidRPr="00F514FB" w:rsidRDefault="00EB238E" w:rsidP="000C1A3D">
            <w:pPr>
              <w:rPr>
                <w:sz w:val="26"/>
                <w:szCs w:val="26"/>
              </w:rPr>
            </w:pPr>
          </w:p>
        </w:tc>
        <w:tc>
          <w:tcPr>
            <w:tcW w:w="4428" w:type="dxa"/>
          </w:tcPr>
          <w:p w:rsidR="00EB238E" w:rsidRPr="00F514FB" w:rsidRDefault="00EB238E" w:rsidP="000C1A3D">
            <w:pPr>
              <w:jc w:val="right"/>
              <w:rPr>
                <w:sz w:val="26"/>
                <w:szCs w:val="26"/>
              </w:rPr>
            </w:pPr>
          </w:p>
          <w:p w:rsidR="00EB238E" w:rsidRPr="00F514FB" w:rsidRDefault="00EB238E" w:rsidP="000C1A3D">
            <w:pPr>
              <w:jc w:val="right"/>
              <w:rPr>
                <w:sz w:val="26"/>
                <w:szCs w:val="26"/>
              </w:rPr>
            </w:pPr>
          </w:p>
        </w:tc>
      </w:tr>
      <w:tr w:rsidR="00EB238E" w:rsidTr="00990160">
        <w:tc>
          <w:tcPr>
            <w:tcW w:w="4788" w:type="dxa"/>
          </w:tcPr>
          <w:p w:rsidR="00EB238E" w:rsidRDefault="00EB238E" w:rsidP="000C1A3D">
            <w:pPr>
              <w:adjustRightInd w:val="0"/>
              <w:rPr>
                <w:bCs/>
                <w:color w:val="000000"/>
                <w:sz w:val="26"/>
                <w:szCs w:val="26"/>
              </w:rPr>
            </w:pPr>
            <w:r>
              <w:rPr>
                <w:bCs/>
                <w:color w:val="000000"/>
                <w:sz w:val="26"/>
                <w:szCs w:val="26"/>
              </w:rPr>
              <w:t>Enrico Partners L.P.</w:t>
            </w:r>
          </w:p>
        </w:tc>
        <w:tc>
          <w:tcPr>
            <w:tcW w:w="4698" w:type="dxa"/>
            <w:gridSpan w:val="2"/>
          </w:tcPr>
          <w:p w:rsidR="00EB238E" w:rsidRDefault="00EB238E" w:rsidP="000C1A3D">
            <w:pPr>
              <w:tabs>
                <w:tab w:val="left" w:pos="842"/>
                <w:tab w:val="right" w:pos="4572"/>
              </w:tabs>
              <w:adjustRightInd w:val="0"/>
              <w:rPr>
                <w:bCs/>
                <w:color w:val="000000"/>
                <w:sz w:val="26"/>
                <w:szCs w:val="26"/>
              </w:rPr>
            </w:pPr>
            <w:r>
              <w:rPr>
                <w:bCs/>
                <w:color w:val="000000"/>
                <w:sz w:val="26"/>
                <w:szCs w:val="26"/>
              </w:rPr>
              <w:tab/>
            </w:r>
            <w:r>
              <w:rPr>
                <w:bCs/>
                <w:color w:val="000000"/>
                <w:sz w:val="26"/>
                <w:szCs w:val="26"/>
              </w:rPr>
              <w:tab/>
            </w:r>
            <w:r w:rsidRPr="0027693E">
              <w:rPr>
                <w:bCs/>
                <w:color w:val="000000"/>
                <w:sz w:val="26"/>
                <w:szCs w:val="26"/>
              </w:rPr>
              <w:t>C-2014-24</w:t>
            </w:r>
            <w:r>
              <w:rPr>
                <w:bCs/>
                <w:color w:val="000000"/>
                <w:sz w:val="26"/>
                <w:szCs w:val="26"/>
              </w:rPr>
              <w:t>32979</w:t>
            </w:r>
          </w:p>
        </w:tc>
      </w:tr>
    </w:tbl>
    <w:p w:rsidR="00EB238E" w:rsidRDefault="00EB238E" w:rsidP="00EB238E">
      <w:pPr>
        <w:adjustRightInd w:val="0"/>
        <w:rPr>
          <w:bCs/>
          <w:color w:val="000000"/>
          <w:sz w:val="26"/>
          <w:szCs w:val="26"/>
        </w:rPr>
      </w:pPr>
    </w:p>
    <w:p w:rsidR="00EB238E" w:rsidRPr="000C584C" w:rsidRDefault="00EB238E" w:rsidP="00EB238E">
      <w:pPr>
        <w:adjustRightInd w:val="0"/>
        <w:rPr>
          <w:bCs/>
          <w:color w:val="000000"/>
          <w:sz w:val="26"/>
          <w:szCs w:val="26"/>
        </w:rPr>
      </w:pPr>
      <w:r w:rsidRPr="000C584C">
        <w:rPr>
          <w:bCs/>
          <w:color w:val="000000"/>
          <w:sz w:val="26"/>
          <w:szCs w:val="26"/>
        </w:rPr>
        <w:tab/>
      </w:r>
      <w:r w:rsidR="00581E74">
        <w:rPr>
          <w:bCs/>
          <w:color w:val="000000"/>
          <w:sz w:val="26"/>
          <w:szCs w:val="26"/>
        </w:rPr>
        <w:t xml:space="preserve">    </w:t>
      </w:r>
      <w:r w:rsidRPr="000C584C">
        <w:rPr>
          <w:bCs/>
          <w:color w:val="000000"/>
          <w:sz w:val="26"/>
          <w:szCs w:val="26"/>
        </w:rPr>
        <w:t>v.</w:t>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Pr>
          <w:bCs/>
          <w:color w:val="000000"/>
          <w:sz w:val="26"/>
          <w:szCs w:val="26"/>
        </w:rPr>
        <w:t xml:space="preserve">    </w:t>
      </w:r>
    </w:p>
    <w:p w:rsidR="00EB238E" w:rsidRPr="000C584C" w:rsidRDefault="00EB238E" w:rsidP="00EB238E">
      <w:pPr>
        <w:adjustRightInd w:val="0"/>
        <w:rPr>
          <w:bCs/>
          <w:color w:val="000000"/>
          <w:sz w:val="26"/>
          <w:szCs w:val="26"/>
        </w:rPr>
      </w:pP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p>
    <w:p w:rsidR="00EB238E" w:rsidRPr="000C584C" w:rsidRDefault="00EB238E" w:rsidP="00EB238E">
      <w:pPr>
        <w:adjustRightInd w:val="0"/>
        <w:rPr>
          <w:bCs/>
          <w:color w:val="000000"/>
          <w:sz w:val="26"/>
          <w:szCs w:val="26"/>
        </w:rPr>
      </w:pPr>
      <w:r>
        <w:rPr>
          <w:bCs/>
          <w:color w:val="000000"/>
          <w:sz w:val="26"/>
          <w:szCs w:val="26"/>
        </w:rPr>
        <w:t>Blue Pilot Energy, LLC</w:t>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p>
    <w:p w:rsidR="00EB238E" w:rsidRDefault="00EB238E" w:rsidP="00EB238E">
      <w:pPr>
        <w:rPr>
          <w:sz w:val="26"/>
          <w:szCs w:val="26"/>
        </w:rPr>
      </w:pPr>
    </w:p>
    <w:p w:rsidR="00EB238E" w:rsidRDefault="00EB238E" w:rsidP="00EB238E">
      <w:pPr>
        <w:jc w:val="center"/>
        <w:rPr>
          <w:b/>
          <w:sz w:val="26"/>
          <w:szCs w:val="26"/>
        </w:rPr>
      </w:pPr>
    </w:p>
    <w:p w:rsidR="00EB238E" w:rsidRPr="00005240" w:rsidRDefault="00EB238E" w:rsidP="00EB238E">
      <w:pPr>
        <w:jc w:val="center"/>
        <w:rPr>
          <w:b/>
          <w:sz w:val="26"/>
          <w:szCs w:val="26"/>
        </w:rPr>
      </w:pPr>
      <w:r>
        <w:rPr>
          <w:b/>
          <w:sz w:val="26"/>
          <w:szCs w:val="26"/>
        </w:rPr>
        <w:t>OPINION AND ORDER</w:t>
      </w:r>
    </w:p>
    <w:p w:rsidR="00EB238E" w:rsidRDefault="00EB238E" w:rsidP="00EB238E">
      <w:pPr>
        <w:rPr>
          <w:sz w:val="26"/>
          <w:szCs w:val="26"/>
        </w:rPr>
      </w:pPr>
    </w:p>
    <w:p w:rsidR="00EB238E" w:rsidRDefault="00EB238E" w:rsidP="00EB238E">
      <w:pPr>
        <w:rPr>
          <w:b/>
          <w:sz w:val="26"/>
          <w:szCs w:val="26"/>
        </w:rPr>
      </w:pPr>
      <w:r>
        <w:rPr>
          <w:b/>
          <w:sz w:val="26"/>
          <w:szCs w:val="26"/>
        </w:rPr>
        <w:t>BY THE COMMISSION:</w:t>
      </w:r>
    </w:p>
    <w:p w:rsidR="00EB238E" w:rsidRPr="00A37CE0" w:rsidRDefault="00EB238E" w:rsidP="00EB238E">
      <w:pPr>
        <w:rPr>
          <w:b/>
          <w:sz w:val="26"/>
          <w:szCs w:val="26"/>
        </w:rPr>
      </w:pPr>
    </w:p>
    <w:p w:rsidR="00EB238E" w:rsidRDefault="00EB238E" w:rsidP="00EB238E"/>
    <w:p w:rsidR="00EB238E" w:rsidRDefault="00EB238E" w:rsidP="00EB238E">
      <w:pPr>
        <w:spacing w:line="360" w:lineRule="auto"/>
        <w:ind w:firstLine="1440"/>
        <w:rPr>
          <w:color w:val="000000"/>
          <w:sz w:val="26"/>
        </w:rPr>
      </w:pPr>
      <w:r>
        <w:rPr>
          <w:sz w:val="26"/>
          <w:szCs w:val="26"/>
        </w:rPr>
        <w:t>Before t</w:t>
      </w:r>
      <w:r w:rsidRPr="00CA43A5">
        <w:rPr>
          <w:sz w:val="26"/>
          <w:szCs w:val="26"/>
        </w:rPr>
        <w:t>he Pennsylvania Public Utility Commission (Commission)</w:t>
      </w:r>
      <w:r>
        <w:rPr>
          <w:sz w:val="26"/>
          <w:szCs w:val="26"/>
        </w:rPr>
        <w:t xml:space="preserve"> fo</w:t>
      </w:r>
      <w:r w:rsidRPr="00CA43A5">
        <w:rPr>
          <w:sz w:val="26"/>
          <w:szCs w:val="26"/>
        </w:rPr>
        <w:t>r consideration and disposition</w:t>
      </w:r>
      <w:r>
        <w:rPr>
          <w:sz w:val="26"/>
          <w:szCs w:val="26"/>
        </w:rPr>
        <w:t xml:space="preserve"> are the Exceptions of </w:t>
      </w:r>
      <w:r>
        <w:rPr>
          <w:color w:val="000000"/>
          <w:sz w:val="26"/>
        </w:rPr>
        <w:t>Blue Pilot Energy, LLC (Blue Pilot</w:t>
      </w:r>
      <w:r w:rsidR="00E352C8">
        <w:rPr>
          <w:color w:val="000000"/>
          <w:sz w:val="26"/>
        </w:rPr>
        <w:t>, Company,</w:t>
      </w:r>
      <w:r w:rsidR="00183C6F">
        <w:rPr>
          <w:color w:val="000000"/>
          <w:sz w:val="26"/>
        </w:rPr>
        <w:t xml:space="preserve"> or Respondent</w:t>
      </w:r>
      <w:r>
        <w:rPr>
          <w:color w:val="000000"/>
          <w:sz w:val="26"/>
        </w:rPr>
        <w:t>)</w:t>
      </w:r>
      <w:r>
        <w:rPr>
          <w:sz w:val="26"/>
          <w:szCs w:val="26"/>
        </w:rPr>
        <w:t xml:space="preserve"> filed on April 2, 2015, to the Initial Decision</w:t>
      </w:r>
      <w:r w:rsidR="00FC1A10">
        <w:rPr>
          <w:sz w:val="26"/>
          <w:szCs w:val="26"/>
        </w:rPr>
        <w:t xml:space="preserve"> </w:t>
      </w:r>
      <w:r w:rsidR="00647DA4">
        <w:rPr>
          <w:sz w:val="26"/>
          <w:szCs w:val="26"/>
        </w:rPr>
        <w:t xml:space="preserve">(I.D.) </w:t>
      </w:r>
      <w:r>
        <w:rPr>
          <w:sz w:val="26"/>
          <w:szCs w:val="26"/>
        </w:rPr>
        <w:t>of Administrative Law Judge (ALJ) Joel H. Cheskis issued on March 13, 2015</w:t>
      </w:r>
      <w:r>
        <w:rPr>
          <w:color w:val="000000"/>
          <w:sz w:val="26"/>
        </w:rPr>
        <w:t xml:space="preserve">.  </w:t>
      </w:r>
      <w:r w:rsidR="00BD4B16">
        <w:rPr>
          <w:color w:val="000000"/>
          <w:sz w:val="26"/>
        </w:rPr>
        <w:t xml:space="preserve">On April 13, 2015, Enrico Partners L.P. (Enrico or Complainant) filed </w:t>
      </w:r>
      <w:r>
        <w:rPr>
          <w:color w:val="000000"/>
          <w:sz w:val="26"/>
        </w:rPr>
        <w:t xml:space="preserve">Replies to Exceptions.  </w:t>
      </w:r>
      <w:r w:rsidR="00BD4B16">
        <w:rPr>
          <w:color w:val="000000"/>
          <w:sz w:val="26"/>
        </w:rPr>
        <w:t>For the reasons below</w:t>
      </w:r>
      <w:r>
        <w:rPr>
          <w:color w:val="000000"/>
          <w:sz w:val="26"/>
        </w:rPr>
        <w:t>, we</w:t>
      </w:r>
      <w:r w:rsidR="00EF0CE0">
        <w:rPr>
          <w:color w:val="000000"/>
          <w:sz w:val="26"/>
        </w:rPr>
        <w:t xml:space="preserve"> </w:t>
      </w:r>
      <w:r w:rsidR="00C65006">
        <w:rPr>
          <w:color w:val="000000"/>
          <w:sz w:val="26"/>
        </w:rPr>
        <w:t>shall</w:t>
      </w:r>
      <w:r>
        <w:rPr>
          <w:color w:val="000000"/>
          <w:sz w:val="26"/>
        </w:rPr>
        <w:t xml:space="preserve"> </w:t>
      </w:r>
      <w:r w:rsidR="00424735">
        <w:rPr>
          <w:color w:val="000000"/>
          <w:sz w:val="26"/>
        </w:rPr>
        <w:t>grant the Exceptions, in part</w:t>
      </w:r>
      <w:r w:rsidR="00BD4B16">
        <w:rPr>
          <w:color w:val="000000"/>
          <w:sz w:val="26"/>
        </w:rPr>
        <w:t xml:space="preserve">, deny them, in part, and adopt the </w:t>
      </w:r>
      <w:r w:rsidR="00F41512">
        <w:rPr>
          <w:color w:val="000000"/>
          <w:sz w:val="26"/>
        </w:rPr>
        <w:t>Initial Decision</w:t>
      </w:r>
      <w:r w:rsidR="00BD4B16">
        <w:rPr>
          <w:color w:val="000000"/>
          <w:sz w:val="26"/>
        </w:rPr>
        <w:t xml:space="preserve">, as modified.  </w:t>
      </w:r>
    </w:p>
    <w:p w:rsidR="00183C6F" w:rsidRPr="0045178D" w:rsidRDefault="00183C6F" w:rsidP="00EB238E">
      <w:pPr>
        <w:spacing w:line="360" w:lineRule="auto"/>
        <w:rPr>
          <w:color w:val="000000"/>
          <w:sz w:val="26"/>
        </w:rPr>
      </w:pPr>
    </w:p>
    <w:p w:rsidR="000C31BB" w:rsidRDefault="000C31BB">
      <w:pPr>
        <w:widowControl/>
        <w:spacing w:after="200" w:line="276" w:lineRule="auto"/>
        <w:rPr>
          <w:b/>
          <w:sz w:val="26"/>
          <w:szCs w:val="26"/>
        </w:rPr>
      </w:pPr>
      <w:r>
        <w:rPr>
          <w:b/>
          <w:sz w:val="26"/>
          <w:szCs w:val="26"/>
        </w:rPr>
        <w:br w:type="page"/>
      </w:r>
    </w:p>
    <w:p w:rsidR="005965D6" w:rsidRDefault="00EB238E" w:rsidP="00C74746">
      <w:pPr>
        <w:spacing w:line="360" w:lineRule="auto"/>
        <w:jc w:val="center"/>
        <w:rPr>
          <w:b/>
          <w:sz w:val="26"/>
          <w:szCs w:val="26"/>
        </w:rPr>
      </w:pPr>
      <w:r>
        <w:rPr>
          <w:b/>
          <w:sz w:val="26"/>
          <w:szCs w:val="26"/>
        </w:rPr>
        <w:lastRenderedPageBreak/>
        <w:t>Background</w:t>
      </w:r>
    </w:p>
    <w:p w:rsidR="00D90BC1" w:rsidRDefault="00D90BC1" w:rsidP="00C74746">
      <w:pPr>
        <w:spacing w:line="360" w:lineRule="auto"/>
        <w:jc w:val="center"/>
        <w:rPr>
          <w:sz w:val="26"/>
          <w:szCs w:val="26"/>
        </w:rPr>
      </w:pPr>
    </w:p>
    <w:p w:rsidR="00EB238E" w:rsidRDefault="00EB238E" w:rsidP="00EF0CE0">
      <w:pPr>
        <w:adjustRightInd w:val="0"/>
        <w:spacing w:line="360" w:lineRule="auto"/>
        <w:ind w:firstLine="1440"/>
        <w:rPr>
          <w:bCs/>
          <w:color w:val="000000"/>
          <w:sz w:val="26"/>
          <w:szCs w:val="26"/>
        </w:rPr>
      </w:pPr>
      <w:r>
        <w:rPr>
          <w:bCs/>
          <w:color w:val="000000"/>
          <w:sz w:val="26"/>
          <w:szCs w:val="26"/>
        </w:rPr>
        <w:t>Blue Pilot is an electric generation supplier (EGS)</w:t>
      </w:r>
      <w:r w:rsidR="00EF0CE0" w:rsidRPr="00EF0CE0">
        <w:rPr>
          <w:bCs/>
          <w:color w:val="000000"/>
          <w:sz w:val="26"/>
          <w:szCs w:val="26"/>
        </w:rPr>
        <w:t xml:space="preserve"> </w:t>
      </w:r>
      <w:r w:rsidR="00BD4B16">
        <w:rPr>
          <w:bCs/>
          <w:color w:val="000000"/>
          <w:sz w:val="26"/>
          <w:szCs w:val="26"/>
        </w:rPr>
        <w:t>that provided</w:t>
      </w:r>
      <w:r w:rsidR="00EF0CE0">
        <w:rPr>
          <w:bCs/>
          <w:color w:val="000000"/>
          <w:sz w:val="26"/>
          <w:szCs w:val="26"/>
        </w:rPr>
        <w:t xml:space="preserve"> variable rate contract supplier services to Pennsylvania customers. </w:t>
      </w:r>
      <w:r w:rsidR="00BD4B16">
        <w:rPr>
          <w:bCs/>
          <w:color w:val="000000"/>
          <w:sz w:val="26"/>
          <w:szCs w:val="26"/>
        </w:rPr>
        <w:t xml:space="preserve"> </w:t>
      </w:r>
      <w:r w:rsidR="000C31BB">
        <w:rPr>
          <w:bCs/>
          <w:color w:val="000000"/>
          <w:sz w:val="26"/>
          <w:szCs w:val="26"/>
        </w:rPr>
        <w:t>On June 10, 2011, t</w:t>
      </w:r>
      <w:r w:rsidR="00BD4B16">
        <w:rPr>
          <w:bCs/>
          <w:color w:val="000000"/>
          <w:sz w:val="26"/>
          <w:szCs w:val="26"/>
        </w:rPr>
        <w:t xml:space="preserve">he </w:t>
      </w:r>
      <w:r w:rsidR="000C31BB">
        <w:rPr>
          <w:bCs/>
          <w:color w:val="000000"/>
          <w:sz w:val="26"/>
          <w:szCs w:val="26"/>
        </w:rPr>
        <w:t xml:space="preserve">Commission approved the application of the </w:t>
      </w:r>
      <w:r w:rsidR="00BD4B16">
        <w:rPr>
          <w:bCs/>
          <w:color w:val="000000"/>
          <w:sz w:val="26"/>
          <w:szCs w:val="26"/>
        </w:rPr>
        <w:t xml:space="preserve">Company </w:t>
      </w:r>
      <w:r>
        <w:rPr>
          <w:bCs/>
          <w:color w:val="000000"/>
          <w:sz w:val="26"/>
          <w:szCs w:val="26"/>
        </w:rPr>
        <w:t>to provide EGS service to residential, small commercial, large commercial, and industrial customers.</w:t>
      </w:r>
      <w:r w:rsidR="00BD4B16">
        <w:rPr>
          <w:rStyle w:val="FootnoteReference"/>
          <w:bCs/>
          <w:color w:val="000000"/>
          <w:sz w:val="26"/>
          <w:szCs w:val="26"/>
        </w:rPr>
        <w:footnoteReference w:id="1"/>
      </w:r>
      <w:r w:rsidR="00BD4B16">
        <w:rPr>
          <w:bCs/>
          <w:color w:val="000000"/>
          <w:sz w:val="26"/>
          <w:szCs w:val="26"/>
        </w:rPr>
        <w:t xml:space="preserve"> </w:t>
      </w:r>
      <w:r>
        <w:rPr>
          <w:bCs/>
          <w:color w:val="000000"/>
          <w:sz w:val="26"/>
          <w:szCs w:val="26"/>
        </w:rPr>
        <w:t xml:space="preserve">    </w:t>
      </w:r>
    </w:p>
    <w:p w:rsidR="00EB238E" w:rsidRDefault="00EB238E" w:rsidP="00EF0CE0">
      <w:pPr>
        <w:adjustRightInd w:val="0"/>
        <w:spacing w:line="360" w:lineRule="auto"/>
        <w:rPr>
          <w:bCs/>
          <w:color w:val="000000"/>
          <w:sz w:val="26"/>
          <w:szCs w:val="26"/>
        </w:rPr>
      </w:pPr>
    </w:p>
    <w:p w:rsidR="00241274" w:rsidRDefault="00EB238E" w:rsidP="00EB238E">
      <w:pPr>
        <w:adjustRightInd w:val="0"/>
        <w:spacing w:line="360" w:lineRule="auto"/>
        <w:ind w:firstLine="1440"/>
        <w:rPr>
          <w:bCs/>
          <w:color w:val="000000"/>
          <w:sz w:val="26"/>
          <w:szCs w:val="26"/>
        </w:rPr>
      </w:pPr>
      <w:r>
        <w:rPr>
          <w:bCs/>
          <w:color w:val="000000"/>
          <w:sz w:val="26"/>
          <w:szCs w:val="26"/>
        </w:rPr>
        <w:t>Under Blue Pilot’s variable rate contracts, customers receive</w:t>
      </w:r>
      <w:r w:rsidR="00CC2B01">
        <w:rPr>
          <w:bCs/>
          <w:color w:val="000000"/>
          <w:sz w:val="26"/>
          <w:szCs w:val="26"/>
        </w:rPr>
        <w:t>d</w:t>
      </w:r>
      <w:r>
        <w:rPr>
          <w:bCs/>
          <w:color w:val="000000"/>
          <w:sz w:val="26"/>
          <w:szCs w:val="26"/>
        </w:rPr>
        <w:t xml:space="preserve"> an initial rate that </w:t>
      </w:r>
      <w:r w:rsidR="006059E4">
        <w:rPr>
          <w:bCs/>
          <w:color w:val="000000"/>
          <w:sz w:val="26"/>
          <w:szCs w:val="26"/>
        </w:rPr>
        <w:t>was</w:t>
      </w:r>
      <w:r>
        <w:rPr>
          <w:bCs/>
          <w:color w:val="000000"/>
          <w:sz w:val="26"/>
          <w:szCs w:val="26"/>
        </w:rPr>
        <w:t xml:space="preserve"> guaranteed for a specific period, in this case</w:t>
      </w:r>
      <w:r w:rsidR="008239AE">
        <w:rPr>
          <w:bCs/>
          <w:color w:val="000000"/>
          <w:sz w:val="26"/>
          <w:szCs w:val="26"/>
        </w:rPr>
        <w:t xml:space="preserve"> for </w:t>
      </w:r>
      <w:r>
        <w:rPr>
          <w:bCs/>
          <w:color w:val="000000"/>
          <w:sz w:val="26"/>
          <w:szCs w:val="26"/>
        </w:rPr>
        <w:t xml:space="preserve">sixty days.  After the </w:t>
      </w:r>
      <w:r w:rsidR="008239AE">
        <w:rPr>
          <w:bCs/>
          <w:color w:val="000000"/>
          <w:sz w:val="26"/>
          <w:szCs w:val="26"/>
        </w:rPr>
        <w:t xml:space="preserve">conclusion of the </w:t>
      </w:r>
      <w:r>
        <w:rPr>
          <w:bCs/>
          <w:color w:val="000000"/>
          <w:sz w:val="26"/>
          <w:szCs w:val="26"/>
        </w:rPr>
        <w:t xml:space="preserve">rate-guaranteed period, a customer’s rate </w:t>
      </w:r>
      <w:r w:rsidR="00CC2B01">
        <w:rPr>
          <w:bCs/>
          <w:color w:val="000000"/>
          <w:sz w:val="26"/>
          <w:szCs w:val="26"/>
        </w:rPr>
        <w:t>could have</w:t>
      </w:r>
      <w:r>
        <w:rPr>
          <w:bCs/>
          <w:color w:val="000000"/>
          <w:sz w:val="26"/>
          <w:szCs w:val="26"/>
        </w:rPr>
        <w:t xml:space="preserve"> increase</w:t>
      </w:r>
      <w:r w:rsidR="00CC2B01">
        <w:rPr>
          <w:bCs/>
          <w:color w:val="000000"/>
          <w:sz w:val="26"/>
          <w:szCs w:val="26"/>
        </w:rPr>
        <w:t>d</w:t>
      </w:r>
      <w:r>
        <w:rPr>
          <w:bCs/>
          <w:color w:val="000000"/>
          <w:sz w:val="26"/>
          <w:szCs w:val="26"/>
        </w:rPr>
        <w:t xml:space="preserve"> or decrease</w:t>
      </w:r>
      <w:r w:rsidR="00CC2B01">
        <w:rPr>
          <w:bCs/>
          <w:color w:val="000000"/>
          <w:sz w:val="26"/>
          <w:szCs w:val="26"/>
        </w:rPr>
        <w:t>d</w:t>
      </w:r>
      <w:r>
        <w:rPr>
          <w:bCs/>
          <w:color w:val="000000"/>
          <w:sz w:val="26"/>
          <w:szCs w:val="26"/>
        </w:rPr>
        <w:t>.</w:t>
      </w:r>
      <w:r w:rsidR="00663C7B">
        <w:rPr>
          <w:bCs/>
          <w:color w:val="000000"/>
          <w:sz w:val="26"/>
          <w:szCs w:val="26"/>
        </w:rPr>
        <w:t xml:space="preserve">  </w:t>
      </w:r>
    </w:p>
    <w:p w:rsidR="008F3CD1" w:rsidRDefault="008F3CD1" w:rsidP="00EB238E">
      <w:pPr>
        <w:adjustRightInd w:val="0"/>
        <w:spacing w:line="360" w:lineRule="auto"/>
        <w:ind w:firstLine="1440"/>
        <w:rPr>
          <w:bCs/>
          <w:color w:val="000000"/>
          <w:sz w:val="26"/>
          <w:szCs w:val="26"/>
        </w:rPr>
      </w:pPr>
    </w:p>
    <w:p w:rsidR="0098608F" w:rsidRDefault="00241274" w:rsidP="00FE0F6C">
      <w:pPr>
        <w:adjustRightInd w:val="0"/>
        <w:spacing w:line="360" w:lineRule="auto"/>
        <w:ind w:firstLine="1440"/>
        <w:rPr>
          <w:bCs/>
          <w:color w:val="000000"/>
          <w:sz w:val="26"/>
          <w:szCs w:val="26"/>
        </w:rPr>
      </w:pPr>
      <w:r>
        <w:rPr>
          <w:bCs/>
          <w:color w:val="000000"/>
          <w:sz w:val="26"/>
          <w:szCs w:val="26"/>
        </w:rPr>
        <w:t xml:space="preserve">Enrico enrolled in a variable rate plan for </w:t>
      </w:r>
      <w:r w:rsidR="005965D6">
        <w:rPr>
          <w:bCs/>
          <w:color w:val="000000"/>
          <w:sz w:val="26"/>
          <w:szCs w:val="26"/>
        </w:rPr>
        <w:t>EGS service</w:t>
      </w:r>
      <w:r>
        <w:rPr>
          <w:bCs/>
          <w:color w:val="000000"/>
          <w:sz w:val="26"/>
          <w:szCs w:val="26"/>
        </w:rPr>
        <w:t xml:space="preserve"> </w:t>
      </w:r>
      <w:r w:rsidR="008F3CD1">
        <w:rPr>
          <w:bCs/>
          <w:color w:val="000000"/>
          <w:sz w:val="26"/>
          <w:szCs w:val="26"/>
        </w:rPr>
        <w:t xml:space="preserve">with Blue Pilot </w:t>
      </w:r>
      <w:r>
        <w:rPr>
          <w:bCs/>
          <w:color w:val="000000"/>
          <w:sz w:val="26"/>
          <w:szCs w:val="26"/>
        </w:rPr>
        <w:t>on January 7, 2014</w:t>
      </w:r>
      <w:r w:rsidR="00FE0F6C">
        <w:rPr>
          <w:bCs/>
          <w:color w:val="000000"/>
          <w:sz w:val="26"/>
          <w:szCs w:val="26"/>
        </w:rPr>
        <w:t xml:space="preserve">, and began receiving service on March 7, 2014.  </w:t>
      </w:r>
      <w:r>
        <w:rPr>
          <w:bCs/>
          <w:color w:val="000000"/>
          <w:sz w:val="26"/>
          <w:szCs w:val="26"/>
        </w:rPr>
        <w:t>The applicable</w:t>
      </w:r>
      <w:r w:rsidR="008F3CD1">
        <w:rPr>
          <w:bCs/>
          <w:color w:val="000000"/>
          <w:sz w:val="26"/>
          <w:szCs w:val="26"/>
        </w:rPr>
        <w:t xml:space="preserve"> </w:t>
      </w:r>
      <w:r w:rsidR="005965D6">
        <w:rPr>
          <w:bCs/>
          <w:color w:val="000000"/>
          <w:sz w:val="26"/>
          <w:szCs w:val="26"/>
        </w:rPr>
        <w:t>terms and conditions of the agreement</w:t>
      </w:r>
      <w:r w:rsidR="00A64733">
        <w:rPr>
          <w:bCs/>
          <w:color w:val="000000"/>
          <w:sz w:val="26"/>
          <w:szCs w:val="26"/>
        </w:rPr>
        <w:t xml:space="preserve"> </w:t>
      </w:r>
      <w:r w:rsidR="00A37E1A">
        <w:rPr>
          <w:bCs/>
          <w:color w:val="000000"/>
          <w:sz w:val="26"/>
          <w:szCs w:val="26"/>
        </w:rPr>
        <w:t>we</w:t>
      </w:r>
      <w:r w:rsidR="00A64733">
        <w:rPr>
          <w:bCs/>
          <w:color w:val="000000"/>
          <w:sz w:val="26"/>
          <w:szCs w:val="26"/>
        </w:rPr>
        <w:t xml:space="preserve">re set forth in a document </w:t>
      </w:r>
      <w:r w:rsidR="00CC2B01">
        <w:rPr>
          <w:bCs/>
          <w:color w:val="000000"/>
          <w:sz w:val="26"/>
          <w:szCs w:val="26"/>
        </w:rPr>
        <w:t>titled</w:t>
      </w:r>
      <w:r>
        <w:rPr>
          <w:bCs/>
          <w:color w:val="000000"/>
          <w:sz w:val="26"/>
          <w:szCs w:val="26"/>
        </w:rPr>
        <w:t xml:space="preserve"> </w:t>
      </w:r>
      <w:r w:rsidR="00A64733">
        <w:rPr>
          <w:bCs/>
          <w:color w:val="000000"/>
          <w:sz w:val="26"/>
          <w:szCs w:val="26"/>
        </w:rPr>
        <w:t>“</w:t>
      </w:r>
      <w:r>
        <w:rPr>
          <w:bCs/>
          <w:color w:val="000000"/>
          <w:sz w:val="26"/>
          <w:szCs w:val="26"/>
        </w:rPr>
        <w:t>Purchase of Electric Power and Enrollment Form</w:t>
      </w:r>
      <w:r w:rsidR="00A64733">
        <w:rPr>
          <w:bCs/>
          <w:color w:val="000000"/>
          <w:sz w:val="26"/>
          <w:szCs w:val="26"/>
        </w:rPr>
        <w:t>”</w:t>
      </w:r>
      <w:r>
        <w:rPr>
          <w:bCs/>
          <w:color w:val="000000"/>
          <w:sz w:val="26"/>
          <w:szCs w:val="26"/>
        </w:rPr>
        <w:t xml:space="preserve"> (Service Agreement)</w:t>
      </w:r>
      <w:r w:rsidR="00A64733">
        <w:rPr>
          <w:bCs/>
          <w:color w:val="000000"/>
          <w:sz w:val="26"/>
          <w:szCs w:val="26"/>
        </w:rPr>
        <w:t xml:space="preserve">.  </w:t>
      </w:r>
      <w:r w:rsidR="001A710D">
        <w:rPr>
          <w:bCs/>
          <w:color w:val="000000"/>
          <w:sz w:val="26"/>
          <w:szCs w:val="26"/>
        </w:rPr>
        <w:t xml:space="preserve">In pertinent part, </w:t>
      </w:r>
      <w:r w:rsidR="00A64733">
        <w:rPr>
          <w:bCs/>
          <w:color w:val="000000"/>
          <w:sz w:val="26"/>
          <w:szCs w:val="26"/>
        </w:rPr>
        <w:t>the Service Agreement</w:t>
      </w:r>
      <w:r w:rsidR="00663C7B">
        <w:rPr>
          <w:bCs/>
          <w:color w:val="000000"/>
          <w:sz w:val="26"/>
          <w:szCs w:val="26"/>
        </w:rPr>
        <w:t>,</w:t>
      </w:r>
      <w:r w:rsidR="00A64733">
        <w:rPr>
          <w:bCs/>
          <w:color w:val="000000"/>
          <w:sz w:val="26"/>
          <w:szCs w:val="26"/>
        </w:rPr>
        <w:t xml:space="preserve"> </w:t>
      </w:r>
      <w:r w:rsidR="001A710D">
        <w:rPr>
          <w:bCs/>
          <w:color w:val="000000"/>
          <w:sz w:val="26"/>
          <w:szCs w:val="26"/>
        </w:rPr>
        <w:t xml:space="preserve">stated:  </w:t>
      </w:r>
    </w:p>
    <w:p w:rsidR="0098608F" w:rsidRDefault="0098608F" w:rsidP="00FE0F6C">
      <w:pPr>
        <w:adjustRightInd w:val="0"/>
        <w:spacing w:line="360" w:lineRule="auto"/>
        <w:ind w:firstLine="1440"/>
        <w:rPr>
          <w:bCs/>
          <w:color w:val="000000"/>
          <w:sz w:val="26"/>
          <w:szCs w:val="26"/>
        </w:rPr>
      </w:pPr>
    </w:p>
    <w:p w:rsidR="0098608F" w:rsidRPr="00990160" w:rsidRDefault="001A710D" w:rsidP="0098608F">
      <w:pPr>
        <w:ind w:left="1440" w:right="1440"/>
        <w:rPr>
          <w:sz w:val="26"/>
          <w:szCs w:val="26"/>
        </w:rPr>
      </w:pPr>
      <w:r>
        <w:rPr>
          <w:sz w:val="26"/>
          <w:szCs w:val="26"/>
        </w:rPr>
        <w:t xml:space="preserve">TERMS OF SERVICE:  You will pay </w:t>
      </w:r>
      <w:r w:rsidR="0098608F" w:rsidRPr="00990160">
        <w:rPr>
          <w:sz w:val="26"/>
          <w:szCs w:val="26"/>
        </w:rPr>
        <w:t xml:space="preserve">a variable rate with the starting price set at </w:t>
      </w:r>
      <w:r w:rsidR="0098608F" w:rsidRPr="00990160">
        <w:rPr>
          <w:b/>
          <w:sz w:val="26"/>
          <w:szCs w:val="26"/>
          <w:u w:val="single"/>
        </w:rPr>
        <w:t>7.9 cents per kwh</w:t>
      </w:r>
      <w:r w:rsidR="0098608F" w:rsidRPr="00990160">
        <w:rPr>
          <w:sz w:val="26"/>
          <w:szCs w:val="26"/>
        </w:rPr>
        <w:t xml:space="preserve">.  This initial rate will be effective for at least the first sixty (60) days of service.  Thereafter, your price may vary on a month-to-month basis.  This price includes Transmission Charges, but excludes applicable state and local Sales Taxes, Gross Receipts Taxes, </w:t>
      </w:r>
      <w:r w:rsidR="0098608F" w:rsidRPr="00990160">
        <w:rPr>
          <w:sz w:val="26"/>
          <w:szCs w:val="26"/>
        </w:rPr>
        <w:lastRenderedPageBreak/>
        <w:t xml:space="preserve">and the Distribution Charges from your local EDC.  At any time after 60 days of service, but not more frequently than monthly, we may increase or decrease your rate based upon several factors, including changes in wholesale energy market prices in the PJM Markets.  Your variable rate will be based upon PJM wholesale market conditions.  Please log on to </w:t>
      </w:r>
      <w:hyperlink r:id="rId9" w:history="1">
        <w:r w:rsidR="0098608F" w:rsidRPr="00990160">
          <w:rPr>
            <w:rStyle w:val="Hyperlink"/>
            <w:sz w:val="26"/>
            <w:szCs w:val="26"/>
          </w:rPr>
          <w:t>www.bluepilotenergy.com</w:t>
        </w:r>
      </w:hyperlink>
      <w:r w:rsidR="0098608F" w:rsidRPr="00990160">
        <w:rPr>
          <w:sz w:val="26"/>
          <w:szCs w:val="26"/>
        </w:rPr>
        <w:t xml:space="preserve"> or call Customer Service at 877-513-0246 for additional information and updates.</w:t>
      </w:r>
    </w:p>
    <w:p w:rsidR="0098608F" w:rsidRPr="00600E97" w:rsidRDefault="0098608F" w:rsidP="00990160">
      <w:pPr>
        <w:adjustRightInd w:val="0"/>
        <w:ind w:left="1440" w:right="1440"/>
        <w:rPr>
          <w:bCs/>
          <w:color w:val="000000"/>
          <w:sz w:val="26"/>
          <w:szCs w:val="26"/>
        </w:rPr>
      </w:pPr>
    </w:p>
    <w:p w:rsidR="00C74746" w:rsidRDefault="006059E4" w:rsidP="00990160">
      <w:pPr>
        <w:spacing w:line="360" w:lineRule="auto"/>
        <w:rPr>
          <w:bCs/>
          <w:color w:val="000000"/>
          <w:sz w:val="26"/>
          <w:szCs w:val="26"/>
        </w:rPr>
      </w:pPr>
      <w:r>
        <w:rPr>
          <w:bCs/>
          <w:color w:val="000000"/>
          <w:sz w:val="26"/>
          <w:szCs w:val="26"/>
        </w:rPr>
        <w:t>Exh. 5</w:t>
      </w:r>
      <w:r w:rsidR="00066885">
        <w:rPr>
          <w:bCs/>
          <w:color w:val="000000"/>
          <w:sz w:val="26"/>
          <w:szCs w:val="26"/>
        </w:rPr>
        <w:t xml:space="preserve"> at </w:t>
      </w:r>
      <w:r>
        <w:rPr>
          <w:bCs/>
          <w:color w:val="000000"/>
          <w:sz w:val="26"/>
          <w:szCs w:val="26"/>
        </w:rPr>
        <w:t xml:space="preserve">3.  </w:t>
      </w:r>
      <w:r w:rsidR="0098608F">
        <w:rPr>
          <w:bCs/>
          <w:color w:val="000000"/>
          <w:sz w:val="26"/>
          <w:szCs w:val="26"/>
        </w:rPr>
        <w:t xml:space="preserve"> </w:t>
      </w:r>
    </w:p>
    <w:p w:rsidR="0098608F" w:rsidRDefault="0098608F" w:rsidP="00990160">
      <w:pPr>
        <w:spacing w:line="360" w:lineRule="auto"/>
        <w:rPr>
          <w:bCs/>
          <w:color w:val="000000"/>
          <w:sz w:val="26"/>
          <w:szCs w:val="26"/>
        </w:rPr>
      </w:pPr>
    </w:p>
    <w:p w:rsidR="007B4FD5" w:rsidRPr="008239AE" w:rsidRDefault="00EF0CE0" w:rsidP="00CF40F1">
      <w:pPr>
        <w:spacing w:line="360" w:lineRule="auto"/>
        <w:ind w:firstLine="1440"/>
        <w:rPr>
          <w:sz w:val="26"/>
          <w:szCs w:val="26"/>
        </w:rPr>
      </w:pPr>
      <w:r w:rsidRPr="00817836">
        <w:rPr>
          <w:sz w:val="26"/>
          <w:szCs w:val="26"/>
        </w:rPr>
        <w:t xml:space="preserve">Enrico received three bills comprising </w:t>
      </w:r>
      <w:r w:rsidR="00632C19">
        <w:rPr>
          <w:sz w:val="26"/>
          <w:szCs w:val="26"/>
        </w:rPr>
        <w:t xml:space="preserve">ninety </w:t>
      </w:r>
      <w:r w:rsidRPr="00817836">
        <w:rPr>
          <w:sz w:val="26"/>
          <w:szCs w:val="26"/>
        </w:rPr>
        <w:t xml:space="preserve">days of service </w:t>
      </w:r>
      <w:r w:rsidR="00235E0F">
        <w:rPr>
          <w:sz w:val="26"/>
          <w:szCs w:val="26"/>
        </w:rPr>
        <w:t xml:space="preserve">for electric generation </w:t>
      </w:r>
      <w:r w:rsidRPr="00817836">
        <w:rPr>
          <w:sz w:val="26"/>
          <w:szCs w:val="26"/>
        </w:rPr>
        <w:t xml:space="preserve">at the rate of </w:t>
      </w:r>
      <w:r w:rsidR="006059E4">
        <w:rPr>
          <w:sz w:val="26"/>
          <w:szCs w:val="26"/>
        </w:rPr>
        <w:t>$0.07</w:t>
      </w:r>
      <w:r w:rsidRPr="00817836">
        <w:rPr>
          <w:sz w:val="26"/>
          <w:szCs w:val="26"/>
        </w:rPr>
        <w:t>9 per k</w:t>
      </w:r>
      <w:r w:rsidR="00235E0F">
        <w:rPr>
          <w:sz w:val="26"/>
          <w:szCs w:val="26"/>
        </w:rPr>
        <w:t>W</w:t>
      </w:r>
      <w:r w:rsidRPr="00817836">
        <w:rPr>
          <w:sz w:val="26"/>
          <w:szCs w:val="26"/>
        </w:rPr>
        <w:t>h</w:t>
      </w:r>
      <w:r w:rsidR="00F21840">
        <w:rPr>
          <w:sz w:val="26"/>
          <w:szCs w:val="26"/>
        </w:rPr>
        <w:t>.  After this,</w:t>
      </w:r>
      <w:r w:rsidRPr="00817836">
        <w:rPr>
          <w:sz w:val="26"/>
          <w:szCs w:val="26"/>
        </w:rPr>
        <w:t xml:space="preserve"> the price increased to </w:t>
      </w:r>
      <w:r w:rsidR="008239AE">
        <w:rPr>
          <w:sz w:val="26"/>
          <w:szCs w:val="26"/>
        </w:rPr>
        <w:t>$0.24</w:t>
      </w:r>
      <w:r w:rsidRPr="00817836">
        <w:rPr>
          <w:sz w:val="26"/>
          <w:szCs w:val="26"/>
        </w:rPr>
        <w:t>9 per k</w:t>
      </w:r>
      <w:r w:rsidR="00235E0F">
        <w:rPr>
          <w:sz w:val="26"/>
          <w:szCs w:val="26"/>
        </w:rPr>
        <w:t>W</w:t>
      </w:r>
      <w:r w:rsidRPr="00817836">
        <w:rPr>
          <w:sz w:val="26"/>
          <w:szCs w:val="26"/>
        </w:rPr>
        <w:t>h in the fourth billing period.</w:t>
      </w:r>
      <w:r>
        <w:rPr>
          <w:sz w:val="26"/>
          <w:szCs w:val="26"/>
        </w:rPr>
        <w:t xml:space="preserve">  </w:t>
      </w:r>
      <w:r w:rsidR="007B4FD5" w:rsidRPr="00817836">
        <w:rPr>
          <w:sz w:val="26"/>
          <w:szCs w:val="26"/>
        </w:rPr>
        <w:t xml:space="preserve">Enrico switched its electric generation service back to </w:t>
      </w:r>
      <w:r w:rsidR="008239AE">
        <w:rPr>
          <w:sz w:val="26"/>
          <w:szCs w:val="26"/>
        </w:rPr>
        <w:t xml:space="preserve">the default service provided by </w:t>
      </w:r>
      <w:r w:rsidR="00D94B27">
        <w:rPr>
          <w:sz w:val="26"/>
          <w:szCs w:val="26"/>
        </w:rPr>
        <w:t>PECO Energy Company (</w:t>
      </w:r>
      <w:r w:rsidR="008239AE">
        <w:rPr>
          <w:sz w:val="26"/>
          <w:szCs w:val="26"/>
        </w:rPr>
        <w:t>PECO</w:t>
      </w:r>
      <w:r w:rsidR="004308FE">
        <w:rPr>
          <w:sz w:val="26"/>
          <w:szCs w:val="26"/>
        </w:rPr>
        <w:t>)</w:t>
      </w:r>
      <w:r w:rsidR="007B4FD5">
        <w:rPr>
          <w:sz w:val="26"/>
          <w:szCs w:val="26"/>
        </w:rPr>
        <w:t>,</w:t>
      </w:r>
      <w:r w:rsidR="007B4FD5" w:rsidRPr="00817836">
        <w:rPr>
          <w:sz w:val="26"/>
          <w:szCs w:val="26"/>
        </w:rPr>
        <w:t xml:space="preserve"> effective August 5, 2014.</w:t>
      </w:r>
      <w:r w:rsidR="007B4FD5">
        <w:rPr>
          <w:sz w:val="26"/>
          <w:szCs w:val="26"/>
        </w:rPr>
        <w:t xml:space="preserve">  </w:t>
      </w:r>
      <w:r w:rsidR="008239AE">
        <w:rPr>
          <w:sz w:val="26"/>
          <w:szCs w:val="26"/>
        </w:rPr>
        <w:t xml:space="preserve">I.D. at 4.  </w:t>
      </w:r>
    </w:p>
    <w:p w:rsidR="00EF0CE0" w:rsidRDefault="00241274" w:rsidP="007B4FD5">
      <w:pPr>
        <w:adjustRightInd w:val="0"/>
        <w:spacing w:line="360" w:lineRule="auto"/>
        <w:rPr>
          <w:bCs/>
          <w:color w:val="000000"/>
          <w:sz w:val="26"/>
          <w:szCs w:val="26"/>
        </w:rPr>
      </w:pPr>
      <w:r>
        <w:rPr>
          <w:bCs/>
          <w:color w:val="000000"/>
          <w:sz w:val="26"/>
          <w:szCs w:val="26"/>
        </w:rPr>
        <w:t xml:space="preserve"> </w:t>
      </w:r>
    </w:p>
    <w:p w:rsidR="001610F7" w:rsidRDefault="008239AE">
      <w:pPr>
        <w:pStyle w:val="Style"/>
        <w:spacing w:line="360" w:lineRule="auto"/>
        <w:ind w:firstLine="1440"/>
        <w:rPr>
          <w:bCs/>
          <w:color w:val="000000"/>
          <w:sz w:val="26"/>
          <w:szCs w:val="26"/>
        </w:rPr>
      </w:pPr>
      <w:r>
        <w:rPr>
          <w:bCs/>
          <w:color w:val="000000"/>
          <w:sz w:val="26"/>
          <w:szCs w:val="26"/>
        </w:rPr>
        <w:t>The</w:t>
      </w:r>
      <w:r w:rsidR="00EB238E">
        <w:rPr>
          <w:bCs/>
          <w:color w:val="000000"/>
          <w:sz w:val="26"/>
          <w:szCs w:val="26"/>
        </w:rPr>
        <w:t xml:space="preserve"> language in Blue Pilot’s </w:t>
      </w:r>
      <w:r w:rsidR="00D37CC5">
        <w:rPr>
          <w:bCs/>
          <w:color w:val="000000"/>
          <w:sz w:val="26"/>
          <w:szCs w:val="26"/>
        </w:rPr>
        <w:t>Service Agreement</w:t>
      </w:r>
      <w:r w:rsidR="00EB238E">
        <w:rPr>
          <w:bCs/>
          <w:color w:val="000000"/>
          <w:sz w:val="26"/>
          <w:szCs w:val="26"/>
        </w:rPr>
        <w:t xml:space="preserve"> </w:t>
      </w:r>
      <w:r w:rsidR="004308FE">
        <w:rPr>
          <w:bCs/>
          <w:color w:val="000000"/>
          <w:sz w:val="26"/>
          <w:szCs w:val="26"/>
        </w:rPr>
        <w:t>provided to Enrico,</w:t>
      </w:r>
      <w:r w:rsidR="00EB238E">
        <w:rPr>
          <w:bCs/>
          <w:color w:val="000000"/>
          <w:sz w:val="26"/>
          <w:szCs w:val="26"/>
        </w:rPr>
        <w:t xml:space="preserve"> </w:t>
      </w:r>
      <w:r w:rsidR="004308FE">
        <w:rPr>
          <w:bCs/>
          <w:color w:val="000000"/>
          <w:sz w:val="26"/>
          <w:szCs w:val="26"/>
        </w:rPr>
        <w:t>which</w:t>
      </w:r>
      <w:r w:rsidR="00EB238E">
        <w:rPr>
          <w:bCs/>
          <w:color w:val="000000"/>
          <w:sz w:val="26"/>
          <w:szCs w:val="26"/>
        </w:rPr>
        <w:t xml:space="preserve"> </w:t>
      </w:r>
      <w:r w:rsidR="007B4FD5">
        <w:rPr>
          <w:bCs/>
          <w:color w:val="000000"/>
          <w:sz w:val="26"/>
          <w:szCs w:val="26"/>
        </w:rPr>
        <w:t xml:space="preserve">purported to </w:t>
      </w:r>
      <w:r w:rsidR="000A3F4A">
        <w:rPr>
          <w:bCs/>
          <w:color w:val="000000"/>
          <w:sz w:val="26"/>
          <w:szCs w:val="26"/>
        </w:rPr>
        <w:t xml:space="preserve">identify </w:t>
      </w:r>
      <w:r w:rsidR="00EB238E">
        <w:rPr>
          <w:bCs/>
          <w:color w:val="000000"/>
          <w:sz w:val="26"/>
          <w:szCs w:val="26"/>
        </w:rPr>
        <w:t>th</w:t>
      </w:r>
      <w:r w:rsidR="007B4FD5">
        <w:rPr>
          <w:bCs/>
          <w:color w:val="000000"/>
          <w:sz w:val="26"/>
          <w:szCs w:val="26"/>
        </w:rPr>
        <w:t>e</w:t>
      </w:r>
      <w:r w:rsidR="00EB238E">
        <w:rPr>
          <w:bCs/>
          <w:color w:val="000000"/>
          <w:sz w:val="26"/>
          <w:szCs w:val="26"/>
        </w:rPr>
        <w:t xml:space="preserve"> factors </w:t>
      </w:r>
      <w:r w:rsidR="007B4FD5">
        <w:rPr>
          <w:bCs/>
          <w:color w:val="000000"/>
          <w:sz w:val="26"/>
          <w:szCs w:val="26"/>
        </w:rPr>
        <w:t xml:space="preserve">that </w:t>
      </w:r>
      <w:r>
        <w:rPr>
          <w:bCs/>
          <w:color w:val="000000"/>
          <w:sz w:val="26"/>
          <w:szCs w:val="26"/>
        </w:rPr>
        <w:t>the Company</w:t>
      </w:r>
      <w:r w:rsidR="007B4FD5">
        <w:rPr>
          <w:bCs/>
          <w:color w:val="000000"/>
          <w:sz w:val="26"/>
          <w:szCs w:val="26"/>
        </w:rPr>
        <w:t xml:space="preserve"> would use in</w:t>
      </w:r>
      <w:r w:rsidR="00EB238E">
        <w:rPr>
          <w:bCs/>
          <w:color w:val="000000"/>
          <w:sz w:val="26"/>
          <w:szCs w:val="26"/>
        </w:rPr>
        <w:t xml:space="preserve"> </w:t>
      </w:r>
      <w:r w:rsidR="001E0670">
        <w:rPr>
          <w:bCs/>
          <w:color w:val="000000"/>
          <w:sz w:val="26"/>
          <w:szCs w:val="26"/>
        </w:rPr>
        <w:t>c</w:t>
      </w:r>
      <w:r w:rsidR="004308FE">
        <w:rPr>
          <w:bCs/>
          <w:color w:val="000000"/>
          <w:sz w:val="26"/>
          <w:szCs w:val="26"/>
        </w:rPr>
        <w:t>alculating</w:t>
      </w:r>
      <w:r w:rsidR="001E0670">
        <w:rPr>
          <w:bCs/>
          <w:color w:val="000000"/>
          <w:sz w:val="26"/>
          <w:szCs w:val="26"/>
        </w:rPr>
        <w:t xml:space="preserve"> </w:t>
      </w:r>
      <w:r w:rsidR="00EB238E">
        <w:rPr>
          <w:bCs/>
          <w:color w:val="000000"/>
          <w:sz w:val="26"/>
          <w:szCs w:val="26"/>
        </w:rPr>
        <w:t>decrease</w:t>
      </w:r>
      <w:r w:rsidR="005965D6">
        <w:rPr>
          <w:bCs/>
          <w:color w:val="000000"/>
          <w:sz w:val="26"/>
          <w:szCs w:val="26"/>
        </w:rPr>
        <w:t>s</w:t>
      </w:r>
      <w:r w:rsidR="00EB238E">
        <w:rPr>
          <w:bCs/>
          <w:color w:val="000000"/>
          <w:sz w:val="26"/>
          <w:szCs w:val="26"/>
        </w:rPr>
        <w:t xml:space="preserve"> or increase</w:t>
      </w:r>
      <w:r w:rsidR="005965D6">
        <w:rPr>
          <w:bCs/>
          <w:color w:val="000000"/>
          <w:sz w:val="26"/>
          <w:szCs w:val="26"/>
        </w:rPr>
        <w:t>s</w:t>
      </w:r>
      <w:r w:rsidR="00EB238E">
        <w:rPr>
          <w:bCs/>
          <w:color w:val="000000"/>
          <w:sz w:val="26"/>
          <w:szCs w:val="26"/>
        </w:rPr>
        <w:t xml:space="preserve"> in the variable rate </w:t>
      </w:r>
      <w:r w:rsidR="001E0670">
        <w:rPr>
          <w:bCs/>
          <w:color w:val="000000"/>
          <w:sz w:val="26"/>
          <w:szCs w:val="26"/>
        </w:rPr>
        <w:t>charged for EGS service</w:t>
      </w:r>
      <w:r w:rsidR="00F3017E">
        <w:rPr>
          <w:bCs/>
          <w:color w:val="000000"/>
          <w:sz w:val="26"/>
          <w:szCs w:val="26"/>
        </w:rPr>
        <w:t>,</w:t>
      </w:r>
      <w:r w:rsidR="001E0670">
        <w:rPr>
          <w:bCs/>
          <w:color w:val="000000"/>
          <w:sz w:val="26"/>
          <w:szCs w:val="26"/>
        </w:rPr>
        <w:t xml:space="preserve"> </w:t>
      </w:r>
      <w:r w:rsidR="00EB238E">
        <w:rPr>
          <w:bCs/>
          <w:color w:val="000000"/>
          <w:sz w:val="26"/>
          <w:szCs w:val="26"/>
        </w:rPr>
        <w:t>is the subject of Enrico’s Complaint.</w:t>
      </w:r>
      <w:r w:rsidR="00A64733">
        <w:rPr>
          <w:bCs/>
          <w:color w:val="000000"/>
          <w:sz w:val="26"/>
          <w:szCs w:val="26"/>
        </w:rPr>
        <w:t xml:space="preserve">  </w:t>
      </w:r>
      <w:r w:rsidR="00D37CC5">
        <w:rPr>
          <w:bCs/>
          <w:color w:val="000000"/>
          <w:sz w:val="26"/>
          <w:szCs w:val="26"/>
        </w:rPr>
        <w:t xml:space="preserve">For purposes of the Initial Decision, </w:t>
      </w:r>
      <w:r w:rsidR="00A64733">
        <w:rPr>
          <w:bCs/>
          <w:color w:val="000000"/>
          <w:sz w:val="26"/>
          <w:szCs w:val="26"/>
        </w:rPr>
        <w:t>ALJ Cheskis cons</w:t>
      </w:r>
      <w:r w:rsidR="00F235E8">
        <w:rPr>
          <w:bCs/>
          <w:color w:val="000000"/>
          <w:sz w:val="26"/>
          <w:szCs w:val="26"/>
        </w:rPr>
        <w:t xml:space="preserve">trued </w:t>
      </w:r>
      <w:r w:rsidR="00A64733">
        <w:rPr>
          <w:bCs/>
          <w:color w:val="000000"/>
          <w:sz w:val="26"/>
          <w:szCs w:val="26"/>
        </w:rPr>
        <w:t>t</w:t>
      </w:r>
      <w:r w:rsidR="00A64733" w:rsidRPr="00CF133C">
        <w:rPr>
          <w:bCs/>
          <w:color w:val="000000"/>
          <w:sz w:val="26"/>
          <w:szCs w:val="26"/>
        </w:rPr>
        <w:t xml:space="preserve">he Service Agreement </w:t>
      </w:r>
      <w:r w:rsidR="00A64733">
        <w:rPr>
          <w:bCs/>
          <w:color w:val="000000"/>
          <w:sz w:val="26"/>
          <w:szCs w:val="26"/>
        </w:rPr>
        <w:t>as</w:t>
      </w:r>
      <w:r w:rsidR="00A64733" w:rsidRPr="00CF133C">
        <w:rPr>
          <w:bCs/>
          <w:color w:val="000000"/>
          <w:sz w:val="26"/>
          <w:szCs w:val="26"/>
        </w:rPr>
        <w:t xml:space="preserve"> </w:t>
      </w:r>
      <w:r w:rsidR="00A64733">
        <w:rPr>
          <w:bCs/>
          <w:color w:val="000000"/>
          <w:sz w:val="26"/>
          <w:szCs w:val="26"/>
        </w:rPr>
        <w:t xml:space="preserve">the applicable </w:t>
      </w:r>
      <w:r w:rsidR="00373C56">
        <w:rPr>
          <w:bCs/>
          <w:color w:val="000000"/>
          <w:sz w:val="26"/>
          <w:szCs w:val="26"/>
        </w:rPr>
        <w:t>disclosure s</w:t>
      </w:r>
      <w:r w:rsidR="00A64733" w:rsidRPr="00CF133C">
        <w:rPr>
          <w:bCs/>
          <w:color w:val="000000"/>
          <w:sz w:val="26"/>
          <w:szCs w:val="26"/>
        </w:rPr>
        <w:t>tatement</w:t>
      </w:r>
      <w:r w:rsidR="004308FE">
        <w:rPr>
          <w:bCs/>
          <w:color w:val="000000"/>
          <w:sz w:val="26"/>
          <w:szCs w:val="26"/>
        </w:rPr>
        <w:t xml:space="preserve"> under the Commission’s Regulations</w:t>
      </w:r>
      <w:r w:rsidR="00D37CC5">
        <w:rPr>
          <w:bCs/>
          <w:color w:val="000000"/>
          <w:sz w:val="26"/>
          <w:szCs w:val="26"/>
        </w:rPr>
        <w:t>.</w:t>
      </w:r>
      <w:r w:rsidR="00E131C2">
        <w:rPr>
          <w:rStyle w:val="FootnoteReference"/>
          <w:bCs/>
          <w:color w:val="000000"/>
          <w:sz w:val="26"/>
          <w:szCs w:val="26"/>
        </w:rPr>
        <w:footnoteReference w:id="2"/>
      </w:r>
      <w:r w:rsidR="00E131C2">
        <w:rPr>
          <w:sz w:val="26"/>
          <w:szCs w:val="26"/>
        </w:rPr>
        <w:t xml:space="preserve"> </w:t>
      </w:r>
      <w:r w:rsidR="00A64733" w:rsidRPr="00CF133C">
        <w:rPr>
          <w:bCs/>
          <w:color w:val="000000"/>
          <w:sz w:val="26"/>
          <w:szCs w:val="26"/>
        </w:rPr>
        <w:t xml:space="preserve"> </w:t>
      </w:r>
      <w:r w:rsidR="00A64733">
        <w:rPr>
          <w:bCs/>
          <w:color w:val="000000"/>
          <w:sz w:val="26"/>
          <w:szCs w:val="26"/>
        </w:rPr>
        <w:t xml:space="preserve">I.D. at </w:t>
      </w:r>
      <w:r w:rsidR="00A37E1A">
        <w:rPr>
          <w:bCs/>
          <w:color w:val="000000"/>
          <w:sz w:val="26"/>
          <w:szCs w:val="26"/>
        </w:rPr>
        <w:t>9</w:t>
      </w:r>
      <w:r w:rsidR="00A64733">
        <w:rPr>
          <w:bCs/>
          <w:color w:val="000000"/>
          <w:sz w:val="26"/>
          <w:szCs w:val="26"/>
        </w:rPr>
        <w:t>.</w:t>
      </w:r>
    </w:p>
    <w:p w:rsidR="00242A1E" w:rsidRDefault="00242A1E" w:rsidP="00242A1E">
      <w:pPr>
        <w:pStyle w:val="Style"/>
        <w:spacing w:line="360" w:lineRule="auto"/>
        <w:ind w:firstLine="1440"/>
        <w:rPr>
          <w:bCs/>
          <w:color w:val="000000"/>
          <w:sz w:val="26"/>
          <w:szCs w:val="26"/>
        </w:rPr>
      </w:pPr>
      <w:bookmarkStart w:id="0" w:name="OLE_LINK2"/>
      <w:bookmarkStart w:id="1" w:name="OLE_LINK1"/>
    </w:p>
    <w:p w:rsidR="00202D39" w:rsidRDefault="00202D39">
      <w:pPr>
        <w:widowControl/>
        <w:spacing w:after="200" w:line="276" w:lineRule="auto"/>
        <w:rPr>
          <w:b/>
          <w:sz w:val="26"/>
          <w:szCs w:val="26"/>
        </w:rPr>
      </w:pPr>
      <w:r>
        <w:rPr>
          <w:b/>
          <w:sz w:val="26"/>
          <w:szCs w:val="26"/>
        </w:rPr>
        <w:br w:type="page"/>
      </w:r>
    </w:p>
    <w:p w:rsidR="00EB238E" w:rsidRPr="00242A1E" w:rsidRDefault="00EB238E" w:rsidP="00242A1E">
      <w:pPr>
        <w:pStyle w:val="Style"/>
        <w:spacing w:line="360" w:lineRule="auto"/>
        <w:jc w:val="center"/>
        <w:rPr>
          <w:bCs/>
          <w:color w:val="000000"/>
        </w:rPr>
      </w:pPr>
      <w:r>
        <w:rPr>
          <w:b/>
          <w:sz w:val="26"/>
          <w:szCs w:val="26"/>
        </w:rPr>
        <w:lastRenderedPageBreak/>
        <w:t>History of the Proceeding</w:t>
      </w:r>
    </w:p>
    <w:bookmarkEnd w:id="0"/>
    <w:bookmarkEnd w:id="1"/>
    <w:p w:rsidR="00EB238E" w:rsidRDefault="00EB238E" w:rsidP="00EB238E">
      <w:pPr>
        <w:autoSpaceDE w:val="0"/>
        <w:autoSpaceDN w:val="0"/>
        <w:spacing w:line="360" w:lineRule="auto"/>
        <w:ind w:firstLine="1440"/>
        <w:rPr>
          <w:sz w:val="26"/>
          <w:szCs w:val="26"/>
        </w:rPr>
      </w:pPr>
    </w:p>
    <w:p w:rsidR="006B5AC0" w:rsidRDefault="00EB238E" w:rsidP="00D37CC5">
      <w:pPr>
        <w:autoSpaceDE w:val="0"/>
        <w:autoSpaceDN w:val="0"/>
        <w:spacing w:line="360" w:lineRule="auto"/>
        <w:ind w:firstLine="1440"/>
        <w:rPr>
          <w:sz w:val="26"/>
          <w:szCs w:val="26"/>
        </w:rPr>
      </w:pPr>
      <w:r w:rsidRPr="007F7DB7">
        <w:rPr>
          <w:sz w:val="26"/>
          <w:szCs w:val="26"/>
        </w:rPr>
        <w:t>On July 18, 2014, Enrico</w:t>
      </w:r>
      <w:r>
        <w:rPr>
          <w:sz w:val="26"/>
          <w:szCs w:val="26"/>
        </w:rPr>
        <w:t xml:space="preserve"> </w:t>
      </w:r>
      <w:r w:rsidRPr="007F7DB7">
        <w:rPr>
          <w:sz w:val="26"/>
          <w:szCs w:val="26"/>
        </w:rPr>
        <w:t xml:space="preserve">filed </w:t>
      </w:r>
      <w:r>
        <w:rPr>
          <w:sz w:val="26"/>
          <w:szCs w:val="26"/>
        </w:rPr>
        <w:t>its</w:t>
      </w:r>
      <w:r w:rsidRPr="007F7DB7">
        <w:rPr>
          <w:sz w:val="26"/>
          <w:szCs w:val="26"/>
        </w:rPr>
        <w:t xml:space="preserve"> Complaint</w:t>
      </w:r>
      <w:r w:rsidR="001E1181">
        <w:rPr>
          <w:sz w:val="26"/>
          <w:szCs w:val="26"/>
        </w:rPr>
        <w:t xml:space="preserve">, </w:t>
      </w:r>
      <w:r w:rsidR="000A5B09">
        <w:rPr>
          <w:sz w:val="26"/>
          <w:szCs w:val="26"/>
        </w:rPr>
        <w:t>a</w:t>
      </w:r>
      <w:r w:rsidR="00705161">
        <w:rPr>
          <w:sz w:val="26"/>
          <w:szCs w:val="26"/>
        </w:rPr>
        <w:t>ttach</w:t>
      </w:r>
      <w:r w:rsidR="00A54ECB">
        <w:rPr>
          <w:sz w:val="26"/>
          <w:szCs w:val="26"/>
        </w:rPr>
        <w:t>ing</w:t>
      </w:r>
      <w:r w:rsidR="00705161">
        <w:rPr>
          <w:sz w:val="26"/>
          <w:szCs w:val="26"/>
        </w:rPr>
        <w:t xml:space="preserve"> </w:t>
      </w:r>
      <w:r w:rsidR="004E7AB9">
        <w:rPr>
          <w:sz w:val="26"/>
          <w:szCs w:val="26"/>
        </w:rPr>
        <w:t xml:space="preserve">two bills from </w:t>
      </w:r>
      <w:r w:rsidR="00D9349C">
        <w:rPr>
          <w:sz w:val="26"/>
          <w:szCs w:val="26"/>
        </w:rPr>
        <w:t>PECO</w:t>
      </w:r>
      <w:r w:rsidR="00D37CC5">
        <w:rPr>
          <w:sz w:val="26"/>
          <w:szCs w:val="26"/>
        </w:rPr>
        <w:t>.</w:t>
      </w:r>
      <w:r w:rsidR="00785372">
        <w:rPr>
          <w:rStyle w:val="FootnoteReference"/>
          <w:color w:val="000000"/>
          <w:sz w:val="26"/>
        </w:rPr>
        <w:footnoteReference w:id="3"/>
      </w:r>
      <w:r w:rsidR="00785372">
        <w:rPr>
          <w:color w:val="000000"/>
          <w:sz w:val="26"/>
        </w:rPr>
        <w:t xml:space="preserve">  </w:t>
      </w:r>
      <w:r w:rsidR="00FC1A10">
        <w:rPr>
          <w:sz w:val="26"/>
          <w:szCs w:val="26"/>
        </w:rPr>
        <w:t>The attached bills</w:t>
      </w:r>
      <w:r w:rsidR="00705161">
        <w:rPr>
          <w:sz w:val="26"/>
          <w:szCs w:val="26"/>
        </w:rPr>
        <w:t xml:space="preserve"> cover</w:t>
      </w:r>
      <w:r w:rsidR="00FC1A10">
        <w:rPr>
          <w:sz w:val="26"/>
          <w:szCs w:val="26"/>
        </w:rPr>
        <w:t>ed</w:t>
      </w:r>
      <w:r w:rsidR="00705161">
        <w:rPr>
          <w:sz w:val="26"/>
          <w:szCs w:val="26"/>
        </w:rPr>
        <w:t xml:space="preserve"> the billing periods </w:t>
      </w:r>
      <w:r w:rsidR="00D37CC5">
        <w:rPr>
          <w:sz w:val="26"/>
          <w:szCs w:val="26"/>
        </w:rPr>
        <w:t xml:space="preserve">of </w:t>
      </w:r>
      <w:r w:rsidR="00705161">
        <w:rPr>
          <w:sz w:val="26"/>
          <w:szCs w:val="26"/>
        </w:rPr>
        <w:t>March 7, 2014</w:t>
      </w:r>
      <w:r w:rsidR="008239AE">
        <w:rPr>
          <w:sz w:val="26"/>
          <w:szCs w:val="26"/>
        </w:rPr>
        <w:t>,</w:t>
      </w:r>
      <w:r w:rsidR="001E1181">
        <w:rPr>
          <w:sz w:val="26"/>
          <w:szCs w:val="26"/>
        </w:rPr>
        <w:t xml:space="preserve"> to April 6, 2014 (thirty</w:t>
      </w:r>
      <w:r w:rsidR="00705161">
        <w:rPr>
          <w:sz w:val="26"/>
          <w:szCs w:val="26"/>
        </w:rPr>
        <w:t xml:space="preserve"> days), and June 4, 2014</w:t>
      </w:r>
      <w:r w:rsidR="00D37CC5">
        <w:rPr>
          <w:sz w:val="26"/>
          <w:szCs w:val="26"/>
        </w:rPr>
        <w:t>,</w:t>
      </w:r>
      <w:r w:rsidR="00705161">
        <w:rPr>
          <w:sz w:val="26"/>
          <w:szCs w:val="26"/>
        </w:rPr>
        <w:t xml:space="preserve"> to July 7, 2014 (</w:t>
      </w:r>
      <w:r w:rsidR="001E1181">
        <w:rPr>
          <w:sz w:val="26"/>
          <w:szCs w:val="26"/>
        </w:rPr>
        <w:t>thirty-three</w:t>
      </w:r>
      <w:r w:rsidR="00705161">
        <w:rPr>
          <w:sz w:val="26"/>
          <w:szCs w:val="26"/>
        </w:rPr>
        <w:t xml:space="preserve"> days).  </w:t>
      </w:r>
    </w:p>
    <w:p w:rsidR="006B5AC0" w:rsidRDefault="006B5AC0" w:rsidP="00EB238E">
      <w:pPr>
        <w:autoSpaceDE w:val="0"/>
        <w:autoSpaceDN w:val="0"/>
        <w:spacing w:line="360" w:lineRule="auto"/>
        <w:ind w:firstLine="1440"/>
        <w:rPr>
          <w:sz w:val="26"/>
          <w:szCs w:val="26"/>
        </w:rPr>
      </w:pPr>
    </w:p>
    <w:p w:rsidR="00A443FF" w:rsidRDefault="006E5BB4" w:rsidP="006E5BB4">
      <w:pPr>
        <w:autoSpaceDE w:val="0"/>
        <w:autoSpaceDN w:val="0"/>
        <w:spacing w:line="360" w:lineRule="auto"/>
        <w:ind w:firstLine="1440"/>
        <w:rPr>
          <w:sz w:val="26"/>
          <w:szCs w:val="26"/>
        </w:rPr>
      </w:pPr>
      <w:r>
        <w:rPr>
          <w:sz w:val="26"/>
          <w:szCs w:val="26"/>
        </w:rPr>
        <w:t xml:space="preserve">The Complainant averred that the </w:t>
      </w:r>
      <w:r w:rsidR="004308FE">
        <w:rPr>
          <w:sz w:val="26"/>
          <w:szCs w:val="26"/>
        </w:rPr>
        <w:t>electric generation charge</w:t>
      </w:r>
      <w:r w:rsidR="003B102E">
        <w:rPr>
          <w:sz w:val="26"/>
          <w:szCs w:val="26"/>
        </w:rPr>
        <w:t>s</w:t>
      </w:r>
      <w:r w:rsidR="004308FE">
        <w:rPr>
          <w:sz w:val="26"/>
          <w:szCs w:val="26"/>
        </w:rPr>
        <w:t xml:space="preserve"> </w:t>
      </w:r>
      <w:r w:rsidR="001E1181">
        <w:rPr>
          <w:sz w:val="26"/>
          <w:szCs w:val="26"/>
        </w:rPr>
        <w:t>for</w:t>
      </w:r>
      <w:r w:rsidR="003B102E">
        <w:rPr>
          <w:sz w:val="26"/>
          <w:szCs w:val="26"/>
        </w:rPr>
        <w:t xml:space="preserve"> </w:t>
      </w:r>
      <w:r>
        <w:rPr>
          <w:sz w:val="26"/>
          <w:szCs w:val="26"/>
        </w:rPr>
        <w:t>its</w:t>
      </w:r>
      <w:r w:rsidR="003B102E">
        <w:rPr>
          <w:sz w:val="26"/>
          <w:szCs w:val="26"/>
        </w:rPr>
        <w:t xml:space="preserve"> </w:t>
      </w:r>
      <w:r w:rsidR="004308FE">
        <w:rPr>
          <w:sz w:val="26"/>
          <w:szCs w:val="26"/>
        </w:rPr>
        <w:t xml:space="preserve">bill </w:t>
      </w:r>
      <w:r w:rsidR="00FC1A10">
        <w:rPr>
          <w:sz w:val="26"/>
          <w:szCs w:val="26"/>
        </w:rPr>
        <w:t xml:space="preserve">covering the </w:t>
      </w:r>
      <w:r w:rsidR="006B5AC0">
        <w:rPr>
          <w:sz w:val="26"/>
          <w:szCs w:val="26"/>
        </w:rPr>
        <w:t xml:space="preserve">period </w:t>
      </w:r>
      <w:r w:rsidR="001E1181">
        <w:rPr>
          <w:sz w:val="26"/>
          <w:szCs w:val="26"/>
        </w:rPr>
        <w:t xml:space="preserve">of </w:t>
      </w:r>
      <w:r w:rsidR="00705161">
        <w:rPr>
          <w:sz w:val="26"/>
          <w:szCs w:val="26"/>
        </w:rPr>
        <w:t>March 7, 2014</w:t>
      </w:r>
      <w:r w:rsidR="00D37CC5">
        <w:rPr>
          <w:sz w:val="26"/>
          <w:szCs w:val="26"/>
        </w:rPr>
        <w:t>,</w:t>
      </w:r>
      <w:r w:rsidR="00705161">
        <w:rPr>
          <w:sz w:val="26"/>
          <w:szCs w:val="26"/>
        </w:rPr>
        <w:t xml:space="preserve"> to April 6, 2014</w:t>
      </w:r>
      <w:r w:rsidR="006B5AC0">
        <w:rPr>
          <w:sz w:val="26"/>
          <w:szCs w:val="26"/>
        </w:rPr>
        <w:t>,</w:t>
      </w:r>
      <w:r w:rsidR="00705161">
        <w:rPr>
          <w:sz w:val="26"/>
          <w:szCs w:val="26"/>
        </w:rPr>
        <w:t xml:space="preserve"> </w:t>
      </w:r>
      <w:r w:rsidR="001E1181">
        <w:rPr>
          <w:sz w:val="26"/>
          <w:szCs w:val="26"/>
        </w:rPr>
        <w:t>were</w:t>
      </w:r>
      <w:r w:rsidR="00705161">
        <w:rPr>
          <w:sz w:val="26"/>
          <w:szCs w:val="26"/>
        </w:rPr>
        <w:t xml:space="preserve"> </w:t>
      </w:r>
      <w:r w:rsidR="00044B9E">
        <w:rPr>
          <w:sz w:val="26"/>
          <w:szCs w:val="26"/>
        </w:rPr>
        <w:t xml:space="preserve">$0.079 per kWh </w:t>
      </w:r>
      <w:r w:rsidR="000C6356">
        <w:rPr>
          <w:sz w:val="26"/>
          <w:szCs w:val="26"/>
        </w:rPr>
        <w:t xml:space="preserve">for </w:t>
      </w:r>
      <w:r w:rsidR="00044B9E">
        <w:rPr>
          <w:sz w:val="26"/>
          <w:szCs w:val="26"/>
        </w:rPr>
        <w:t xml:space="preserve">a total of </w:t>
      </w:r>
      <w:r w:rsidR="00705161">
        <w:rPr>
          <w:sz w:val="26"/>
          <w:szCs w:val="26"/>
        </w:rPr>
        <w:t>$4,429.06</w:t>
      </w:r>
      <w:r w:rsidR="000779A8">
        <w:rPr>
          <w:sz w:val="26"/>
          <w:szCs w:val="26"/>
        </w:rPr>
        <w:t xml:space="preserve">.  </w:t>
      </w:r>
      <w:r w:rsidR="001E1181">
        <w:rPr>
          <w:sz w:val="26"/>
          <w:szCs w:val="26"/>
        </w:rPr>
        <w:t>For</w:t>
      </w:r>
      <w:r w:rsidR="00FC1A10">
        <w:rPr>
          <w:sz w:val="26"/>
          <w:szCs w:val="26"/>
        </w:rPr>
        <w:t xml:space="preserve"> the </w:t>
      </w:r>
      <w:r w:rsidR="00705161">
        <w:rPr>
          <w:sz w:val="26"/>
          <w:szCs w:val="26"/>
        </w:rPr>
        <w:t>period</w:t>
      </w:r>
      <w:r w:rsidR="00A443FF">
        <w:rPr>
          <w:sz w:val="26"/>
          <w:szCs w:val="26"/>
        </w:rPr>
        <w:t xml:space="preserve"> </w:t>
      </w:r>
      <w:r w:rsidR="001E1181">
        <w:rPr>
          <w:sz w:val="26"/>
          <w:szCs w:val="26"/>
        </w:rPr>
        <w:t xml:space="preserve">of </w:t>
      </w:r>
      <w:r w:rsidR="00A443FF">
        <w:rPr>
          <w:sz w:val="26"/>
          <w:szCs w:val="26"/>
        </w:rPr>
        <w:t>June 4, 2014</w:t>
      </w:r>
      <w:r w:rsidR="000779A8">
        <w:rPr>
          <w:sz w:val="26"/>
          <w:szCs w:val="26"/>
        </w:rPr>
        <w:t>,</w:t>
      </w:r>
      <w:r w:rsidR="00A443FF">
        <w:rPr>
          <w:sz w:val="26"/>
          <w:szCs w:val="26"/>
        </w:rPr>
        <w:t xml:space="preserve"> to July 7, 2014</w:t>
      </w:r>
      <w:r w:rsidR="006B5AC0">
        <w:rPr>
          <w:sz w:val="26"/>
          <w:szCs w:val="26"/>
        </w:rPr>
        <w:t>,</w:t>
      </w:r>
      <w:r w:rsidR="00A443FF">
        <w:rPr>
          <w:sz w:val="26"/>
          <w:szCs w:val="26"/>
        </w:rPr>
        <w:t xml:space="preserve"> </w:t>
      </w:r>
      <w:r w:rsidR="001E1181">
        <w:rPr>
          <w:sz w:val="26"/>
          <w:szCs w:val="26"/>
        </w:rPr>
        <w:t>Enrico claimed that the electric generation charges</w:t>
      </w:r>
      <w:r w:rsidR="00705161">
        <w:rPr>
          <w:sz w:val="26"/>
          <w:szCs w:val="26"/>
        </w:rPr>
        <w:t xml:space="preserve"> </w:t>
      </w:r>
      <w:r w:rsidR="001E1181">
        <w:rPr>
          <w:sz w:val="26"/>
          <w:szCs w:val="26"/>
        </w:rPr>
        <w:t xml:space="preserve">were </w:t>
      </w:r>
      <w:r w:rsidR="00044B9E">
        <w:rPr>
          <w:sz w:val="26"/>
          <w:szCs w:val="26"/>
        </w:rPr>
        <w:t xml:space="preserve">$0.249 per kWh for a total of </w:t>
      </w:r>
      <w:r w:rsidR="00705161">
        <w:rPr>
          <w:sz w:val="26"/>
          <w:szCs w:val="26"/>
        </w:rPr>
        <w:t>$</w:t>
      </w:r>
      <w:r w:rsidR="00A443FF">
        <w:rPr>
          <w:sz w:val="26"/>
          <w:szCs w:val="26"/>
        </w:rPr>
        <w:t>16</w:t>
      </w:r>
      <w:r w:rsidR="00705161">
        <w:rPr>
          <w:sz w:val="26"/>
          <w:szCs w:val="26"/>
        </w:rPr>
        <w:t>,</w:t>
      </w:r>
      <w:r w:rsidR="00A443FF">
        <w:rPr>
          <w:sz w:val="26"/>
          <w:szCs w:val="26"/>
        </w:rPr>
        <w:t>732.80</w:t>
      </w:r>
      <w:r w:rsidR="00705161">
        <w:rPr>
          <w:sz w:val="26"/>
          <w:szCs w:val="26"/>
        </w:rPr>
        <w:t xml:space="preserve">.  </w:t>
      </w:r>
      <w:r w:rsidRPr="006E5BB4">
        <w:rPr>
          <w:sz w:val="26"/>
          <w:szCs w:val="26"/>
        </w:rPr>
        <w:t xml:space="preserve">Complaint Attachment. </w:t>
      </w:r>
      <w:r>
        <w:rPr>
          <w:i/>
          <w:sz w:val="26"/>
          <w:szCs w:val="26"/>
        </w:rPr>
        <w:t xml:space="preserve"> </w:t>
      </w:r>
      <w:r w:rsidR="000779A8">
        <w:rPr>
          <w:sz w:val="26"/>
          <w:szCs w:val="26"/>
        </w:rPr>
        <w:t xml:space="preserve">  </w:t>
      </w:r>
    </w:p>
    <w:p w:rsidR="006E30A8" w:rsidRDefault="006E30A8" w:rsidP="009274F6">
      <w:pPr>
        <w:autoSpaceDE w:val="0"/>
        <w:autoSpaceDN w:val="0"/>
        <w:spacing w:line="360" w:lineRule="auto"/>
        <w:ind w:firstLine="1440"/>
        <w:rPr>
          <w:sz w:val="26"/>
          <w:szCs w:val="26"/>
        </w:rPr>
      </w:pPr>
    </w:p>
    <w:p w:rsidR="009D3E33" w:rsidRDefault="00A443FF" w:rsidP="008F7F93">
      <w:pPr>
        <w:autoSpaceDE w:val="0"/>
        <w:autoSpaceDN w:val="0"/>
        <w:spacing w:line="360" w:lineRule="auto"/>
        <w:ind w:firstLine="1440"/>
        <w:rPr>
          <w:sz w:val="26"/>
          <w:szCs w:val="26"/>
        </w:rPr>
      </w:pPr>
      <w:r>
        <w:rPr>
          <w:sz w:val="26"/>
          <w:szCs w:val="26"/>
        </w:rPr>
        <w:t xml:space="preserve">In its Complaint Enrico </w:t>
      </w:r>
      <w:r w:rsidR="00785372">
        <w:rPr>
          <w:sz w:val="26"/>
          <w:szCs w:val="26"/>
        </w:rPr>
        <w:t xml:space="preserve">made </w:t>
      </w:r>
      <w:r w:rsidR="004308FE">
        <w:rPr>
          <w:sz w:val="26"/>
          <w:szCs w:val="26"/>
        </w:rPr>
        <w:t>the following</w:t>
      </w:r>
      <w:r w:rsidR="00785372">
        <w:rPr>
          <w:sz w:val="26"/>
          <w:szCs w:val="26"/>
        </w:rPr>
        <w:t xml:space="preserve"> allegations</w:t>
      </w:r>
      <w:r>
        <w:rPr>
          <w:sz w:val="26"/>
          <w:szCs w:val="26"/>
        </w:rPr>
        <w:t>:</w:t>
      </w:r>
    </w:p>
    <w:p w:rsidR="009274F6" w:rsidRDefault="009274F6" w:rsidP="00A443FF">
      <w:pPr>
        <w:autoSpaceDE w:val="0"/>
        <w:autoSpaceDN w:val="0"/>
        <w:ind w:left="1440" w:right="1440"/>
        <w:rPr>
          <w:sz w:val="26"/>
          <w:szCs w:val="26"/>
        </w:rPr>
      </w:pPr>
    </w:p>
    <w:p w:rsidR="000A77BC" w:rsidRDefault="00A443FF" w:rsidP="00A12759">
      <w:pPr>
        <w:widowControl/>
        <w:autoSpaceDE w:val="0"/>
        <w:autoSpaceDN w:val="0"/>
        <w:ind w:left="1440" w:right="1440"/>
        <w:rPr>
          <w:sz w:val="26"/>
          <w:szCs w:val="26"/>
        </w:rPr>
      </w:pPr>
      <w:r>
        <w:rPr>
          <w:sz w:val="26"/>
          <w:szCs w:val="26"/>
        </w:rPr>
        <w:t>Blue Pilot Energy has billed us (through PECO, our energy distribution provider), a rate in excess of our contractual agreement.  The rate should be 7.9 cents per kWh, not 24.9 cents per kWh.  The agreement that we have with Blue Pilot is not an arbitrary rate determined by Blue Pilot, it is governed by PA PUC Code §</w:t>
      </w:r>
      <w:r w:rsidR="006F04CA">
        <w:rPr>
          <w:sz w:val="26"/>
          <w:szCs w:val="26"/>
        </w:rPr>
        <w:t xml:space="preserve"> </w:t>
      </w:r>
      <w:r>
        <w:rPr>
          <w:sz w:val="26"/>
          <w:szCs w:val="26"/>
        </w:rPr>
        <w:t>54.5(c)</w:t>
      </w:r>
      <w:r w:rsidR="000A77BC">
        <w:rPr>
          <w:sz w:val="26"/>
          <w:szCs w:val="26"/>
        </w:rPr>
        <w:t xml:space="preserve"> and should be contractually calculated based on changes in the PJM rate for the billing period in question versus the PJM rate at the initialization of the contract.  The PJM rate on 3/7/14 (the date we started the service) was $89.35.  The PJM rate on the first day of the current billing period, 6/4/14, was $38.98.  Under the terms of the contract, the rate can only be reset </w:t>
      </w:r>
      <w:r w:rsidR="000A77BC" w:rsidRPr="000A77BC">
        <w:rPr>
          <w:sz w:val="26"/>
          <w:szCs w:val="26"/>
          <w:u w:val="single"/>
        </w:rPr>
        <w:t>once</w:t>
      </w:r>
      <w:r w:rsidR="000A77BC">
        <w:rPr>
          <w:sz w:val="26"/>
          <w:szCs w:val="26"/>
        </w:rPr>
        <w:t xml:space="preserve"> per billing period and it must be the first day of the billing period.  However, the PJM wholesale rate range for the entire billing period of 6/4/14 to 7/17/14 was $15.45 to $77.28 and therefore, always less than the initial rate of the </w:t>
      </w:r>
      <w:r w:rsidR="000A77BC">
        <w:rPr>
          <w:sz w:val="26"/>
          <w:szCs w:val="26"/>
        </w:rPr>
        <w:lastRenderedPageBreak/>
        <w:t>contract.  Simply put, the rate should have gone down, not up!</w:t>
      </w:r>
    </w:p>
    <w:p w:rsidR="000A77BC" w:rsidRDefault="000A77BC" w:rsidP="00A12759">
      <w:pPr>
        <w:autoSpaceDE w:val="0"/>
        <w:autoSpaceDN w:val="0"/>
        <w:spacing w:line="360" w:lineRule="auto"/>
        <w:ind w:left="1440" w:right="1440"/>
        <w:rPr>
          <w:sz w:val="26"/>
          <w:szCs w:val="26"/>
        </w:rPr>
      </w:pPr>
    </w:p>
    <w:p w:rsidR="004E7AB9" w:rsidRDefault="000A77BC" w:rsidP="00266AE6">
      <w:pPr>
        <w:autoSpaceDE w:val="0"/>
        <w:autoSpaceDN w:val="0"/>
        <w:spacing w:line="360" w:lineRule="auto"/>
        <w:rPr>
          <w:sz w:val="26"/>
          <w:szCs w:val="26"/>
        </w:rPr>
      </w:pPr>
      <w:r>
        <w:rPr>
          <w:sz w:val="26"/>
          <w:szCs w:val="26"/>
        </w:rPr>
        <w:t xml:space="preserve">Complaint </w:t>
      </w:r>
      <w:r w:rsidR="00EC09DD">
        <w:rPr>
          <w:sz w:val="26"/>
          <w:szCs w:val="26"/>
        </w:rPr>
        <w:t>Attachment</w:t>
      </w:r>
      <w:r w:rsidR="004B7B47">
        <w:rPr>
          <w:sz w:val="26"/>
          <w:szCs w:val="26"/>
        </w:rPr>
        <w:t xml:space="preserve"> at ¶ 4</w:t>
      </w:r>
      <w:r>
        <w:rPr>
          <w:sz w:val="26"/>
          <w:szCs w:val="26"/>
        </w:rPr>
        <w:t>.</w:t>
      </w:r>
    </w:p>
    <w:p w:rsidR="000A77BC" w:rsidRPr="000A77BC" w:rsidRDefault="000A77BC" w:rsidP="00266AE6">
      <w:pPr>
        <w:autoSpaceDE w:val="0"/>
        <w:autoSpaceDN w:val="0"/>
        <w:spacing w:line="360" w:lineRule="auto"/>
        <w:rPr>
          <w:sz w:val="26"/>
          <w:szCs w:val="26"/>
        </w:rPr>
      </w:pPr>
    </w:p>
    <w:p w:rsidR="00EB238E" w:rsidRPr="007F7DB7" w:rsidRDefault="00D94B27" w:rsidP="00EB238E">
      <w:pPr>
        <w:autoSpaceDE w:val="0"/>
        <w:autoSpaceDN w:val="0"/>
        <w:spacing w:line="360" w:lineRule="auto"/>
        <w:ind w:firstLine="1440"/>
        <w:rPr>
          <w:sz w:val="26"/>
          <w:szCs w:val="26"/>
        </w:rPr>
      </w:pPr>
      <w:r>
        <w:rPr>
          <w:sz w:val="26"/>
          <w:szCs w:val="26"/>
        </w:rPr>
        <w:t xml:space="preserve">For relief, </w:t>
      </w:r>
      <w:r w:rsidR="006D7E81">
        <w:rPr>
          <w:sz w:val="26"/>
          <w:szCs w:val="26"/>
        </w:rPr>
        <w:t>Enrico requested</w:t>
      </w:r>
      <w:r w:rsidR="00CE62F7">
        <w:rPr>
          <w:sz w:val="26"/>
          <w:szCs w:val="26"/>
        </w:rPr>
        <w:t xml:space="preserve"> </w:t>
      </w:r>
      <w:r w:rsidR="006D7E81">
        <w:rPr>
          <w:sz w:val="26"/>
          <w:szCs w:val="26"/>
        </w:rPr>
        <w:t xml:space="preserve">that the price for the </w:t>
      </w:r>
      <w:r w:rsidR="00CE5391">
        <w:rPr>
          <w:sz w:val="26"/>
          <w:szCs w:val="26"/>
        </w:rPr>
        <w:t>effective</w:t>
      </w:r>
      <w:r w:rsidR="006D7E81">
        <w:rPr>
          <w:sz w:val="26"/>
          <w:szCs w:val="26"/>
        </w:rPr>
        <w:t xml:space="preserve"> term of the Service Agreement be adjusted to </w:t>
      </w:r>
      <w:r w:rsidR="000A77BC">
        <w:rPr>
          <w:sz w:val="26"/>
          <w:szCs w:val="26"/>
        </w:rPr>
        <w:t xml:space="preserve">a “fair” rate, specifically, </w:t>
      </w:r>
      <w:r w:rsidR="006D7E81">
        <w:rPr>
          <w:sz w:val="26"/>
          <w:szCs w:val="26"/>
        </w:rPr>
        <w:t>the initial price</w:t>
      </w:r>
      <w:r w:rsidR="000A77BC">
        <w:rPr>
          <w:sz w:val="26"/>
          <w:szCs w:val="26"/>
        </w:rPr>
        <w:t>/rate</w:t>
      </w:r>
      <w:r w:rsidR="006D7E81">
        <w:rPr>
          <w:sz w:val="26"/>
          <w:szCs w:val="26"/>
        </w:rPr>
        <w:t xml:space="preserve"> of </w:t>
      </w:r>
      <w:r w:rsidR="00EC09DD">
        <w:rPr>
          <w:sz w:val="26"/>
          <w:szCs w:val="26"/>
        </w:rPr>
        <w:t>$0.07</w:t>
      </w:r>
      <w:r w:rsidR="006D7E81">
        <w:rPr>
          <w:sz w:val="26"/>
          <w:szCs w:val="26"/>
        </w:rPr>
        <w:t xml:space="preserve">9 per kWh.  Complaint </w:t>
      </w:r>
      <w:r w:rsidR="004B7B47">
        <w:rPr>
          <w:sz w:val="26"/>
          <w:szCs w:val="26"/>
        </w:rPr>
        <w:t xml:space="preserve">Attachment </w:t>
      </w:r>
      <w:r w:rsidR="006D7E81">
        <w:rPr>
          <w:sz w:val="26"/>
          <w:szCs w:val="26"/>
        </w:rPr>
        <w:t xml:space="preserve">at ¶ 5. </w:t>
      </w:r>
    </w:p>
    <w:p w:rsidR="00EB238E" w:rsidRPr="007F7DB7" w:rsidRDefault="00EB238E" w:rsidP="00EB238E">
      <w:pPr>
        <w:autoSpaceDE w:val="0"/>
        <w:autoSpaceDN w:val="0"/>
        <w:spacing w:line="360" w:lineRule="auto"/>
        <w:ind w:firstLine="1440"/>
        <w:rPr>
          <w:sz w:val="26"/>
          <w:szCs w:val="26"/>
        </w:rPr>
      </w:pPr>
    </w:p>
    <w:p w:rsidR="00EB238E" w:rsidRPr="007F7DB7" w:rsidRDefault="00EB238E" w:rsidP="00CF40F1">
      <w:pPr>
        <w:autoSpaceDE w:val="0"/>
        <w:autoSpaceDN w:val="0"/>
        <w:spacing w:line="360" w:lineRule="auto"/>
        <w:ind w:firstLine="1440"/>
        <w:rPr>
          <w:sz w:val="26"/>
          <w:szCs w:val="26"/>
        </w:rPr>
      </w:pPr>
      <w:r w:rsidRPr="007F7DB7">
        <w:rPr>
          <w:sz w:val="26"/>
          <w:szCs w:val="26"/>
        </w:rPr>
        <w:t>On August 8, 2014, Blue Pilot filed an Answer to the Complaint generally den</w:t>
      </w:r>
      <w:r w:rsidR="00EC09DD">
        <w:rPr>
          <w:sz w:val="26"/>
          <w:szCs w:val="26"/>
        </w:rPr>
        <w:t xml:space="preserve">ying </w:t>
      </w:r>
      <w:r w:rsidRPr="007F7DB7">
        <w:rPr>
          <w:sz w:val="26"/>
          <w:szCs w:val="26"/>
        </w:rPr>
        <w:t xml:space="preserve">the </w:t>
      </w:r>
      <w:r w:rsidR="00FC1A10">
        <w:rPr>
          <w:sz w:val="26"/>
          <w:szCs w:val="26"/>
        </w:rPr>
        <w:t>material</w:t>
      </w:r>
      <w:r w:rsidRPr="007F7DB7">
        <w:rPr>
          <w:sz w:val="26"/>
          <w:szCs w:val="26"/>
        </w:rPr>
        <w:t xml:space="preserve"> averments and rais</w:t>
      </w:r>
      <w:r w:rsidR="00EC09DD">
        <w:rPr>
          <w:sz w:val="26"/>
          <w:szCs w:val="26"/>
        </w:rPr>
        <w:t>ing</w:t>
      </w:r>
      <w:r w:rsidRPr="007F7DB7">
        <w:rPr>
          <w:sz w:val="26"/>
          <w:szCs w:val="26"/>
        </w:rPr>
        <w:t xml:space="preserve"> affirmative defenses.  Blue Pilot </w:t>
      </w:r>
      <w:r w:rsidR="004147BE">
        <w:rPr>
          <w:sz w:val="26"/>
          <w:szCs w:val="26"/>
        </w:rPr>
        <w:t xml:space="preserve">requested </w:t>
      </w:r>
      <w:r w:rsidRPr="007F7DB7">
        <w:rPr>
          <w:sz w:val="26"/>
          <w:szCs w:val="26"/>
        </w:rPr>
        <w:t>that Enrico’s Complaint be dismissed with prejudice.</w:t>
      </w:r>
      <w:r w:rsidR="00933FD4">
        <w:rPr>
          <w:sz w:val="26"/>
          <w:szCs w:val="26"/>
        </w:rPr>
        <w:t xml:space="preserve">  </w:t>
      </w:r>
      <w:r w:rsidR="00EC09DD">
        <w:rPr>
          <w:sz w:val="26"/>
          <w:szCs w:val="26"/>
        </w:rPr>
        <w:t>Answer at 6.</w:t>
      </w:r>
      <w:r w:rsidR="00933FD4">
        <w:rPr>
          <w:sz w:val="26"/>
          <w:szCs w:val="26"/>
        </w:rPr>
        <w:t xml:space="preserve"> </w:t>
      </w:r>
    </w:p>
    <w:p w:rsidR="00EB238E" w:rsidRPr="007F7DB7" w:rsidRDefault="00EB238E" w:rsidP="00EB238E">
      <w:pPr>
        <w:autoSpaceDE w:val="0"/>
        <w:autoSpaceDN w:val="0"/>
        <w:spacing w:line="360" w:lineRule="auto"/>
        <w:ind w:firstLine="1440"/>
        <w:rPr>
          <w:sz w:val="26"/>
          <w:szCs w:val="26"/>
        </w:rPr>
      </w:pPr>
    </w:p>
    <w:p w:rsidR="00EB238E" w:rsidRPr="007F7DB7" w:rsidRDefault="00EC09DD" w:rsidP="00990160">
      <w:pPr>
        <w:widowControl/>
        <w:autoSpaceDE w:val="0"/>
        <w:autoSpaceDN w:val="0"/>
        <w:spacing w:line="360" w:lineRule="auto"/>
        <w:ind w:firstLine="1440"/>
        <w:rPr>
          <w:sz w:val="26"/>
          <w:szCs w:val="26"/>
        </w:rPr>
      </w:pPr>
      <w:r>
        <w:rPr>
          <w:sz w:val="26"/>
          <w:szCs w:val="26"/>
        </w:rPr>
        <w:t xml:space="preserve">On October 6, 2014, the ALJ convened an </w:t>
      </w:r>
      <w:r w:rsidR="00BA6959">
        <w:rPr>
          <w:sz w:val="26"/>
          <w:szCs w:val="26"/>
        </w:rPr>
        <w:t>Initial Telephonic Hearing</w:t>
      </w:r>
      <w:r w:rsidR="00EB238E" w:rsidRPr="007F7DB7">
        <w:rPr>
          <w:sz w:val="26"/>
          <w:szCs w:val="26"/>
        </w:rPr>
        <w:t xml:space="preserve">.  Enrico </w:t>
      </w:r>
      <w:r w:rsidR="00BA6959">
        <w:rPr>
          <w:sz w:val="26"/>
          <w:szCs w:val="26"/>
        </w:rPr>
        <w:t xml:space="preserve">was represented by counsel who </w:t>
      </w:r>
      <w:r w:rsidR="00EB238E" w:rsidRPr="007F7DB7">
        <w:rPr>
          <w:sz w:val="26"/>
          <w:szCs w:val="26"/>
        </w:rPr>
        <w:t xml:space="preserve">presented one witness </w:t>
      </w:r>
      <w:r w:rsidR="00BA6959">
        <w:rPr>
          <w:sz w:val="26"/>
          <w:szCs w:val="26"/>
        </w:rPr>
        <w:t>and</w:t>
      </w:r>
      <w:r w:rsidR="00EB238E" w:rsidRPr="007F7DB7">
        <w:rPr>
          <w:sz w:val="26"/>
          <w:szCs w:val="26"/>
        </w:rPr>
        <w:t xml:space="preserve"> sponsored four exhibits that were admitted into the record.  </w:t>
      </w:r>
      <w:r w:rsidR="00EB238E">
        <w:rPr>
          <w:sz w:val="26"/>
          <w:szCs w:val="26"/>
        </w:rPr>
        <w:t>Blue Pilot</w:t>
      </w:r>
      <w:r w:rsidR="00EB238E" w:rsidRPr="007F7DB7">
        <w:rPr>
          <w:sz w:val="26"/>
          <w:szCs w:val="26"/>
        </w:rPr>
        <w:t xml:space="preserve"> </w:t>
      </w:r>
      <w:r w:rsidR="00BA6959">
        <w:rPr>
          <w:sz w:val="26"/>
          <w:szCs w:val="26"/>
        </w:rPr>
        <w:t xml:space="preserve">was represented by counsel but </w:t>
      </w:r>
      <w:r w:rsidR="00EB238E">
        <w:rPr>
          <w:sz w:val="26"/>
          <w:szCs w:val="26"/>
        </w:rPr>
        <w:t xml:space="preserve">did not </w:t>
      </w:r>
      <w:r w:rsidR="00EB238E" w:rsidRPr="007F7DB7">
        <w:rPr>
          <w:sz w:val="26"/>
          <w:szCs w:val="26"/>
        </w:rPr>
        <w:t xml:space="preserve">present </w:t>
      </w:r>
      <w:r w:rsidR="00EB238E">
        <w:rPr>
          <w:sz w:val="26"/>
          <w:szCs w:val="26"/>
        </w:rPr>
        <w:t>any</w:t>
      </w:r>
      <w:r w:rsidR="00EB238E" w:rsidRPr="007F7DB7">
        <w:rPr>
          <w:sz w:val="26"/>
          <w:szCs w:val="26"/>
        </w:rPr>
        <w:t xml:space="preserve"> witnesses or </w:t>
      </w:r>
      <w:r w:rsidR="00EB238E">
        <w:rPr>
          <w:sz w:val="26"/>
          <w:szCs w:val="26"/>
        </w:rPr>
        <w:t xml:space="preserve">sponsor any </w:t>
      </w:r>
      <w:r w:rsidR="00EB238E" w:rsidRPr="007F7DB7">
        <w:rPr>
          <w:sz w:val="26"/>
          <w:szCs w:val="26"/>
        </w:rPr>
        <w:t xml:space="preserve">exhibits.  </w:t>
      </w:r>
      <w:r w:rsidR="00BA6959">
        <w:rPr>
          <w:sz w:val="26"/>
          <w:szCs w:val="26"/>
        </w:rPr>
        <w:t xml:space="preserve">The hearing produced a </w:t>
      </w:r>
      <w:r w:rsidR="00EB238E" w:rsidRPr="007F7DB7">
        <w:rPr>
          <w:sz w:val="26"/>
          <w:szCs w:val="26"/>
        </w:rPr>
        <w:t xml:space="preserve">transcript of thirty-five </w:t>
      </w:r>
      <w:r w:rsidR="00BA6959">
        <w:rPr>
          <w:sz w:val="26"/>
          <w:szCs w:val="26"/>
        </w:rPr>
        <w:t>pages</w:t>
      </w:r>
      <w:r w:rsidR="00EB238E" w:rsidRPr="007F7DB7">
        <w:rPr>
          <w:sz w:val="26"/>
          <w:szCs w:val="26"/>
        </w:rPr>
        <w:t>.</w:t>
      </w:r>
      <w:r w:rsidR="003263ED">
        <w:rPr>
          <w:sz w:val="26"/>
          <w:szCs w:val="26"/>
        </w:rPr>
        <w:t xml:space="preserve">  </w:t>
      </w:r>
    </w:p>
    <w:p w:rsidR="00EB238E" w:rsidRPr="007F7DB7" w:rsidRDefault="00EB238E" w:rsidP="00EB238E">
      <w:pPr>
        <w:autoSpaceDE w:val="0"/>
        <w:autoSpaceDN w:val="0"/>
        <w:spacing w:line="360" w:lineRule="auto"/>
        <w:ind w:firstLine="1440"/>
        <w:rPr>
          <w:sz w:val="26"/>
          <w:szCs w:val="26"/>
        </w:rPr>
      </w:pPr>
    </w:p>
    <w:p w:rsidR="00EB238E" w:rsidRPr="007F7DB7" w:rsidRDefault="00CE62F7" w:rsidP="00EB238E">
      <w:pPr>
        <w:autoSpaceDE w:val="0"/>
        <w:autoSpaceDN w:val="0"/>
        <w:spacing w:line="360" w:lineRule="auto"/>
        <w:ind w:firstLine="1440"/>
        <w:rPr>
          <w:sz w:val="26"/>
          <w:szCs w:val="26"/>
        </w:rPr>
      </w:pPr>
      <w:r>
        <w:rPr>
          <w:sz w:val="26"/>
          <w:szCs w:val="26"/>
        </w:rPr>
        <w:t>A</w:t>
      </w:r>
      <w:r w:rsidR="00A4179C">
        <w:rPr>
          <w:sz w:val="26"/>
          <w:szCs w:val="26"/>
        </w:rPr>
        <w:t>t the conclusion of Enrico’s case-in-chief</w:t>
      </w:r>
      <w:r w:rsidR="00BA6959">
        <w:rPr>
          <w:sz w:val="26"/>
          <w:szCs w:val="26"/>
        </w:rPr>
        <w:t xml:space="preserve"> during the hearing</w:t>
      </w:r>
      <w:r w:rsidR="00A4179C">
        <w:rPr>
          <w:sz w:val="26"/>
          <w:szCs w:val="26"/>
        </w:rPr>
        <w:t>, Blue Pilot moved for summary dismissal of the Complaint</w:t>
      </w:r>
      <w:r w:rsidR="00BA6959">
        <w:rPr>
          <w:sz w:val="26"/>
          <w:szCs w:val="26"/>
        </w:rPr>
        <w:t xml:space="preserve"> arguing that </w:t>
      </w:r>
      <w:r w:rsidR="00A4179C">
        <w:rPr>
          <w:sz w:val="26"/>
          <w:szCs w:val="26"/>
        </w:rPr>
        <w:t xml:space="preserve">the </w:t>
      </w:r>
      <w:r w:rsidR="00BA6959">
        <w:rPr>
          <w:sz w:val="26"/>
          <w:szCs w:val="26"/>
        </w:rPr>
        <w:t>C</w:t>
      </w:r>
      <w:r w:rsidR="00A4179C">
        <w:rPr>
          <w:sz w:val="26"/>
          <w:szCs w:val="26"/>
        </w:rPr>
        <w:t xml:space="preserve">ommission </w:t>
      </w:r>
      <w:r w:rsidR="00BA6959">
        <w:rPr>
          <w:sz w:val="26"/>
          <w:szCs w:val="26"/>
        </w:rPr>
        <w:t xml:space="preserve">lacked </w:t>
      </w:r>
      <w:r w:rsidR="00A4179C">
        <w:rPr>
          <w:sz w:val="26"/>
          <w:szCs w:val="26"/>
        </w:rPr>
        <w:t xml:space="preserve">jurisdiction to regulate, establish, or limit EGS prices </w:t>
      </w:r>
      <w:r w:rsidR="00BA6959">
        <w:rPr>
          <w:sz w:val="26"/>
          <w:szCs w:val="26"/>
        </w:rPr>
        <w:t>or to</w:t>
      </w:r>
      <w:r w:rsidR="00A4179C">
        <w:rPr>
          <w:sz w:val="26"/>
          <w:szCs w:val="26"/>
        </w:rPr>
        <w:t xml:space="preserve"> direct the issuance of a refund by an EGS.</w:t>
      </w:r>
      <w:r w:rsidR="004308FE">
        <w:rPr>
          <w:sz w:val="26"/>
          <w:szCs w:val="26"/>
        </w:rPr>
        <w:t xml:space="preserve">  </w:t>
      </w:r>
      <w:r w:rsidR="007C68E2">
        <w:rPr>
          <w:sz w:val="26"/>
          <w:szCs w:val="26"/>
        </w:rPr>
        <w:t xml:space="preserve">In response, the ALJ requested the filing of briefs to address the jurisdiction issue.  </w:t>
      </w:r>
      <w:r w:rsidR="00EB112C">
        <w:rPr>
          <w:sz w:val="26"/>
          <w:szCs w:val="26"/>
        </w:rPr>
        <w:t>Tr. at 29</w:t>
      </w:r>
      <w:r w:rsidR="007C68E2">
        <w:rPr>
          <w:sz w:val="26"/>
          <w:szCs w:val="26"/>
        </w:rPr>
        <w:t>-30</w:t>
      </w:r>
      <w:r w:rsidR="00EB112C">
        <w:rPr>
          <w:sz w:val="26"/>
          <w:szCs w:val="26"/>
        </w:rPr>
        <w:t>.</w:t>
      </w:r>
      <w:r w:rsidR="00EB238E" w:rsidRPr="007F7DB7">
        <w:rPr>
          <w:sz w:val="26"/>
          <w:szCs w:val="26"/>
        </w:rPr>
        <w:t xml:space="preserve"> </w:t>
      </w:r>
      <w:r w:rsidR="00BA6959">
        <w:rPr>
          <w:sz w:val="26"/>
          <w:szCs w:val="26"/>
        </w:rPr>
        <w:t xml:space="preserve"> </w:t>
      </w:r>
      <w:r w:rsidR="007C68E2">
        <w:rPr>
          <w:sz w:val="26"/>
          <w:szCs w:val="26"/>
        </w:rPr>
        <w:t xml:space="preserve">Following the submission of briefs and reply briefs, the record was closed on </w:t>
      </w:r>
      <w:r w:rsidR="00EB238E" w:rsidRPr="007F7DB7">
        <w:rPr>
          <w:sz w:val="26"/>
          <w:szCs w:val="26"/>
        </w:rPr>
        <w:t>December 12, 2014.</w:t>
      </w:r>
    </w:p>
    <w:p w:rsidR="00EB238E" w:rsidRPr="007F7DB7" w:rsidRDefault="00EB238E" w:rsidP="00EB238E">
      <w:pPr>
        <w:autoSpaceDE w:val="0"/>
        <w:autoSpaceDN w:val="0"/>
        <w:spacing w:line="360" w:lineRule="auto"/>
        <w:ind w:firstLine="1440"/>
        <w:rPr>
          <w:sz w:val="26"/>
          <w:szCs w:val="26"/>
        </w:rPr>
      </w:pPr>
    </w:p>
    <w:p w:rsidR="006377DD" w:rsidRDefault="00EB238E" w:rsidP="00AC2CD0">
      <w:pPr>
        <w:pStyle w:val="Style"/>
        <w:spacing w:line="360" w:lineRule="auto"/>
        <w:ind w:firstLine="1440"/>
        <w:rPr>
          <w:sz w:val="26"/>
          <w:szCs w:val="26"/>
        </w:rPr>
      </w:pPr>
      <w:r>
        <w:rPr>
          <w:sz w:val="26"/>
          <w:szCs w:val="26"/>
        </w:rPr>
        <w:t xml:space="preserve">In </w:t>
      </w:r>
      <w:r w:rsidR="00DE075F">
        <w:rPr>
          <w:sz w:val="26"/>
          <w:szCs w:val="26"/>
        </w:rPr>
        <w:t>the</w:t>
      </w:r>
      <w:r>
        <w:rPr>
          <w:sz w:val="26"/>
          <w:szCs w:val="26"/>
        </w:rPr>
        <w:t xml:space="preserve"> I</w:t>
      </w:r>
      <w:r w:rsidR="00981EF4">
        <w:rPr>
          <w:sz w:val="26"/>
          <w:szCs w:val="26"/>
        </w:rPr>
        <w:t>nitial Decision</w:t>
      </w:r>
      <w:r w:rsidR="00E53511">
        <w:rPr>
          <w:sz w:val="26"/>
          <w:szCs w:val="26"/>
        </w:rPr>
        <w:t xml:space="preserve"> issued on March 13, 2015</w:t>
      </w:r>
      <w:r>
        <w:rPr>
          <w:sz w:val="26"/>
          <w:szCs w:val="26"/>
        </w:rPr>
        <w:t xml:space="preserve">, </w:t>
      </w:r>
      <w:r w:rsidR="007C68E2">
        <w:rPr>
          <w:sz w:val="26"/>
          <w:szCs w:val="26"/>
        </w:rPr>
        <w:t xml:space="preserve">the </w:t>
      </w:r>
      <w:r>
        <w:rPr>
          <w:sz w:val="26"/>
          <w:szCs w:val="26"/>
        </w:rPr>
        <w:t xml:space="preserve">ALJ </w:t>
      </w:r>
      <w:r w:rsidR="007C68E2">
        <w:rPr>
          <w:sz w:val="26"/>
          <w:szCs w:val="26"/>
        </w:rPr>
        <w:t xml:space="preserve">sustained the </w:t>
      </w:r>
      <w:r w:rsidRPr="007F7DB7">
        <w:rPr>
          <w:sz w:val="26"/>
          <w:szCs w:val="26"/>
        </w:rPr>
        <w:t>Complaint</w:t>
      </w:r>
      <w:r w:rsidR="00776EDB">
        <w:rPr>
          <w:sz w:val="26"/>
          <w:szCs w:val="26"/>
        </w:rPr>
        <w:t>, in part</w:t>
      </w:r>
      <w:r w:rsidR="007C68E2">
        <w:rPr>
          <w:sz w:val="26"/>
          <w:szCs w:val="26"/>
        </w:rPr>
        <w:t xml:space="preserve">, concluding that </w:t>
      </w:r>
      <w:r w:rsidR="00190404">
        <w:rPr>
          <w:sz w:val="26"/>
          <w:szCs w:val="26"/>
        </w:rPr>
        <w:t xml:space="preserve">Blue Pilot charged a higher rate per kilowatt hour than the amount agreed upon.  </w:t>
      </w:r>
      <w:r w:rsidR="00A00888">
        <w:rPr>
          <w:sz w:val="26"/>
          <w:szCs w:val="26"/>
        </w:rPr>
        <w:t>T</w:t>
      </w:r>
      <w:r w:rsidR="00190404">
        <w:rPr>
          <w:sz w:val="26"/>
          <w:szCs w:val="26"/>
        </w:rPr>
        <w:t xml:space="preserve">he ALJ </w:t>
      </w:r>
      <w:r w:rsidR="00A00888">
        <w:rPr>
          <w:sz w:val="26"/>
          <w:szCs w:val="26"/>
        </w:rPr>
        <w:t xml:space="preserve">also </w:t>
      </w:r>
      <w:r w:rsidR="00190404">
        <w:rPr>
          <w:sz w:val="26"/>
          <w:szCs w:val="26"/>
        </w:rPr>
        <w:t xml:space="preserve">found that the Company’s disclosure </w:t>
      </w:r>
      <w:r w:rsidR="00190404">
        <w:rPr>
          <w:sz w:val="26"/>
          <w:szCs w:val="26"/>
        </w:rPr>
        <w:lastRenderedPageBreak/>
        <w:t xml:space="preserve">statement violated </w:t>
      </w:r>
      <w:r w:rsidR="00AC2CD0" w:rsidRPr="00AC2CD0">
        <w:rPr>
          <w:sz w:val="26"/>
          <w:szCs w:val="26"/>
        </w:rPr>
        <w:t xml:space="preserve">Sections 54.43 and 111.12 of the Commission’s </w:t>
      </w:r>
      <w:r w:rsidR="00AC2CD0">
        <w:rPr>
          <w:sz w:val="26"/>
          <w:szCs w:val="26"/>
        </w:rPr>
        <w:t>R</w:t>
      </w:r>
      <w:r w:rsidR="00AC2CD0" w:rsidRPr="00AC2CD0">
        <w:rPr>
          <w:sz w:val="26"/>
          <w:szCs w:val="26"/>
        </w:rPr>
        <w:t>egulations</w:t>
      </w:r>
      <w:r w:rsidR="00AC2CD0">
        <w:rPr>
          <w:sz w:val="26"/>
          <w:szCs w:val="26"/>
        </w:rPr>
        <w:t>,</w:t>
      </w:r>
      <w:r w:rsidR="00DE075F">
        <w:rPr>
          <w:sz w:val="26"/>
          <w:szCs w:val="26"/>
        </w:rPr>
        <w:t xml:space="preserve"> 52 Pa. Code §</w:t>
      </w:r>
      <w:r w:rsidR="00190404">
        <w:rPr>
          <w:sz w:val="26"/>
          <w:szCs w:val="26"/>
        </w:rPr>
        <w:t>§</w:t>
      </w:r>
      <w:r w:rsidR="00DE075F">
        <w:rPr>
          <w:sz w:val="26"/>
          <w:szCs w:val="26"/>
        </w:rPr>
        <w:t xml:space="preserve"> 54.43 </w:t>
      </w:r>
      <w:r w:rsidR="00F41585">
        <w:rPr>
          <w:sz w:val="26"/>
          <w:szCs w:val="26"/>
        </w:rPr>
        <w:t xml:space="preserve">and </w:t>
      </w:r>
      <w:r w:rsidR="00DE075F">
        <w:rPr>
          <w:sz w:val="26"/>
          <w:szCs w:val="26"/>
        </w:rPr>
        <w:t>111.12,</w:t>
      </w:r>
      <w:r w:rsidR="00AC2CD0" w:rsidRPr="00AC2CD0">
        <w:rPr>
          <w:sz w:val="26"/>
          <w:szCs w:val="26"/>
        </w:rPr>
        <w:t xml:space="preserve"> </w:t>
      </w:r>
      <w:r w:rsidR="00DE075F">
        <w:rPr>
          <w:sz w:val="26"/>
          <w:szCs w:val="26"/>
        </w:rPr>
        <w:t>in</w:t>
      </w:r>
      <w:r w:rsidR="00AC2CD0" w:rsidRPr="00AC2CD0">
        <w:rPr>
          <w:sz w:val="26"/>
          <w:szCs w:val="26"/>
        </w:rPr>
        <w:t xml:space="preserve"> failing to use plain language.</w:t>
      </w:r>
      <w:r w:rsidR="00DE075F">
        <w:rPr>
          <w:sz w:val="26"/>
          <w:szCs w:val="26"/>
        </w:rPr>
        <w:t xml:space="preserve">  </w:t>
      </w:r>
      <w:r w:rsidR="00AC2CD0" w:rsidRPr="00AC2CD0">
        <w:rPr>
          <w:sz w:val="26"/>
          <w:szCs w:val="26"/>
        </w:rPr>
        <w:t xml:space="preserve">As a result, </w:t>
      </w:r>
      <w:r w:rsidR="00F313AC">
        <w:rPr>
          <w:sz w:val="26"/>
          <w:szCs w:val="26"/>
        </w:rPr>
        <w:t>the ALJ</w:t>
      </w:r>
      <w:r w:rsidR="00AC2CD0" w:rsidRPr="00AC2CD0">
        <w:rPr>
          <w:sz w:val="26"/>
          <w:szCs w:val="26"/>
        </w:rPr>
        <w:t xml:space="preserve"> </w:t>
      </w:r>
      <w:r w:rsidR="00DE075F">
        <w:rPr>
          <w:sz w:val="26"/>
          <w:szCs w:val="26"/>
        </w:rPr>
        <w:t>impos</w:t>
      </w:r>
      <w:r w:rsidR="008E2DD9">
        <w:rPr>
          <w:sz w:val="26"/>
          <w:szCs w:val="26"/>
        </w:rPr>
        <w:t>ed</w:t>
      </w:r>
      <w:r w:rsidR="00DE075F">
        <w:rPr>
          <w:sz w:val="26"/>
          <w:szCs w:val="26"/>
        </w:rPr>
        <w:t xml:space="preserve"> a </w:t>
      </w:r>
      <w:r w:rsidR="00AC2CD0" w:rsidRPr="00AC2CD0">
        <w:rPr>
          <w:sz w:val="26"/>
          <w:szCs w:val="26"/>
        </w:rPr>
        <w:t>civil penalty of $2,000</w:t>
      </w:r>
      <w:r w:rsidR="0091433E">
        <w:rPr>
          <w:sz w:val="26"/>
          <w:szCs w:val="26"/>
        </w:rPr>
        <w:t xml:space="preserve"> a</w:t>
      </w:r>
      <w:r w:rsidR="00190404">
        <w:rPr>
          <w:sz w:val="26"/>
          <w:szCs w:val="26"/>
        </w:rPr>
        <w:t xml:space="preserve">nd determined that Blue Pilot must issue a refund for the amount of the overbilling.  </w:t>
      </w:r>
      <w:r w:rsidR="008E2DD9">
        <w:rPr>
          <w:sz w:val="26"/>
          <w:szCs w:val="26"/>
        </w:rPr>
        <w:t xml:space="preserve">I.D. </w:t>
      </w:r>
      <w:r w:rsidR="00AB37FF">
        <w:rPr>
          <w:sz w:val="26"/>
          <w:szCs w:val="26"/>
        </w:rPr>
        <w:t xml:space="preserve">at </w:t>
      </w:r>
      <w:r w:rsidR="0091433E">
        <w:rPr>
          <w:sz w:val="26"/>
          <w:szCs w:val="26"/>
        </w:rPr>
        <w:t>1</w:t>
      </w:r>
      <w:r w:rsidR="007C68E2">
        <w:rPr>
          <w:sz w:val="26"/>
          <w:szCs w:val="26"/>
        </w:rPr>
        <w:t xml:space="preserve">, </w:t>
      </w:r>
      <w:r w:rsidR="0091433E">
        <w:rPr>
          <w:sz w:val="26"/>
          <w:szCs w:val="26"/>
        </w:rPr>
        <w:t>26-27</w:t>
      </w:r>
      <w:r w:rsidR="00AB37FF">
        <w:rPr>
          <w:sz w:val="26"/>
          <w:szCs w:val="26"/>
        </w:rPr>
        <w:t>.</w:t>
      </w:r>
      <w:r w:rsidR="00DE075F">
        <w:rPr>
          <w:sz w:val="26"/>
          <w:szCs w:val="26"/>
        </w:rPr>
        <w:t xml:space="preserve">  </w:t>
      </w:r>
    </w:p>
    <w:p w:rsidR="00AC2CD0" w:rsidRDefault="00AC2CD0" w:rsidP="00DE075F">
      <w:pPr>
        <w:autoSpaceDE w:val="0"/>
        <w:autoSpaceDN w:val="0"/>
        <w:spacing w:line="360" w:lineRule="auto"/>
        <w:rPr>
          <w:sz w:val="26"/>
          <w:szCs w:val="26"/>
        </w:rPr>
      </w:pPr>
    </w:p>
    <w:p w:rsidR="0080270D" w:rsidRPr="002A17C1" w:rsidRDefault="00E53511" w:rsidP="002A17C1">
      <w:pPr>
        <w:autoSpaceDE w:val="0"/>
        <w:autoSpaceDN w:val="0"/>
        <w:spacing w:line="360" w:lineRule="auto"/>
        <w:ind w:firstLine="1440"/>
        <w:rPr>
          <w:strike/>
          <w:sz w:val="26"/>
          <w:szCs w:val="26"/>
        </w:rPr>
      </w:pPr>
      <w:r>
        <w:rPr>
          <w:sz w:val="26"/>
          <w:szCs w:val="26"/>
        </w:rPr>
        <w:t xml:space="preserve">As previously indicated, Blue Pilot filed </w:t>
      </w:r>
      <w:r w:rsidR="00EB238E">
        <w:rPr>
          <w:sz w:val="26"/>
          <w:szCs w:val="26"/>
        </w:rPr>
        <w:t xml:space="preserve">Exceptions </w:t>
      </w:r>
      <w:r>
        <w:rPr>
          <w:sz w:val="26"/>
          <w:szCs w:val="26"/>
        </w:rPr>
        <w:t xml:space="preserve">on April 2, 2015, </w:t>
      </w:r>
      <w:r w:rsidR="00EB238E">
        <w:rPr>
          <w:sz w:val="26"/>
          <w:szCs w:val="26"/>
        </w:rPr>
        <w:t xml:space="preserve">and </w:t>
      </w:r>
      <w:r>
        <w:rPr>
          <w:sz w:val="26"/>
          <w:szCs w:val="26"/>
        </w:rPr>
        <w:t xml:space="preserve">Enrico filed </w:t>
      </w:r>
      <w:r w:rsidR="00EB238E">
        <w:rPr>
          <w:sz w:val="26"/>
          <w:szCs w:val="26"/>
        </w:rPr>
        <w:t xml:space="preserve">Replies </w:t>
      </w:r>
      <w:r>
        <w:rPr>
          <w:sz w:val="26"/>
          <w:szCs w:val="26"/>
        </w:rPr>
        <w:t xml:space="preserve">to Exceptions on April 13, 2015.  </w:t>
      </w:r>
    </w:p>
    <w:p w:rsidR="0080270D" w:rsidRDefault="0080270D" w:rsidP="0080270D">
      <w:pPr>
        <w:autoSpaceDE w:val="0"/>
        <w:autoSpaceDN w:val="0"/>
        <w:spacing w:line="360" w:lineRule="auto"/>
        <w:ind w:firstLine="1440"/>
        <w:rPr>
          <w:sz w:val="26"/>
          <w:szCs w:val="26"/>
        </w:rPr>
      </w:pPr>
    </w:p>
    <w:p w:rsidR="00EB238E" w:rsidRDefault="00EB238E" w:rsidP="002D4239">
      <w:pPr>
        <w:spacing w:line="360" w:lineRule="auto"/>
        <w:jc w:val="center"/>
        <w:rPr>
          <w:sz w:val="26"/>
          <w:szCs w:val="26"/>
        </w:rPr>
      </w:pPr>
      <w:r>
        <w:rPr>
          <w:b/>
          <w:sz w:val="26"/>
          <w:szCs w:val="26"/>
        </w:rPr>
        <w:t>Discussion</w:t>
      </w:r>
    </w:p>
    <w:p w:rsidR="006E30A8" w:rsidRDefault="006E30A8" w:rsidP="00BA237B">
      <w:pPr>
        <w:spacing w:line="360" w:lineRule="auto"/>
        <w:rPr>
          <w:sz w:val="26"/>
          <w:szCs w:val="26"/>
        </w:rPr>
      </w:pPr>
    </w:p>
    <w:p w:rsidR="003A2EEE" w:rsidRDefault="00000525" w:rsidP="00BA237B">
      <w:pPr>
        <w:spacing w:line="360" w:lineRule="auto"/>
        <w:rPr>
          <w:b/>
          <w:sz w:val="26"/>
          <w:szCs w:val="26"/>
        </w:rPr>
      </w:pPr>
      <w:r>
        <w:rPr>
          <w:b/>
          <w:sz w:val="26"/>
          <w:szCs w:val="26"/>
        </w:rPr>
        <w:t xml:space="preserve">Legal Standards </w:t>
      </w:r>
    </w:p>
    <w:p w:rsidR="0002711D" w:rsidRDefault="0002711D" w:rsidP="00BA237B">
      <w:pPr>
        <w:spacing w:line="360" w:lineRule="auto"/>
        <w:rPr>
          <w:sz w:val="26"/>
          <w:szCs w:val="26"/>
        </w:rPr>
      </w:pPr>
    </w:p>
    <w:p w:rsidR="00553B6B" w:rsidRPr="003732C7" w:rsidRDefault="00553B6B" w:rsidP="00553B6B">
      <w:pPr>
        <w:widowControl/>
        <w:spacing w:line="360" w:lineRule="auto"/>
        <w:ind w:firstLine="1440"/>
        <w:rPr>
          <w:sz w:val="26"/>
          <w:szCs w:val="26"/>
        </w:rPr>
      </w:pPr>
      <w:r w:rsidRPr="003732C7">
        <w:rPr>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w:t>
      </w:r>
      <w:r w:rsidR="001F5005">
        <w:rPr>
          <w:sz w:val="26"/>
          <w:szCs w:val="26"/>
        </w:rPr>
        <w:t>the Respondent</w:t>
      </w:r>
      <w:r w:rsidRPr="003732C7">
        <w:rPr>
          <w:sz w:val="26"/>
          <w:szCs w:val="26"/>
        </w:rPr>
        <w:t xml:space="preserve"> is responsible or accountable for the problem described in the Complaint.  </w:t>
      </w:r>
      <w:r w:rsidRPr="003732C7">
        <w:rPr>
          <w:i/>
          <w:sz w:val="26"/>
          <w:szCs w:val="26"/>
        </w:rPr>
        <w:t>Patterson v. The Bell Telephone Company of Pennsylvania</w:t>
      </w:r>
      <w:r w:rsidRPr="003732C7">
        <w:rPr>
          <w:sz w:val="26"/>
          <w:szCs w:val="26"/>
        </w:rPr>
        <w:t xml:space="preserve">, 72 Pa. P.U.C. 196 (1990).  Such a showing must be by a preponderance of the evidence.  </w:t>
      </w:r>
      <w:r w:rsidRPr="003732C7">
        <w:rPr>
          <w:i/>
          <w:iCs/>
          <w:sz w:val="26"/>
          <w:szCs w:val="26"/>
        </w:rPr>
        <w:t>Samuel J. Lansberry, Inc. v. Pa. PUC</w:t>
      </w:r>
      <w:r w:rsidRPr="003732C7">
        <w:rPr>
          <w:sz w:val="26"/>
          <w:szCs w:val="26"/>
        </w:rPr>
        <w:t xml:space="preserve">, 578 A.2d 600 (Pa. Cmwlth. 1990), </w:t>
      </w:r>
      <w:r w:rsidRPr="003732C7">
        <w:rPr>
          <w:i/>
          <w:sz w:val="26"/>
          <w:szCs w:val="26"/>
        </w:rPr>
        <w:t>alloc. denied,</w:t>
      </w:r>
      <w:r w:rsidRPr="003732C7">
        <w:rPr>
          <w:sz w:val="26"/>
          <w:szCs w:val="26"/>
        </w:rPr>
        <w:t xml:space="preserve"> 529 Pa. 654, 602 A.2d 863 (1992).  That is, the Complainant’s evidence must be more convincing, by even the smallest amount, than that presented by </w:t>
      </w:r>
      <w:r>
        <w:rPr>
          <w:sz w:val="26"/>
          <w:szCs w:val="26"/>
        </w:rPr>
        <w:t>Blue Pilot</w:t>
      </w:r>
      <w:r w:rsidRPr="003732C7">
        <w:rPr>
          <w:sz w:val="26"/>
          <w:szCs w:val="26"/>
        </w:rPr>
        <w:t xml:space="preserve">.  </w:t>
      </w:r>
      <w:r w:rsidRPr="003732C7">
        <w:rPr>
          <w:i/>
          <w:sz w:val="26"/>
          <w:szCs w:val="26"/>
        </w:rPr>
        <w:t>Se-Ling Hosiery, Inc. v. Margulies</w:t>
      </w:r>
      <w:r w:rsidRPr="003732C7">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3732C7">
        <w:rPr>
          <w:i/>
          <w:sz w:val="26"/>
          <w:szCs w:val="26"/>
        </w:rPr>
        <w:t xml:space="preserve">Norfolk &amp; Western Ry. Co. v. Pa. PUC, </w:t>
      </w:r>
      <w:r w:rsidRPr="003732C7">
        <w:rPr>
          <w:sz w:val="26"/>
          <w:szCs w:val="26"/>
        </w:rPr>
        <w:t>489 Pa. 109, 413 A.2d 1037 (1980).</w:t>
      </w:r>
    </w:p>
    <w:p w:rsidR="00553B6B" w:rsidRPr="003732C7" w:rsidRDefault="00553B6B" w:rsidP="00553B6B">
      <w:pPr>
        <w:widowControl/>
        <w:spacing w:line="360" w:lineRule="auto"/>
        <w:ind w:firstLine="1440"/>
        <w:rPr>
          <w:sz w:val="26"/>
          <w:szCs w:val="26"/>
        </w:rPr>
      </w:pPr>
    </w:p>
    <w:p w:rsidR="00952112" w:rsidRDefault="00952112">
      <w:pPr>
        <w:widowControl/>
        <w:spacing w:after="200" w:line="276" w:lineRule="auto"/>
        <w:rPr>
          <w:sz w:val="26"/>
        </w:rPr>
      </w:pPr>
      <w:r>
        <w:rPr>
          <w:sz w:val="26"/>
        </w:rPr>
        <w:br w:type="page"/>
      </w:r>
    </w:p>
    <w:p w:rsidR="00553B6B" w:rsidRDefault="00553B6B" w:rsidP="00553B6B">
      <w:pPr>
        <w:widowControl/>
        <w:spacing w:line="360" w:lineRule="auto"/>
        <w:ind w:firstLine="1440"/>
        <w:rPr>
          <w:rStyle w:val="Hyperlink"/>
          <w:rFonts w:ascii="Times New (W1)" w:hAnsi="Times New (W1)"/>
          <w:iCs/>
          <w:color w:val="auto"/>
          <w:sz w:val="26"/>
          <w:u w:val="none"/>
        </w:rPr>
      </w:pPr>
      <w:r w:rsidRPr="003732C7">
        <w:rPr>
          <w:sz w:val="26"/>
        </w:rPr>
        <w:lastRenderedPageBreak/>
        <w:t xml:space="preserve">Upon the presentation by the Complainant of evidence sufficient to initially satisfy the burden of proof, the burden of going forward with the evidence to rebut the evidence of the Complainant shifts to </w:t>
      </w:r>
      <w:r w:rsidR="001F5005">
        <w:rPr>
          <w:sz w:val="26"/>
        </w:rPr>
        <w:t>the Respondent</w:t>
      </w:r>
      <w:r w:rsidRPr="003732C7">
        <w:rPr>
          <w:sz w:val="26"/>
        </w:rPr>
        <w:t xml:space="preserve">.  If the evidence presented by </w:t>
      </w:r>
      <w:r w:rsidR="001F5005">
        <w:rPr>
          <w:sz w:val="26"/>
        </w:rPr>
        <w:t>Blue Pilot</w:t>
      </w:r>
      <w:r w:rsidRPr="003732C7">
        <w:rPr>
          <w:sz w:val="26"/>
        </w:rPr>
        <w:t xml:space="preserve"> is of co</w:t>
      </w:r>
      <w:r w:rsidRPr="003732C7">
        <w:rPr>
          <w:sz w:val="26"/>
        </w:rPr>
        <w:noBreakHyphen/>
        <w:t xml:space="preserve">equal value or “weight,” the burden of proof has not been satisfied.  The Complainant now has to provide some additional evidence to rebut that of </w:t>
      </w:r>
      <w:r w:rsidR="001F5005">
        <w:rPr>
          <w:sz w:val="26"/>
        </w:rPr>
        <w:t>Blue Pilot</w:t>
      </w:r>
      <w:r w:rsidRPr="003732C7">
        <w:rPr>
          <w:sz w:val="26"/>
        </w:rPr>
        <w:t xml:space="preserve">. </w:t>
      </w:r>
      <w:r w:rsidRPr="003732C7">
        <w:rPr>
          <w:iCs/>
          <w:sz w:val="26"/>
        </w:rPr>
        <w:t xml:space="preserve"> </w:t>
      </w:r>
      <w:hyperlink r:id="rId10" w:history="1">
        <w:r w:rsidRPr="00553B6B">
          <w:rPr>
            <w:rStyle w:val="Hyperlink"/>
            <w:rFonts w:ascii="Times New (W1)" w:hAnsi="Times New (W1)"/>
            <w:i/>
            <w:iCs/>
            <w:color w:val="auto"/>
            <w:sz w:val="26"/>
            <w:u w:val="none"/>
          </w:rPr>
          <w:t>Burleson v. Pa. PUC,</w:t>
        </w:r>
        <w:r w:rsidRPr="00553B6B">
          <w:rPr>
            <w:rStyle w:val="Hyperlink"/>
            <w:rFonts w:ascii="Times New (W1)" w:hAnsi="Times New (W1)"/>
            <w:iCs/>
            <w:color w:val="auto"/>
            <w:sz w:val="26"/>
            <w:u w:val="none"/>
          </w:rPr>
          <w:t xml:space="preserve"> 443 A.2d 1373 (Pa. Cmwlth. 1982), </w:t>
        </w:r>
        <w:r w:rsidRPr="00553B6B">
          <w:rPr>
            <w:rStyle w:val="Hyperlink"/>
            <w:rFonts w:ascii="Times New (W1)" w:hAnsi="Times New (W1)"/>
            <w:i/>
            <w:iCs/>
            <w:color w:val="auto"/>
            <w:sz w:val="26"/>
            <w:u w:val="none"/>
          </w:rPr>
          <w:t>aff’d,</w:t>
        </w:r>
        <w:r w:rsidRPr="00553B6B">
          <w:rPr>
            <w:rStyle w:val="Hyperlink"/>
            <w:rFonts w:ascii="Times New (W1)" w:hAnsi="Times New (W1)"/>
            <w:iCs/>
            <w:color w:val="auto"/>
            <w:sz w:val="26"/>
            <w:u w:val="none"/>
          </w:rPr>
          <w:t xml:space="preserve"> 501 Pa. 433, 461 A.2d 1234 (1983).</w:t>
        </w:r>
      </w:hyperlink>
    </w:p>
    <w:p w:rsidR="00787F0C" w:rsidRPr="003732C7" w:rsidRDefault="00787F0C" w:rsidP="00553B6B">
      <w:pPr>
        <w:widowControl/>
        <w:spacing w:line="360" w:lineRule="auto"/>
        <w:ind w:firstLine="1440"/>
        <w:rPr>
          <w:rStyle w:val="Hyperlink"/>
          <w:rFonts w:ascii="Times New (W1)" w:hAnsi="Times New (W1)"/>
          <w:iCs/>
          <w:sz w:val="26"/>
        </w:rPr>
      </w:pPr>
    </w:p>
    <w:p w:rsidR="00553B6B" w:rsidRPr="003732C7" w:rsidRDefault="00553B6B" w:rsidP="00553B6B">
      <w:pPr>
        <w:widowControl/>
        <w:spacing w:line="360" w:lineRule="auto"/>
        <w:ind w:firstLine="1440"/>
        <w:rPr>
          <w:sz w:val="26"/>
        </w:rPr>
      </w:pPr>
      <w:r w:rsidRPr="003732C7">
        <w:rPr>
          <w:sz w:val="26"/>
        </w:rPr>
        <w:t xml:space="preserve">While the burden of going forward with the evidence may </w:t>
      </w:r>
      <w:r w:rsidRPr="00553B6B">
        <w:rPr>
          <w:rStyle w:val="term1"/>
          <w:b w:val="0"/>
          <w:sz w:val="26"/>
        </w:rPr>
        <w:t>shift</w:t>
      </w:r>
      <w:r w:rsidRPr="003732C7">
        <w:rPr>
          <w:sz w:val="26"/>
        </w:rPr>
        <w:t xml:space="preserve"> back and forth during a proceeding, the </w:t>
      </w:r>
      <w:r w:rsidRPr="00553B6B">
        <w:rPr>
          <w:rStyle w:val="term1"/>
          <w:b w:val="0"/>
          <w:sz w:val="26"/>
        </w:rPr>
        <w:t>burden of proof</w:t>
      </w:r>
      <w:r w:rsidRPr="003732C7">
        <w:rPr>
          <w:sz w:val="26"/>
        </w:rPr>
        <w:t xml:space="preserve"> never </w:t>
      </w:r>
      <w:r w:rsidRPr="00553B6B">
        <w:rPr>
          <w:rStyle w:val="term1"/>
          <w:b w:val="0"/>
          <w:sz w:val="26"/>
        </w:rPr>
        <w:t>shifts.</w:t>
      </w:r>
      <w:r w:rsidRPr="003732C7">
        <w:rPr>
          <w:rStyle w:val="term1"/>
          <w:sz w:val="26"/>
        </w:rPr>
        <w:t xml:space="preserve">  </w:t>
      </w:r>
      <w:r w:rsidRPr="00553B6B">
        <w:rPr>
          <w:rStyle w:val="term1"/>
          <w:b w:val="0"/>
          <w:sz w:val="26"/>
        </w:rPr>
        <w:t>The burden of proof</w:t>
      </w:r>
      <w:r w:rsidRPr="003732C7">
        <w:rPr>
          <w:sz w:val="26"/>
        </w:rPr>
        <w:t xml:space="preserve"> always remains on the party seeking affirmative relief from the Commission.  </w:t>
      </w:r>
      <w:r w:rsidRPr="003732C7">
        <w:rPr>
          <w:i/>
          <w:sz w:val="26"/>
        </w:rPr>
        <w:t xml:space="preserve">Milkie v. Pa. PUC, </w:t>
      </w:r>
      <w:r w:rsidRPr="003732C7">
        <w:rPr>
          <w:sz w:val="26"/>
        </w:rPr>
        <w:t>768 A.2d 1217 (Pa. Cmwlth. 2001).</w:t>
      </w:r>
    </w:p>
    <w:p w:rsidR="00553B6B" w:rsidRPr="003732C7" w:rsidRDefault="00553B6B" w:rsidP="00553B6B">
      <w:pPr>
        <w:widowControl/>
        <w:spacing w:line="360" w:lineRule="auto"/>
        <w:rPr>
          <w:sz w:val="26"/>
          <w:szCs w:val="26"/>
        </w:rPr>
      </w:pPr>
    </w:p>
    <w:p w:rsidR="005B600B" w:rsidRDefault="005B600B" w:rsidP="005B5507">
      <w:pPr>
        <w:spacing w:line="360" w:lineRule="auto"/>
        <w:ind w:firstLine="1440"/>
        <w:rPr>
          <w:bCs/>
          <w:color w:val="000000"/>
          <w:sz w:val="26"/>
          <w:szCs w:val="26"/>
        </w:rPr>
      </w:pPr>
      <w:r>
        <w:rPr>
          <w:bCs/>
          <w:color w:val="000000"/>
          <w:sz w:val="26"/>
          <w:szCs w:val="26"/>
        </w:rPr>
        <w:t xml:space="preserve">In addition to </w:t>
      </w:r>
      <w:r w:rsidR="00553B6B">
        <w:rPr>
          <w:bCs/>
          <w:color w:val="000000"/>
          <w:sz w:val="26"/>
          <w:szCs w:val="26"/>
        </w:rPr>
        <w:t xml:space="preserve">the </w:t>
      </w:r>
      <w:r>
        <w:rPr>
          <w:bCs/>
          <w:color w:val="000000"/>
          <w:sz w:val="26"/>
          <w:szCs w:val="26"/>
        </w:rPr>
        <w:t>considerations pertaining to the burden of proof and the burden of going forward with the evidence, t</w:t>
      </w:r>
      <w:r w:rsidR="008C6FBF">
        <w:rPr>
          <w:bCs/>
          <w:color w:val="000000"/>
          <w:sz w:val="26"/>
          <w:szCs w:val="26"/>
        </w:rPr>
        <w:t>h</w:t>
      </w:r>
      <w:r w:rsidR="005B5507">
        <w:rPr>
          <w:bCs/>
          <w:color w:val="000000"/>
          <w:sz w:val="26"/>
          <w:szCs w:val="26"/>
        </w:rPr>
        <w:t xml:space="preserve">ere are specific </w:t>
      </w:r>
      <w:r w:rsidR="005B5507" w:rsidRPr="005C78D8">
        <w:rPr>
          <w:bCs/>
          <w:color w:val="000000"/>
          <w:sz w:val="26"/>
          <w:szCs w:val="26"/>
        </w:rPr>
        <w:t xml:space="preserve">Commission </w:t>
      </w:r>
      <w:r>
        <w:rPr>
          <w:bCs/>
          <w:color w:val="000000"/>
          <w:sz w:val="26"/>
          <w:szCs w:val="26"/>
        </w:rPr>
        <w:t>R</w:t>
      </w:r>
      <w:r w:rsidR="005B5507" w:rsidRPr="005C78D8">
        <w:rPr>
          <w:bCs/>
          <w:color w:val="000000"/>
          <w:sz w:val="26"/>
          <w:szCs w:val="26"/>
        </w:rPr>
        <w:t xml:space="preserve">egulations </w:t>
      </w:r>
      <w:r w:rsidR="0002778A">
        <w:rPr>
          <w:bCs/>
          <w:color w:val="000000"/>
          <w:sz w:val="26"/>
          <w:szCs w:val="26"/>
        </w:rPr>
        <w:t>governing</w:t>
      </w:r>
      <w:r w:rsidR="005B5507" w:rsidRPr="005C78D8">
        <w:rPr>
          <w:bCs/>
          <w:color w:val="000000"/>
          <w:sz w:val="26"/>
          <w:szCs w:val="26"/>
        </w:rPr>
        <w:t xml:space="preserve"> various aspects of service provided by EGS</w:t>
      </w:r>
      <w:r w:rsidR="008C6FBF">
        <w:rPr>
          <w:bCs/>
          <w:color w:val="000000"/>
          <w:sz w:val="26"/>
          <w:szCs w:val="26"/>
        </w:rPr>
        <w:t xml:space="preserve"> companies</w:t>
      </w:r>
      <w:r>
        <w:rPr>
          <w:bCs/>
          <w:color w:val="000000"/>
          <w:sz w:val="26"/>
          <w:szCs w:val="26"/>
        </w:rPr>
        <w:t xml:space="preserve"> and the interaction between EGS companies and consumers</w:t>
      </w:r>
      <w:r w:rsidR="005B5507" w:rsidRPr="005C78D8">
        <w:rPr>
          <w:bCs/>
          <w:color w:val="000000"/>
          <w:sz w:val="26"/>
          <w:szCs w:val="26"/>
        </w:rPr>
        <w:t xml:space="preserve">. </w:t>
      </w:r>
      <w:r w:rsidR="008C6FBF">
        <w:rPr>
          <w:bCs/>
          <w:color w:val="000000"/>
          <w:sz w:val="26"/>
          <w:szCs w:val="26"/>
        </w:rPr>
        <w:t xml:space="preserve"> </w:t>
      </w:r>
    </w:p>
    <w:p w:rsidR="005B600B" w:rsidRDefault="005B600B" w:rsidP="005B5507">
      <w:pPr>
        <w:spacing w:line="360" w:lineRule="auto"/>
        <w:ind w:firstLine="1440"/>
        <w:rPr>
          <w:bCs/>
          <w:color w:val="000000"/>
          <w:sz w:val="26"/>
          <w:szCs w:val="26"/>
        </w:rPr>
      </w:pPr>
    </w:p>
    <w:p w:rsidR="00C5448F" w:rsidRDefault="008C6FBF" w:rsidP="00C5448F">
      <w:pPr>
        <w:spacing w:line="360" w:lineRule="auto"/>
        <w:ind w:firstLine="1440"/>
        <w:rPr>
          <w:bCs/>
          <w:sz w:val="26"/>
          <w:szCs w:val="26"/>
          <w:lang w:bidi="en-US"/>
        </w:rPr>
      </w:pPr>
      <w:r>
        <w:rPr>
          <w:bCs/>
          <w:color w:val="000000"/>
          <w:sz w:val="26"/>
          <w:szCs w:val="26"/>
        </w:rPr>
        <w:t>T</w:t>
      </w:r>
      <w:r w:rsidR="001F5005">
        <w:rPr>
          <w:bCs/>
          <w:color w:val="000000"/>
          <w:sz w:val="26"/>
          <w:szCs w:val="26"/>
        </w:rPr>
        <w:t>he Commission has R</w:t>
      </w:r>
      <w:r w:rsidR="005B5507" w:rsidRPr="005C78D8">
        <w:rPr>
          <w:bCs/>
          <w:color w:val="000000"/>
          <w:sz w:val="26"/>
          <w:szCs w:val="26"/>
        </w:rPr>
        <w:t xml:space="preserve">egulations </w:t>
      </w:r>
      <w:r w:rsidR="0002778A">
        <w:rPr>
          <w:bCs/>
          <w:color w:val="000000"/>
          <w:sz w:val="26"/>
          <w:szCs w:val="26"/>
        </w:rPr>
        <w:t>pertaining to b</w:t>
      </w:r>
      <w:r w:rsidR="005B5507" w:rsidRPr="005C78D8">
        <w:rPr>
          <w:bCs/>
          <w:color w:val="000000"/>
          <w:sz w:val="26"/>
          <w:szCs w:val="26"/>
        </w:rPr>
        <w:t>ill format, disclosure statements for residential and small business customers</w:t>
      </w:r>
      <w:r>
        <w:rPr>
          <w:bCs/>
          <w:color w:val="000000"/>
          <w:sz w:val="26"/>
          <w:szCs w:val="26"/>
        </w:rPr>
        <w:t>,</w:t>
      </w:r>
      <w:r w:rsidR="005B5507" w:rsidRPr="005C78D8">
        <w:rPr>
          <w:bCs/>
          <w:color w:val="000000"/>
          <w:sz w:val="26"/>
          <w:szCs w:val="26"/>
        </w:rPr>
        <w:t xml:space="preserve"> and a Code of Conduct.  </w:t>
      </w:r>
      <w:r w:rsidR="005B5507" w:rsidRPr="005C78D8">
        <w:rPr>
          <w:bCs/>
          <w:i/>
          <w:color w:val="000000"/>
          <w:sz w:val="26"/>
          <w:szCs w:val="26"/>
        </w:rPr>
        <w:t>See</w:t>
      </w:r>
      <w:r w:rsidR="005B5507" w:rsidRPr="005C78D8">
        <w:rPr>
          <w:bCs/>
          <w:color w:val="000000"/>
          <w:sz w:val="26"/>
          <w:szCs w:val="26"/>
        </w:rPr>
        <w:t>,</w:t>
      </w:r>
      <w:r w:rsidR="005E2C88">
        <w:rPr>
          <w:bCs/>
          <w:color w:val="000000"/>
          <w:sz w:val="26"/>
          <w:szCs w:val="26"/>
        </w:rPr>
        <w:t xml:space="preserve"> </w:t>
      </w:r>
      <w:r w:rsidR="005B600B">
        <w:rPr>
          <w:bCs/>
          <w:i/>
          <w:color w:val="000000"/>
          <w:sz w:val="26"/>
          <w:szCs w:val="26"/>
        </w:rPr>
        <w:t>e.g.,</w:t>
      </w:r>
      <w:r w:rsidR="005B5507" w:rsidRPr="005C78D8">
        <w:rPr>
          <w:bCs/>
          <w:color w:val="000000"/>
          <w:sz w:val="26"/>
          <w:szCs w:val="26"/>
        </w:rPr>
        <w:t xml:space="preserve"> 52 Pa.</w:t>
      </w:r>
      <w:r w:rsidR="005B5507">
        <w:rPr>
          <w:bCs/>
          <w:color w:val="000000"/>
          <w:sz w:val="26"/>
          <w:szCs w:val="26"/>
        </w:rPr>
        <w:t xml:space="preserve"> </w:t>
      </w:r>
      <w:r w:rsidR="005B5507" w:rsidRPr="005C78D8">
        <w:rPr>
          <w:bCs/>
          <w:color w:val="000000"/>
          <w:sz w:val="26"/>
          <w:szCs w:val="26"/>
        </w:rPr>
        <w:t>Code §§ 54.4, 54.5 and 54.122.</w:t>
      </w:r>
      <w:r w:rsidR="00535130">
        <w:rPr>
          <w:bCs/>
          <w:color w:val="000000"/>
          <w:sz w:val="26"/>
          <w:szCs w:val="26"/>
        </w:rPr>
        <w:t xml:space="preserve">  </w:t>
      </w:r>
      <w:r w:rsidR="005B5507" w:rsidRPr="005C78D8">
        <w:rPr>
          <w:bCs/>
          <w:color w:val="000000"/>
          <w:sz w:val="26"/>
          <w:szCs w:val="26"/>
        </w:rPr>
        <w:t xml:space="preserve">Section 54.43 of the </w:t>
      </w:r>
      <w:r w:rsidR="005B5507">
        <w:rPr>
          <w:bCs/>
          <w:color w:val="000000"/>
          <w:sz w:val="26"/>
          <w:szCs w:val="26"/>
        </w:rPr>
        <w:t>R</w:t>
      </w:r>
      <w:r w:rsidR="005B5507" w:rsidRPr="005C78D8">
        <w:rPr>
          <w:bCs/>
          <w:color w:val="000000"/>
          <w:sz w:val="26"/>
          <w:szCs w:val="26"/>
        </w:rPr>
        <w:t>egulation</w:t>
      </w:r>
      <w:r w:rsidR="005B600B">
        <w:rPr>
          <w:bCs/>
          <w:color w:val="000000"/>
          <w:sz w:val="26"/>
          <w:szCs w:val="26"/>
        </w:rPr>
        <w:t>s</w:t>
      </w:r>
      <w:r w:rsidR="005B5507" w:rsidRPr="005C78D8">
        <w:rPr>
          <w:bCs/>
          <w:color w:val="000000"/>
          <w:sz w:val="26"/>
          <w:szCs w:val="26"/>
        </w:rPr>
        <w:t xml:space="preserve"> </w:t>
      </w:r>
      <w:r w:rsidR="001F5005">
        <w:rPr>
          <w:bCs/>
          <w:color w:val="000000"/>
          <w:sz w:val="26"/>
          <w:szCs w:val="26"/>
        </w:rPr>
        <w:t xml:space="preserve">governs </w:t>
      </w:r>
      <w:r w:rsidR="005B5507" w:rsidRPr="005C78D8">
        <w:rPr>
          <w:bCs/>
          <w:color w:val="000000"/>
          <w:sz w:val="26"/>
          <w:szCs w:val="26"/>
        </w:rPr>
        <w:t>standards of conduct and disclosure for licensees.</w:t>
      </w:r>
      <w:r w:rsidR="0061777B">
        <w:rPr>
          <w:bCs/>
          <w:color w:val="000000"/>
          <w:sz w:val="26"/>
          <w:szCs w:val="26"/>
        </w:rPr>
        <w:t xml:space="preserve">  </w:t>
      </w:r>
      <w:r w:rsidR="00AE1718">
        <w:rPr>
          <w:bCs/>
          <w:color w:val="000000"/>
          <w:sz w:val="26"/>
          <w:szCs w:val="26"/>
        </w:rPr>
        <w:t>T</w:t>
      </w:r>
      <w:r w:rsidR="0061777B">
        <w:rPr>
          <w:bCs/>
          <w:color w:val="000000"/>
          <w:sz w:val="26"/>
          <w:szCs w:val="26"/>
        </w:rPr>
        <w:t xml:space="preserve">he “plain language” requirement for EGS companies imposes an obligation </w:t>
      </w:r>
      <w:r w:rsidR="005B5507" w:rsidRPr="005C78D8">
        <w:rPr>
          <w:sz w:val="26"/>
          <w:szCs w:val="26"/>
        </w:rPr>
        <w:t xml:space="preserve">to provide accurate information </w:t>
      </w:r>
      <w:r w:rsidR="00935429">
        <w:rPr>
          <w:sz w:val="26"/>
          <w:szCs w:val="26"/>
        </w:rPr>
        <w:t>using pla</w:t>
      </w:r>
      <w:r w:rsidR="003F71DB">
        <w:rPr>
          <w:sz w:val="26"/>
          <w:szCs w:val="26"/>
        </w:rPr>
        <w:t>in language and common terms in</w:t>
      </w:r>
      <w:r w:rsidR="00935429">
        <w:rPr>
          <w:sz w:val="26"/>
          <w:szCs w:val="26"/>
        </w:rPr>
        <w:t xml:space="preserve"> communications with consumers.  </w:t>
      </w:r>
      <w:r w:rsidR="005B5507" w:rsidRPr="005C78D8">
        <w:rPr>
          <w:sz w:val="26"/>
          <w:szCs w:val="26"/>
        </w:rPr>
        <w:t>52 Pa.</w:t>
      </w:r>
      <w:r w:rsidR="0061777B">
        <w:rPr>
          <w:sz w:val="26"/>
          <w:szCs w:val="26"/>
        </w:rPr>
        <w:t xml:space="preserve"> </w:t>
      </w:r>
      <w:r w:rsidR="005B5507" w:rsidRPr="005C78D8">
        <w:rPr>
          <w:sz w:val="26"/>
          <w:szCs w:val="26"/>
        </w:rPr>
        <w:t>Code § </w:t>
      </w:r>
      <w:r w:rsidR="00935429">
        <w:rPr>
          <w:sz w:val="26"/>
          <w:szCs w:val="26"/>
        </w:rPr>
        <w:t>54.43(1).</w:t>
      </w:r>
      <w:r w:rsidR="00C5448F">
        <w:rPr>
          <w:sz w:val="26"/>
          <w:szCs w:val="26"/>
        </w:rPr>
        <w:t xml:space="preserve">  The provisions of</w:t>
      </w:r>
      <w:r w:rsidR="00C5448F">
        <w:rPr>
          <w:bCs/>
          <w:sz w:val="26"/>
          <w:szCs w:val="26"/>
          <w:lang w:bidi="en-US"/>
        </w:rPr>
        <w:t xml:space="preserve"> our Regulations governing marketing and sales practices of EGS companies </w:t>
      </w:r>
      <w:r w:rsidR="00B033A2">
        <w:rPr>
          <w:bCs/>
          <w:sz w:val="26"/>
          <w:szCs w:val="26"/>
          <w:lang w:bidi="en-US"/>
        </w:rPr>
        <w:t>were</w:t>
      </w:r>
      <w:r w:rsidR="00C5448F">
        <w:rPr>
          <w:bCs/>
          <w:sz w:val="26"/>
          <w:szCs w:val="26"/>
          <w:lang w:bidi="en-US"/>
        </w:rPr>
        <w:t xml:space="preserve"> discuss</w:t>
      </w:r>
      <w:r w:rsidR="0061777B">
        <w:rPr>
          <w:bCs/>
          <w:sz w:val="26"/>
          <w:szCs w:val="26"/>
          <w:lang w:bidi="en-US"/>
        </w:rPr>
        <w:t>ed</w:t>
      </w:r>
      <w:r w:rsidR="00C5448F">
        <w:rPr>
          <w:bCs/>
          <w:sz w:val="26"/>
          <w:szCs w:val="26"/>
          <w:lang w:bidi="en-US"/>
        </w:rPr>
        <w:t xml:space="preserve"> by this Commission in</w:t>
      </w:r>
      <w:r w:rsidR="00935429">
        <w:rPr>
          <w:bCs/>
          <w:sz w:val="26"/>
          <w:szCs w:val="26"/>
          <w:lang w:bidi="en-US"/>
        </w:rPr>
        <w:t xml:space="preserve"> </w:t>
      </w:r>
      <w:r w:rsidR="00C5448F">
        <w:rPr>
          <w:bCs/>
          <w:i/>
          <w:sz w:val="26"/>
          <w:szCs w:val="26"/>
          <w:lang w:bidi="en-US"/>
        </w:rPr>
        <w:t xml:space="preserve">Kiback v. IDT Energy, Inc., </w:t>
      </w:r>
      <w:r w:rsidR="00C5448F">
        <w:rPr>
          <w:bCs/>
          <w:sz w:val="26"/>
          <w:szCs w:val="26"/>
          <w:lang w:bidi="en-US"/>
        </w:rPr>
        <w:t>Docket No. C-2014-2409676 (Order entered August 20, 2015)</w:t>
      </w:r>
      <w:r w:rsidR="005E2C88">
        <w:rPr>
          <w:bCs/>
          <w:sz w:val="26"/>
          <w:szCs w:val="26"/>
          <w:lang w:bidi="en-US"/>
        </w:rPr>
        <w:t xml:space="preserve"> (</w:t>
      </w:r>
      <w:r w:rsidR="005E2C88">
        <w:rPr>
          <w:bCs/>
          <w:i/>
          <w:sz w:val="26"/>
          <w:szCs w:val="26"/>
          <w:lang w:bidi="en-US"/>
        </w:rPr>
        <w:t>Kiback</w:t>
      </w:r>
      <w:r w:rsidR="005E2C88">
        <w:rPr>
          <w:bCs/>
          <w:sz w:val="26"/>
          <w:szCs w:val="26"/>
          <w:lang w:bidi="en-US"/>
        </w:rPr>
        <w:t>)</w:t>
      </w:r>
      <w:r w:rsidR="00C5448F">
        <w:rPr>
          <w:bCs/>
          <w:sz w:val="26"/>
          <w:szCs w:val="26"/>
          <w:lang w:bidi="en-US"/>
        </w:rPr>
        <w:t xml:space="preserve">. </w:t>
      </w:r>
    </w:p>
    <w:p w:rsidR="00681A7B" w:rsidRPr="00C91D65" w:rsidRDefault="00681A7B" w:rsidP="00681A7B">
      <w:pPr>
        <w:spacing w:line="360" w:lineRule="auto"/>
        <w:rPr>
          <w:sz w:val="26"/>
          <w:szCs w:val="26"/>
        </w:rPr>
      </w:pPr>
    </w:p>
    <w:p w:rsidR="00681A7B" w:rsidRDefault="00681A7B" w:rsidP="00A12759">
      <w:pPr>
        <w:widowControl/>
        <w:tabs>
          <w:tab w:val="left" w:pos="1440"/>
        </w:tabs>
        <w:spacing w:line="360" w:lineRule="auto"/>
        <w:rPr>
          <w:bCs/>
          <w:sz w:val="26"/>
          <w:szCs w:val="26"/>
          <w:lang w:bidi="en-US"/>
        </w:rPr>
      </w:pPr>
      <w:r>
        <w:rPr>
          <w:bCs/>
          <w:sz w:val="26"/>
          <w:szCs w:val="26"/>
          <w:lang w:bidi="en-US"/>
        </w:rPr>
        <w:lastRenderedPageBreak/>
        <w:tab/>
      </w:r>
      <w:r w:rsidR="00AE1718">
        <w:rPr>
          <w:bCs/>
          <w:sz w:val="26"/>
          <w:szCs w:val="26"/>
          <w:lang w:bidi="en-US"/>
        </w:rPr>
        <w:t>EGSs must provide c</w:t>
      </w:r>
      <w:r w:rsidRPr="00845FC6">
        <w:rPr>
          <w:bCs/>
          <w:sz w:val="26"/>
          <w:szCs w:val="26"/>
          <w:lang w:bidi="en-US"/>
        </w:rPr>
        <w:t xml:space="preserve">onsumers </w:t>
      </w:r>
      <w:r w:rsidR="00AE1718">
        <w:rPr>
          <w:bCs/>
          <w:sz w:val="26"/>
          <w:szCs w:val="26"/>
          <w:lang w:bidi="en-US"/>
        </w:rPr>
        <w:t>with</w:t>
      </w:r>
      <w:r w:rsidRPr="00845FC6">
        <w:rPr>
          <w:bCs/>
          <w:sz w:val="26"/>
          <w:szCs w:val="26"/>
          <w:lang w:bidi="en-US"/>
        </w:rPr>
        <w:t xml:space="preserve"> accurate information </w:t>
      </w:r>
      <w:r>
        <w:rPr>
          <w:bCs/>
          <w:sz w:val="26"/>
          <w:szCs w:val="26"/>
          <w:lang w:bidi="en-US"/>
        </w:rPr>
        <w:t xml:space="preserve">about their services.  52 Pa. Code § 54.43(1).  The Regulations also hold EGSs </w:t>
      </w:r>
      <w:r w:rsidRPr="00845FC6">
        <w:rPr>
          <w:bCs/>
          <w:sz w:val="26"/>
          <w:szCs w:val="26"/>
          <w:lang w:bidi="en-US"/>
        </w:rPr>
        <w:t xml:space="preserve">responsible for any fraudulent, deceptive, or other unlawful marketing or billing acts by employees, agents, or representatives.  </w:t>
      </w:r>
      <w:r>
        <w:rPr>
          <w:bCs/>
          <w:sz w:val="26"/>
          <w:szCs w:val="26"/>
          <w:lang w:bidi="en-US"/>
        </w:rPr>
        <w:t xml:space="preserve">52 Pa. Code § </w:t>
      </w:r>
      <w:r w:rsidRPr="00845FC6">
        <w:rPr>
          <w:bCs/>
          <w:sz w:val="26"/>
          <w:szCs w:val="26"/>
          <w:lang w:bidi="en-US"/>
        </w:rPr>
        <w:t>54.43(f).</w:t>
      </w:r>
    </w:p>
    <w:p w:rsidR="002E61C2" w:rsidRDefault="002E61C2" w:rsidP="00681A7B">
      <w:pPr>
        <w:tabs>
          <w:tab w:val="left" w:pos="1440"/>
        </w:tabs>
        <w:spacing w:line="360" w:lineRule="auto"/>
        <w:rPr>
          <w:bCs/>
          <w:sz w:val="26"/>
          <w:szCs w:val="26"/>
          <w:lang w:bidi="en-US"/>
        </w:rPr>
      </w:pPr>
    </w:p>
    <w:p w:rsidR="002E61C2" w:rsidRDefault="00AE1718" w:rsidP="002E61C2">
      <w:pPr>
        <w:tabs>
          <w:tab w:val="left" w:pos="1440"/>
        </w:tabs>
        <w:spacing w:line="360" w:lineRule="auto"/>
        <w:ind w:firstLine="1440"/>
        <w:rPr>
          <w:sz w:val="26"/>
          <w:szCs w:val="26"/>
        </w:rPr>
      </w:pPr>
      <w:r>
        <w:rPr>
          <w:bCs/>
          <w:sz w:val="26"/>
          <w:szCs w:val="26"/>
        </w:rPr>
        <w:t>Moreover, w</w:t>
      </w:r>
      <w:r w:rsidR="002E61C2">
        <w:rPr>
          <w:bCs/>
          <w:sz w:val="26"/>
          <w:szCs w:val="26"/>
        </w:rPr>
        <w:t>e have discussed the applicability of our Regulations to small business cus</w:t>
      </w:r>
      <w:r w:rsidR="001F5005">
        <w:rPr>
          <w:bCs/>
          <w:sz w:val="26"/>
          <w:szCs w:val="26"/>
        </w:rPr>
        <w:t xml:space="preserve">tomers and have concluded that they </w:t>
      </w:r>
      <w:r w:rsidR="002E61C2" w:rsidRPr="00B53CB7">
        <w:rPr>
          <w:bCs/>
          <w:sz w:val="26"/>
          <w:szCs w:val="26"/>
        </w:rPr>
        <w:t>are protected by</w:t>
      </w:r>
      <w:r w:rsidR="001F5005">
        <w:rPr>
          <w:bCs/>
          <w:sz w:val="26"/>
          <w:szCs w:val="26"/>
        </w:rPr>
        <w:t xml:space="preserve"> the</w:t>
      </w:r>
      <w:r w:rsidR="002E61C2" w:rsidRPr="00B53CB7">
        <w:rPr>
          <w:bCs/>
          <w:sz w:val="26"/>
          <w:szCs w:val="26"/>
        </w:rPr>
        <w:t xml:space="preserve"> prohibitions against misrepresentation and fraud the same as any other customer</w:t>
      </w:r>
      <w:r w:rsidR="001F5005">
        <w:rPr>
          <w:bCs/>
          <w:sz w:val="26"/>
          <w:szCs w:val="26"/>
        </w:rPr>
        <w:t>s</w:t>
      </w:r>
      <w:r w:rsidR="002E61C2" w:rsidRPr="00B53CB7">
        <w:rPr>
          <w:bCs/>
          <w:sz w:val="26"/>
          <w:szCs w:val="26"/>
        </w:rPr>
        <w:t>.</w:t>
      </w:r>
      <w:r w:rsidR="002E61C2">
        <w:rPr>
          <w:bCs/>
          <w:sz w:val="26"/>
          <w:szCs w:val="26"/>
        </w:rPr>
        <w:t xml:space="preserve">  </w:t>
      </w:r>
      <w:r w:rsidR="002E61C2">
        <w:rPr>
          <w:bCs/>
          <w:i/>
          <w:sz w:val="26"/>
          <w:szCs w:val="26"/>
        </w:rPr>
        <w:t>See</w:t>
      </w:r>
      <w:r w:rsidR="00316637">
        <w:rPr>
          <w:bCs/>
          <w:i/>
          <w:sz w:val="26"/>
          <w:szCs w:val="26"/>
        </w:rPr>
        <w:t>,</w:t>
      </w:r>
      <w:r w:rsidR="002E61C2">
        <w:rPr>
          <w:bCs/>
          <w:i/>
          <w:sz w:val="26"/>
          <w:szCs w:val="26"/>
        </w:rPr>
        <w:t xml:space="preserve"> Justin L. Herp v. Respond Power, LLC</w:t>
      </w:r>
      <w:r w:rsidR="002E61C2">
        <w:rPr>
          <w:bCs/>
          <w:sz w:val="26"/>
          <w:szCs w:val="26"/>
        </w:rPr>
        <w:t xml:space="preserve">, Docket </w:t>
      </w:r>
      <w:r w:rsidR="002E61C2" w:rsidRPr="00DE68FB">
        <w:rPr>
          <w:sz w:val="26"/>
          <w:szCs w:val="26"/>
        </w:rPr>
        <w:t>C-2014-2413756</w:t>
      </w:r>
      <w:r w:rsidR="002E61C2">
        <w:rPr>
          <w:sz w:val="26"/>
          <w:szCs w:val="26"/>
        </w:rPr>
        <w:t xml:space="preserve"> (Order entered January 28, 2016) (</w:t>
      </w:r>
      <w:r w:rsidR="002E61C2">
        <w:rPr>
          <w:i/>
          <w:sz w:val="26"/>
          <w:szCs w:val="26"/>
        </w:rPr>
        <w:t>Herp</w:t>
      </w:r>
      <w:r w:rsidR="002E61C2">
        <w:rPr>
          <w:sz w:val="26"/>
          <w:szCs w:val="26"/>
        </w:rPr>
        <w:t>), at 57.</w:t>
      </w:r>
    </w:p>
    <w:p w:rsidR="001F5005" w:rsidRDefault="001F5005" w:rsidP="002E61C2">
      <w:pPr>
        <w:tabs>
          <w:tab w:val="left" w:pos="1440"/>
        </w:tabs>
        <w:spacing w:line="360" w:lineRule="auto"/>
        <w:ind w:firstLine="1440"/>
        <w:rPr>
          <w:sz w:val="26"/>
          <w:szCs w:val="26"/>
        </w:rPr>
      </w:pPr>
    </w:p>
    <w:p w:rsidR="001F5005" w:rsidRDefault="001F5005" w:rsidP="001F5005">
      <w:pPr>
        <w:widowControl/>
        <w:spacing w:line="360" w:lineRule="auto"/>
        <w:ind w:firstLine="1440"/>
        <w:rPr>
          <w:sz w:val="26"/>
          <w:szCs w:val="26"/>
        </w:rPr>
      </w:pPr>
      <w:r w:rsidRPr="003732C7">
        <w:rPr>
          <w:sz w:val="26"/>
          <w:szCs w:val="26"/>
        </w:rPr>
        <w:t xml:space="preserve">Before addressing the Exceptions,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r w:rsidRPr="003732C7">
        <w:rPr>
          <w:rStyle w:val="Emphasis"/>
          <w:sz w:val="26"/>
          <w:szCs w:val="26"/>
        </w:rPr>
        <w:t>Consolidated Ra</w:t>
      </w:r>
      <w:r w:rsidRPr="003732C7">
        <w:rPr>
          <w:rStyle w:val="Emphasis"/>
          <w:color w:val="000000"/>
          <w:sz w:val="26"/>
          <w:szCs w:val="26"/>
        </w:rPr>
        <w:t xml:space="preserve">il Corp. v. Pa. PUC, </w:t>
      </w:r>
      <w:r>
        <w:rPr>
          <w:sz w:val="26"/>
          <w:szCs w:val="26"/>
        </w:rPr>
        <w:t xml:space="preserve">625 A.2d 741 (Pa. Cmwlth. 1993); </w:t>
      </w:r>
      <w:r w:rsidRPr="003732C7">
        <w:rPr>
          <w:i/>
          <w:color w:val="000000"/>
          <w:sz w:val="26"/>
          <w:szCs w:val="26"/>
        </w:rPr>
        <w:t xml:space="preserve">also </w:t>
      </w:r>
      <w:r w:rsidRPr="003732C7">
        <w:rPr>
          <w:rStyle w:val="Emphasis"/>
          <w:color w:val="000000"/>
          <w:sz w:val="26"/>
          <w:szCs w:val="26"/>
        </w:rPr>
        <w:t xml:space="preserve">see, generally, </w:t>
      </w:r>
      <w:hyperlink r:id="rId11" w:history="1">
        <w:r w:rsidRPr="00E15E41">
          <w:rPr>
            <w:rStyle w:val="Emphasis"/>
            <w:color w:val="000000"/>
            <w:sz w:val="26"/>
            <w:szCs w:val="26"/>
          </w:rPr>
          <w:t>University of Pennsylvania v. Pa. PUC</w:t>
        </w:r>
        <w:r w:rsidRPr="00553B6B">
          <w:rPr>
            <w:rStyle w:val="Hyperlink"/>
            <w:color w:val="000000"/>
            <w:sz w:val="26"/>
            <w:szCs w:val="26"/>
            <w:u w:val="none"/>
          </w:rPr>
          <w:t>, 485 A.2d 1217 (Pa. Cmwlth. 1984).</w:t>
        </w:r>
      </w:hyperlink>
    </w:p>
    <w:p w:rsidR="005E2C88" w:rsidRDefault="005E2C88" w:rsidP="00000525">
      <w:pPr>
        <w:spacing w:line="360" w:lineRule="auto"/>
        <w:ind w:firstLine="1440"/>
        <w:rPr>
          <w:sz w:val="26"/>
          <w:szCs w:val="26"/>
        </w:rPr>
      </w:pPr>
    </w:p>
    <w:p w:rsidR="003874EA" w:rsidRDefault="003874EA" w:rsidP="003874EA">
      <w:pPr>
        <w:spacing w:line="360" w:lineRule="auto"/>
        <w:rPr>
          <w:sz w:val="26"/>
          <w:szCs w:val="26"/>
        </w:rPr>
      </w:pPr>
      <w:r>
        <w:rPr>
          <w:b/>
          <w:sz w:val="26"/>
          <w:szCs w:val="26"/>
        </w:rPr>
        <w:t>ALJ</w:t>
      </w:r>
      <w:r w:rsidR="00050A83">
        <w:rPr>
          <w:b/>
          <w:sz w:val="26"/>
          <w:szCs w:val="26"/>
        </w:rPr>
        <w:t>’s</w:t>
      </w:r>
      <w:r>
        <w:rPr>
          <w:b/>
          <w:sz w:val="26"/>
          <w:szCs w:val="26"/>
        </w:rPr>
        <w:t xml:space="preserve"> </w:t>
      </w:r>
      <w:r w:rsidR="002125C4">
        <w:rPr>
          <w:b/>
          <w:sz w:val="26"/>
          <w:szCs w:val="26"/>
        </w:rPr>
        <w:t>Initial D</w:t>
      </w:r>
      <w:r>
        <w:rPr>
          <w:b/>
          <w:sz w:val="26"/>
          <w:szCs w:val="26"/>
        </w:rPr>
        <w:t>ecision</w:t>
      </w:r>
    </w:p>
    <w:p w:rsidR="003874EA" w:rsidRDefault="003874EA" w:rsidP="003874EA">
      <w:pPr>
        <w:spacing w:line="360" w:lineRule="auto"/>
        <w:ind w:firstLine="1440"/>
        <w:rPr>
          <w:sz w:val="26"/>
          <w:szCs w:val="26"/>
        </w:rPr>
      </w:pPr>
    </w:p>
    <w:p w:rsidR="00E96AA2" w:rsidRDefault="00460B74" w:rsidP="003874EA">
      <w:pPr>
        <w:spacing w:line="360" w:lineRule="auto"/>
        <w:ind w:firstLine="1440"/>
        <w:rPr>
          <w:sz w:val="26"/>
          <w:szCs w:val="26"/>
        </w:rPr>
      </w:pPr>
      <w:r>
        <w:rPr>
          <w:sz w:val="26"/>
          <w:szCs w:val="26"/>
        </w:rPr>
        <w:t xml:space="preserve">ALJ Cheskis </w:t>
      </w:r>
      <w:r w:rsidR="00AC1159">
        <w:rPr>
          <w:sz w:val="26"/>
          <w:szCs w:val="26"/>
        </w:rPr>
        <w:t>made</w:t>
      </w:r>
      <w:r>
        <w:rPr>
          <w:sz w:val="26"/>
          <w:szCs w:val="26"/>
        </w:rPr>
        <w:t xml:space="preserve"> twenty-five Findings of Fact and </w:t>
      </w:r>
      <w:r w:rsidR="00AC1159">
        <w:rPr>
          <w:sz w:val="26"/>
          <w:szCs w:val="26"/>
        </w:rPr>
        <w:t xml:space="preserve">reached </w:t>
      </w:r>
      <w:r>
        <w:rPr>
          <w:sz w:val="26"/>
          <w:szCs w:val="26"/>
        </w:rPr>
        <w:t xml:space="preserve">twenty Conclusions of Law.  </w:t>
      </w:r>
      <w:r w:rsidR="00AC1159">
        <w:rPr>
          <w:sz w:val="26"/>
          <w:szCs w:val="26"/>
        </w:rPr>
        <w:t>I.D. at 3-6,</w:t>
      </w:r>
      <w:r w:rsidR="00E96AA2">
        <w:rPr>
          <w:sz w:val="26"/>
          <w:szCs w:val="26"/>
        </w:rPr>
        <w:t xml:space="preserve"> 23-26.</w:t>
      </w:r>
      <w:r w:rsidR="00BF7E86">
        <w:rPr>
          <w:sz w:val="26"/>
          <w:szCs w:val="26"/>
        </w:rPr>
        <w:t xml:space="preserve">  </w:t>
      </w:r>
      <w:r w:rsidR="00BF7E86" w:rsidRPr="00DE68FB">
        <w:rPr>
          <w:sz w:val="26"/>
          <w:szCs w:val="26"/>
        </w:rPr>
        <w:t>The Findings of Fact and Conclusions of Law are incorporated herein by reference and are adopted without comment unless they are either expressly or by necessary implication rejected or modified by this Opinion and Order</w:t>
      </w:r>
      <w:r w:rsidR="00BF7E86">
        <w:rPr>
          <w:sz w:val="26"/>
          <w:szCs w:val="26"/>
        </w:rPr>
        <w:t>.</w:t>
      </w:r>
      <w:r w:rsidR="00AB006D">
        <w:rPr>
          <w:sz w:val="26"/>
          <w:szCs w:val="26"/>
        </w:rPr>
        <w:t xml:space="preserve">  </w:t>
      </w:r>
    </w:p>
    <w:p w:rsidR="00DB6022" w:rsidRDefault="00DB6022" w:rsidP="003874EA">
      <w:pPr>
        <w:spacing w:line="360" w:lineRule="auto"/>
        <w:ind w:firstLine="1440"/>
        <w:rPr>
          <w:sz w:val="26"/>
          <w:szCs w:val="26"/>
        </w:rPr>
      </w:pPr>
    </w:p>
    <w:p w:rsidR="00DB6022" w:rsidRDefault="00A00888" w:rsidP="003874EA">
      <w:pPr>
        <w:spacing w:line="360" w:lineRule="auto"/>
        <w:ind w:firstLine="1440"/>
        <w:rPr>
          <w:bCs/>
          <w:color w:val="000000"/>
          <w:sz w:val="26"/>
          <w:szCs w:val="26"/>
        </w:rPr>
      </w:pPr>
      <w:r>
        <w:rPr>
          <w:sz w:val="26"/>
          <w:szCs w:val="26"/>
        </w:rPr>
        <w:t>To begin, the ALJ explained that Blue Pilot considered i</w:t>
      </w:r>
      <w:r w:rsidR="003E07CB">
        <w:rPr>
          <w:sz w:val="26"/>
          <w:szCs w:val="26"/>
        </w:rPr>
        <w:t>ts Service Agreement to be its disclosure s</w:t>
      </w:r>
      <w:r>
        <w:rPr>
          <w:sz w:val="26"/>
          <w:szCs w:val="26"/>
        </w:rPr>
        <w:t>tatement</w:t>
      </w:r>
      <w:r w:rsidR="00461476">
        <w:rPr>
          <w:sz w:val="26"/>
          <w:szCs w:val="26"/>
        </w:rPr>
        <w:t xml:space="preserve"> required under the Commission’s Regulations.  Although the Service Agreement did not contain any </w:t>
      </w:r>
      <w:r w:rsidR="003E07CB">
        <w:rPr>
          <w:sz w:val="26"/>
          <w:szCs w:val="26"/>
        </w:rPr>
        <w:t xml:space="preserve">words indicating that it was a </w:t>
      </w:r>
      <w:r w:rsidR="003E07CB">
        <w:rPr>
          <w:sz w:val="26"/>
          <w:szCs w:val="26"/>
        </w:rPr>
        <w:lastRenderedPageBreak/>
        <w:t>disclosure s</w:t>
      </w:r>
      <w:r w:rsidR="00461476">
        <w:rPr>
          <w:sz w:val="26"/>
          <w:szCs w:val="26"/>
        </w:rPr>
        <w:t>tatement, the</w:t>
      </w:r>
      <w:r w:rsidR="00DB6022">
        <w:rPr>
          <w:sz w:val="26"/>
          <w:szCs w:val="26"/>
        </w:rPr>
        <w:t xml:space="preserve"> ALJ </w:t>
      </w:r>
      <w:r w:rsidR="00B230D7">
        <w:rPr>
          <w:bCs/>
          <w:color w:val="000000"/>
          <w:sz w:val="26"/>
          <w:szCs w:val="26"/>
        </w:rPr>
        <w:t xml:space="preserve">acknowledged that the Service Agreement and disclosure statement were treated as the same document. </w:t>
      </w:r>
      <w:r w:rsidR="004A5737">
        <w:rPr>
          <w:bCs/>
          <w:color w:val="000000"/>
          <w:sz w:val="26"/>
          <w:szCs w:val="26"/>
        </w:rPr>
        <w:t xml:space="preserve"> </w:t>
      </w:r>
      <w:r w:rsidR="00DB6022">
        <w:rPr>
          <w:sz w:val="26"/>
          <w:szCs w:val="26"/>
        </w:rPr>
        <w:t>I.D. at 9</w:t>
      </w:r>
      <w:r w:rsidR="00B230D7">
        <w:rPr>
          <w:sz w:val="26"/>
          <w:szCs w:val="26"/>
        </w:rPr>
        <w:t>, 17</w:t>
      </w:r>
      <w:r w:rsidR="00DB6022">
        <w:rPr>
          <w:sz w:val="26"/>
          <w:szCs w:val="26"/>
        </w:rPr>
        <w:t>.</w:t>
      </w:r>
      <w:r w:rsidR="00B230D7">
        <w:rPr>
          <w:sz w:val="26"/>
          <w:szCs w:val="26"/>
        </w:rPr>
        <w:t xml:space="preserve"> </w:t>
      </w:r>
      <w:r w:rsidR="004A5737">
        <w:rPr>
          <w:sz w:val="26"/>
          <w:szCs w:val="26"/>
        </w:rPr>
        <w:t xml:space="preserve"> </w:t>
      </w:r>
      <w:r w:rsidR="00B230D7">
        <w:rPr>
          <w:sz w:val="26"/>
          <w:szCs w:val="26"/>
        </w:rPr>
        <w:t xml:space="preserve">The ALJ also cited to </w:t>
      </w:r>
      <w:r w:rsidR="00B230D7" w:rsidRPr="000C1A3D">
        <w:rPr>
          <w:bCs/>
          <w:color w:val="000000"/>
          <w:sz w:val="26"/>
          <w:szCs w:val="26"/>
        </w:rPr>
        <w:t xml:space="preserve">Section 54.5 of </w:t>
      </w:r>
      <w:r w:rsidR="00B230D7">
        <w:rPr>
          <w:bCs/>
          <w:color w:val="000000"/>
          <w:sz w:val="26"/>
          <w:szCs w:val="26"/>
        </w:rPr>
        <w:t>our</w:t>
      </w:r>
      <w:r w:rsidR="00B230D7" w:rsidRPr="000C1A3D">
        <w:rPr>
          <w:bCs/>
          <w:color w:val="000000"/>
          <w:sz w:val="26"/>
          <w:szCs w:val="26"/>
        </w:rPr>
        <w:t xml:space="preserve"> </w:t>
      </w:r>
      <w:r w:rsidR="00B230D7">
        <w:rPr>
          <w:bCs/>
          <w:color w:val="000000"/>
          <w:sz w:val="26"/>
          <w:szCs w:val="26"/>
        </w:rPr>
        <w:t>R</w:t>
      </w:r>
      <w:r w:rsidR="00B230D7" w:rsidRPr="000C1A3D">
        <w:rPr>
          <w:bCs/>
          <w:color w:val="000000"/>
          <w:sz w:val="26"/>
          <w:szCs w:val="26"/>
        </w:rPr>
        <w:t>egulations</w:t>
      </w:r>
      <w:r w:rsidR="00B230D7">
        <w:rPr>
          <w:bCs/>
          <w:color w:val="000000"/>
          <w:sz w:val="26"/>
          <w:szCs w:val="26"/>
        </w:rPr>
        <w:t>,</w:t>
      </w:r>
      <w:r w:rsidR="00B230D7" w:rsidRPr="000C1A3D">
        <w:rPr>
          <w:bCs/>
          <w:color w:val="000000"/>
          <w:sz w:val="26"/>
          <w:szCs w:val="26"/>
        </w:rPr>
        <w:t xml:space="preserve"> 52 Pa.</w:t>
      </w:r>
      <w:r w:rsidR="00B230D7">
        <w:rPr>
          <w:bCs/>
          <w:color w:val="000000"/>
          <w:sz w:val="26"/>
          <w:szCs w:val="26"/>
        </w:rPr>
        <w:t xml:space="preserve"> </w:t>
      </w:r>
      <w:r w:rsidR="00B230D7" w:rsidRPr="000C1A3D">
        <w:rPr>
          <w:bCs/>
          <w:color w:val="000000"/>
          <w:sz w:val="26"/>
          <w:szCs w:val="26"/>
        </w:rPr>
        <w:t>Code § 54.5</w:t>
      </w:r>
      <w:r w:rsidR="00B230D7">
        <w:rPr>
          <w:bCs/>
          <w:color w:val="000000"/>
          <w:sz w:val="26"/>
          <w:szCs w:val="26"/>
        </w:rPr>
        <w:t xml:space="preserve">, and concluded that </w:t>
      </w:r>
      <w:r w:rsidR="00B230D7" w:rsidRPr="000C1A3D">
        <w:rPr>
          <w:bCs/>
          <w:color w:val="000000"/>
          <w:sz w:val="26"/>
          <w:szCs w:val="26"/>
        </w:rPr>
        <w:t xml:space="preserve">Blue Pilot complied with the requirement that </w:t>
      </w:r>
      <w:r w:rsidR="00B230D7">
        <w:rPr>
          <w:bCs/>
          <w:color w:val="000000"/>
          <w:sz w:val="26"/>
          <w:szCs w:val="26"/>
        </w:rPr>
        <w:t>a</w:t>
      </w:r>
      <w:r w:rsidR="00B230D7" w:rsidRPr="000C1A3D">
        <w:rPr>
          <w:bCs/>
          <w:color w:val="000000"/>
          <w:sz w:val="26"/>
          <w:szCs w:val="26"/>
        </w:rPr>
        <w:t xml:space="preserve"> disclosure statement be provided to the customer when the customer requests an EGS to commence service.  </w:t>
      </w:r>
      <w:r w:rsidR="00B230D7">
        <w:rPr>
          <w:bCs/>
          <w:color w:val="000000"/>
          <w:sz w:val="26"/>
          <w:szCs w:val="26"/>
        </w:rPr>
        <w:t>I.D. at 17</w:t>
      </w:r>
      <w:r w:rsidR="00B230D7" w:rsidRPr="000C1A3D">
        <w:rPr>
          <w:bCs/>
          <w:color w:val="000000"/>
          <w:sz w:val="26"/>
          <w:szCs w:val="26"/>
        </w:rPr>
        <w:t xml:space="preserve">.  </w:t>
      </w:r>
    </w:p>
    <w:p w:rsidR="00B230D7" w:rsidRDefault="00B230D7" w:rsidP="003874EA">
      <w:pPr>
        <w:spacing w:line="360" w:lineRule="auto"/>
        <w:ind w:firstLine="1440"/>
        <w:rPr>
          <w:sz w:val="26"/>
          <w:szCs w:val="26"/>
        </w:rPr>
      </w:pPr>
    </w:p>
    <w:p w:rsidR="00B230D7" w:rsidRDefault="00DB6022" w:rsidP="003874EA">
      <w:pPr>
        <w:spacing w:line="360" w:lineRule="auto"/>
        <w:ind w:firstLine="1440"/>
        <w:rPr>
          <w:sz w:val="26"/>
          <w:szCs w:val="26"/>
        </w:rPr>
      </w:pPr>
      <w:r>
        <w:rPr>
          <w:sz w:val="26"/>
          <w:szCs w:val="26"/>
        </w:rPr>
        <w:t xml:space="preserve">But in reviewing the Service Agreement, the ALJ determined that two sentences were unclear and ambiguous when read together.  </w:t>
      </w:r>
      <w:r w:rsidR="004252B7">
        <w:rPr>
          <w:sz w:val="26"/>
          <w:szCs w:val="26"/>
        </w:rPr>
        <w:t xml:space="preserve">The fifth sentence under paragraph three, Terms of Service, provides: “At any time after 60 days of service, but not more frequently than monthly, we may increase or decrease your rate based upon several factors, including changes in wholesale energy market prices in the PJM Markets.”  Exh. No. 5.  The </w:t>
      </w:r>
      <w:r w:rsidR="00867E32">
        <w:rPr>
          <w:sz w:val="26"/>
          <w:szCs w:val="26"/>
        </w:rPr>
        <w:t>sixth</w:t>
      </w:r>
      <w:r w:rsidR="004252B7">
        <w:rPr>
          <w:sz w:val="26"/>
          <w:szCs w:val="26"/>
        </w:rPr>
        <w:t xml:space="preserve"> sentence </w:t>
      </w:r>
      <w:r w:rsidR="00867E32">
        <w:rPr>
          <w:sz w:val="26"/>
          <w:szCs w:val="26"/>
        </w:rPr>
        <w:t>of the same paragraph reads</w:t>
      </w:r>
      <w:r w:rsidR="004252B7">
        <w:rPr>
          <w:sz w:val="26"/>
          <w:szCs w:val="26"/>
        </w:rPr>
        <w:t xml:space="preserve">: “Your variable rate will be based upon PJM wholesale market conditions.”  </w:t>
      </w:r>
      <w:r w:rsidR="004252B7" w:rsidRPr="004252B7">
        <w:rPr>
          <w:i/>
          <w:sz w:val="26"/>
          <w:szCs w:val="26"/>
        </w:rPr>
        <w:t>Id.</w:t>
      </w:r>
      <w:r w:rsidR="004252B7">
        <w:rPr>
          <w:sz w:val="26"/>
          <w:szCs w:val="26"/>
        </w:rPr>
        <w:t xml:space="preserve"> </w:t>
      </w:r>
      <w:r w:rsidR="00867E32">
        <w:rPr>
          <w:sz w:val="26"/>
          <w:szCs w:val="26"/>
        </w:rPr>
        <w:t xml:space="preserve"> </w:t>
      </w:r>
    </w:p>
    <w:p w:rsidR="00B230D7" w:rsidRDefault="00B230D7" w:rsidP="003874EA">
      <w:pPr>
        <w:spacing w:line="360" w:lineRule="auto"/>
        <w:ind w:firstLine="1440"/>
        <w:rPr>
          <w:sz w:val="26"/>
          <w:szCs w:val="26"/>
        </w:rPr>
      </w:pPr>
    </w:p>
    <w:p w:rsidR="00547517" w:rsidRDefault="00867E32" w:rsidP="00A12759">
      <w:pPr>
        <w:widowControl/>
        <w:spacing w:line="360" w:lineRule="auto"/>
        <w:ind w:firstLine="1440"/>
        <w:rPr>
          <w:sz w:val="26"/>
          <w:szCs w:val="26"/>
        </w:rPr>
      </w:pPr>
      <w:r>
        <w:rPr>
          <w:sz w:val="26"/>
          <w:szCs w:val="26"/>
        </w:rPr>
        <w:t xml:space="preserve">According to the ALJ, it </w:t>
      </w:r>
      <w:r w:rsidR="00140831">
        <w:rPr>
          <w:sz w:val="26"/>
          <w:szCs w:val="26"/>
        </w:rPr>
        <w:t>was</w:t>
      </w:r>
      <w:r>
        <w:rPr>
          <w:sz w:val="26"/>
          <w:szCs w:val="26"/>
        </w:rPr>
        <w:t xml:space="preserve"> unclear whether the sixth sentenc</w:t>
      </w:r>
      <w:r w:rsidR="004A5F93">
        <w:rPr>
          <w:sz w:val="26"/>
          <w:szCs w:val="26"/>
        </w:rPr>
        <w:t>e clarifies</w:t>
      </w:r>
      <w:r>
        <w:rPr>
          <w:sz w:val="26"/>
          <w:szCs w:val="26"/>
        </w:rPr>
        <w:t xml:space="preserve"> or elaborates </w:t>
      </w:r>
      <w:r w:rsidR="00040E5A">
        <w:rPr>
          <w:sz w:val="26"/>
          <w:szCs w:val="26"/>
        </w:rPr>
        <w:t xml:space="preserve">upon </w:t>
      </w:r>
      <w:r>
        <w:rPr>
          <w:sz w:val="26"/>
          <w:szCs w:val="26"/>
        </w:rPr>
        <w:t xml:space="preserve">the fifth sentence or if the sixth sentence replaces the fifth sentence.  The ALJ </w:t>
      </w:r>
      <w:r w:rsidR="00373C56">
        <w:rPr>
          <w:sz w:val="26"/>
          <w:szCs w:val="26"/>
        </w:rPr>
        <w:t xml:space="preserve">continued </w:t>
      </w:r>
      <w:r>
        <w:rPr>
          <w:sz w:val="26"/>
          <w:szCs w:val="26"/>
        </w:rPr>
        <w:t>that the</w:t>
      </w:r>
      <w:r w:rsidR="008D5960">
        <w:rPr>
          <w:sz w:val="26"/>
          <w:szCs w:val="26"/>
        </w:rPr>
        <w:t xml:space="preserve">re </w:t>
      </w:r>
      <w:r w:rsidR="00140831">
        <w:rPr>
          <w:sz w:val="26"/>
          <w:szCs w:val="26"/>
        </w:rPr>
        <w:t>was</w:t>
      </w:r>
      <w:r w:rsidR="008D5960">
        <w:rPr>
          <w:sz w:val="26"/>
          <w:szCs w:val="26"/>
        </w:rPr>
        <w:t xml:space="preserve"> uncertainty whether the</w:t>
      </w:r>
      <w:r>
        <w:rPr>
          <w:sz w:val="26"/>
          <w:szCs w:val="26"/>
        </w:rPr>
        <w:t xml:space="preserve"> paragraph provides two separate ways for changing rates</w:t>
      </w:r>
      <w:r w:rsidR="008D5960">
        <w:rPr>
          <w:sz w:val="26"/>
          <w:szCs w:val="26"/>
        </w:rPr>
        <w:t xml:space="preserve">.  Specifically, the ALJ considered the sixth sentence to be unclear when read in conjunction with the preceding sentence.  </w:t>
      </w:r>
      <w:r w:rsidR="003E07CB">
        <w:rPr>
          <w:sz w:val="26"/>
          <w:szCs w:val="26"/>
        </w:rPr>
        <w:t xml:space="preserve">And </w:t>
      </w:r>
      <w:r w:rsidR="00140831">
        <w:rPr>
          <w:sz w:val="26"/>
          <w:szCs w:val="26"/>
        </w:rPr>
        <w:t xml:space="preserve">the ALJ noted that </w:t>
      </w:r>
      <w:r w:rsidR="003E07CB">
        <w:rPr>
          <w:sz w:val="26"/>
          <w:szCs w:val="26"/>
        </w:rPr>
        <w:t xml:space="preserve">the rate charged to Enrico was not based upon PJM wholesale market conditions even though the sixth sentence states that it would be based on those conditions.  As such, the ALJ found the fifth and sixth sentences to be poorly written and that it would be reasonable for a consumer to be confused when reading the Service Agreement.  Thus, </w:t>
      </w:r>
      <w:r w:rsidR="003E07CB">
        <w:rPr>
          <w:sz w:val="26"/>
          <w:szCs w:val="26"/>
        </w:rPr>
        <w:lastRenderedPageBreak/>
        <w:t xml:space="preserve">the ALJ found the Company violated </w:t>
      </w:r>
      <w:r w:rsidR="00140831">
        <w:rPr>
          <w:sz w:val="26"/>
          <w:szCs w:val="26"/>
        </w:rPr>
        <w:t xml:space="preserve">the </w:t>
      </w:r>
      <w:r w:rsidR="003E07CB">
        <w:rPr>
          <w:sz w:val="26"/>
          <w:szCs w:val="26"/>
        </w:rPr>
        <w:t>plain language and common terms requirements under Sections 54.43(1) and 111.12(d)(5) of our Regulations.</w:t>
      </w:r>
      <w:r w:rsidR="00140831">
        <w:rPr>
          <w:rStyle w:val="FootnoteReference"/>
          <w:sz w:val="26"/>
          <w:szCs w:val="26"/>
        </w:rPr>
        <w:footnoteReference w:id="4"/>
      </w:r>
      <w:r w:rsidR="00140831">
        <w:rPr>
          <w:sz w:val="26"/>
          <w:szCs w:val="26"/>
        </w:rPr>
        <w:t xml:space="preserve">  I.D. at 10</w:t>
      </w:r>
      <w:r w:rsidR="009C6505">
        <w:rPr>
          <w:sz w:val="26"/>
          <w:szCs w:val="26"/>
        </w:rPr>
        <w:t>-11</w:t>
      </w:r>
      <w:r w:rsidR="00140831">
        <w:rPr>
          <w:sz w:val="26"/>
          <w:szCs w:val="26"/>
        </w:rPr>
        <w:t>.</w:t>
      </w:r>
    </w:p>
    <w:p w:rsidR="00100319" w:rsidRDefault="00100319" w:rsidP="003874EA">
      <w:pPr>
        <w:spacing w:line="360" w:lineRule="auto"/>
        <w:ind w:firstLine="1440"/>
        <w:rPr>
          <w:sz w:val="26"/>
          <w:szCs w:val="26"/>
        </w:rPr>
      </w:pPr>
    </w:p>
    <w:p w:rsidR="00596AEA" w:rsidRDefault="00547517" w:rsidP="00596AEA">
      <w:pPr>
        <w:spacing w:line="360" w:lineRule="auto"/>
        <w:ind w:firstLine="1440"/>
        <w:rPr>
          <w:sz w:val="26"/>
          <w:szCs w:val="26"/>
        </w:rPr>
      </w:pPr>
      <w:r>
        <w:rPr>
          <w:sz w:val="26"/>
          <w:szCs w:val="26"/>
        </w:rPr>
        <w:t xml:space="preserve">Citing to the hearing testimony of Enrico’s witness, the ALJ determined that the Complainant reasonably believed that Blue Pilot would charge a variable rate based on PJM wholesale market conditions.  </w:t>
      </w:r>
      <w:r w:rsidR="006F53C5">
        <w:rPr>
          <w:sz w:val="26"/>
          <w:szCs w:val="26"/>
        </w:rPr>
        <w:t xml:space="preserve">I.D. at 11 (citing Tr. at 13-14, 24-25).  </w:t>
      </w:r>
      <w:r w:rsidR="00784AC1">
        <w:rPr>
          <w:sz w:val="26"/>
          <w:szCs w:val="26"/>
        </w:rPr>
        <w:t xml:space="preserve">The ALJ </w:t>
      </w:r>
      <w:r w:rsidR="006F53C5">
        <w:rPr>
          <w:sz w:val="26"/>
          <w:szCs w:val="26"/>
        </w:rPr>
        <w:t xml:space="preserve">also </w:t>
      </w:r>
      <w:r w:rsidR="00784AC1">
        <w:rPr>
          <w:sz w:val="26"/>
          <w:szCs w:val="26"/>
        </w:rPr>
        <w:t xml:space="preserve">noted that Blue Pilot did not present any evidence to rebut this testimony or to explain how its rate </w:t>
      </w:r>
      <w:r>
        <w:rPr>
          <w:sz w:val="26"/>
          <w:szCs w:val="26"/>
        </w:rPr>
        <w:t xml:space="preserve">would vary under the Service Agreement.  Instead, the Company </w:t>
      </w:r>
      <w:r w:rsidR="00596AEA">
        <w:rPr>
          <w:sz w:val="26"/>
          <w:szCs w:val="26"/>
        </w:rPr>
        <w:t xml:space="preserve">asserted legal arguments claiming the Commission lacked jurisdiction to regulate prices charged by EGS rates, to interpret a contract between an EGS and its customer, or to direct an EGS to issue a refund.  </w:t>
      </w:r>
      <w:r w:rsidR="00784AC1">
        <w:rPr>
          <w:sz w:val="26"/>
          <w:szCs w:val="26"/>
        </w:rPr>
        <w:t xml:space="preserve">However, the </w:t>
      </w:r>
      <w:r w:rsidR="00596AEA">
        <w:rPr>
          <w:sz w:val="26"/>
          <w:szCs w:val="26"/>
        </w:rPr>
        <w:t xml:space="preserve">ALJ </w:t>
      </w:r>
      <w:r w:rsidR="00784AC1">
        <w:rPr>
          <w:sz w:val="26"/>
          <w:szCs w:val="26"/>
        </w:rPr>
        <w:t xml:space="preserve">continued, </w:t>
      </w:r>
      <w:r w:rsidR="00596AEA">
        <w:rPr>
          <w:sz w:val="26"/>
          <w:szCs w:val="26"/>
        </w:rPr>
        <w:t xml:space="preserve">Enrico </w:t>
      </w:r>
      <w:r w:rsidR="00784AC1">
        <w:rPr>
          <w:sz w:val="26"/>
          <w:szCs w:val="26"/>
        </w:rPr>
        <w:t>did not</w:t>
      </w:r>
      <w:r w:rsidR="00596AEA">
        <w:rPr>
          <w:sz w:val="26"/>
          <w:szCs w:val="26"/>
        </w:rPr>
        <w:t xml:space="preserve"> ask</w:t>
      </w:r>
      <w:r w:rsidR="00784AC1">
        <w:rPr>
          <w:sz w:val="26"/>
          <w:szCs w:val="26"/>
        </w:rPr>
        <w:t xml:space="preserve"> </w:t>
      </w:r>
      <w:r w:rsidR="00596AEA">
        <w:rPr>
          <w:sz w:val="26"/>
          <w:szCs w:val="26"/>
        </w:rPr>
        <w:t>the Commission to set Blue Pilot’s rates or to determine if the rates were just and reasonable.</w:t>
      </w:r>
      <w:r w:rsidR="00784AC1">
        <w:rPr>
          <w:sz w:val="26"/>
          <w:szCs w:val="26"/>
        </w:rPr>
        <w:t xml:space="preserve">  Rather, </w:t>
      </w:r>
      <w:r w:rsidR="006F53C5">
        <w:rPr>
          <w:sz w:val="26"/>
          <w:szCs w:val="26"/>
        </w:rPr>
        <w:t xml:space="preserve">the </w:t>
      </w:r>
      <w:r w:rsidR="000124F6">
        <w:rPr>
          <w:sz w:val="26"/>
          <w:szCs w:val="26"/>
        </w:rPr>
        <w:t>ALJ considered the case</w:t>
      </w:r>
      <w:r w:rsidR="00044D9F">
        <w:rPr>
          <w:sz w:val="26"/>
          <w:szCs w:val="26"/>
        </w:rPr>
        <w:t xml:space="preserve"> </w:t>
      </w:r>
      <w:r w:rsidR="000124F6">
        <w:rPr>
          <w:sz w:val="26"/>
          <w:szCs w:val="26"/>
        </w:rPr>
        <w:t xml:space="preserve">as </w:t>
      </w:r>
      <w:r w:rsidR="00044D9F">
        <w:rPr>
          <w:sz w:val="26"/>
          <w:szCs w:val="26"/>
        </w:rPr>
        <w:t>pert</w:t>
      </w:r>
      <w:r w:rsidR="000124F6">
        <w:rPr>
          <w:sz w:val="26"/>
          <w:szCs w:val="26"/>
        </w:rPr>
        <w:t>aining</w:t>
      </w:r>
      <w:r w:rsidR="00044D9F">
        <w:rPr>
          <w:sz w:val="26"/>
          <w:szCs w:val="26"/>
        </w:rPr>
        <w:t xml:space="preserve"> to </w:t>
      </w:r>
      <w:r w:rsidR="00784AC1">
        <w:rPr>
          <w:sz w:val="26"/>
          <w:szCs w:val="26"/>
        </w:rPr>
        <w:t xml:space="preserve">whether Blue Pilot’s disclosure statement complied with the Commission’s Regulations requiring plain language.  </w:t>
      </w:r>
      <w:r w:rsidR="00232B3D">
        <w:rPr>
          <w:sz w:val="26"/>
          <w:szCs w:val="26"/>
        </w:rPr>
        <w:t>The ALJ reiterated that the Commission has the authority to ensure that EGSs provide accurate information about their electric generation services</w:t>
      </w:r>
      <w:r w:rsidR="000124F6">
        <w:rPr>
          <w:sz w:val="26"/>
          <w:szCs w:val="26"/>
        </w:rPr>
        <w:t xml:space="preserve">.  Further, he determined </w:t>
      </w:r>
      <w:r w:rsidR="00232B3D">
        <w:rPr>
          <w:sz w:val="26"/>
          <w:szCs w:val="26"/>
        </w:rPr>
        <w:t xml:space="preserve">that Blue Pilot’s legal arguments did not negate the violations pertaining to its unclear disclosure statement.  </w:t>
      </w:r>
      <w:r w:rsidR="00596AEA">
        <w:rPr>
          <w:sz w:val="26"/>
          <w:szCs w:val="26"/>
        </w:rPr>
        <w:t xml:space="preserve"> I.D. at 11-13.</w:t>
      </w:r>
    </w:p>
    <w:p w:rsidR="003E07CB" w:rsidRDefault="003E07CB" w:rsidP="003874EA">
      <w:pPr>
        <w:spacing w:line="360" w:lineRule="auto"/>
        <w:ind w:firstLine="1440"/>
        <w:rPr>
          <w:sz w:val="26"/>
          <w:szCs w:val="26"/>
        </w:rPr>
      </w:pPr>
    </w:p>
    <w:p w:rsidR="007723FF" w:rsidRPr="007723FF" w:rsidRDefault="00832494" w:rsidP="007723FF">
      <w:pPr>
        <w:spacing w:line="360" w:lineRule="auto"/>
        <w:ind w:firstLine="1440"/>
        <w:rPr>
          <w:sz w:val="26"/>
          <w:szCs w:val="26"/>
        </w:rPr>
      </w:pPr>
      <w:r>
        <w:rPr>
          <w:sz w:val="26"/>
          <w:szCs w:val="26"/>
        </w:rPr>
        <w:t xml:space="preserve">As to the findings of violations under 52 Pa. Code §§ 54.42 </w:t>
      </w:r>
      <w:r w:rsidR="002E4CF8">
        <w:rPr>
          <w:sz w:val="26"/>
          <w:szCs w:val="26"/>
        </w:rPr>
        <w:t>and 111.12, the ALJ applied our statement of policy under 52 Pa. Code § 69.1201(c)</w:t>
      </w:r>
      <w:r w:rsidR="007723FF">
        <w:rPr>
          <w:sz w:val="26"/>
          <w:szCs w:val="26"/>
        </w:rPr>
        <w:t xml:space="preserve">.  </w:t>
      </w:r>
      <w:r w:rsidR="002E4CF8">
        <w:rPr>
          <w:sz w:val="26"/>
          <w:szCs w:val="26"/>
        </w:rPr>
        <w:t xml:space="preserve"> </w:t>
      </w:r>
      <w:r w:rsidR="007723FF" w:rsidRPr="007723FF">
        <w:rPr>
          <w:sz w:val="26"/>
          <w:szCs w:val="26"/>
        </w:rPr>
        <w:t>The ALJ set forth the ten factors of our policy statement warranting consideration of an appropriate civil penalty as follows:</w:t>
      </w:r>
    </w:p>
    <w:p w:rsidR="007723FF" w:rsidRDefault="007723FF" w:rsidP="00044B9E">
      <w:pPr>
        <w:spacing w:line="360" w:lineRule="auto"/>
        <w:ind w:firstLine="1440"/>
        <w:rPr>
          <w:sz w:val="26"/>
          <w:szCs w:val="26"/>
        </w:rPr>
      </w:pPr>
    </w:p>
    <w:p w:rsidR="007723FF" w:rsidRPr="007723FF" w:rsidRDefault="007723FF" w:rsidP="007723FF">
      <w:pPr>
        <w:widowControl/>
        <w:suppressAutoHyphens/>
        <w:ind w:left="1440" w:right="1440"/>
        <w:rPr>
          <w:sz w:val="26"/>
          <w:szCs w:val="26"/>
        </w:rPr>
      </w:pPr>
      <w:r w:rsidRPr="007723FF">
        <w:rPr>
          <w:sz w:val="26"/>
          <w:szCs w:val="26"/>
        </w:rPr>
        <w:t>(1)</w:t>
      </w:r>
      <w:r w:rsidRPr="007723FF">
        <w:rPr>
          <w:sz w:val="26"/>
          <w:szCs w:val="26"/>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7723FF" w:rsidRPr="007723FF" w:rsidRDefault="007723FF" w:rsidP="007723FF">
      <w:pPr>
        <w:widowControl/>
        <w:suppressAutoHyphens/>
        <w:ind w:left="1440" w:right="1440"/>
        <w:rPr>
          <w:sz w:val="26"/>
          <w:szCs w:val="26"/>
        </w:rPr>
      </w:pPr>
    </w:p>
    <w:p w:rsidR="007723FF" w:rsidRPr="007723FF" w:rsidRDefault="007723FF" w:rsidP="007723FF">
      <w:pPr>
        <w:widowControl/>
        <w:suppressAutoHyphens/>
        <w:ind w:left="1440" w:right="1440"/>
        <w:rPr>
          <w:sz w:val="26"/>
          <w:szCs w:val="26"/>
        </w:rPr>
      </w:pPr>
      <w:r w:rsidRPr="007723FF">
        <w:rPr>
          <w:sz w:val="26"/>
          <w:szCs w:val="26"/>
        </w:rPr>
        <w:t>(2)</w:t>
      </w:r>
      <w:r w:rsidRPr="007723FF">
        <w:rPr>
          <w:sz w:val="26"/>
          <w:szCs w:val="26"/>
        </w:rPr>
        <w:tab/>
        <w:t>Whether the resulting consequences of the conduct at issue were of a serious nature.  When consequences of a serious nature are involved, such as personal injury or property damage, the consequences may warrant a higher penalty.</w:t>
      </w:r>
    </w:p>
    <w:p w:rsidR="007723FF" w:rsidRPr="007723FF" w:rsidRDefault="007723FF" w:rsidP="007723FF">
      <w:pPr>
        <w:widowControl/>
        <w:suppressAutoHyphens/>
        <w:ind w:left="1440" w:right="1440"/>
        <w:rPr>
          <w:sz w:val="26"/>
          <w:szCs w:val="26"/>
        </w:rPr>
      </w:pPr>
    </w:p>
    <w:p w:rsidR="007723FF" w:rsidRPr="007723FF" w:rsidRDefault="007723FF" w:rsidP="007723FF">
      <w:pPr>
        <w:widowControl/>
        <w:suppressAutoHyphens/>
        <w:ind w:left="1440" w:right="1440"/>
        <w:rPr>
          <w:sz w:val="26"/>
          <w:szCs w:val="26"/>
        </w:rPr>
      </w:pPr>
      <w:r w:rsidRPr="007723FF">
        <w:rPr>
          <w:sz w:val="26"/>
          <w:szCs w:val="26"/>
        </w:rPr>
        <w:t>(3)</w:t>
      </w:r>
      <w:r w:rsidRPr="007723FF">
        <w:rPr>
          <w:sz w:val="26"/>
          <w:szCs w:val="26"/>
        </w:rPr>
        <w:tab/>
        <w:t>Whether the conduct at issue was deemed intentional or negligent.  This factor may only be considered in evaluating litigated cases.  When conduct has been deemed intentional, the conduct may result in a higher penalty.</w:t>
      </w:r>
    </w:p>
    <w:p w:rsidR="007723FF" w:rsidRPr="007723FF" w:rsidRDefault="007723FF" w:rsidP="007723FF">
      <w:pPr>
        <w:widowControl/>
        <w:suppressAutoHyphens/>
        <w:ind w:left="1440" w:right="1440"/>
        <w:rPr>
          <w:sz w:val="26"/>
          <w:szCs w:val="26"/>
        </w:rPr>
      </w:pPr>
    </w:p>
    <w:p w:rsidR="007723FF" w:rsidRPr="007723FF" w:rsidRDefault="007723FF" w:rsidP="007723FF">
      <w:pPr>
        <w:widowControl/>
        <w:suppressAutoHyphens/>
        <w:ind w:left="1440" w:right="1440"/>
        <w:rPr>
          <w:sz w:val="26"/>
          <w:szCs w:val="26"/>
        </w:rPr>
      </w:pPr>
      <w:r w:rsidRPr="007723FF">
        <w:rPr>
          <w:sz w:val="26"/>
          <w:szCs w:val="26"/>
        </w:rPr>
        <w:t>(4)</w:t>
      </w:r>
      <w:r w:rsidRPr="007723FF">
        <w:rPr>
          <w:sz w:val="26"/>
          <w:szCs w:val="26"/>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7723FF" w:rsidRPr="007723FF" w:rsidRDefault="007723FF" w:rsidP="007723FF">
      <w:pPr>
        <w:widowControl/>
        <w:suppressAutoHyphens/>
        <w:ind w:left="1440" w:right="1440"/>
        <w:rPr>
          <w:sz w:val="26"/>
          <w:szCs w:val="26"/>
        </w:rPr>
      </w:pPr>
    </w:p>
    <w:p w:rsidR="007723FF" w:rsidRPr="007723FF" w:rsidRDefault="007723FF" w:rsidP="007723FF">
      <w:pPr>
        <w:widowControl/>
        <w:suppressAutoHyphens/>
        <w:ind w:left="1440" w:right="1440"/>
        <w:rPr>
          <w:sz w:val="26"/>
          <w:szCs w:val="26"/>
        </w:rPr>
      </w:pPr>
      <w:r w:rsidRPr="007723FF">
        <w:rPr>
          <w:sz w:val="26"/>
          <w:szCs w:val="26"/>
        </w:rPr>
        <w:t>(5)</w:t>
      </w:r>
      <w:r w:rsidRPr="007723FF">
        <w:rPr>
          <w:sz w:val="26"/>
          <w:szCs w:val="26"/>
        </w:rPr>
        <w:tab/>
        <w:t>The number of customers affected and the duration of the violation.</w:t>
      </w:r>
    </w:p>
    <w:p w:rsidR="007723FF" w:rsidRPr="007723FF" w:rsidRDefault="007723FF" w:rsidP="007723FF">
      <w:pPr>
        <w:widowControl/>
        <w:suppressAutoHyphens/>
        <w:ind w:left="1440" w:right="1440"/>
        <w:rPr>
          <w:sz w:val="26"/>
          <w:szCs w:val="26"/>
        </w:rPr>
      </w:pPr>
    </w:p>
    <w:p w:rsidR="007723FF" w:rsidRPr="007723FF" w:rsidRDefault="007723FF" w:rsidP="007723FF">
      <w:pPr>
        <w:widowControl/>
        <w:suppressAutoHyphens/>
        <w:ind w:left="1440" w:right="1440"/>
        <w:rPr>
          <w:sz w:val="26"/>
          <w:szCs w:val="26"/>
        </w:rPr>
      </w:pPr>
      <w:r w:rsidRPr="007723FF">
        <w:rPr>
          <w:sz w:val="26"/>
          <w:szCs w:val="26"/>
        </w:rPr>
        <w:t>(6)</w:t>
      </w:r>
      <w:r w:rsidRPr="007723FF">
        <w:rPr>
          <w:sz w:val="26"/>
          <w:szCs w:val="26"/>
        </w:rPr>
        <w:tab/>
        <w:t xml:space="preserve">The compliance history of the regulated entity which committed the violation.  An isolated incident from an otherwise compliant utility may result in a lower penalty, </w:t>
      </w:r>
      <w:r w:rsidRPr="007723FF">
        <w:rPr>
          <w:sz w:val="26"/>
          <w:szCs w:val="26"/>
        </w:rPr>
        <w:lastRenderedPageBreak/>
        <w:t>whereas frequent, recurrent violations by a utility may result in a higher penalty.</w:t>
      </w:r>
    </w:p>
    <w:p w:rsidR="007723FF" w:rsidRPr="007723FF" w:rsidRDefault="007723FF" w:rsidP="007723FF">
      <w:pPr>
        <w:widowControl/>
        <w:suppressAutoHyphens/>
        <w:ind w:left="1440" w:right="1440"/>
        <w:jc w:val="both"/>
        <w:rPr>
          <w:sz w:val="26"/>
          <w:szCs w:val="26"/>
        </w:rPr>
      </w:pPr>
    </w:p>
    <w:p w:rsidR="007723FF" w:rsidRPr="007723FF" w:rsidRDefault="007723FF" w:rsidP="007723FF">
      <w:pPr>
        <w:widowControl/>
        <w:suppressAutoHyphens/>
        <w:ind w:left="1440" w:right="1440"/>
        <w:rPr>
          <w:sz w:val="26"/>
          <w:szCs w:val="26"/>
        </w:rPr>
      </w:pPr>
      <w:r w:rsidRPr="007723FF">
        <w:rPr>
          <w:sz w:val="26"/>
          <w:szCs w:val="26"/>
        </w:rPr>
        <w:t>(7)</w:t>
      </w:r>
      <w:r w:rsidRPr="007723FF">
        <w:rPr>
          <w:sz w:val="26"/>
          <w:szCs w:val="26"/>
        </w:rPr>
        <w:tab/>
        <w:t>Whether the regulated entity cooperated with the Commission’s investigation.  Facts establishing bad faith, active concealment of violations, or attempts to interfere with Commission investigations may result in a higher penalty.</w:t>
      </w:r>
    </w:p>
    <w:p w:rsidR="007723FF" w:rsidRPr="007723FF" w:rsidRDefault="007723FF" w:rsidP="007723FF">
      <w:pPr>
        <w:widowControl/>
        <w:suppressAutoHyphens/>
        <w:ind w:left="1440" w:right="1440"/>
        <w:rPr>
          <w:sz w:val="26"/>
          <w:szCs w:val="26"/>
        </w:rPr>
      </w:pPr>
    </w:p>
    <w:p w:rsidR="007723FF" w:rsidRPr="007723FF" w:rsidRDefault="007723FF" w:rsidP="007723FF">
      <w:pPr>
        <w:widowControl/>
        <w:suppressAutoHyphens/>
        <w:ind w:left="1440" w:right="1440"/>
        <w:rPr>
          <w:sz w:val="26"/>
          <w:szCs w:val="26"/>
        </w:rPr>
      </w:pPr>
      <w:r w:rsidRPr="007723FF">
        <w:rPr>
          <w:sz w:val="26"/>
          <w:szCs w:val="26"/>
        </w:rPr>
        <w:t>(8)</w:t>
      </w:r>
      <w:r w:rsidRPr="007723FF">
        <w:rPr>
          <w:sz w:val="26"/>
          <w:szCs w:val="26"/>
        </w:rPr>
        <w:tab/>
        <w:t>The amount of the civil penalty or fine necessary to deter future violations.  The size of the utility may be considered to determine an appropriate penalty amount.</w:t>
      </w:r>
    </w:p>
    <w:p w:rsidR="007723FF" w:rsidRPr="007723FF" w:rsidRDefault="007723FF" w:rsidP="007723FF">
      <w:pPr>
        <w:widowControl/>
        <w:suppressAutoHyphens/>
        <w:ind w:left="1440" w:right="1440"/>
        <w:rPr>
          <w:sz w:val="26"/>
          <w:szCs w:val="26"/>
        </w:rPr>
      </w:pPr>
    </w:p>
    <w:p w:rsidR="007723FF" w:rsidRPr="007723FF" w:rsidRDefault="007723FF" w:rsidP="007723FF">
      <w:pPr>
        <w:widowControl/>
        <w:suppressAutoHyphens/>
        <w:ind w:left="1440" w:right="1440"/>
        <w:rPr>
          <w:sz w:val="26"/>
          <w:szCs w:val="26"/>
        </w:rPr>
      </w:pPr>
      <w:r w:rsidRPr="007723FF">
        <w:rPr>
          <w:sz w:val="26"/>
          <w:szCs w:val="26"/>
        </w:rPr>
        <w:t>(9)</w:t>
      </w:r>
      <w:r w:rsidRPr="007723FF">
        <w:rPr>
          <w:sz w:val="26"/>
          <w:szCs w:val="26"/>
        </w:rPr>
        <w:tab/>
        <w:t>Past Commission decisions in similar situations.</w:t>
      </w:r>
    </w:p>
    <w:p w:rsidR="007723FF" w:rsidRPr="007723FF" w:rsidRDefault="007723FF" w:rsidP="007723FF">
      <w:pPr>
        <w:widowControl/>
        <w:suppressAutoHyphens/>
        <w:ind w:left="1440" w:right="1440"/>
        <w:rPr>
          <w:sz w:val="26"/>
          <w:szCs w:val="26"/>
        </w:rPr>
      </w:pPr>
    </w:p>
    <w:p w:rsidR="007723FF" w:rsidRPr="007723FF" w:rsidRDefault="007723FF" w:rsidP="007723FF">
      <w:pPr>
        <w:keepNext/>
        <w:keepLines/>
        <w:widowControl/>
        <w:suppressAutoHyphens/>
        <w:ind w:left="1440" w:right="1440"/>
        <w:rPr>
          <w:sz w:val="26"/>
          <w:szCs w:val="26"/>
        </w:rPr>
      </w:pPr>
      <w:r w:rsidRPr="007723FF">
        <w:rPr>
          <w:sz w:val="26"/>
          <w:szCs w:val="26"/>
        </w:rPr>
        <w:t>(10)</w:t>
      </w:r>
      <w:r w:rsidRPr="007723FF">
        <w:rPr>
          <w:sz w:val="26"/>
          <w:szCs w:val="26"/>
        </w:rPr>
        <w:tab/>
        <w:t>Other relevant factors.</w:t>
      </w:r>
    </w:p>
    <w:p w:rsidR="007723FF" w:rsidRPr="007723FF" w:rsidRDefault="007723FF" w:rsidP="007723FF">
      <w:pPr>
        <w:keepNext/>
        <w:keepLines/>
        <w:widowControl/>
        <w:suppressAutoHyphens/>
        <w:ind w:right="1440"/>
        <w:rPr>
          <w:sz w:val="26"/>
          <w:szCs w:val="26"/>
        </w:rPr>
      </w:pPr>
    </w:p>
    <w:p w:rsidR="007723FF" w:rsidRPr="007723FF" w:rsidRDefault="007723FF" w:rsidP="007723FF">
      <w:pPr>
        <w:keepNext/>
        <w:keepLines/>
        <w:widowControl/>
        <w:suppressAutoHyphens/>
        <w:ind w:right="1440"/>
        <w:rPr>
          <w:sz w:val="26"/>
          <w:szCs w:val="26"/>
        </w:rPr>
      </w:pPr>
    </w:p>
    <w:p w:rsidR="007723FF" w:rsidRDefault="007723FF" w:rsidP="007723FF">
      <w:pPr>
        <w:spacing w:line="360" w:lineRule="auto"/>
        <w:rPr>
          <w:sz w:val="26"/>
          <w:szCs w:val="26"/>
        </w:rPr>
      </w:pPr>
      <w:r w:rsidRPr="007723FF">
        <w:rPr>
          <w:sz w:val="26"/>
          <w:szCs w:val="26"/>
        </w:rPr>
        <w:t>52 Pa. Code § 69.1201(c).</w:t>
      </w:r>
      <w:r>
        <w:rPr>
          <w:sz w:val="26"/>
          <w:szCs w:val="26"/>
        </w:rPr>
        <w:t xml:space="preserve">  </w:t>
      </w:r>
    </w:p>
    <w:p w:rsidR="007723FF" w:rsidRDefault="007723FF" w:rsidP="007723FF">
      <w:pPr>
        <w:spacing w:line="360" w:lineRule="auto"/>
        <w:rPr>
          <w:sz w:val="26"/>
          <w:szCs w:val="26"/>
        </w:rPr>
      </w:pPr>
    </w:p>
    <w:p w:rsidR="007723FF" w:rsidRPr="0082296A" w:rsidRDefault="007723FF" w:rsidP="007723FF">
      <w:pPr>
        <w:pStyle w:val="Style"/>
        <w:spacing w:line="360" w:lineRule="auto"/>
        <w:ind w:firstLine="1440"/>
        <w:rPr>
          <w:rFonts w:eastAsiaTheme="minorEastAsia"/>
          <w:sz w:val="26"/>
          <w:szCs w:val="26"/>
        </w:rPr>
      </w:pPr>
      <w:r w:rsidRPr="0082296A">
        <w:rPr>
          <w:rFonts w:eastAsiaTheme="minorEastAsia"/>
          <w:sz w:val="26"/>
          <w:szCs w:val="26"/>
        </w:rPr>
        <w:t xml:space="preserve">Regarding the first factor, the ALJ explained that the disclosure statement </w:t>
      </w:r>
      <w:r w:rsidR="00195EF3" w:rsidRPr="0082296A">
        <w:rPr>
          <w:rFonts w:eastAsiaTheme="minorEastAsia"/>
          <w:sz w:val="26"/>
          <w:szCs w:val="26"/>
        </w:rPr>
        <w:t xml:space="preserve">was </w:t>
      </w:r>
      <w:r w:rsidRPr="0082296A">
        <w:rPr>
          <w:rFonts w:eastAsiaTheme="minorEastAsia"/>
          <w:sz w:val="26"/>
          <w:szCs w:val="26"/>
        </w:rPr>
        <w:t xml:space="preserve">not written using plain language and </w:t>
      </w:r>
      <w:r w:rsidR="00195EF3" w:rsidRPr="0082296A">
        <w:rPr>
          <w:rFonts w:eastAsiaTheme="minorEastAsia"/>
          <w:sz w:val="26"/>
          <w:szCs w:val="26"/>
        </w:rPr>
        <w:t>was</w:t>
      </w:r>
      <w:r w:rsidRPr="0082296A">
        <w:rPr>
          <w:rFonts w:eastAsiaTheme="minorEastAsia"/>
          <w:sz w:val="26"/>
          <w:szCs w:val="26"/>
        </w:rPr>
        <w:t xml:space="preserve"> </w:t>
      </w:r>
      <w:r w:rsidR="00195EF3" w:rsidRPr="0082296A">
        <w:rPr>
          <w:rFonts w:eastAsiaTheme="minorEastAsia"/>
          <w:sz w:val="26"/>
          <w:szCs w:val="26"/>
        </w:rPr>
        <w:t>un</w:t>
      </w:r>
      <w:r w:rsidRPr="0082296A">
        <w:rPr>
          <w:rFonts w:eastAsiaTheme="minorEastAsia"/>
          <w:sz w:val="26"/>
          <w:szCs w:val="26"/>
        </w:rPr>
        <w:t xml:space="preserve">clear, </w:t>
      </w:r>
      <w:r w:rsidR="00195EF3" w:rsidRPr="0082296A">
        <w:rPr>
          <w:rFonts w:eastAsiaTheme="minorEastAsia"/>
          <w:sz w:val="26"/>
          <w:szCs w:val="26"/>
        </w:rPr>
        <w:t xml:space="preserve">ambiguous and </w:t>
      </w:r>
      <w:r w:rsidRPr="0082296A">
        <w:rPr>
          <w:rFonts w:eastAsiaTheme="minorEastAsia"/>
          <w:sz w:val="26"/>
          <w:szCs w:val="26"/>
        </w:rPr>
        <w:t xml:space="preserve">easily </w:t>
      </w:r>
      <w:r w:rsidR="00195EF3" w:rsidRPr="0082296A">
        <w:rPr>
          <w:rFonts w:eastAsiaTheme="minorEastAsia"/>
          <w:sz w:val="26"/>
          <w:szCs w:val="26"/>
        </w:rPr>
        <w:t>mis</w:t>
      </w:r>
      <w:r w:rsidRPr="0082296A">
        <w:rPr>
          <w:rFonts w:eastAsiaTheme="minorEastAsia"/>
          <w:sz w:val="26"/>
          <w:szCs w:val="26"/>
        </w:rPr>
        <w:t xml:space="preserve">understood.  As a result, </w:t>
      </w:r>
      <w:r w:rsidR="00195EF3" w:rsidRPr="0082296A">
        <w:rPr>
          <w:rFonts w:eastAsiaTheme="minorEastAsia"/>
          <w:sz w:val="26"/>
          <w:szCs w:val="26"/>
        </w:rPr>
        <w:t xml:space="preserve">the Complainant </w:t>
      </w:r>
      <w:r w:rsidRPr="0082296A">
        <w:rPr>
          <w:rFonts w:eastAsiaTheme="minorEastAsia"/>
          <w:sz w:val="26"/>
          <w:szCs w:val="26"/>
        </w:rPr>
        <w:t xml:space="preserve">was over billed for electric generation service by more than $27,000.  </w:t>
      </w:r>
      <w:r w:rsidR="00195EF3" w:rsidRPr="0082296A">
        <w:rPr>
          <w:rFonts w:eastAsiaTheme="minorEastAsia"/>
          <w:sz w:val="26"/>
          <w:szCs w:val="26"/>
        </w:rPr>
        <w:t xml:space="preserve">According to the ALJ, the record evidence </w:t>
      </w:r>
      <w:r w:rsidRPr="0082296A">
        <w:rPr>
          <w:rFonts w:eastAsiaTheme="minorEastAsia"/>
          <w:sz w:val="26"/>
          <w:szCs w:val="26"/>
        </w:rPr>
        <w:t>support</w:t>
      </w:r>
      <w:r w:rsidR="00195EF3" w:rsidRPr="0082296A">
        <w:rPr>
          <w:rFonts w:eastAsiaTheme="minorEastAsia"/>
          <w:sz w:val="26"/>
          <w:szCs w:val="26"/>
        </w:rPr>
        <w:t>ed</w:t>
      </w:r>
      <w:r w:rsidRPr="0082296A">
        <w:rPr>
          <w:rFonts w:eastAsiaTheme="minorEastAsia"/>
          <w:sz w:val="26"/>
          <w:szCs w:val="26"/>
        </w:rPr>
        <w:t xml:space="preserve"> a finding that </w:t>
      </w:r>
      <w:r w:rsidR="00195EF3" w:rsidRPr="0082296A">
        <w:rPr>
          <w:rFonts w:eastAsiaTheme="minorEastAsia"/>
          <w:sz w:val="26"/>
          <w:szCs w:val="26"/>
        </w:rPr>
        <w:t>the impact of Blue Pilot’s d</w:t>
      </w:r>
      <w:r w:rsidRPr="0082296A">
        <w:rPr>
          <w:rFonts w:eastAsiaTheme="minorEastAsia"/>
          <w:sz w:val="26"/>
          <w:szCs w:val="26"/>
        </w:rPr>
        <w:t xml:space="preserve">isclosure Statement was of a serious nature.  </w:t>
      </w:r>
      <w:r w:rsidR="00195EF3" w:rsidRPr="0082296A">
        <w:rPr>
          <w:rFonts w:eastAsiaTheme="minorEastAsia"/>
          <w:sz w:val="26"/>
          <w:szCs w:val="26"/>
        </w:rPr>
        <w:t xml:space="preserve">I.D. at 19. </w:t>
      </w:r>
    </w:p>
    <w:p w:rsidR="00195EF3" w:rsidRPr="0082296A" w:rsidRDefault="00195EF3" w:rsidP="007723FF">
      <w:pPr>
        <w:pStyle w:val="Style"/>
        <w:spacing w:line="360" w:lineRule="auto"/>
        <w:ind w:firstLine="1440"/>
        <w:rPr>
          <w:rFonts w:eastAsiaTheme="minorEastAsia"/>
          <w:sz w:val="26"/>
          <w:szCs w:val="26"/>
        </w:rPr>
      </w:pPr>
    </w:p>
    <w:p w:rsidR="007723FF" w:rsidRPr="0082296A" w:rsidRDefault="00195EF3" w:rsidP="0082296A">
      <w:pPr>
        <w:pStyle w:val="Style"/>
        <w:spacing w:line="360" w:lineRule="auto"/>
        <w:ind w:firstLine="1440"/>
        <w:rPr>
          <w:rFonts w:eastAsiaTheme="minorEastAsia"/>
          <w:sz w:val="26"/>
          <w:szCs w:val="26"/>
        </w:rPr>
      </w:pPr>
      <w:r w:rsidRPr="0082296A">
        <w:rPr>
          <w:rFonts w:eastAsiaTheme="minorEastAsia"/>
          <w:sz w:val="26"/>
          <w:szCs w:val="26"/>
        </w:rPr>
        <w:t xml:space="preserve">As </w:t>
      </w:r>
      <w:r w:rsidR="007723FF" w:rsidRPr="0082296A">
        <w:rPr>
          <w:rFonts w:eastAsiaTheme="minorEastAsia"/>
          <w:sz w:val="26"/>
          <w:szCs w:val="26"/>
        </w:rPr>
        <w:t xml:space="preserve">to the second factor, </w:t>
      </w:r>
      <w:r w:rsidRPr="0082296A">
        <w:rPr>
          <w:rFonts w:eastAsiaTheme="minorEastAsia"/>
          <w:sz w:val="26"/>
          <w:szCs w:val="26"/>
        </w:rPr>
        <w:t>the ALJ noted the lack of personal injury a</w:t>
      </w:r>
      <w:r w:rsidR="0082296A" w:rsidRPr="0082296A">
        <w:rPr>
          <w:rFonts w:eastAsiaTheme="minorEastAsia"/>
          <w:sz w:val="26"/>
          <w:szCs w:val="26"/>
        </w:rPr>
        <w:t xml:space="preserve">nd property damage </w:t>
      </w:r>
      <w:r w:rsidR="00506351">
        <w:rPr>
          <w:rFonts w:eastAsiaTheme="minorEastAsia"/>
          <w:sz w:val="26"/>
          <w:szCs w:val="26"/>
        </w:rPr>
        <w:t>and</w:t>
      </w:r>
      <w:r w:rsidR="0082296A" w:rsidRPr="0082296A">
        <w:rPr>
          <w:rFonts w:eastAsiaTheme="minorEastAsia"/>
          <w:sz w:val="26"/>
          <w:szCs w:val="26"/>
        </w:rPr>
        <w:t xml:space="preserve"> deemed the factor as not supporting a higher penalty.  Under the third factor, the ALJ considered the language provided on the d</w:t>
      </w:r>
      <w:r w:rsidR="007723FF" w:rsidRPr="0082296A">
        <w:rPr>
          <w:rFonts w:eastAsiaTheme="minorEastAsia"/>
          <w:sz w:val="26"/>
          <w:szCs w:val="26"/>
        </w:rPr>
        <w:t>isclo</w:t>
      </w:r>
      <w:r w:rsidR="0082296A" w:rsidRPr="0082296A">
        <w:rPr>
          <w:rFonts w:eastAsiaTheme="minorEastAsia"/>
          <w:sz w:val="26"/>
          <w:szCs w:val="26"/>
        </w:rPr>
        <w:t xml:space="preserve">sure statement </w:t>
      </w:r>
      <w:r w:rsidR="007723FF" w:rsidRPr="0082296A">
        <w:rPr>
          <w:rFonts w:eastAsiaTheme="minorEastAsia"/>
          <w:sz w:val="26"/>
          <w:szCs w:val="26"/>
        </w:rPr>
        <w:t xml:space="preserve">as </w:t>
      </w:r>
      <w:r w:rsidR="0082296A" w:rsidRPr="0082296A">
        <w:rPr>
          <w:rFonts w:eastAsiaTheme="minorEastAsia"/>
          <w:sz w:val="26"/>
          <w:szCs w:val="26"/>
        </w:rPr>
        <w:t xml:space="preserve">being </w:t>
      </w:r>
      <w:r w:rsidR="007723FF" w:rsidRPr="0082296A">
        <w:rPr>
          <w:rFonts w:eastAsiaTheme="minorEastAsia"/>
          <w:sz w:val="26"/>
          <w:szCs w:val="26"/>
        </w:rPr>
        <w:t xml:space="preserve">intentional and not negligent.  </w:t>
      </w:r>
      <w:r w:rsidR="0082296A" w:rsidRPr="0082296A">
        <w:rPr>
          <w:rFonts w:eastAsiaTheme="minorEastAsia"/>
          <w:sz w:val="26"/>
          <w:szCs w:val="26"/>
        </w:rPr>
        <w:t>The ALJ stated that t</w:t>
      </w:r>
      <w:r w:rsidR="007723FF" w:rsidRPr="0082296A">
        <w:rPr>
          <w:rFonts w:eastAsiaTheme="minorEastAsia"/>
          <w:sz w:val="26"/>
          <w:szCs w:val="26"/>
        </w:rPr>
        <w:t>here may not have been any intent to provide language</w:t>
      </w:r>
      <w:r w:rsidR="0082296A" w:rsidRPr="0082296A">
        <w:rPr>
          <w:rFonts w:eastAsiaTheme="minorEastAsia"/>
          <w:sz w:val="26"/>
          <w:szCs w:val="26"/>
        </w:rPr>
        <w:t xml:space="preserve"> that was ambiguous or unclear.  But he viewed </w:t>
      </w:r>
      <w:r w:rsidR="007723FF" w:rsidRPr="0082296A">
        <w:rPr>
          <w:rFonts w:eastAsiaTheme="minorEastAsia"/>
          <w:sz w:val="26"/>
          <w:szCs w:val="26"/>
        </w:rPr>
        <w:t>the lan</w:t>
      </w:r>
      <w:r w:rsidR="0082296A" w:rsidRPr="0082296A">
        <w:rPr>
          <w:rFonts w:eastAsiaTheme="minorEastAsia"/>
          <w:sz w:val="26"/>
          <w:szCs w:val="26"/>
        </w:rPr>
        <w:t xml:space="preserve">guage that was </w:t>
      </w:r>
      <w:r w:rsidR="00373C56">
        <w:rPr>
          <w:rFonts w:eastAsiaTheme="minorEastAsia"/>
          <w:sz w:val="26"/>
          <w:szCs w:val="26"/>
        </w:rPr>
        <w:t xml:space="preserve">included </w:t>
      </w:r>
      <w:r w:rsidR="0082296A" w:rsidRPr="0082296A">
        <w:rPr>
          <w:rFonts w:eastAsiaTheme="minorEastAsia"/>
          <w:sz w:val="26"/>
          <w:szCs w:val="26"/>
        </w:rPr>
        <w:t xml:space="preserve">on the disclosure statement </w:t>
      </w:r>
      <w:r w:rsidR="007723FF" w:rsidRPr="0082296A">
        <w:rPr>
          <w:rFonts w:eastAsiaTheme="minorEastAsia"/>
          <w:sz w:val="26"/>
          <w:szCs w:val="26"/>
        </w:rPr>
        <w:t xml:space="preserve">as </w:t>
      </w:r>
      <w:r w:rsidR="0082296A" w:rsidRPr="0082296A">
        <w:rPr>
          <w:rFonts w:eastAsiaTheme="minorEastAsia"/>
          <w:sz w:val="26"/>
          <w:szCs w:val="26"/>
        </w:rPr>
        <w:t xml:space="preserve">being </w:t>
      </w:r>
      <w:r w:rsidR="007723FF" w:rsidRPr="0082296A">
        <w:rPr>
          <w:rFonts w:eastAsiaTheme="minorEastAsia"/>
          <w:sz w:val="26"/>
          <w:szCs w:val="26"/>
        </w:rPr>
        <w:t>intentionally provided</w:t>
      </w:r>
      <w:r w:rsidR="0082296A" w:rsidRPr="0082296A">
        <w:rPr>
          <w:rFonts w:eastAsiaTheme="minorEastAsia"/>
          <w:sz w:val="26"/>
          <w:szCs w:val="26"/>
        </w:rPr>
        <w:t xml:space="preserve"> and supportive of a </w:t>
      </w:r>
      <w:r w:rsidR="007723FF" w:rsidRPr="0082296A">
        <w:rPr>
          <w:rFonts w:eastAsiaTheme="minorEastAsia"/>
          <w:sz w:val="26"/>
          <w:szCs w:val="26"/>
        </w:rPr>
        <w:t>higher civil penalty.</w:t>
      </w:r>
      <w:r w:rsidR="0082296A" w:rsidRPr="0082296A">
        <w:rPr>
          <w:rFonts w:eastAsiaTheme="minorEastAsia"/>
          <w:sz w:val="26"/>
          <w:szCs w:val="26"/>
        </w:rPr>
        <w:t xml:space="preserve">  </w:t>
      </w:r>
      <w:r w:rsidR="0082296A" w:rsidRPr="004A5F93">
        <w:rPr>
          <w:rFonts w:eastAsiaTheme="minorEastAsia"/>
          <w:i/>
          <w:sz w:val="26"/>
          <w:szCs w:val="26"/>
        </w:rPr>
        <w:t>Id.</w:t>
      </w:r>
      <w:r w:rsidR="0082296A" w:rsidRPr="0082296A">
        <w:rPr>
          <w:rFonts w:eastAsiaTheme="minorEastAsia"/>
          <w:sz w:val="26"/>
          <w:szCs w:val="26"/>
        </w:rPr>
        <w:t xml:space="preserve"> at 19-20.  </w:t>
      </w:r>
    </w:p>
    <w:p w:rsidR="007723FF" w:rsidRPr="0082296A" w:rsidRDefault="007723FF" w:rsidP="007723FF">
      <w:pPr>
        <w:pStyle w:val="Style"/>
        <w:spacing w:line="360" w:lineRule="auto"/>
        <w:ind w:firstLine="1440"/>
        <w:rPr>
          <w:rFonts w:eastAsiaTheme="minorEastAsia"/>
          <w:sz w:val="26"/>
          <w:szCs w:val="26"/>
        </w:rPr>
      </w:pPr>
    </w:p>
    <w:p w:rsidR="007723FF" w:rsidRPr="0082296A" w:rsidRDefault="002F277F" w:rsidP="007723FF">
      <w:pPr>
        <w:pStyle w:val="Style"/>
        <w:spacing w:line="360" w:lineRule="auto"/>
        <w:ind w:firstLine="1440"/>
        <w:rPr>
          <w:rFonts w:eastAsiaTheme="minorEastAsia"/>
          <w:sz w:val="26"/>
          <w:szCs w:val="26"/>
        </w:rPr>
      </w:pPr>
      <w:r>
        <w:rPr>
          <w:rFonts w:eastAsiaTheme="minorEastAsia"/>
          <w:sz w:val="26"/>
          <w:szCs w:val="26"/>
        </w:rPr>
        <w:lastRenderedPageBreak/>
        <w:t xml:space="preserve">The ALJ determined that an application of the </w:t>
      </w:r>
      <w:r w:rsidR="007723FF" w:rsidRPr="0082296A">
        <w:rPr>
          <w:rFonts w:eastAsiaTheme="minorEastAsia"/>
          <w:sz w:val="26"/>
          <w:szCs w:val="26"/>
        </w:rPr>
        <w:t>fourth factor</w:t>
      </w:r>
      <w:r>
        <w:rPr>
          <w:rFonts w:eastAsiaTheme="minorEastAsia"/>
          <w:sz w:val="26"/>
          <w:szCs w:val="26"/>
        </w:rPr>
        <w:t xml:space="preserve"> supported a higher penalty.  According to the ALJ</w:t>
      </w:r>
      <w:r w:rsidR="00506351">
        <w:rPr>
          <w:rFonts w:eastAsiaTheme="minorEastAsia"/>
          <w:sz w:val="26"/>
          <w:szCs w:val="26"/>
        </w:rPr>
        <w:t>,</w:t>
      </w:r>
      <w:r>
        <w:rPr>
          <w:rFonts w:eastAsiaTheme="minorEastAsia"/>
          <w:sz w:val="26"/>
          <w:szCs w:val="26"/>
        </w:rPr>
        <w:t xml:space="preserve"> there was </w:t>
      </w:r>
      <w:r w:rsidR="007723FF" w:rsidRPr="0082296A">
        <w:rPr>
          <w:rFonts w:eastAsiaTheme="minorEastAsia"/>
          <w:sz w:val="26"/>
          <w:szCs w:val="26"/>
        </w:rPr>
        <w:t xml:space="preserve">no record evidence </w:t>
      </w:r>
      <w:r>
        <w:rPr>
          <w:rFonts w:eastAsiaTheme="minorEastAsia"/>
          <w:sz w:val="26"/>
          <w:szCs w:val="26"/>
        </w:rPr>
        <w:t>demonstrating</w:t>
      </w:r>
      <w:r w:rsidR="007723FF" w:rsidRPr="0082296A">
        <w:rPr>
          <w:rFonts w:eastAsiaTheme="minorEastAsia"/>
          <w:sz w:val="26"/>
          <w:szCs w:val="26"/>
        </w:rPr>
        <w:t xml:space="preserve"> that Blue Pil</w:t>
      </w:r>
      <w:r>
        <w:rPr>
          <w:rFonts w:eastAsiaTheme="minorEastAsia"/>
          <w:sz w:val="26"/>
          <w:szCs w:val="26"/>
        </w:rPr>
        <w:t>ot has made any changes to its disclosure s</w:t>
      </w:r>
      <w:r w:rsidR="007723FF" w:rsidRPr="0082296A">
        <w:rPr>
          <w:rFonts w:eastAsiaTheme="minorEastAsia"/>
          <w:sz w:val="26"/>
          <w:szCs w:val="26"/>
        </w:rPr>
        <w:t xml:space="preserve">tatement to use plain language and avoid confusion among other customers </w:t>
      </w:r>
      <w:r>
        <w:rPr>
          <w:rFonts w:eastAsiaTheme="minorEastAsia"/>
          <w:sz w:val="26"/>
          <w:szCs w:val="26"/>
        </w:rPr>
        <w:t xml:space="preserve">and thus </w:t>
      </w:r>
      <w:r w:rsidR="007723FF" w:rsidRPr="0082296A">
        <w:rPr>
          <w:rFonts w:eastAsiaTheme="minorEastAsia"/>
          <w:sz w:val="26"/>
          <w:szCs w:val="26"/>
        </w:rPr>
        <w:t>prevent similar occurrences in the future.</w:t>
      </w:r>
      <w:r>
        <w:rPr>
          <w:rFonts w:eastAsiaTheme="minorEastAsia"/>
          <w:sz w:val="26"/>
          <w:szCs w:val="26"/>
        </w:rPr>
        <w:t xml:space="preserve">  </w:t>
      </w:r>
      <w:r w:rsidRPr="004A5F93">
        <w:rPr>
          <w:rFonts w:eastAsiaTheme="minorEastAsia"/>
          <w:i/>
          <w:sz w:val="26"/>
          <w:szCs w:val="26"/>
        </w:rPr>
        <w:t>Id.</w:t>
      </w:r>
      <w:r>
        <w:rPr>
          <w:rFonts w:eastAsiaTheme="minorEastAsia"/>
          <w:sz w:val="26"/>
          <w:szCs w:val="26"/>
        </w:rPr>
        <w:t xml:space="preserve"> at 20.  </w:t>
      </w:r>
    </w:p>
    <w:p w:rsidR="007723FF" w:rsidRPr="0082296A" w:rsidRDefault="007723FF" w:rsidP="007723FF">
      <w:pPr>
        <w:pStyle w:val="Style"/>
        <w:spacing w:line="360" w:lineRule="auto"/>
        <w:ind w:firstLine="1440"/>
        <w:rPr>
          <w:rFonts w:eastAsiaTheme="minorEastAsia"/>
          <w:sz w:val="26"/>
          <w:szCs w:val="26"/>
        </w:rPr>
      </w:pPr>
    </w:p>
    <w:p w:rsidR="007723FF" w:rsidRPr="00FA79D7" w:rsidRDefault="00FA79D7" w:rsidP="007723FF">
      <w:pPr>
        <w:pStyle w:val="Style"/>
        <w:spacing w:line="360" w:lineRule="auto"/>
        <w:ind w:firstLine="1440"/>
        <w:rPr>
          <w:rFonts w:eastAsiaTheme="minorEastAsia"/>
          <w:i/>
          <w:sz w:val="26"/>
          <w:szCs w:val="26"/>
        </w:rPr>
      </w:pPr>
      <w:r>
        <w:rPr>
          <w:rFonts w:eastAsiaTheme="minorEastAsia"/>
          <w:sz w:val="26"/>
          <w:szCs w:val="26"/>
        </w:rPr>
        <w:t xml:space="preserve">Analyzing </w:t>
      </w:r>
      <w:r w:rsidR="007723FF" w:rsidRPr="0082296A">
        <w:rPr>
          <w:rFonts w:eastAsiaTheme="minorEastAsia"/>
          <w:sz w:val="26"/>
          <w:szCs w:val="26"/>
        </w:rPr>
        <w:t>the fifth factor,</w:t>
      </w:r>
      <w:r>
        <w:rPr>
          <w:rFonts w:eastAsiaTheme="minorEastAsia"/>
          <w:sz w:val="26"/>
          <w:szCs w:val="26"/>
        </w:rPr>
        <w:t xml:space="preserve"> the ALJ determined that it</w:t>
      </w:r>
      <w:r w:rsidR="007723FF" w:rsidRPr="0082296A">
        <w:rPr>
          <w:rFonts w:eastAsiaTheme="minorEastAsia"/>
          <w:sz w:val="26"/>
          <w:szCs w:val="26"/>
        </w:rPr>
        <w:t xml:space="preserve"> supports a lower penalty</w:t>
      </w:r>
      <w:r>
        <w:rPr>
          <w:rFonts w:eastAsiaTheme="minorEastAsia"/>
          <w:sz w:val="26"/>
          <w:szCs w:val="26"/>
        </w:rPr>
        <w:t xml:space="preserve"> because there was </w:t>
      </w:r>
      <w:r w:rsidR="007723FF" w:rsidRPr="0082296A">
        <w:rPr>
          <w:rFonts w:eastAsiaTheme="minorEastAsia"/>
          <w:sz w:val="26"/>
          <w:szCs w:val="26"/>
        </w:rPr>
        <w:t>no record evidence</w:t>
      </w:r>
      <w:r>
        <w:rPr>
          <w:rFonts w:eastAsiaTheme="minorEastAsia"/>
          <w:sz w:val="26"/>
          <w:szCs w:val="26"/>
        </w:rPr>
        <w:t xml:space="preserve"> showing</w:t>
      </w:r>
      <w:r w:rsidR="007723FF" w:rsidRPr="0082296A">
        <w:rPr>
          <w:rFonts w:eastAsiaTheme="minorEastAsia"/>
          <w:sz w:val="26"/>
          <w:szCs w:val="26"/>
        </w:rPr>
        <w:t xml:space="preserve"> that any customer other than Enrico was affected.  </w:t>
      </w:r>
      <w:r>
        <w:rPr>
          <w:rFonts w:eastAsiaTheme="minorEastAsia"/>
          <w:sz w:val="26"/>
          <w:szCs w:val="26"/>
        </w:rPr>
        <w:t>However</w:t>
      </w:r>
      <w:r w:rsidR="007723FF" w:rsidRPr="0082296A">
        <w:rPr>
          <w:rFonts w:eastAsiaTheme="minorEastAsia"/>
          <w:sz w:val="26"/>
          <w:szCs w:val="26"/>
        </w:rPr>
        <w:t xml:space="preserve">, </w:t>
      </w:r>
      <w:r>
        <w:rPr>
          <w:rFonts w:eastAsiaTheme="minorEastAsia"/>
          <w:sz w:val="26"/>
          <w:szCs w:val="26"/>
        </w:rPr>
        <w:t xml:space="preserve">the ALJ found that </w:t>
      </w:r>
      <w:r w:rsidR="007723FF" w:rsidRPr="0082296A">
        <w:rPr>
          <w:rFonts w:eastAsiaTheme="minorEastAsia"/>
          <w:sz w:val="26"/>
          <w:szCs w:val="26"/>
        </w:rPr>
        <w:t xml:space="preserve">a civil penalty </w:t>
      </w:r>
      <w:r>
        <w:rPr>
          <w:rFonts w:eastAsiaTheme="minorEastAsia"/>
          <w:sz w:val="26"/>
          <w:szCs w:val="26"/>
        </w:rPr>
        <w:t xml:space="preserve">should </w:t>
      </w:r>
      <w:r w:rsidR="007723FF" w:rsidRPr="0082296A">
        <w:rPr>
          <w:rFonts w:eastAsiaTheme="minorEastAsia"/>
          <w:sz w:val="26"/>
          <w:szCs w:val="26"/>
        </w:rPr>
        <w:t xml:space="preserve">be imposed for both </w:t>
      </w:r>
      <w:r>
        <w:rPr>
          <w:rFonts w:eastAsiaTheme="minorEastAsia"/>
          <w:sz w:val="26"/>
          <w:szCs w:val="26"/>
        </w:rPr>
        <w:t xml:space="preserve">regulatory </w:t>
      </w:r>
      <w:r w:rsidR="007723FF" w:rsidRPr="0082296A">
        <w:rPr>
          <w:rFonts w:eastAsiaTheme="minorEastAsia"/>
          <w:sz w:val="26"/>
          <w:szCs w:val="26"/>
        </w:rPr>
        <w:t>violations.</w:t>
      </w:r>
      <w:r>
        <w:rPr>
          <w:rFonts w:eastAsiaTheme="minorEastAsia"/>
          <w:sz w:val="26"/>
          <w:szCs w:val="26"/>
        </w:rPr>
        <w:t xml:space="preserve">  </w:t>
      </w:r>
      <w:r>
        <w:rPr>
          <w:rFonts w:eastAsiaTheme="minorEastAsia"/>
          <w:i/>
          <w:sz w:val="26"/>
          <w:szCs w:val="26"/>
        </w:rPr>
        <w:t xml:space="preserve">Id.  </w:t>
      </w:r>
    </w:p>
    <w:p w:rsidR="007723FF" w:rsidRPr="0082296A" w:rsidRDefault="007723FF" w:rsidP="007723FF">
      <w:pPr>
        <w:pStyle w:val="Style"/>
        <w:spacing w:line="360" w:lineRule="auto"/>
        <w:ind w:firstLine="1440"/>
        <w:rPr>
          <w:rFonts w:eastAsiaTheme="minorEastAsia"/>
          <w:sz w:val="26"/>
          <w:szCs w:val="26"/>
        </w:rPr>
      </w:pPr>
    </w:p>
    <w:p w:rsidR="007723FF" w:rsidRPr="0082296A" w:rsidRDefault="00FA79D7" w:rsidP="007723FF">
      <w:pPr>
        <w:pStyle w:val="Style"/>
        <w:spacing w:line="360" w:lineRule="auto"/>
        <w:ind w:firstLine="1440"/>
        <w:rPr>
          <w:rFonts w:eastAsiaTheme="minorEastAsia"/>
          <w:sz w:val="26"/>
          <w:szCs w:val="26"/>
        </w:rPr>
      </w:pPr>
      <w:r>
        <w:rPr>
          <w:rFonts w:eastAsiaTheme="minorEastAsia"/>
          <w:sz w:val="26"/>
          <w:szCs w:val="26"/>
        </w:rPr>
        <w:t xml:space="preserve">The ALJ did not consider the </w:t>
      </w:r>
      <w:r w:rsidR="007723FF" w:rsidRPr="0082296A">
        <w:rPr>
          <w:rFonts w:eastAsiaTheme="minorEastAsia"/>
          <w:sz w:val="26"/>
          <w:szCs w:val="26"/>
        </w:rPr>
        <w:t>sixth factor</w:t>
      </w:r>
      <w:r w:rsidR="00506351">
        <w:rPr>
          <w:rFonts w:eastAsiaTheme="minorEastAsia"/>
          <w:sz w:val="26"/>
          <w:szCs w:val="26"/>
        </w:rPr>
        <w:t xml:space="preserve"> pertaining to the</w:t>
      </w:r>
      <w:r w:rsidR="007723FF" w:rsidRPr="0082296A">
        <w:rPr>
          <w:rFonts w:eastAsiaTheme="minorEastAsia"/>
          <w:sz w:val="26"/>
          <w:szCs w:val="26"/>
        </w:rPr>
        <w:t xml:space="preserve"> compliance history of the regulated entity</w:t>
      </w:r>
      <w:r w:rsidR="00506351">
        <w:rPr>
          <w:rFonts w:eastAsiaTheme="minorEastAsia"/>
          <w:sz w:val="26"/>
          <w:szCs w:val="26"/>
        </w:rPr>
        <w:t xml:space="preserve">.  Although the </w:t>
      </w:r>
      <w:r w:rsidR="007723FF" w:rsidRPr="0082296A">
        <w:rPr>
          <w:rFonts w:eastAsiaTheme="minorEastAsia"/>
          <w:sz w:val="26"/>
          <w:szCs w:val="26"/>
        </w:rPr>
        <w:t xml:space="preserve">Commission received thousands of complaints regarding variable rates that occurred as a result of the extreme cold weather </w:t>
      </w:r>
      <w:r w:rsidR="00506351">
        <w:rPr>
          <w:rFonts w:eastAsiaTheme="minorEastAsia"/>
          <w:sz w:val="26"/>
          <w:szCs w:val="26"/>
        </w:rPr>
        <w:t xml:space="preserve">in the winter of 2014, the ALJ indicated that there was </w:t>
      </w:r>
      <w:r w:rsidR="007723FF" w:rsidRPr="0082296A">
        <w:rPr>
          <w:rFonts w:eastAsiaTheme="minorEastAsia"/>
          <w:sz w:val="26"/>
          <w:szCs w:val="26"/>
        </w:rPr>
        <w:t>no evidence</w:t>
      </w:r>
      <w:r w:rsidR="00506351">
        <w:rPr>
          <w:rFonts w:eastAsiaTheme="minorEastAsia"/>
          <w:sz w:val="26"/>
          <w:szCs w:val="26"/>
        </w:rPr>
        <w:t xml:space="preserve"> of</w:t>
      </w:r>
      <w:r w:rsidR="007723FF" w:rsidRPr="0082296A">
        <w:rPr>
          <w:rFonts w:eastAsiaTheme="minorEastAsia"/>
          <w:sz w:val="26"/>
          <w:szCs w:val="26"/>
        </w:rPr>
        <w:t xml:space="preserve"> how many of those complaints pertain</w:t>
      </w:r>
      <w:r w:rsidR="00506351">
        <w:rPr>
          <w:rFonts w:eastAsiaTheme="minorEastAsia"/>
          <w:sz w:val="26"/>
          <w:szCs w:val="26"/>
        </w:rPr>
        <w:t>ed</w:t>
      </w:r>
      <w:r w:rsidR="007723FF" w:rsidRPr="0082296A">
        <w:rPr>
          <w:rFonts w:eastAsiaTheme="minorEastAsia"/>
          <w:sz w:val="26"/>
          <w:szCs w:val="26"/>
        </w:rPr>
        <w:t xml:space="preserve"> to Blue Pilot and </w:t>
      </w:r>
      <w:r w:rsidR="00506351">
        <w:rPr>
          <w:rFonts w:eastAsiaTheme="minorEastAsia"/>
          <w:sz w:val="26"/>
          <w:szCs w:val="26"/>
        </w:rPr>
        <w:t xml:space="preserve">whether </w:t>
      </w:r>
      <w:r w:rsidR="007723FF" w:rsidRPr="0082296A">
        <w:rPr>
          <w:rFonts w:eastAsiaTheme="minorEastAsia"/>
          <w:sz w:val="26"/>
          <w:szCs w:val="26"/>
        </w:rPr>
        <w:t>those complaints were sustained.</w:t>
      </w:r>
      <w:r w:rsidR="00506351">
        <w:rPr>
          <w:rFonts w:eastAsiaTheme="minorEastAsia"/>
          <w:sz w:val="26"/>
          <w:szCs w:val="26"/>
        </w:rPr>
        <w:t xml:space="preserve">  Also, the ALJ did not consider the seventh factor, addressing cooperation with the Commission’s investigation, because the proceeding did not involve such an investigation.  </w:t>
      </w:r>
      <w:r w:rsidR="004A5F93">
        <w:rPr>
          <w:rFonts w:eastAsiaTheme="minorEastAsia"/>
          <w:sz w:val="26"/>
          <w:szCs w:val="26"/>
        </w:rPr>
        <w:t>I.D. at 20</w:t>
      </w:r>
      <w:r w:rsidR="00506351" w:rsidRPr="00506351">
        <w:rPr>
          <w:rFonts w:eastAsiaTheme="minorEastAsia"/>
          <w:i/>
          <w:sz w:val="26"/>
          <w:szCs w:val="26"/>
        </w:rPr>
        <w:t>.</w:t>
      </w:r>
      <w:r w:rsidR="00506351">
        <w:rPr>
          <w:rFonts w:eastAsiaTheme="minorEastAsia"/>
          <w:sz w:val="26"/>
          <w:szCs w:val="26"/>
        </w:rPr>
        <w:t xml:space="preserve"> </w:t>
      </w:r>
    </w:p>
    <w:p w:rsidR="007723FF" w:rsidRPr="0082296A" w:rsidRDefault="007723FF" w:rsidP="007723FF">
      <w:pPr>
        <w:pStyle w:val="Style"/>
        <w:spacing w:line="360" w:lineRule="auto"/>
        <w:ind w:firstLine="1440"/>
        <w:rPr>
          <w:rFonts w:eastAsiaTheme="minorEastAsia"/>
          <w:sz w:val="26"/>
          <w:szCs w:val="26"/>
        </w:rPr>
      </w:pPr>
    </w:p>
    <w:p w:rsidR="007723FF" w:rsidRPr="0082296A" w:rsidRDefault="00506351" w:rsidP="007723FF">
      <w:pPr>
        <w:pStyle w:val="Style"/>
        <w:spacing w:line="360" w:lineRule="auto"/>
        <w:ind w:firstLine="1440"/>
        <w:rPr>
          <w:rFonts w:eastAsiaTheme="minorEastAsia"/>
          <w:sz w:val="26"/>
          <w:szCs w:val="26"/>
        </w:rPr>
      </w:pPr>
      <w:r>
        <w:rPr>
          <w:rFonts w:eastAsiaTheme="minorEastAsia"/>
          <w:sz w:val="26"/>
          <w:szCs w:val="26"/>
        </w:rPr>
        <w:t>R</w:t>
      </w:r>
      <w:r w:rsidR="007723FF" w:rsidRPr="0082296A">
        <w:rPr>
          <w:rFonts w:eastAsiaTheme="minorEastAsia"/>
          <w:sz w:val="26"/>
          <w:szCs w:val="26"/>
        </w:rPr>
        <w:t>egard</w:t>
      </w:r>
      <w:r>
        <w:rPr>
          <w:rFonts w:eastAsiaTheme="minorEastAsia"/>
          <w:sz w:val="26"/>
          <w:szCs w:val="26"/>
        </w:rPr>
        <w:t xml:space="preserve">ing </w:t>
      </w:r>
      <w:r w:rsidR="007723FF" w:rsidRPr="0082296A">
        <w:rPr>
          <w:rFonts w:eastAsiaTheme="minorEastAsia"/>
          <w:sz w:val="26"/>
          <w:szCs w:val="26"/>
        </w:rPr>
        <w:t>the eighth factor</w:t>
      </w:r>
      <w:r w:rsidR="004A5F93">
        <w:rPr>
          <w:rFonts w:eastAsiaTheme="minorEastAsia"/>
          <w:sz w:val="26"/>
          <w:szCs w:val="26"/>
        </w:rPr>
        <w:t xml:space="preserve"> and</w:t>
      </w:r>
      <w:r w:rsidR="007723FF" w:rsidRPr="0082296A">
        <w:rPr>
          <w:rFonts w:eastAsiaTheme="minorEastAsia"/>
          <w:sz w:val="26"/>
          <w:szCs w:val="26"/>
        </w:rPr>
        <w:t xml:space="preserve"> the amount of the civil penalty necessary to </w:t>
      </w:r>
      <w:r w:rsidR="004A5F93">
        <w:rPr>
          <w:rFonts w:eastAsiaTheme="minorEastAsia"/>
          <w:sz w:val="26"/>
          <w:szCs w:val="26"/>
        </w:rPr>
        <w:t xml:space="preserve">deter future violations, the ALJ found that </w:t>
      </w:r>
      <w:r w:rsidR="007723FF" w:rsidRPr="0082296A">
        <w:rPr>
          <w:rFonts w:eastAsiaTheme="minorEastAsia"/>
          <w:sz w:val="26"/>
          <w:szCs w:val="26"/>
        </w:rPr>
        <w:t>a higher penalty</w:t>
      </w:r>
      <w:r w:rsidR="004A5F93">
        <w:rPr>
          <w:rFonts w:eastAsiaTheme="minorEastAsia"/>
          <w:sz w:val="26"/>
          <w:szCs w:val="26"/>
        </w:rPr>
        <w:t xml:space="preserve"> was warranted</w:t>
      </w:r>
      <w:r w:rsidR="007723FF" w:rsidRPr="0082296A">
        <w:rPr>
          <w:rFonts w:eastAsiaTheme="minorEastAsia"/>
          <w:sz w:val="26"/>
          <w:szCs w:val="26"/>
        </w:rPr>
        <w:t xml:space="preserve">.  The </w:t>
      </w:r>
      <w:r w:rsidR="004A5F93">
        <w:rPr>
          <w:rFonts w:eastAsiaTheme="minorEastAsia"/>
          <w:sz w:val="26"/>
          <w:szCs w:val="26"/>
        </w:rPr>
        <w:t xml:space="preserve">ALJ explained the </w:t>
      </w:r>
      <w:r w:rsidR="007723FF" w:rsidRPr="0082296A">
        <w:rPr>
          <w:rFonts w:eastAsiaTheme="minorEastAsia"/>
          <w:sz w:val="26"/>
          <w:szCs w:val="26"/>
        </w:rPr>
        <w:t>Commission</w:t>
      </w:r>
      <w:r w:rsidR="004A5F93">
        <w:rPr>
          <w:rFonts w:eastAsiaTheme="minorEastAsia"/>
          <w:sz w:val="26"/>
          <w:szCs w:val="26"/>
        </w:rPr>
        <w:t xml:space="preserve">’s emphasis </w:t>
      </w:r>
      <w:r w:rsidR="007723FF" w:rsidRPr="0082296A">
        <w:rPr>
          <w:rFonts w:eastAsiaTheme="minorEastAsia"/>
          <w:sz w:val="26"/>
          <w:szCs w:val="26"/>
        </w:rPr>
        <w:t xml:space="preserve">of ensuring the development of a robust market for electric generation service through informative and reliable marketing practices and avoiding conduct that may be potentially detrimental to the development of a successful retail electric market.  </w:t>
      </w:r>
      <w:r w:rsidR="004A5F93">
        <w:rPr>
          <w:rFonts w:eastAsiaTheme="minorEastAsia"/>
          <w:sz w:val="26"/>
          <w:szCs w:val="26"/>
        </w:rPr>
        <w:t xml:space="preserve">Accordingly, the ALJ deemed a higher civil penalty </w:t>
      </w:r>
      <w:r w:rsidR="004A5F93" w:rsidRPr="004A5F93">
        <w:rPr>
          <w:rFonts w:eastAsiaTheme="minorEastAsia"/>
          <w:sz w:val="26"/>
          <w:szCs w:val="26"/>
        </w:rPr>
        <w:t>as being</w:t>
      </w:r>
      <w:r w:rsidR="004A5F93">
        <w:rPr>
          <w:rFonts w:eastAsiaTheme="minorEastAsia"/>
          <w:i/>
          <w:sz w:val="26"/>
          <w:szCs w:val="26"/>
        </w:rPr>
        <w:t xml:space="preserve"> </w:t>
      </w:r>
      <w:r w:rsidR="007723FF" w:rsidRPr="0082296A">
        <w:rPr>
          <w:rFonts w:eastAsiaTheme="minorEastAsia"/>
          <w:sz w:val="26"/>
          <w:szCs w:val="26"/>
        </w:rPr>
        <w:t>appropriate to deter future violations by Blue Pilot and other EGSs.</w:t>
      </w:r>
      <w:r w:rsidR="004A5F93">
        <w:rPr>
          <w:rFonts w:eastAsiaTheme="minorEastAsia"/>
          <w:sz w:val="26"/>
          <w:szCs w:val="26"/>
        </w:rPr>
        <w:t xml:space="preserve"> </w:t>
      </w:r>
      <w:r w:rsidR="004A5F93" w:rsidRPr="004A5F93">
        <w:rPr>
          <w:rFonts w:eastAsiaTheme="minorEastAsia"/>
          <w:i/>
          <w:sz w:val="26"/>
          <w:szCs w:val="26"/>
        </w:rPr>
        <w:t>Id.</w:t>
      </w:r>
      <w:r w:rsidR="004A5F93">
        <w:rPr>
          <w:rFonts w:eastAsiaTheme="minorEastAsia"/>
          <w:sz w:val="26"/>
          <w:szCs w:val="26"/>
        </w:rPr>
        <w:t xml:space="preserve"> at 21.   </w:t>
      </w:r>
    </w:p>
    <w:p w:rsidR="007723FF" w:rsidRPr="0082296A" w:rsidRDefault="007723FF" w:rsidP="007723FF">
      <w:pPr>
        <w:pStyle w:val="Style"/>
        <w:spacing w:line="360" w:lineRule="auto"/>
        <w:ind w:firstLine="1440"/>
        <w:rPr>
          <w:rFonts w:eastAsiaTheme="minorEastAsia"/>
          <w:sz w:val="26"/>
          <w:szCs w:val="26"/>
        </w:rPr>
      </w:pPr>
    </w:p>
    <w:p w:rsidR="007723FF" w:rsidRPr="0082296A" w:rsidRDefault="004A5F93" w:rsidP="00A12759">
      <w:pPr>
        <w:pStyle w:val="Style"/>
        <w:widowControl/>
        <w:spacing w:line="360" w:lineRule="auto"/>
        <w:ind w:firstLine="1440"/>
        <w:rPr>
          <w:rFonts w:eastAsiaTheme="minorEastAsia"/>
          <w:sz w:val="26"/>
          <w:szCs w:val="26"/>
        </w:rPr>
      </w:pPr>
      <w:r>
        <w:rPr>
          <w:rFonts w:eastAsiaTheme="minorEastAsia"/>
          <w:sz w:val="26"/>
          <w:szCs w:val="26"/>
        </w:rPr>
        <w:lastRenderedPageBreak/>
        <w:t>Under</w:t>
      </w:r>
      <w:r w:rsidR="007723FF" w:rsidRPr="0082296A">
        <w:rPr>
          <w:rFonts w:eastAsiaTheme="minorEastAsia"/>
          <w:sz w:val="26"/>
          <w:szCs w:val="26"/>
        </w:rPr>
        <w:t xml:space="preserve"> the ninth factor, </w:t>
      </w:r>
      <w:r>
        <w:rPr>
          <w:rFonts w:eastAsiaTheme="minorEastAsia"/>
          <w:sz w:val="26"/>
          <w:szCs w:val="26"/>
        </w:rPr>
        <w:t xml:space="preserve">pertaining to </w:t>
      </w:r>
      <w:r w:rsidR="007723FF" w:rsidRPr="0082296A">
        <w:rPr>
          <w:rFonts w:eastAsiaTheme="minorEastAsia"/>
          <w:sz w:val="26"/>
          <w:szCs w:val="26"/>
        </w:rPr>
        <w:t xml:space="preserve">past Commission decisions in similar cases, </w:t>
      </w:r>
      <w:r>
        <w:rPr>
          <w:rFonts w:eastAsiaTheme="minorEastAsia"/>
          <w:sz w:val="26"/>
          <w:szCs w:val="26"/>
        </w:rPr>
        <w:t xml:space="preserve">the ALJ found that </w:t>
      </w:r>
      <w:r w:rsidR="007723FF" w:rsidRPr="0082296A">
        <w:rPr>
          <w:rFonts w:eastAsiaTheme="minorEastAsia"/>
          <w:sz w:val="26"/>
          <w:szCs w:val="26"/>
        </w:rPr>
        <w:t xml:space="preserve">this factor also supports a higher civil penalty.  </w:t>
      </w:r>
      <w:r>
        <w:rPr>
          <w:rFonts w:eastAsiaTheme="minorEastAsia"/>
          <w:sz w:val="26"/>
          <w:szCs w:val="26"/>
        </w:rPr>
        <w:t xml:space="preserve">The ALJ cited to prior Commission decisions </w:t>
      </w:r>
      <w:r w:rsidR="008E5BD3">
        <w:rPr>
          <w:rFonts w:eastAsiaTheme="minorEastAsia"/>
          <w:sz w:val="26"/>
          <w:szCs w:val="26"/>
        </w:rPr>
        <w:t>which ruled</w:t>
      </w:r>
      <w:r>
        <w:rPr>
          <w:rFonts w:eastAsiaTheme="minorEastAsia"/>
          <w:sz w:val="26"/>
          <w:szCs w:val="26"/>
        </w:rPr>
        <w:t xml:space="preserve"> that all </w:t>
      </w:r>
      <w:r w:rsidR="007723FF" w:rsidRPr="0082296A">
        <w:rPr>
          <w:rFonts w:eastAsiaTheme="minorEastAsia"/>
          <w:sz w:val="26"/>
          <w:szCs w:val="26"/>
        </w:rPr>
        <w:t xml:space="preserve">disclosures must be clear and unequivocal. </w:t>
      </w:r>
      <w:r>
        <w:rPr>
          <w:rFonts w:eastAsiaTheme="minorEastAsia"/>
          <w:sz w:val="26"/>
          <w:szCs w:val="26"/>
        </w:rPr>
        <w:t xml:space="preserve"> </w:t>
      </w:r>
      <w:r w:rsidRPr="00A12759">
        <w:rPr>
          <w:rFonts w:eastAsiaTheme="minorEastAsia"/>
          <w:i/>
          <w:sz w:val="26"/>
          <w:szCs w:val="26"/>
        </w:rPr>
        <w:t>Id</w:t>
      </w:r>
      <w:r>
        <w:rPr>
          <w:rFonts w:eastAsiaTheme="minorEastAsia"/>
          <w:sz w:val="26"/>
          <w:szCs w:val="26"/>
        </w:rPr>
        <w:t xml:space="preserve">. at 21 (citing </w:t>
      </w:r>
      <w:r w:rsidR="008E5BD3">
        <w:rPr>
          <w:rFonts w:eastAsiaTheme="minorEastAsia"/>
          <w:i/>
          <w:sz w:val="26"/>
          <w:szCs w:val="26"/>
        </w:rPr>
        <w:t>William MacLuckie v. Palmco Energy PA, LLC</w:t>
      </w:r>
      <w:r w:rsidR="008E5BD3">
        <w:rPr>
          <w:rFonts w:eastAsiaTheme="minorEastAsia"/>
          <w:sz w:val="26"/>
          <w:szCs w:val="26"/>
        </w:rPr>
        <w:t xml:space="preserve">, Docket No. C-2014-2402558 (Order entered December 4, 2014), and </w:t>
      </w:r>
      <w:r w:rsidR="008E5BD3" w:rsidRPr="008E5BD3">
        <w:rPr>
          <w:rFonts w:eastAsiaTheme="minorEastAsia"/>
          <w:i/>
          <w:sz w:val="26"/>
          <w:szCs w:val="26"/>
        </w:rPr>
        <w:t>Yaglidereliler Corporation v. Blue Pilot Energy, LLC</w:t>
      </w:r>
      <w:r w:rsidR="008E5BD3">
        <w:rPr>
          <w:rFonts w:eastAsiaTheme="minorEastAsia"/>
          <w:sz w:val="26"/>
          <w:szCs w:val="26"/>
        </w:rPr>
        <w:t>, Docket No. C-2014-2413732 (Order entered January 16, 2015) (</w:t>
      </w:r>
      <w:r w:rsidR="008E5BD3" w:rsidRPr="008E5BD3">
        <w:rPr>
          <w:rFonts w:eastAsiaTheme="minorEastAsia"/>
          <w:i/>
          <w:sz w:val="26"/>
          <w:szCs w:val="26"/>
        </w:rPr>
        <w:t>Yaglidereliler</w:t>
      </w:r>
      <w:r w:rsidR="008E5BD3">
        <w:rPr>
          <w:rFonts w:eastAsiaTheme="minorEastAsia"/>
          <w:sz w:val="26"/>
          <w:szCs w:val="26"/>
        </w:rPr>
        <w:t xml:space="preserve">)).  Applying the </w:t>
      </w:r>
      <w:r w:rsidR="007723FF" w:rsidRPr="0082296A">
        <w:rPr>
          <w:rFonts w:eastAsiaTheme="minorEastAsia"/>
          <w:sz w:val="26"/>
          <w:szCs w:val="26"/>
        </w:rPr>
        <w:t xml:space="preserve">tenth factor, </w:t>
      </w:r>
      <w:r w:rsidR="008E5BD3">
        <w:rPr>
          <w:rFonts w:eastAsiaTheme="minorEastAsia"/>
          <w:sz w:val="26"/>
          <w:szCs w:val="26"/>
        </w:rPr>
        <w:t xml:space="preserve">the ALJ explained that </w:t>
      </w:r>
      <w:r w:rsidR="00480797">
        <w:rPr>
          <w:rFonts w:eastAsiaTheme="minorEastAsia"/>
          <w:sz w:val="26"/>
          <w:szCs w:val="26"/>
        </w:rPr>
        <w:t>there were</w:t>
      </w:r>
      <w:r w:rsidR="007723FF" w:rsidRPr="0082296A">
        <w:rPr>
          <w:rFonts w:eastAsiaTheme="minorEastAsia"/>
          <w:sz w:val="26"/>
          <w:szCs w:val="26"/>
        </w:rPr>
        <w:t xml:space="preserve"> no other relevant factors impact</w:t>
      </w:r>
      <w:r w:rsidR="008E5BD3">
        <w:rPr>
          <w:rFonts w:eastAsiaTheme="minorEastAsia"/>
          <w:sz w:val="26"/>
          <w:szCs w:val="26"/>
        </w:rPr>
        <w:t>ing</w:t>
      </w:r>
      <w:r w:rsidR="007723FF" w:rsidRPr="0082296A">
        <w:rPr>
          <w:rFonts w:eastAsiaTheme="minorEastAsia"/>
          <w:sz w:val="26"/>
          <w:szCs w:val="26"/>
        </w:rPr>
        <w:t xml:space="preserve"> the level of the civil penalty.</w:t>
      </w:r>
      <w:r w:rsidR="00480797">
        <w:rPr>
          <w:rFonts w:eastAsiaTheme="minorEastAsia"/>
          <w:sz w:val="26"/>
          <w:szCs w:val="26"/>
        </w:rPr>
        <w:t xml:space="preserve">  I.D. at 21.</w:t>
      </w:r>
    </w:p>
    <w:p w:rsidR="007723FF" w:rsidRPr="0082296A" w:rsidRDefault="007723FF" w:rsidP="007723FF">
      <w:pPr>
        <w:pStyle w:val="Style"/>
        <w:spacing w:line="360" w:lineRule="auto"/>
        <w:ind w:firstLine="1440"/>
        <w:rPr>
          <w:sz w:val="26"/>
          <w:szCs w:val="26"/>
        </w:rPr>
      </w:pPr>
    </w:p>
    <w:p w:rsidR="007723FF" w:rsidRPr="0082296A" w:rsidRDefault="008E5BD3" w:rsidP="007723FF">
      <w:pPr>
        <w:pStyle w:val="Style"/>
        <w:spacing w:line="360" w:lineRule="auto"/>
        <w:ind w:firstLine="1440"/>
        <w:rPr>
          <w:sz w:val="26"/>
          <w:szCs w:val="26"/>
        </w:rPr>
      </w:pPr>
      <w:r>
        <w:rPr>
          <w:sz w:val="26"/>
          <w:szCs w:val="26"/>
        </w:rPr>
        <w:t>The ALJ found that w</w:t>
      </w:r>
      <w:r w:rsidR="007723FF" w:rsidRPr="0082296A">
        <w:rPr>
          <w:sz w:val="26"/>
          <w:szCs w:val="26"/>
        </w:rPr>
        <w:t xml:space="preserve">hen considering each factor in the civil penalty </w:t>
      </w:r>
      <w:r>
        <w:rPr>
          <w:sz w:val="26"/>
          <w:szCs w:val="26"/>
        </w:rPr>
        <w:t xml:space="preserve">the Commission should impose a </w:t>
      </w:r>
      <w:r w:rsidR="007723FF" w:rsidRPr="0082296A">
        <w:rPr>
          <w:sz w:val="26"/>
          <w:szCs w:val="26"/>
        </w:rPr>
        <w:t xml:space="preserve">$2,000 </w:t>
      </w:r>
      <w:r>
        <w:rPr>
          <w:sz w:val="26"/>
          <w:szCs w:val="26"/>
        </w:rPr>
        <w:t>penalty on Blue Pilot.  The ALJ described the fine as comprising</w:t>
      </w:r>
      <w:r w:rsidR="007723FF" w:rsidRPr="0082296A">
        <w:rPr>
          <w:sz w:val="26"/>
          <w:szCs w:val="26"/>
        </w:rPr>
        <w:t xml:space="preserve"> two $1,000 penalties – one for each violation of Sections 54.43 and 111.12 </w:t>
      </w:r>
      <w:r>
        <w:rPr>
          <w:sz w:val="26"/>
          <w:szCs w:val="26"/>
        </w:rPr>
        <w:t xml:space="preserve">of our Regulations. </w:t>
      </w:r>
      <w:r w:rsidR="007723FF" w:rsidRPr="0082296A">
        <w:rPr>
          <w:sz w:val="26"/>
          <w:szCs w:val="26"/>
        </w:rPr>
        <w:t xml:space="preserve"> </w:t>
      </w:r>
      <w:r w:rsidR="00480797">
        <w:rPr>
          <w:sz w:val="26"/>
          <w:szCs w:val="26"/>
        </w:rPr>
        <w:t>I.D. at 21.</w:t>
      </w:r>
    </w:p>
    <w:p w:rsidR="007723FF" w:rsidRDefault="007723FF" w:rsidP="007723FF">
      <w:pPr>
        <w:spacing w:line="360" w:lineRule="auto"/>
        <w:rPr>
          <w:sz w:val="26"/>
          <w:szCs w:val="26"/>
        </w:rPr>
      </w:pPr>
    </w:p>
    <w:p w:rsidR="00044B9E" w:rsidRDefault="00044B9E" w:rsidP="00044B9E">
      <w:pPr>
        <w:spacing w:line="360" w:lineRule="auto"/>
        <w:ind w:firstLine="1440"/>
        <w:rPr>
          <w:color w:val="000000" w:themeColor="text1"/>
          <w:sz w:val="26"/>
          <w:szCs w:val="26"/>
        </w:rPr>
      </w:pPr>
      <w:r>
        <w:rPr>
          <w:sz w:val="26"/>
          <w:szCs w:val="26"/>
        </w:rPr>
        <w:t>Additionally, the ALJ determined that E</w:t>
      </w:r>
      <w:r w:rsidRPr="00AC2CD0">
        <w:rPr>
          <w:sz w:val="26"/>
          <w:szCs w:val="26"/>
        </w:rPr>
        <w:t xml:space="preserve">nrico satisfied its burden of </w:t>
      </w:r>
      <w:r>
        <w:rPr>
          <w:sz w:val="26"/>
          <w:szCs w:val="26"/>
        </w:rPr>
        <w:t xml:space="preserve">proof to </w:t>
      </w:r>
      <w:r w:rsidRPr="00AC2CD0">
        <w:rPr>
          <w:sz w:val="26"/>
          <w:szCs w:val="26"/>
        </w:rPr>
        <w:t>demonstrat</w:t>
      </w:r>
      <w:r>
        <w:rPr>
          <w:sz w:val="26"/>
          <w:szCs w:val="26"/>
        </w:rPr>
        <w:t>e</w:t>
      </w:r>
      <w:r w:rsidRPr="00AC2CD0">
        <w:rPr>
          <w:sz w:val="26"/>
          <w:szCs w:val="26"/>
        </w:rPr>
        <w:t xml:space="preserve"> that </w:t>
      </w:r>
      <w:r>
        <w:rPr>
          <w:sz w:val="26"/>
          <w:szCs w:val="26"/>
        </w:rPr>
        <w:t>an overbilling occurred and that the Complainant wa</w:t>
      </w:r>
      <w:r w:rsidRPr="00AC2CD0">
        <w:rPr>
          <w:sz w:val="26"/>
          <w:szCs w:val="26"/>
        </w:rPr>
        <w:t xml:space="preserve">s entitled to </w:t>
      </w:r>
      <w:r>
        <w:rPr>
          <w:sz w:val="26"/>
          <w:szCs w:val="26"/>
        </w:rPr>
        <w:t xml:space="preserve">a </w:t>
      </w:r>
      <w:r w:rsidRPr="00AC2CD0">
        <w:rPr>
          <w:sz w:val="26"/>
          <w:szCs w:val="26"/>
        </w:rPr>
        <w:t xml:space="preserve">refund of the amount </w:t>
      </w:r>
      <w:r>
        <w:rPr>
          <w:sz w:val="26"/>
          <w:szCs w:val="26"/>
        </w:rPr>
        <w:t>of the overbilling</w:t>
      </w:r>
      <w:r w:rsidRPr="00AC2CD0">
        <w:rPr>
          <w:sz w:val="26"/>
          <w:szCs w:val="26"/>
        </w:rPr>
        <w:t>.</w:t>
      </w:r>
      <w:r>
        <w:rPr>
          <w:sz w:val="26"/>
          <w:szCs w:val="26"/>
        </w:rPr>
        <w:t xml:space="preserve">  </w:t>
      </w:r>
      <w:r w:rsidR="00480797">
        <w:rPr>
          <w:sz w:val="26"/>
          <w:szCs w:val="26"/>
        </w:rPr>
        <w:t xml:space="preserve">The ALJ cited to our decision in </w:t>
      </w:r>
      <w:r w:rsidR="00480797" w:rsidRPr="00480797">
        <w:rPr>
          <w:i/>
          <w:sz w:val="26"/>
          <w:szCs w:val="26"/>
        </w:rPr>
        <w:t>Com. of Pa. v. IDT Energy, Inc.</w:t>
      </w:r>
      <w:r w:rsidR="00480797">
        <w:rPr>
          <w:sz w:val="26"/>
          <w:szCs w:val="26"/>
        </w:rPr>
        <w:t>, Docket No. C-2014-2427657 (Order entered December 18, 2014)</w:t>
      </w:r>
      <w:r w:rsidR="00373C56">
        <w:rPr>
          <w:sz w:val="26"/>
          <w:szCs w:val="26"/>
        </w:rPr>
        <w:t xml:space="preserve"> (</w:t>
      </w:r>
      <w:r w:rsidR="00373C56" w:rsidRPr="00373C56">
        <w:rPr>
          <w:i/>
          <w:sz w:val="26"/>
          <w:szCs w:val="26"/>
        </w:rPr>
        <w:t>IDT Energy</w:t>
      </w:r>
      <w:r w:rsidR="00373C56">
        <w:rPr>
          <w:sz w:val="26"/>
          <w:szCs w:val="26"/>
        </w:rPr>
        <w:t>)</w:t>
      </w:r>
      <w:r w:rsidR="00480797">
        <w:rPr>
          <w:sz w:val="26"/>
          <w:szCs w:val="26"/>
        </w:rPr>
        <w:t>, noting our conclusion that ordering EGS billing adjustments for an overbilling of supply charges was consistent with the Commission’s powers under Section 501 of the Code, 66 Pa. C.S. § 501, and the policy objectives of the Electric</w:t>
      </w:r>
      <w:r w:rsidR="0046584A">
        <w:rPr>
          <w:sz w:val="26"/>
          <w:szCs w:val="26"/>
        </w:rPr>
        <w:t>ity</w:t>
      </w:r>
      <w:r w:rsidR="00480797">
        <w:rPr>
          <w:sz w:val="26"/>
          <w:szCs w:val="26"/>
        </w:rPr>
        <w:t xml:space="preserve"> </w:t>
      </w:r>
      <w:r w:rsidR="004B7B47">
        <w:rPr>
          <w:sz w:val="26"/>
          <w:szCs w:val="26"/>
        </w:rPr>
        <w:t xml:space="preserve">Generation Customer Choice and Competition </w:t>
      </w:r>
      <w:r w:rsidR="00480797">
        <w:rPr>
          <w:sz w:val="26"/>
          <w:szCs w:val="26"/>
        </w:rPr>
        <w:t>Act</w:t>
      </w:r>
      <w:r w:rsidR="004B7B47">
        <w:rPr>
          <w:sz w:val="26"/>
          <w:szCs w:val="26"/>
        </w:rPr>
        <w:t xml:space="preserve"> (Electric Competition Act), 66 Pa. C.S. §</w:t>
      </w:r>
      <w:r w:rsidR="0046584A">
        <w:rPr>
          <w:sz w:val="26"/>
          <w:szCs w:val="26"/>
        </w:rPr>
        <w:t>§</w:t>
      </w:r>
      <w:r w:rsidR="004B7B47">
        <w:rPr>
          <w:sz w:val="26"/>
          <w:szCs w:val="26"/>
        </w:rPr>
        <w:t xml:space="preserve"> 2801, </w:t>
      </w:r>
      <w:r w:rsidR="004B7B47" w:rsidRPr="004B7B47">
        <w:rPr>
          <w:i/>
          <w:sz w:val="26"/>
          <w:szCs w:val="26"/>
        </w:rPr>
        <w:t>et seq</w:t>
      </w:r>
      <w:r w:rsidR="00480797">
        <w:rPr>
          <w:sz w:val="26"/>
          <w:szCs w:val="26"/>
        </w:rPr>
        <w:t xml:space="preserve">.  </w:t>
      </w:r>
      <w:r>
        <w:rPr>
          <w:sz w:val="26"/>
          <w:szCs w:val="26"/>
        </w:rPr>
        <w:t xml:space="preserve">Accordingly, the ALJ directed </w:t>
      </w:r>
      <w:r w:rsidRPr="00AC2CD0">
        <w:rPr>
          <w:sz w:val="26"/>
          <w:szCs w:val="26"/>
        </w:rPr>
        <w:t>Blue Pilot to refund Enrico $</w:t>
      </w:r>
      <w:r w:rsidRPr="000F15CB">
        <w:rPr>
          <w:color w:val="000000" w:themeColor="text1"/>
          <w:sz w:val="26"/>
          <w:szCs w:val="26"/>
        </w:rPr>
        <w:t>27,168.48</w:t>
      </w:r>
      <w:r>
        <w:rPr>
          <w:color w:val="000000" w:themeColor="text1"/>
          <w:sz w:val="26"/>
          <w:szCs w:val="26"/>
        </w:rPr>
        <w:t xml:space="preserve">.  </w:t>
      </w:r>
      <w:r>
        <w:rPr>
          <w:sz w:val="26"/>
          <w:szCs w:val="26"/>
        </w:rPr>
        <w:t xml:space="preserve">This refund amount was based on the calculations of </w:t>
      </w:r>
      <w:r w:rsidRPr="000F15CB">
        <w:rPr>
          <w:color w:val="000000" w:themeColor="text1"/>
          <w:sz w:val="26"/>
          <w:szCs w:val="26"/>
        </w:rPr>
        <w:t>Enrico witness</w:t>
      </w:r>
      <w:r>
        <w:rPr>
          <w:color w:val="000000" w:themeColor="text1"/>
          <w:sz w:val="26"/>
          <w:szCs w:val="26"/>
        </w:rPr>
        <w:t>,</w:t>
      </w:r>
      <w:r w:rsidRPr="000F15CB">
        <w:rPr>
          <w:color w:val="000000" w:themeColor="text1"/>
          <w:sz w:val="26"/>
          <w:szCs w:val="26"/>
        </w:rPr>
        <w:t xml:space="preserve"> </w:t>
      </w:r>
      <w:r>
        <w:rPr>
          <w:color w:val="000000" w:themeColor="text1"/>
          <w:sz w:val="26"/>
          <w:szCs w:val="26"/>
        </w:rPr>
        <w:t xml:space="preserve">Gerald </w:t>
      </w:r>
      <w:r w:rsidRPr="000F15CB">
        <w:rPr>
          <w:color w:val="000000" w:themeColor="text1"/>
          <w:sz w:val="26"/>
          <w:szCs w:val="26"/>
        </w:rPr>
        <w:t>Holtz</w:t>
      </w:r>
      <w:r>
        <w:rPr>
          <w:color w:val="000000" w:themeColor="text1"/>
          <w:sz w:val="26"/>
          <w:szCs w:val="26"/>
        </w:rPr>
        <w:t>, who</w:t>
      </w:r>
      <w:r w:rsidRPr="000F15CB">
        <w:rPr>
          <w:color w:val="000000" w:themeColor="text1"/>
          <w:sz w:val="26"/>
          <w:szCs w:val="26"/>
        </w:rPr>
        <w:t xml:space="preserve"> testified</w:t>
      </w:r>
      <w:r>
        <w:rPr>
          <w:color w:val="000000" w:themeColor="text1"/>
          <w:sz w:val="26"/>
          <w:szCs w:val="26"/>
        </w:rPr>
        <w:t xml:space="preserve"> regarding the</w:t>
      </w:r>
      <w:r w:rsidRPr="000F15CB">
        <w:rPr>
          <w:color w:val="000000" w:themeColor="text1"/>
          <w:sz w:val="26"/>
          <w:szCs w:val="26"/>
        </w:rPr>
        <w:t xml:space="preserve"> </w:t>
      </w:r>
      <w:r>
        <w:rPr>
          <w:color w:val="000000" w:themeColor="text1"/>
          <w:sz w:val="26"/>
          <w:szCs w:val="26"/>
        </w:rPr>
        <w:t xml:space="preserve">methodology used to arrive at the refund amount relying on the published, hourly, wholesale market prices of the PJM system during the applicable term of the Service Agreement.  </w:t>
      </w:r>
      <w:r>
        <w:rPr>
          <w:sz w:val="26"/>
          <w:szCs w:val="26"/>
        </w:rPr>
        <w:t>I.D. at 22</w:t>
      </w:r>
      <w:r w:rsidR="006F53C5">
        <w:rPr>
          <w:sz w:val="26"/>
          <w:szCs w:val="26"/>
        </w:rPr>
        <w:t xml:space="preserve"> (citing</w:t>
      </w:r>
      <w:r>
        <w:rPr>
          <w:sz w:val="26"/>
          <w:szCs w:val="26"/>
        </w:rPr>
        <w:t xml:space="preserve"> </w:t>
      </w:r>
      <w:r>
        <w:rPr>
          <w:color w:val="000000" w:themeColor="text1"/>
          <w:sz w:val="26"/>
          <w:szCs w:val="26"/>
        </w:rPr>
        <w:t>Tr. at 17-23</w:t>
      </w:r>
      <w:r w:rsidR="006F53C5">
        <w:rPr>
          <w:color w:val="000000" w:themeColor="text1"/>
          <w:sz w:val="26"/>
          <w:szCs w:val="26"/>
        </w:rPr>
        <w:t>)</w:t>
      </w:r>
      <w:r>
        <w:rPr>
          <w:color w:val="000000" w:themeColor="text1"/>
          <w:sz w:val="26"/>
          <w:szCs w:val="26"/>
        </w:rPr>
        <w:t xml:space="preserve">.  </w:t>
      </w:r>
    </w:p>
    <w:p w:rsidR="00044D9F" w:rsidRPr="003A2EEE" w:rsidRDefault="00044D9F" w:rsidP="00044B9E">
      <w:pPr>
        <w:spacing w:line="360" w:lineRule="auto"/>
        <w:ind w:firstLine="1440"/>
        <w:rPr>
          <w:color w:val="000000" w:themeColor="text1"/>
          <w:sz w:val="26"/>
          <w:szCs w:val="26"/>
        </w:rPr>
      </w:pPr>
    </w:p>
    <w:p w:rsidR="00044D9F" w:rsidRDefault="00044D9F" w:rsidP="00044D9F">
      <w:pPr>
        <w:pStyle w:val="ParaTab1"/>
        <w:spacing w:line="360" w:lineRule="auto"/>
        <w:rPr>
          <w:sz w:val="26"/>
          <w:szCs w:val="26"/>
        </w:rPr>
      </w:pPr>
      <w:r>
        <w:rPr>
          <w:sz w:val="26"/>
          <w:szCs w:val="26"/>
        </w:rPr>
        <w:lastRenderedPageBreak/>
        <w:t xml:space="preserve">However, the ALJ concluded that Enrico failed to meet its burden of proof to establish that Blue Pilot </w:t>
      </w:r>
      <w:r w:rsidRPr="00B51513">
        <w:rPr>
          <w:rFonts w:ascii="Times New Roman" w:hAnsi="Times New Roman" w:cs="Times New Roman"/>
          <w:bCs/>
          <w:sz w:val="26"/>
          <w:szCs w:val="26"/>
        </w:rPr>
        <w:t xml:space="preserve">violated the Code or any Commission Order or </w:t>
      </w:r>
      <w:r>
        <w:rPr>
          <w:rFonts w:ascii="Times New Roman" w:hAnsi="Times New Roman" w:cs="Times New Roman"/>
          <w:bCs/>
          <w:sz w:val="26"/>
          <w:szCs w:val="26"/>
        </w:rPr>
        <w:t>R</w:t>
      </w:r>
      <w:r w:rsidRPr="00B51513">
        <w:rPr>
          <w:rFonts w:ascii="Times New Roman" w:hAnsi="Times New Roman" w:cs="Times New Roman"/>
          <w:bCs/>
          <w:sz w:val="26"/>
          <w:szCs w:val="26"/>
        </w:rPr>
        <w:t xml:space="preserve">egulation with regard to the </w:t>
      </w:r>
      <w:r>
        <w:rPr>
          <w:rFonts w:ascii="Times New Roman" w:hAnsi="Times New Roman" w:cs="Times New Roman"/>
          <w:bCs/>
          <w:sz w:val="26"/>
          <w:szCs w:val="26"/>
        </w:rPr>
        <w:t xml:space="preserve">following </w:t>
      </w:r>
      <w:r w:rsidRPr="00B51513">
        <w:rPr>
          <w:rFonts w:ascii="Times New Roman" w:hAnsi="Times New Roman" w:cs="Times New Roman"/>
          <w:bCs/>
          <w:sz w:val="26"/>
          <w:szCs w:val="26"/>
        </w:rPr>
        <w:t>issues</w:t>
      </w:r>
      <w:r>
        <w:rPr>
          <w:rFonts w:ascii="Times New Roman" w:hAnsi="Times New Roman" w:cs="Times New Roman"/>
          <w:bCs/>
          <w:sz w:val="26"/>
          <w:szCs w:val="26"/>
        </w:rPr>
        <w:t xml:space="preserve">: </w:t>
      </w:r>
      <w:r w:rsidRPr="00B51513">
        <w:rPr>
          <w:rFonts w:ascii="Times New Roman" w:hAnsi="Times New Roman" w:cs="Times New Roman"/>
          <w:bCs/>
          <w:sz w:val="26"/>
          <w:szCs w:val="26"/>
        </w:rPr>
        <w:t xml:space="preserve">1) </w:t>
      </w:r>
      <w:r w:rsidR="0046584A">
        <w:rPr>
          <w:rFonts w:ascii="Times New Roman" w:hAnsi="Times New Roman" w:cs="Times New Roman"/>
          <w:bCs/>
          <w:sz w:val="26"/>
          <w:szCs w:val="26"/>
        </w:rPr>
        <w:t xml:space="preserve">misleading </w:t>
      </w:r>
      <w:r w:rsidRPr="00B51513">
        <w:rPr>
          <w:rFonts w:ascii="Times New Roman" w:hAnsi="Times New Roman" w:cs="Times New Roman"/>
          <w:bCs/>
          <w:sz w:val="26"/>
          <w:szCs w:val="26"/>
        </w:rPr>
        <w:t>statements made to Enrico by Blue Pilot’s sales agent,</w:t>
      </w:r>
      <w:r>
        <w:rPr>
          <w:rFonts w:ascii="Times New Roman" w:hAnsi="Times New Roman" w:cs="Times New Roman"/>
          <w:bCs/>
          <w:sz w:val="26"/>
          <w:szCs w:val="26"/>
        </w:rPr>
        <w:t xml:space="preserve"> </w:t>
      </w:r>
      <w:r>
        <w:rPr>
          <w:rFonts w:ascii="Times New Roman" w:hAnsi="Times New Roman" w:cs="Times New Roman"/>
          <w:bCs/>
          <w:i/>
          <w:sz w:val="26"/>
          <w:szCs w:val="26"/>
        </w:rPr>
        <w:t>i.e.</w:t>
      </w:r>
      <w:r>
        <w:rPr>
          <w:rFonts w:ascii="Times New Roman" w:hAnsi="Times New Roman" w:cs="Times New Roman"/>
          <w:bCs/>
          <w:sz w:val="26"/>
          <w:szCs w:val="26"/>
        </w:rPr>
        <w:t>, marketing statements;</w:t>
      </w:r>
      <w:r w:rsidRPr="00B51513">
        <w:rPr>
          <w:rFonts w:ascii="Times New Roman" w:hAnsi="Times New Roman" w:cs="Times New Roman"/>
          <w:bCs/>
          <w:sz w:val="26"/>
          <w:szCs w:val="26"/>
        </w:rPr>
        <w:t xml:space="preserve"> 2) </w:t>
      </w:r>
      <w:r>
        <w:rPr>
          <w:rFonts w:ascii="Times New Roman" w:hAnsi="Times New Roman" w:cs="Times New Roman"/>
          <w:bCs/>
          <w:sz w:val="26"/>
          <w:szCs w:val="26"/>
        </w:rPr>
        <w:t>“</w:t>
      </w:r>
      <w:r w:rsidRPr="00B51513">
        <w:rPr>
          <w:rFonts w:ascii="Times New Roman" w:hAnsi="Times New Roman" w:cs="Times New Roman"/>
          <w:bCs/>
          <w:sz w:val="26"/>
          <w:szCs w:val="26"/>
        </w:rPr>
        <w:t>slamm</w:t>
      </w:r>
      <w:r>
        <w:rPr>
          <w:rFonts w:ascii="Times New Roman" w:hAnsi="Times New Roman" w:cs="Times New Roman"/>
          <w:bCs/>
          <w:sz w:val="26"/>
          <w:szCs w:val="26"/>
        </w:rPr>
        <w:t>ing”</w:t>
      </w:r>
      <w:r w:rsidRPr="00B51513">
        <w:rPr>
          <w:rFonts w:ascii="Times New Roman" w:hAnsi="Times New Roman" w:cs="Times New Roman"/>
          <w:bCs/>
          <w:sz w:val="26"/>
          <w:szCs w:val="26"/>
        </w:rPr>
        <w:t xml:space="preserve"> by Blue Pilot</w:t>
      </w:r>
      <w:r>
        <w:rPr>
          <w:rFonts w:ascii="Times New Roman" w:hAnsi="Times New Roman" w:cs="Times New Roman"/>
          <w:bCs/>
          <w:sz w:val="26"/>
          <w:szCs w:val="26"/>
        </w:rPr>
        <w:t>;</w:t>
      </w:r>
      <w:r w:rsidRPr="00B51513">
        <w:rPr>
          <w:rFonts w:ascii="Times New Roman" w:hAnsi="Times New Roman" w:cs="Times New Roman"/>
          <w:bCs/>
          <w:sz w:val="26"/>
          <w:szCs w:val="26"/>
        </w:rPr>
        <w:t xml:space="preserve"> and 3) </w:t>
      </w:r>
      <w:r>
        <w:rPr>
          <w:rFonts w:ascii="Times New Roman" w:hAnsi="Times New Roman" w:cs="Times New Roman"/>
          <w:bCs/>
          <w:sz w:val="26"/>
          <w:szCs w:val="26"/>
        </w:rPr>
        <w:t>failing to provide</w:t>
      </w:r>
      <w:r w:rsidRPr="00B51513">
        <w:rPr>
          <w:rFonts w:ascii="Times New Roman" w:hAnsi="Times New Roman" w:cs="Times New Roman"/>
          <w:bCs/>
          <w:sz w:val="26"/>
          <w:szCs w:val="26"/>
        </w:rPr>
        <w:t xml:space="preserve"> </w:t>
      </w:r>
      <w:r>
        <w:rPr>
          <w:rFonts w:ascii="Times New Roman" w:hAnsi="Times New Roman" w:cs="Times New Roman"/>
          <w:bCs/>
          <w:sz w:val="26"/>
          <w:szCs w:val="26"/>
        </w:rPr>
        <w:t xml:space="preserve">a </w:t>
      </w:r>
      <w:r w:rsidR="001E1181">
        <w:rPr>
          <w:rFonts w:ascii="Times New Roman" w:hAnsi="Times New Roman" w:cs="Times New Roman"/>
          <w:bCs/>
          <w:sz w:val="26"/>
          <w:szCs w:val="26"/>
        </w:rPr>
        <w:t>disclosure s</w:t>
      </w:r>
      <w:r w:rsidRPr="00B51513">
        <w:rPr>
          <w:rFonts w:ascii="Times New Roman" w:hAnsi="Times New Roman" w:cs="Times New Roman"/>
          <w:bCs/>
          <w:sz w:val="26"/>
          <w:szCs w:val="26"/>
        </w:rPr>
        <w:t>tatement as required</w:t>
      </w:r>
      <w:r>
        <w:rPr>
          <w:rFonts w:ascii="Times New Roman" w:hAnsi="Times New Roman" w:cs="Times New Roman"/>
          <w:bCs/>
          <w:sz w:val="26"/>
          <w:szCs w:val="26"/>
        </w:rPr>
        <w:t xml:space="preserve"> </w:t>
      </w:r>
      <w:r w:rsidR="001E1181">
        <w:rPr>
          <w:rFonts w:ascii="Times New Roman" w:hAnsi="Times New Roman" w:cs="Times New Roman"/>
          <w:bCs/>
          <w:sz w:val="26"/>
          <w:szCs w:val="26"/>
        </w:rPr>
        <w:t xml:space="preserve">by the </w:t>
      </w:r>
      <w:r>
        <w:rPr>
          <w:rFonts w:ascii="Times New Roman" w:hAnsi="Times New Roman" w:cs="Times New Roman"/>
          <w:bCs/>
          <w:sz w:val="26"/>
          <w:szCs w:val="26"/>
        </w:rPr>
        <w:t>Commission</w:t>
      </w:r>
      <w:r w:rsidR="001E1181">
        <w:rPr>
          <w:rFonts w:ascii="Times New Roman" w:hAnsi="Times New Roman" w:cs="Times New Roman"/>
          <w:bCs/>
          <w:sz w:val="26"/>
          <w:szCs w:val="26"/>
        </w:rPr>
        <w:t>’s</w:t>
      </w:r>
      <w:r>
        <w:rPr>
          <w:rFonts w:ascii="Times New Roman" w:hAnsi="Times New Roman" w:cs="Times New Roman"/>
          <w:bCs/>
          <w:sz w:val="26"/>
          <w:szCs w:val="26"/>
        </w:rPr>
        <w:t xml:space="preserve"> Regulations</w:t>
      </w:r>
      <w:r w:rsidRPr="00B51513">
        <w:rPr>
          <w:rFonts w:ascii="Times New Roman" w:hAnsi="Times New Roman" w:cs="Times New Roman"/>
          <w:bCs/>
          <w:sz w:val="26"/>
          <w:szCs w:val="26"/>
        </w:rPr>
        <w:t>.</w:t>
      </w:r>
      <w:r>
        <w:rPr>
          <w:rFonts w:ascii="Times New Roman" w:hAnsi="Times New Roman" w:cs="Times New Roman"/>
          <w:bCs/>
          <w:sz w:val="26"/>
          <w:szCs w:val="26"/>
        </w:rPr>
        <w:t xml:space="preserve">  Thus, the ALJ dismissed Enrico’s Complaint regarding these issues.</w:t>
      </w:r>
      <w:r w:rsidRPr="00B51513">
        <w:rPr>
          <w:rFonts w:ascii="Times New Roman" w:hAnsi="Times New Roman" w:cs="Times New Roman"/>
          <w:bCs/>
          <w:sz w:val="26"/>
          <w:szCs w:val="26"/>
        </w:rPr>
        <w:t xml:space="preserve">  </w:t>
      </w:r>
      <w:r>
        <w:rPr>
          <w:rFonts w:ascii="Times New Roman" w:hAnsi="Times New Roman" w:cs="Times New Roman"/>
          <w:bCs/>
          <w:sz w:val="26"/>
          <w:szCs w:val="26"/>
        </w:rPr>
        <w:t xml:space="preserve">I.D. at 14-17.  </w:t>
      </w:r>
    </w:p>
    <w:p w:rsidR="00237F36" w:rsidRDefault="00237F36" w:rsidP="00CC7A1F">
      <w:pPr>
        <w:spacing w:line="360" w:lineRule="auto"/>
        <w:rPr>
          <w:b/>
          <w:sz w:val="26"/>
          <w:szCs w:val="26"/>
        </w:rPr>
      </w:pPr>
    </w:p>
    <w:p w:rsidR="005C6F14" w:rsidRDefault="005C6F14" w:rsidP="00CC7A1F">
      <w:pPr>
        <w:spacing w:line="360" w:lineRule="auto"/>
        <w:rPr>
          <w:b/>
          <w:sz w:val="26"/>
          <w:szCs w:val="26"/>
        </w:rPr>
      </w:pPr>
      <w:r>
        <w:rPr>
          <w:b/>
          <w:sz w:val="26"/>
          <w:szCs w:val="26"/>
        </w:rPr>
        <w:t>Exceptions</w:t>
      </w:r>
      <w:r w:rsidR="006D297A">
        <w:rPr>
          <w:b/>
          <w:sz w:val="26"/>
          <w:szCs w:val="26"/>
        </w:rPr>
        <w:t>, Replies and Disposition</w:t>
      </w:r>
      <w:r w:rsidR="00B2278C">
        <w:rPr>
          <w:b/>
          <w:sz w:val="26"/>
          <w:szCs w:val="26"/>
        </w:rPr>
        <w:t xml:space="preserve"> </w:t>
      </w:r>
    </w:p>
    <w:p w:rsidR="005C6F14" w:rsidRDefault="005C6F14" w:rsidP="00CC7A1F">
      <w:pPr>
        <w:spacing w:line="360" w:lineRule="auto"/>
        <w:rPr>
          <w:b/>
          <w:sz w:val="26"/>
          <w:szCs w:val="26"/>
        </w:rPr>
      </w:pPr>
      <w:r>
        <w:rPr>
          <w:b/>
          <w:sz w:val="26"/>
          <w:szCs w:val="26"/>
        </w:rPr>
        <w:t xml:space="preserve"> </w:t>
      </w:r>
    </w:p>
    <w:p w:rsidR="00757DE8" w:rsidRPr="00A12759" w:rsidRDefault="00757DE8" w:rsidP="00A12759">
      <w:pPr>
        <w:spacing w:line="360" w:lineRule="auto"/>
        <w:ind w:firstLine="720"/>
        <w:rPr>
          <w:b/>
          <w:sz w:val="26"/>
          <w:szCs w:val="26"/>
        </w:rPr>
      </w:pPr>
      <w:r w:rsidRPr="00A12759">
        <w:rPr>
          <w:b/>
          <w:sz w:val="26"/>
          <w:szCs w:val="26"/>
        </w:rPr>
        <w:t>Interpretation</w:t>
      </w:r>
      <w:r w:rsidR="00912844">
        <w:rPr>
          <w:b/>
          <w:sz w:val="26"/>
          <w:szCs w:val="26"/>
        </w:rPr>
        <w:t xml:space="preserve"> of a Private Contract</w:t>
      </w:r>
    </w:p>
    <w:p w:rsidR="00757DE8" w:rsidRDefault="00757DE8" w:rsidP="00A552EA">
      <w:pPr>
        <w:spacing w:line="360" w:lineRule="auto"/>
        <w:ind w:firstLine="1440"/>
        <w:rPr>
          <w:sz w:val="26"/>
          <w:szCs w:val="26"/>
        </w:rPr>
      </w:pPr>
    </w:p>
    <w:p w:rsidR="00A552EA" w:rsidRPr="00A552EA" w:rsidRDefault="00306E95" w:rsidP="00A552EA">
      <w:pPr>
        <w:spacing w:line="360" w:lineRule="auto"/>
        <w:ind w:firstLine="1440"/>
        <w:rPr>
          <w:sz w:val="26"/>
          <w:szCs w:val="26"/>
        </w:rPr>
      </w:pPr>
      <w:r>
        <w:rPr>
          <w:sz w:val="26"/>
          <w:szCs w:val="26"/>
        </w:rPr>
        <w:t xml:space="preserve">In its first Exception, </w:t>
      </w:r>
      <w:r w:rsidR="00A552EA" w:rsidRPr="00A552EA">
        <w:rPr>
          <w:sz w:val="26"/>
          <w:szCs w:val="26"/>
        </w:rPr>
        <w:t xml:space="preserve">Blue Pilot argues that, in resolving this Complaint, the ALJ interpreted the terms of a private contract and, thereby, exceeded the Commission’s jurisdiction and authority.  Exc. at 6.  </w:t>
      </w:r>
    </w:p>
    <w:p w:rsidR="00A552EA" w:rsidRPr="00A552EA" w:rsidRDefault="00A552EA" w:rsidP="00A552EA">
      <w:pPr>
        <w:spacing w:line="360" w:lineRule="auto"/>
        <w:ind w:firstLine="1440"/>
        <w:rPr>
          <w:sz w:val="26"/>
          <w:szCs w:val="26"/>
        </w:rPr>
      </w:pPr>
    </w:p>
    <w:p w:rsidR="00A552EA" w:rsidRPr="00A552EA" w:rsidRDefault="00A552EA" w:rsidP="00A552EA">
      <w:pPr>
        <w:spacing w:line="360" w:lineRule="auto"/>
        <w:ind w:firstLine="1440"/>
        <w:rPr>
          <w:bCs/>
          <w:sz w:val="26"/>
          <w:szCs w:val="26"/>
        </w:rPr>
      </w:pPr>
      <w:r w:rsidRPr="00A552EA">
        <w:rPr>
          <w:sz w:val="26"/>
          <w:szCs w:val="26"/>
        </w:rPr>
        <w:t xml:space="preserve">Here, Blue Pilot relies upon the Commission’s disposition in the matter of </w:t>
      </w:r>
      <w:r w:rsidRPr="00A552EA">
        <w:rPr>
          <w:i/>
          <w:sz w:val="26"/>
          <w:szCs w:val="26"/>
        </w:rPr>
        <w:t>John R. Evans, Small Business Advocate v. FirstEnergy Solutions Corporation</w:t>
      </w:r>
      <w:r w:rsidRPr="00A552EA">
        <w:rPr>
          <w:sz w:val="26"/>
          <w:szCs w:val="26"/>
        </w:rPr>
        <w:t>, Docket No. P-2014-2421556 (Order entered January 26, 2015) (</w:t>
      </w:r>
      <w:r w:rsidRPr="00A552EA">
        <w:rPr>
          <w:i/>
          <w:sz w:val="26"/>
          <w:szCs w:val="26"/>
        </w:rPr>
        <w:t>FES Declaratory Order</w:t>
      </w:r>
      <w:r w:rsidRPr="00A552EA">
        <w:rPr>
          <w:sz w:val="26"/>
          <w:szCs w:val="26"/>
        </w:rPr>
        <w:t>), to assert that the Commission</w:t>
      </w:r>
      <w:r w:rsidR="00040E5A">
        <w:rPr>
          <w:sz w:val="26"/>
          <w:szCs w:val="26"/>
        </w:rPr>
        <w:t xml:space="preserve">’s </w:t>
      </w:r>
      <w:r w:rsidRPr="00A552EA">
        <w:rPr>
          <w:sz w:val="26"/>
          <w:szCs w:val="26"/>
        </w:rPr>
        <w:t xml:space="preserve">jurisdiction does not extend to interpreting the terms and conditions of a contract between an EGS and a customer to determine whether a breach of a contract has occurred, or setting the rates that an EGS can charge pursuant to a contract.  </w:t>
      </w:r>
      <w:r w:rsidR="006D297A">
        <w:rPr>
          <w:sz w:val="26"/>
          <w:szCs w:val="26"/>
        </w:rPr>
        <w:t>Exc. at 7 (</w:t>
      </w:r>
      <w:r w:rsidRPr="00A552EA">
        <w:rPr>
          <w:sz w:val="26"/>
          <w:szCs w:val="26"/>
        </w:rPr>
        <w:t>citing</w:t>
      </w:r>
      <w:r w:rsidR="006D297A">
        <w:rPr>
          <w:sz w:val="26"/>
          <w:szCs w:val="26"/>
        </w:rPr>
        <w:t>, in part,</w:t>
      </w:r>
      <w:r w:rsidRPr="00A552EA">
        <w:rPr>
          <w:sz w:val="26"/>
          <w:szCs w:val="26"/>
        </w:rPr>
        <w:t xml:space="preserve"> </w:t>
      </w:r>
      <w:r w:rsidRPr="00A552EA">
        <w:rPr>
          <w:i/>
          <w:sz w:val="26"/>
          <w:szCs w:val="26"/>
        </w:rPr>
        <w:t>FES Declaratory Order</w:t>
      </w:r>
      <w:r w:rsidRPr="00A552EA">
        <w:rPr>
          <w:sz w:val="26"/>
          <w:szCs w:val="26"/>
        </w:rPr>
        <w:t xml:space="preserve"> at 18</w:t>
      </w:r>
      <w:r w:rsidR="006D297A">
        <w:rPr>
          <w:sz w:val="26"/>
          <w:szCs w:val="26"/>
        </w:rPr>
        <w:t>)</w:t>
      </w:r>
      <w:r w:rsidRPr="00A552EA">
        <w:rPr>
          <w:bCs/>
          <w:sz w:val="26"/>
          <w:szCs w:val="26"/>
        </w:rPr>
        <w:t>.  Blue Pilot argues as follows:</w:t>
      </w:r>
    </w:p>
    <w:p w:rsidR="00A552EA" w:rsidRPr="00A552EA" w:rsidRDefault="00A552EA" w:rsidP="00A552EA">
      <w:pPr>
        <w:spacing w:line="360" w:lineRule="auto"/>
        <w:ind w:firstLine="1440"/>
        <w:rPr>
          <w:bCs/>
          <w:sz w:val="26"/>
          <w:szCs w:val="26"/>
        </w:rPr>
      </w:pPr>
    </w:p>
    <w:p w:rsidR="00A552EA" w:rsidRPr="00A552EA" w:rsidRDefault="00A552EA" w:rsidP="00040E5A">
      <w:pPr>
        <w:ind w:left="1440" w:right="1440"/>
        <w:rPr>
          <w:bCs/>
          <w:sz w:val="26"/>
          <w:szCs w:val="26"/>
        </w:rPr>
      </w:pPr>
      <w:r w:rsidRPr="00A552EA">
        <w:rPr>
          <w:bCs/>
          <w:sz w:val="26"/>
          <w:szCs w:val="26"/>
        </w:rPr>
        <w:t xml:space="preserve">In finding that </w:t>
      </w:r>
      <w:r w:rsidR="00373C56">
        <w:rPr>
          <w:bCs/>
          <w:sz w:val="26"/>
          <w:szCs w:val="26"/>
        </w:rPr>
        <w:t>[Blue Pilot]</w:t>
      </w:r>
      <w:r w:rsidRPr="00A552EA">
        <w:rPr>
          <w:bCs/>
          <w:sz w:val="26"/>
          <w:szCs w:val="26"/>
        </w:rPr>
        <w:t xml:space="preserve"> had overbilled the Complainant, the ALJ interpreted the contract as requiring </w:t>
      </w:r>
      <w:r w:rsidR="00373C56">
        <w:rPr>
          <w:bCs/>
          <w:sz w:val="26"/>
          <w:szCs w:val="26"/>
        </w:rPr>
        <w:t>[Blue Pilot</w:t>
      </w:r>
      <w:r w:rsidRPr="00A552EA">
        <w:rPr>
          <w:bCs/>
          <w:sz w:val="26"/>
          <w:szCs w:val="26"/>
        </w:rPr>
        <w:t>’s</w:t>
      </w:r>
      <w:r w:rsidR="00373C56">
        <w:rPr>
          <w:bCs/>
          <w:sz w:val="26"/>
          <w:szCs w:val="26"/>
        </w:rPr>
        <w:t>]</w:t>
      </w:r>
      <w:r w:rsidRPr="00A552EA">
        <w:rPr>
          <w:bCs/>
          <w:sz w:val="26"/>
          <w:szCs w:val="26"/>
        </w:rPr>
        <w:t xml:space="preserve"> rates to directly track average daily hourly prices in the PJM wholesale market, without regard for other language in the contract, including but not limited to “several factors” and general “PJM wholesale market conditions.”  As the Commission has left no doubt regarding its lack of statutory </w:t>
      </w:r>
      <w:r w:rsidRPr="00A552EA">
        <w:rPr>
          <w:bCs/>
          <w:sz w:val="26"/>
          <w:szCs w:val="26"/>
        </w:rPr>
        <w:lastRenderedPageBreak/>
        <w:t xml:space="preserve">authority to interpret a private contract between an EGS and its customer, the inquiry should cease here and the Complaint should be dismissed. </w:t>
      </w:r>
    </w:p>
    <w:p w:rsidR="00A552EA" w:rsidRPr="00A552EA" w:rsidRDefault="00A552EA" w:rsidP="00A552EA">
      <w:pPr>
        <w:ind w:left="1440" w:right="1440"/>
        <w:rPr>
          <w:bCs/>
          <w:sz w:val="26"/>
          <w:szCs w:val="26"/>
        </w:rPr>
      </w:pPr>
    </w:p>
    <w:p w:rsidR="00A552EA" w:rsidRPr="00A552EA" w:rsidRDefault="00A552EA" w:rsidP="00A552EA">
      <w:pPr>
        <w:rPr>
          <w:bCs/>
          <w:sz w:val="26"/>
          <w:szCs w:val="26"/>
        </w:rPr>
      </w:pPr>
      <w:r w:rsidRPr="00A552EA">
        <w:rPr>
          <w:bCs/>
          <w:sz w:val="26"/>
          <w:szCs w:val="26"/>
        </w:rPr>
        <w:t>Exc. at 8.</w:t>
      </w:r>
    </w:p>
    <w:p w:rsidR="00A552EA" w:rsidRPr="00A552EA" w:rsidRDefault="00A552EA" w:rsidP="00A552EA">
      <w:pPr>
        <w:rPr>
          <w:bCs/>
          <w:sz w:val="26"/>
          <w:szCs w:val="26"/>
        </w:rPr>
      </w:pPr>
    </w:p>
    <w:p w:rsidR="00A552EA" w:rsidRPr="00A552EA" w:rsidRDefault="00A552EA" w:rsidP="00A552EA">
      <w:pPr>
        <w:rPr>
          <w:bCs/>
          <w:sz w:val="26"/>
          <w:szCs w:val="26"/>
        </w:rPr>
      </w:pPr>
    </w:p>
    <w:p w:rsidR="00A552EA" w:rsidRPr="00A552EA" w:rsidRDefault="00A552EA" w:rsidP="00A552EA">
      <w:pPr>
        <w:spacing w:line="360" w:lineRule="auto"/>
        <w:ind w:firstLine="1440"/>
        <w:rPr>
          <w:sz w:val="26"/>
          <w:szCs w:val="26"/>
        </w:rPr>
      </w:pPr>
      <w:r w:rsidRPr="00A552EA">
        <w:rPr>
          <w:sz w:val="26"/>
          <w:szCs w:val="26"/>
        </w:rPr>
        <w:t xml:space="preserve">In reply to the </w:t>
      </w:r>
      <w:r w:rsidR="00040E5A">
        <w:rPr>
          <w:sz w:val="26"/>
          <w:szCs w:val="26"/>
        </w:rPr>
        <w:t xml:space="preserve">first </w:t>
      </w:r>
      <w:r w:rsidRPr="00A552EA">
        <w:rPr>
          <w:sz w:val="26"/>
          <w:szCs w:val="26"/>
        </w:rPr>
        <w:t xml:space="preserve">Exception, Enrico emphasizes that the Commission has jurisdiction over the instant dispute pursuant to the Electric </w:t>
      </w:r>
      <w:r w:rsidR="004B7B47">
        <w:rPr>
          <w:sz w:val="26"/>
          <w:szCs w:val="26"/>
        </w:rPr>
        <w:t>Competition Act</w:t>
      </w:r>
      <w:r w:rsidRPr="00A552EA">
        <w:rPr>
          <w:sz w:val="26"/>
          <w:szCs w:val="26"/>
        </w:rPr>
        <w:t xml:space="preserve"> and </w:t>
      </w:r>
      <w:r w:rsidR="00373C56">
        <w:rPr>
          <w:sz w:val="26"/>
          <w:szCs w:val="26"/>
        </w:rPr>
        <w:t xml:space="preserve">the </w:t>
      </w:r>
      <w:r w:rsidRPr="00A552EA">
        <w:rPr>
          <w:sz w:val="26"/>
          <w:szCs w:val="26"/>
        </w:rPr>
        <w:t>Commission</w:t>
      </w:r>
      <w:r w:rsidR="00373C56">
        <w:rPr>
          <w:sz w:val="26"/>
          <w:szCs w:val="26"/>
        </w:rPr>
        <w:t>’s</w:t>
      </w:r>
      <w:r w:rsidRPr="00A552EA">
        <w:rPr>
          <w:sz w:val="26"/>
          <w:szCs w:val="26"/>
        </w:rPr>
        <w:t xml:space="preserve"> Regulations.  R. Exc. at 3, 6.  </w:t>
      </w:r>
    </w:p>
    <w:p w:rsidR="00A552EA" w:rsidRPr="00A552EA" w:rsidRDefault="00A552EA" w:rsidP="00A552EA">
      <w:pPr>
        <w:spacing w:line="360" w:lineRule="auto"/>
        <w:ind w:firstLine="1440"/>
        <w:rPr>
          <w:sz w:val="26"/>
          <w:szCs w:val="26"/>
        </w:rPr>
      </w:pPr>
    </w:p>
    <w:p w:rsidR="00A552EA" w:rsidRPr="00A552EA" w:rsidRDefault="00A552EA" w:rsidP="00A552EA">
      <w:pPr>
        <w:spacing w:line="360" w:lineRule="auto"/>
        <w:ind w:firstLine="1440"/>
        <w:rPr>
          <w:sz w:val="26"/>
          <w:szCs w:val="26"/>
        </w:rPr>
      </w:pPr>
      <w:r w:rsidRPr="00A552EA">
        <w:rPr>
          <w:sz w:val="26"/>
          <w:szCs w:val="26"/>
        </w:rPr>
        <w:t>Enrico continues to as</w:t>
      </w:r>
      <w:r w:rsidR="00373C56">
        <w:rPr>
          <w:sz w:val="26"/>
          <w:szCs w:val="26"/>
        </w:rPr>
        <w:t>sert that it did not receive a disclosure s</w:t>
      </w:r>
      <w:r w:rsidRPr="00A552EA">
        <w:rPr>
          <w:sz w:val="26"/>
          <w:szCs w:val="26"/>
        </w:rPr>
        <w:t xml:space="preserve">tatement according to Commission Regulations in its dealings with Blue Pilot.  R. Exc. at 4.  Notwithstanding that the Service Agreement </w:t>
      </w:r>
      <w:r w:rsidR="00373C56">
        <w:rPr>
          <w:sz w:val="26"/>
          <w:szCs w:val="26"/>
        </w:rPr>
        <w:t>was found by the ALJ to be the disclosure s</w:t>
      </w:r>
      <w:r w:rsidRPr="00A552EA">
        <w:rPr>
          <w:sz w:val="26"/>
          <w:szCs w:val="26"/>
        </w:rPr>
        <w:t xml:space="preserve">tatement required of Blue Pilot according to Commission Regulations, Enrico replies that the Commission is undertaking a statutory (rather than adjudicatory) function in this Complaint.  The Commission, replies Enrico, is not regulating or establishing prices pursuant to the Service Agreement.  Rather, the Commission is “simply overseeing that appropriate and unambiguous language is being used so as to protect the public interest and ensure safe and reliable utility service at reasonable rates readily determinable by the public consumer.”  </w:t>
      </w:r>
      <w:r w:rsidRPr="00A552EA">
        <w:rPr>
          <w:i/>
          <w:sz w:val="26"/>
          <w:szCs w:val="26"/>
        </w:rPr>
        <w:t>Id</w:t>
      </w:r>
      <w:r w:rsidRPr="00A552EA">
        <w:rPr>
          <w:sz w:val="26"/>
          <w:szCs w:val="26"/>
        </w:rPr>
        <w:t xml:space="preserve">.    </w:t>
      </w:r>
    </w:p>
    <w:p w:rsidR="00A552EA" w:rsidRPr="00A552EA" w:rsidRDefault="00A552EA" w:rsidP="00A552EA">
      <w:pPr>
        <w:spacing w:line="360" w:lineRule="auto"/>
        <w:rPr>
          <w:b/>
          <w:sz w:val="26"/>
          <w:szCs w:val="26"/>
        </w:rPr>
      </w:pPr>
    </w:p>
    <w:p w:rsidR="00A552EA" w:rsidRPr="00A552EA" w:rsidRDefault="00A552EA" w:rsidP="00A552EA">
      <w:pPr>
        <w:spacing w:line="360" w:lineRule="auto"/>
        <w:ind w:firstLine="1440"/>
        <w:rPr>
          <w:sz w:val="26"/>
          <w:szCs w:val="26"/>
        </w:rPr>
      </w:pPr>
      <w:r w:rsidRPr="00A552EA">
        <w:rPr>
          <w:sz w:val="26"/>
          <w:szCs w:val="26"/>
        </w:rPr>
        <w:t xml:space="preserve">On consideration of the positions of the Parties, we shall deny the </w:t>
      </w:r>
      <w:r w:rsidR="006D297A">
        <w:rPr>
          <w:sz w:val="26"/>
          <w:szCs w:val="26"/>
        </w:rPr>
        <w:t xml:space="preserve">first </w:t>
      </w:r>
      <w:r w:rsidRPr="00A552EA">
        <w:rPr>
          <w:sz w:val="26"/>
          <w:szCs w:val="26"/>
        </w:rPr>
        <w:t>Exception of Blue Pilot consistent with the discussion below.</w:t>
      </w:r>
    </w:p>
    <w:p w:rsidR="00A552EA" w:rsidRPr="00A552EA" w:rsidRDefault="00A552EA" w:rsidP="00A552EA">
      <w:pPr>
        <w:spacing w:line="360" w:lineRule="auto"/>
        <w:ind w:firstLine="1440"/>
        <w:rPr>
          <w:sz w:val="26"/>
          <w:szCs w:val="26"/>
        </w:rPr>
      </w:pPr>
    </w:p>
    <w:p w:rsidR="00A552EA" w:rsidRPr="00A552EA" w:rsidRDefault="00A552EA" w:rsidP="00A12759">
      <w:pPr>
        <w:widowControl/>
        <w:spacing w:line="360" w:lineRule="auto"/>
        <w:ind w:firstLine="1440"/>
        <w:rPr>
          <w:sz w:val="26"/>
          <w:szCs w:val="26"/>
        </w:rPr>
      </w:pPr>
      <w:r w:rsidRPr="00A552EA">
        <w:rPr>
          <w:sz w:val="26"/>
          <w:szCs w:val="26"/>
        </w:rPr>
        <w:t xml:space="preserve">Blue Pilot is correct to the extent </w:t>
      </w:r>
      <w:r w:rsidR="00373C56">
        <w:rPr>
          <w:sz w:val="26"/>
          <w:szCs w:val="26"/>
        </w:rPr>
        <w:t xml:space="preserve">that </w:t>
      </w:r>
      <w:r w:rsidRPr="00A552EA">
        <w:rPr>
          <w:sz w:val="26"/>
          <w:szCs w:val="26"/>
        </w:rPr>
        <w:t xml:space="preserve">it cites the </w:t>
      </w:r>
      <w:r w:rsidRPr="00A552EA">
        <w:rPr>
          <w:i/>
          <w:sz w:val="26"/>
          <w:szCs w:val="26"/>
        </w:rPr>
        <w:t xml:space="preserve">FES Declaratory Order </w:t>
      </w:r>
      <w:r w:rsidRPr="00A552EA">
        <w:rPr>
          <w:sz w:val="26"/>
          <w:szCs w:val="26"/>
        </w:rPr>
        <w:t xml:space="preserve">for the proposition that </w:t>
      </w:r>
      <w:r w:rsidR="00F730EB">
        <w:rPr>
          <w:sz w:val="26"/>
          <w:szCs w:val="26"/>
        </w:rPr>
        <w:t>the Commission does</w:t>
      </w:r>
      <w:r w:rsidRPr="00A552EA">
        <w:rPr>
          <w:sz w:val="26"/>
          <w:szCs w:val="26"/>
        </w:rPr>
        <w:t xml:space="preserve"> not have jurisdiction to interpret the terms of a private contract.  </w:t>
      </w:r>
      <w:r w:rsidRPr="00A552EA">
        <w:rPr>
          <w:i/>
          <w:sz w:val="26"/>
          <w:szCs w:val="26"/>
        </w:rPr>
        <w:t>See</w:t>
      </w:r>
      <w:r w:rsidR="00757DE8">
        <w:rPr>
          <w:i/>
          <w:sz w:val="26"/>
          <w:szCs w:val="26"/>
        </w:rPr>
        <w:t>,</w:t>
      </w:r>
      <w:r w:rsidRPr="00A552EA">
        <w:rPr>
          <w:i/>
          <w:sz w:val="26"/>
          <w:szCs w:val="26"/>
        </w:rPr>
        <w:t xml:space="preserve"> e.g., Allport Water Authority v. Winburne</w:t>
      </w:r>
      <w:r w:rsidRPr="00A552EA">
        <w:rPr>
          <w:bCs/>
          <w:i/>
          <w:sz w:val="26"/>
          <w:szCs w:val="26"/>
        </w:rPr>
        <w:t xml:space="preserve"> Water Co.</w:t>
      </w:r>
      <w:r w:rsidRPr="00A552EA">
        <w:rPr>
          <w:bCs/>
          <w:sz w:val="26"/>
          <w:szCs w:val="26"/>
        </w:rPr>
        <w:t xml:space="preserve">, 393 A.2d 673 (Pa. Super. 1978). </w:t>
      </w:r>
      <w:r w:rsidRPr="00A552EA">
        <w:rPr>
          <w:sz w:val="26"/>
          <w:szCs w:val="26"/>
        </w:rPr>
        <w:t xml:space="preserve">  </w:t>
      </w:r>
      <w:r w:rsidR="00AB67D0">
        <w:rPr>
          <w:sz w:val="26"/>
          <w:szCs w:val="26"/>
        </w:rPr>
        <w:t>However</w:t>
      </w:r>
      <w:r w:rsidRPr="00A552EA">
        <w:rPr>
          <w:sz w:val="26"/>
          <w:szCs w:val="26"/>
        </w:rPr>
        <w:t xml:space="preserve">, the authority of this Commission does extend to issues that are related to an EGS’ compliance with the Code and </w:t>
      </w:r>
      <w:r w:rsidR="00620A5F">
        <w:rPr>
          <w:sz w:val="26"/>
          <w:szCs w:val="26"/>
        </w:rPr>
        <w:t xml:space="preserve">the </w:t>
      </w:r>
      <w:r w:rsidRPr="00A552EA">
        <w:rPr>
          <w:sz w:val="26"/>
          <w:szCs w:val="26"/>
        </w:rPr>
        <w:t>Commission</w:t>
      </w:r>
      <w:r w:rsidR="00620A5F">
        <w:rPr>
          <w:sz w:val="26"/>
          <w:szCs w:val="26"/>
        </w:rPr>
        <w:t>’s</w:t>
      </w:r>
      <w:r w:rsidRPr="00A552EA">
        <w:rPr>
          <w:sz w:val="26"/>
          <w:szCs w:val="26"/>
        </w:rPr>
        <w:t xml:space="preserve"> Regulations</w:t>
      </w:r>
      <w:r w:rsidR="004B7B47">
        <w:rPr>
          <w:sz w:val="26"/>
          <w:szCs w:val="26"/>
        </w:rPr>
        <w:t xml:space="preserve">, </w:t>
      </w:r>
      <w:r w:rsidR="004B7B47">
        <w:rPr>
          <w:sz w:val="26"/>
          <w:szCs w:val="26"/>
        </w:rPr>
        <w:lastRenderedPageBreak/>
        <w:t xml:space="preserve">including </w:t>
      </w:r>
      <w:r w:rsidRPr="00A552EA">
        <w:rPr>
          <w:sz w:val="26"/>
          <w:szCs w:val="26"/>
        </w:rPr>
        <w:t>standards of conduct</w:t>
      </w:r>
      <w:r w:rsidR="004B7B47">
        <w:rPr>
          <w:sz w:val="26"/>
          <w:szCs w:val="26"/>
        </w:rPr>
        <w:t xml:space="preserve"> related to </w:t>
      </w:r>
      <w:r w:rsidRPr="00A552EA">
        <w:rPr>
          <w:sz w:val="26"/>
          <w:szCs w:val="26"/>
        </w:rPr>
        <w:t>marketing and sales</w:t>
      </w:r>
      <w:r w:rsidR="004B7B47">
        <w:rPr>
          <w:sz w:val="26"/>
          <w:szCs w:val="26"/>
        </w:rPr>
        <w:t xml:space="preserve"> </w:t>
      </w:r>
      <w:r w:rsidRPr="00A552EA">
        <w:rPr>
          <w:sz w:val="26"/>
          <w:szCs w:val="26"/>
        </w:rPr>
        <w:t>and disclosure materials provided to customer</w:t>
      </w:r>
      <w:r w:rsidR="004B7B47">
        <w:rPr>
          <w:sz w:val="26"/>
          <w:szCs w:val="26"/>
        </w:rPr>
        <w:t>s</w:t>
      </w:r>
      <w:r w:rsidRPr="00A552EA">
        <w:rPr>
          <w:sz w:val="26"/>
          <w:szCs w:val="26"/>
        </w:rPr>
        <w:t xml:space="preserve">.  In the </w:t>
      </w:r>
      <w:r w:rsidRPr="00A552EA">
        <w:rPr>
          <w:i/>
          <w:sz w:val="26"/>
          <w:szCs w:val="26"/>
        </w:rPr>
        <w:t>FES Declaratory Order</w:t>
      </w:r>
      <w:r w:rsidRPr="00A552EA">
        <w:rPr>
          <w:sz w:val="26"/>
          <w:szCs w:val="26"/>
        </w:rPr>
        <w:t>, we stated as follows:</w:t>
      </w:r>
    </w:p>
    <w:p w:rsidR="00A552EA" w:rsidRPr="00A552EA" w:rsidRDefault="00A552EA" w:rsidP="00A552EA">
      <w:pPr>
        <w:spacing w:line="360" w:lineRule="auto"/>
        <w:ind w:firstLine="1440"/>
        <w:rPr>
          <w:sz w:val="26"/>
          <w:szCs w:val="26"/>
        </w:rPr>
      </w:pPr>
    </w:p>
    <w:p w:rsidR="00A552EA" w:rsidRPr="00A552EA" w:rsidRDefault="00A552EA" w:rsidP="00620A5F">
      <w:pPr>
        <w:ind w:left="1440" w:right="1440"/>
        <w:rPr>
          <w:sz w:val="26"/>
          <w:szCs w:val="26"/>
        </w:rPr>
      </w:pPr>
      <w:r w:rsidRPr="00A552EA">
        <w:rPr>
          <w:sz w:val="26"/>
          <w:szCs w:val="26"/>
        </w:rPr>
        <w:t xml:space="preserve">A review of this authority makes it clear that Commission jurisdiction does not extend to interpreting the terms and conditions of a contract between an EGS and a customer to determine whether a breach has occurred, or setting the rates an EGS can charge.  </w:t>
      </w:r>
      <w:r w:rsidRPr="00A552EA">
        <w:rPr>
          <w:i/>
          <w:sz w:val="26"/>
          <w:szCs w:val="26"/>
        </w:rPr>
        <w:t>See, generally,</w:t>
      </w:r>
      <w:r w:rsidRPr="00A552EA">
        <w:rPr>
          <w:sz w:val="26"/>
          <w:szCs w:val="26"/>
        </w:rPr>
        <w:t xml:space="preserve"> </w:t>
      </w:r>
      <w:r w:rsidRPr="00A552EA">
        <w:rPr>
          <w:i/>
          <w:sz w:val="26"/>
          <w:szCs w:val="26"/>
        </w:rPr>
        <w:t>Morrow v. The Bell Tel. Co. of Pa.</w:t>
      </w:r>
      <w:r w:rsidR="00B238F0">
        <w:rPr>
          <w:sz w:val="26"/>
          <w:szCs w:val="26"/>
        </w:rPr>
        <w:t>, 479 A.2d 548 (Pa. Super.</w:t>
      </w:r>
      <w:r w:rsidRPr="00A552EA">
        <w:rPr>
          <w:sz w:val="26"/>
          <w:szCs w:val="26"/>
        </w:rPr>
        <w:t xml:space="preserve"> 1984) (the courts retain jurisdiction of a suit for damages based on negligence or breach of contract wherein a utility's performance of its legally imposed and contractually adopted obligations are examined and applied to a given set of facts).  </w:t>
      </w:r>
      <w:r w:rsidRPr="00A552EA">
        <w:rPr>
          <w:i/>
          <w:sz w:val="26"/>
          <w:szCs w:val="26"/>
        </w:rPr>
        <w:t>Instead, the Commission can only ensure that an EGS is abiding by the standards of conduct and disclosure, the marketing and sales Regulations, and the contract expiration/change-of-terms notice requirements; and that the rate billed by an EGS was calculated in accordance with those materials.</w:t>
      </w:r>
      <w:r w:rsidRPr="00A552EA">
        <w:rPr>
          <w:sz w:val="26"/>
          <w:szCs w:val="26"/>
        </w:rPr>
        <w:t xml:space="preserve">   </w:t>
      </w:r>
    </w:p>
    <w:p w:rsidR="00A552EA" w:rsidRPr="00A552EA" w:rsidRDefault="00A552EA" w:rsidP="00A552EA">
      <w:pPr>
        <w:spacing w:line="360" w:lineRule="auto"/>
        <w:rPr>
          <w:b/>
          <w:sz w:val="26"/>
          <w:szCs w:val="26"/>
        </w:rPr>
      </w:pPr>
    </w:p>
    <w:p w:rsidR="00A552EA" w:rsidRPr="00A552EA" w:rsidRDefault="00A552EA" w:rsidP="00A552EA">
      <w:pPr>
        <w:spacing w:line="360" w:lineRule="auto"/>
        <w:rPr>
          <w:sz w:val="26"/>
          <w:szCs w:val="26"/>
        </w:rPr>
      </w:pPr>
      <w:r w:rsidRPr="00A552EA">
        <w:rPr>
          <w:i/>
          <w:sz w:val="26"/>
          <w:szCs w:val="26"/>
        </w:rPr>
        <w:t>FES Declaratory Order</w:t>
      </w:r>
      <w:r w:rsidRPr="00A552EA">
        <w:rPr>
          <w:sz w:val="26"/>
          <w:szCs w:val="26"/>
        </w:rPr>
        <w:t xml:space="preserve"> at 18-19 (notes omitted) (emphasis added).</w:t>
      </w:r>
    </w:p>
    <w:p w:rsidR="00A552EA" w:rsidRPr="00A552EA" w:rsidRDefault="00A552EA" w:rsidP="00A552EA">
      <w:pPr>
        <w:spacing w:line="360" w:lineRule="auto"/>
        <w:ind w:firstLine="1440"/>
        <w:rPr>
          <w:sz w:val="26"/>
          <w:szCs w:val="26"/>
        </w:rPr>
      </w:pPr>
    </w:p>
    <w:p w:rsidR="00A552EA" w:rsidRPr="00A552EA" w:rsidRDefault="00A552EA" w:rsidP="00A552EA">
      <w:pPr>
        <w:spacing w:line="360" w:lineRule="auto"/>
        <w:ind w:firstLine="1440"/>
        <w:rPr>
          <w:sz w:val="26"/>
          <w:szCs w:val="26"/>
        </w:rPr>
      </w:pPr>
      <w:r w:rsidRPr="00A552EA">
        <w:rPr>
          <w:sz w:val="26"/>
          <w:szCs w:val="26"/>
        </w:rPr>
        <w:t>On review of the record and the Initial Decision, we find that the ALJ appropriately confined his analysis to a determination of whether Enrico was, in fact, billed and the charges to Enrico were calculated, according to the disclosure document provided by Blue Pilot.  This determination, however, was made problematic in light of the ambiguity in the wording of the Service Agreement.  The wording in the Service Agreement</w:t>
      </w:r>
      <w:r w:rsidR="00620A5F">
        <w:rPr>
          <w:sz w:val="26"/>
          <w:szCs w:val="26"/>
        </w:rPr>
        <w:t xml:space="preserve"> identified </w:t>
      </w:r>
      <w:r w:rsidRPr="00A552EA">
        <w:rPr>
          <w:sz w:val="26"/>
          <w:szCs w:val="26"/>
        </w:rPr>
        <w:t xml:space="preserve">several </w:t>
      </w:r>
      <w:r w:rsidR="00620A5F">
        <w:rPr>
          <w:sz w:val="26"/>
          <w:szCs w:val="26"/>
        </w:rPr>
        <w:t xml:space="preserve">undisclosed </w:t>
      </w:r>
      <w:r w:rsidRPr="00A552EA">
        <w:rPr>
          <w:sz w:val="26"/>
          <w:szCs w:val="26"/>
        </w:rPr>
        <w:t>factors</w:t>
      </w:r>
      <w:r w:rsidR="00620A5F">
        <w:rPr>
          <w:sz w:val="26"/>
          <w:szCs w:val="26"/>
        </w:rPr>
        <w:t xml:space="preserve"> </w:t>
      </w:r>
      <w:r w:rsidRPr="00A552EA">
        <w:rPr>
          <w:sz w:val="26"/>
          <w:szCs w:val="26"/>
        </w:rPr>
        <w:t>on w</w:t>
      </w:r>
      <w:r w:rsidR="00620A5F">
        <w:rPr>
          <w:sz w:val="26"/>
          <w:szCs w:val="26"/>
        </w:rPr>
        <w:t>hich the rate could vary, while</w:t>
      </w:r>
      <w:r w:rsidRPr="00A552EA">
        <w:rPr>
          <w:sz w:val="26"/>
          <w:szCs w:val="26"/>
        </w:rPr>
        <w:t xml:space="preserve"> at the same time, stated in unequivocal terms that the rate would be based on PJM wholesale market conditions.</w:t>
      </w:r>
    </w:p>
    <w:p w:rsidR="00A552EA" w:rsidRPr="00A552EA" w:rsidRDefault="00A552EA" w:rsidP="00A552EA">
      <w:pPr>
        <w:spacing w:line="360" w:lineRule="auto"/>
        <w:ind w:firstLine="1440"/>
        <w:rPr>
          <w:sz w:val="26"/>
          <w:szCs w:val="26"/>
        </w:rPr>
      </w:pPr>
    </w:p>
    <w:p w:rsidR="00A552EA" w:rsidRPr="00A552EA" w:rsidRDefault="00F730EB" w:rsidP="00A552EA">
      <w:pPr>
        <w:spacing w:line="360" w:lineRule="auto"/>
        <w:ind w:firstLine="1440"/>
        <w:rPr>
          <w:sz w:val="26"/>
          <w:szCs w:val="26"/>
        </w:rPr>
      </w:pPr>
      <w:r>
        <w:rPr>
          <w:sz w:val="26"/>
          <w:szCs w:val="26"/>
        </w:rPr>
        <w:t>T</w:t>
      </w:r>
      <w:r w:rsidR="00A552EA" w:rsidRPr="00A552EA">
        <w:rPr>
          <w:sz w:val="26"/>
          <w:szCs w:val="26"/>
        </w:rPr>
        <w:t xml:space="preserve">he ALJ concluded that Blue Pilot did not bill Enrico in accordance with the disclosure document provided.  Consequently, it was on this basis that the ALJ found an overbilling had occurred.  We agree with the approach and the conclusion of the ALJ in this regard.  </w:t>
      </w:r>
    </w:p>
    <w:p w:rsidR="00A552EA" w:rsidRPr="00A552EA" w:rsidRDefault="00A552EA" w:rsidP="00A552EA">
      <w:pPr>
        <w:spacing w:line="360" w:lineRule="auto"/>
        <w:ind w:firstLine="1440"/>
        <w:rPr>
          <w:sz w:val="26"/>
          <w:szCs w:val="26"/>
        </w:rPr>
      </w:pPr>
    </w:p>
    <w:p w:rsidR="00A552EA" w:rsidRPr="00A552EA" w:rsidRDefault="00A552EA" w:rsidP="00A552EA">
      <w:pPr>
        <w:spacing w:line="360" w:lineRule="auto"/>
        <w:ind w:firstLine="1440"/>
        <w:rPr>
          <w:sz w:val="26"/>
          <w:szCs w:val="26"/>
        </w:rPr>
      </w:pPr>
      <w:r w:rsidRPr="00A552EA">
        <w:rPr>
          <w:sz w:val="26"/>
          <w:szCs w:val="26"/>
        </w:rPr>
        <w:t>First, the EGS’ obligation to comply with the plain language requirements of our Regulations and the obligation to render bills in accordance with the required disclosure documents are distinct responsibilities and regulatory requirements.  These obligations can, undoubtedly, become interrelated depending upon the facts and circumstances of a particular dispute.  Yet, they are separate.</w:t>
      </w:r>
    </w:p>
    <w:p w:rsidR="00A552EA" w:rsidRPr="00A552EA" w:rsidRDefault="00A552EA" w:rsidP="00A552EA">
      <w:pPr>
        <w:spacing w:line="360" w:lineRule="auto"/>
        <w:ind w:firstLine="1440"/>
        <w:rPr>
          <w:sz w:val="26"/>
          <w:szCs w:val="26"/>
        </w:rPr>
      </w:pPr>
    </w:p>
    <w:p w:rsidR="00A552EA" w:rsidRPr="00A552EA" w:rsidRDefault="00A552EA" w:rsidP="00A552EA">
      <w:pPr>
        <w:spacing w:line="360" w:lineRule="auto"/>
        <w:ind w:firstLine="1440"/>
        <w:rPr>
          <w:sz w:val="26"/>
          <w:szCs w:val="26"/>
        </w:rPr>
      </w:pPr>
      <w:r w:rsidRPr="00A552EA">
        <w:rPr>
          <w:sz w:val="26"/>
          <w:szCs w:val="26"/>
        </w:rPr>
        <w:t>In the present case, the ALJ concluded that Blue Pilot violated the plain language requirements of the Commission’s Regulations.  Based on this conclusion, the ALJ made a companion determination that an overbilling occurred.  And</w:t>
      </w:r>
      <w:r w:rsidR="005C0360">
        <w:rPr>
          <w:sz w:val="26"/>
          <w:szCs w:val="26"/>
        </w:rPr>
        <w:t xml:space="preserve"> considering</w:t>
      </w:r>
      <w:r w:rsidRPr="00A552EA">
        <w:rPr>
          <w:sz w:val="26"/>
          <w:szCs w:val="26"/>
        </w:rPr>
        <w:t xml:space="preserve"> the only available evidence in the record</w:t>
      </w:r>
      <w:r w:rsidR="005C0360">
        <w:rPr>
          <w:sz w:val="26"/>
          <w:szCs w:val="26"/>
        </w:rPr>
        <w:t xml:space="preserve"> the ALJ</w:t>
      </w:r>
      <w:r w:rsidRPr="00A552EA">
        <w:rPr>
          <w:sz w:val="26"/>
          <w:szCs w:val="26"/>
        </w:rPr>
        <w:t xml:space="preserve"> concluded that the overbilling was in the amount of $27,168.48.  </w:t>
      </w:r>
    </w:p>
    <w:p w:rsidR="00A552EA" w:rsidRPr="00A552EA" w:rsidRDefault="00A552EA" w:rsidP="00A552EA">
      <w:pPr>
        <w:spacing w:line="360" w:lineRule="auto"/>
        <w:ind w:firstLine="1440"/>
        <w:rPr>
          <w:sz w:val="26"/>
          <w:szCs w:val="26"/>
        </w:rPr>
      </w:pPr>
      <w:r w:rsidRPr="00A552EA">
        <w:rPr>
          <w:sz w:val="26"/>
          <w:szCs w:val="26"/>
        </w:rPr>
        <w:t xml:space="preserve">  </w:t>
      </w:r>
    </w:p>
    <w:p w:rsidR="00A552EA" w:rsidRPr="00A552EA" w:rsidRDefault="00A552EA" w:rsidP="00A552EA">
      <w:pPr>
        <w:spacing w:line="360" w:lineRule="auto"/>
        <w:ind w:firstLine="1440"/>
        <w:rPr>
          <w:sz w:val="26"/>
          <w:szCs w:val="26"/>
        </w:rPr>
      </w:pPr>
      <w:r w:rsidRPr="00A552EA">
        <w:rPr>
          <w:sz w:val="26"/>
          <w:szCs w:val="26"/>
        </w:rPr>
        <w:t xml:space="preserve">On review of the record in this matter, we affirm the ALJ’s findings of a violation of the plain language obligations of </w:t>
      </w:r>
      <w:r w:rsidR="009C6BA2">
        <w:rPr>
          <w:sz w:val="26"/>
          <w:szCs w:val="26"/>
        </w:rPr>
        <w:t xml:space="preserve">Section 54.43(1) of </w:t>
      </w:r>
      <w:r w:rsidR="005C0360">
        <w:rPr>
          <w:sz w:val="26"/>
          <w:szCs w:val="26"/>
        </w:rPr>
        <w:t>our</w:t>
      </w:r>
      <w:r w:rsidRPr="00A552EA">
        <w:rPr>
          <w:sz w:val="26"/>
          <w:szCs w:val="26"/>
        </w:rPr>
        <w:t xml:space="preserve"> Regulations.</w:t>
      </w:r>
      <w:r w:rsidR="005C0360">
        <w:rPr>
          <w:rStyle w:val="FootnoteReference"/>
          <w:sz w:val="26"/>
          <w:szCs w:val="26"/>
        </w:rPr>
        <w:footnoteReference w:id="5"/>
      </w:r>
      <w:r w:rsidRPr="00A552EA">
        <w:rPr>
          <w:sz w:val="26"/>
          <w:szCs w:val="26"/>
        </w:rPr>
        <w:t xml:space="preserve">  Our conclusion expressly rejects the position of Blue Pilot as asserted in its Exceptions that the ALJ has, improperly, attempted to interpret a private contract.  </w:t>
      </w:r>
      <w:r w:rsidR="00912844">
        <w:rPr>
          <w:sz w:val="26"/>
          <w:szCs w:val="26"/>
        </w:rPr>
        <w:t>As further discussed herein, w</w:t>
      </w:r>
      <w:r w:rsidRPr="00A552EA">
        <w:rPr>
          <w:sz w:val="26"/>
          <w:szCs w:val="26"/>
        </w:rPr>
        <w:t xml:space="preserve">e also adopt the related </w:t>
      </w:r>
      <w:r w:rsidR="005C0360">
        <w:rPr>
          <w:sz w:val="26"/>
          <w:szCs w:val="26"/>
        </w:rPr>
        <w:t xml:space="preserve">determination that – as a result of the </w:t>
      </w:r>
      <w:r w:rsidRPr="00A552EA">
        <w:rPr>
          <w:sz w:val="26"/>
          <w:szCs w:val="26"/>
        </w:rPr>
        <w:t>violation of the plain language requirements of our Regulations and Blue Pilot’s lack of evidence to refute the Complainant’s calculation</w:t>
      </w:r>
      <w:r w:rsidR="005C0360">
        <w:rPr>
          <w:sz w:val="26"/>
          <w:szCs w:val="26"/>
        </w:rPr>
        <w:t xml:space="preserve"> – Enrico was overbilled in the </w:t>
      </w:r>
      <w:r w:rsidRPr="00A552EA">
        <w:rPr>
          <w:sz w:val="26"/>
          <w:szCs w:val="26"/>
        </w:rPr>
        <w:t xml:space="preserve">amount of $27,168.48 </w:t>
      </w:r>
      <w:r w:rsidR="005C0360">
        <w:rPr>
          <w:sz w:val="26"/>
          <w:szCs w:val="26"/>
        </w:rPr>
        <w:t>and that this amount should be</w:t>
      </w:r>
      <w:r w:rsidRPr="00A552EA">
        <w:rPr>
          <w:sz w:val="26"/>
          <w:szCs w:val="26"/>
        </w:rPr>
        <w:t xml:space="preserve"> refunded to Enrico.</w:t>
      </w:r>
    </w:p>
    <w:p w:rsidR="00CC4D3F" w:rsidRDefault="00CC4D3F" w:rsidP="00672C02">
      <w:pPr>
        <w:spacing w:line="360" w:lineRule="auto"/>
        <w:rPr>
          <w:b/>
          <w:sz w:val="26"/>
          <w:szCs w:val="26"/>
        </w:rPr>
      </w:pPr>
    </w:p>
    <w:p w:rsidR="00912844" w:rsidRDefault="009F3AC7" w:rsidP="00A12759">
      <w:pPr>
        <w:spacing w:line="360" w:lineRule="auto"/>
        <w:ind w:firstLine="720"/>
        <w:rPr>
          <w:b/>
          <w:sz w:val="26"/>
          <w:szCs w:val="26"/>
        </w:rPr>
      </w:pPr>
      <w:r>
        <w:rPr>
          <w:b/>
          <w:sz w:val="26"/>
          <w:szCs w:val="26"/>
        </w:rPr>
        <w:t>Regulation of</w:t>
      </w:r>
      <w:r w:rsidR="00912844">
        <w:rPr>
          <w:b/>
          <w:sz w:val="26"/>
          <w:szCs w:val="26"/>
        </w:rPr>
        <w:t xml:space="preserve"> EGS Rates</w:t>
      </w:r>
    </w:p>
    <w:p w:rsidR="00912844" w:rsidRDefault="00912844" w:rsidP="00672C02">
      <w:pPr>
        <w:spacing w:line="360" w:lineRule="auto"/>
        <w:rPr>
          <w:b/>
          <w:sz w:val="26"/>
          <w:szCs w:val="26"/>
        </w:rPr>
      </w:pPr>
    </w:p>
    <w:p w:rsidR="00F663DD" w:rsidRPr="00F663DD" w:rsidRDefault="00F663DD" w:rsidP="00F663DD">
      <w:pPr>
        <w:spacing w:line="360" w:lineRule="auto"/>
        <w:ind w:firstLine="1440"/>
        <w:rPr>
          <w:sz w:val="26"/>
          <w:szCs w:val="26"/>
        </w:rPr>
      </w:pPr>
      <w:r w:rsidRPr="00F663DD">
        <w:rPr>
          <w:sz w:val="26"/>
          <w:szCs w:val="26"/>
        </w:rPr>
        <w:t xml:space="preserve">In its second Exception, Blue Pilot argues that the Initial Decision improperly seeks to regulate, establish or limit prices charged by an EGS.  The Company </w:t>
      </w:r>
      <w:r w:rsidRPr="00F663DD">
        <w:rPr>
          <w:sz w:val="26"/>
          <w:szCs w:val="26"/>
        </w:rPr>
        <w:lastRenderedPageBreak/>
        <w:t xml:space="preserve">states that the Commission </w:t>
      </w:r>
      <w:r w:rsidR="00BC6F52">
        <w:rPr>
          <w:sz w:val="26"/>
          <w:szCs w:val="26"/>
        </w:rPr>
        <w:t>lacks the</w:t>
      </w:r>
      <w:r w:rsidRPr="00F663DD">
        <w:rPr>
          <w:sz w:val="26"/>
          <w:szCs w:val="26"/>
        </w:rPr>
        <w:t xml:space="preserve"> jurisdiction to regulate the p</w:t>
      </w:r>
      <w:r w:rsidR="00BC6F52">
        <w:rPr>
          <w:sz w:val="26"/>
          <w:szCs w:val="26"/>
        </w:rPr>
        <w:t xml:space="preserve">rices charged by EGSs.  Exc. at </w:t>
      </w:r>
      <w:r w:rsidRPr="00F663DD">
        <w:rPr>
          <w:sz w:val="26"/>
          <w:szCs w:val="26"/>
        </w:rPr>
        <w:t xml:space="preserve">8.  </w:t>
      </w:r>
    </w:p>
    <w:p w:rsidR="00F663DD" w:rsidRPr="00F663DD" w:rsidRDefault="00F663DD" w:rsidP="00F663DD">
      <w:pPr>
        <w:spacing w:line="360" w:lineRule="auto"/>
        <w:ind w:firstLine="1440"/>
        <w:rPr>
          <w:sz w:val="26"/>
          <w:szCs w:val="26"/>
        </w:rPr>
      </w:pPr>
    </w:p>
    <w:p w:rsidR="00F663DD" w:rsidRPr="00F663DD" w:rsidRDefault="00F663DD" w:rsidP="00F663DD">
      <w:pPr>
        <w:spacing w:line="360" w:lineRule="auto"/>
        <w:ind w:firstLine="1440"/>
        <w:rPr>
          <w:rFonts w:eastAsiaTheme="minorHAnsi"/>
          <w:sz w:val="26"/>
          <w:szCs w:val="26"/>
        </w:rPr>
      </w:pPr>
      <w:r w:rsidRPr="00F663DD">
        <w:rPr>
          <w:sz w:val="26"/>
          <w:szCs w:val="26"/>
        </w:rPr>
        <w:t xml:space="preserve">Blue Pilot also asserts that the contract that is the subject of the Complaint does not peg retail prices to a particular wholesale market index or indicate that the rate will mirror average daily hourly prices.  According to the Company, the average daily hourly prices are not the only component of PJM wholesale market conditions and are not necessarily indicative of what an EGS may be paying for electricity.  And the Company argues that variable prices by their nature are subject to wholesale market volatility.  Exc. at 11 (citing </w:t>
      </w:r>
      <w:r w:rsidRPr="00F663DD">
        <w:rPr>
          <w:rFonts w:eastAsiaTheme="minorHAnsi"/>
          <w:i/>
          <w:sz w:val="26"/>
          <w:szCs w:val="26"/>
        </w:rPr>
        <w:t>Review of Rules, Policies and Consumer Education Measures Regarding Variable Rate Retail Electric Products</w:t>
      </w:r>
      <w:r w:rsidRPr="00F663DD">
        <w:rPr>
          <w:rFonts w:eastAsiaTheme="minorHAnsi"/>
          <w:sz w:val="26"/>
          <w:szCs w:val="26"/>
        </w:rPr>
        <w:t>, Docket No. M</w:t>
      </w:r>
      <w:r w:rsidRPr="00F663DD">
        <w:rPr>
          <w:rFonts w:eastAsiaTheme="minorHAnsi"/>
          <w:sz w:val="26"/>
          <w:szCs w:val="26"/>
        </w:rPr>
        <w:noBreakHyphen/>
        <w:t>2014-2406134 (Order entered March 4, 2014) (</w:t>
      </w:r>
      <w:r w:rsidRPr="00F663DD">
        <w:rPr>
          <w:rFonts w:eastAsiaTheme="minorHAnsi"/>
          <w:i/>
          <w:sz w:val="26"/>
          <w:szCs w:val="26"/>
        </w:rPr>
        <w:t>Variable Rate Order</w:t>
      </w:r>
      <w:r w:rsidRPr="00F663DD">
        <w:rPr>
          <w:rFonts w:eastAsiaTheme="minorHAnsi"/>
          <w:sz w:val="26"/>
          <w:szCs w:val="26"/>
        </w:rPr>
        <w:t>)).</w:t>
      </w:r>
    </w:p>
    <w:p w:rsidR="00F663DD" w:rsidRPr="00F663DD" w:rsidRDefault="00F663DD" w:rsidP="00F663DD">
      <w:pPr>
        <w:spacing w:line="360" w:lineRule="auto"/>
        <w:ind w:firstLine="1440"/>
        <w:rPr>
          <w:rFonts w:eastAsiaTheme="minorHAnsi"/>
          <w:sz w:val="26"/>
          <w:szCs w:val="26"/>
        </w:rPr>
      </w:pPr>
    </w:p>
    <w:p w:rsidR="00F663DD" w:rsidRPr="00F663DD" w:rsidRDefault="00F663DD" w:rsidP="00F663DD">
      <w:pPr>
        <w:spacing w:line="360" w:lineRule="auto"/>
        <w:ind w:firstLine="1440"/>
        <w:rPr>
          <w:sz w:val="26"/>
          <w:szCs w:val="26"/>
        </w:rPr>
      </w:pPr>
      <w:r w:rsidRPr="00F663DD">
        <w:rPr>
          <w:sz w:val="26"/>
          <w:szCs w:val="26"/>
        </w:rPr>
        <w:t xml:space="preserve">Blue Pilot also contends that wholesale market pricing is a complex topic that requires the analysis of a variety of factors that have not been examined here and should not </w:t>
      </w:r>
      <w:r w:rsidR="00BC6F52">
        <w:rPr>
          <w:sz w:val="26"/>
          <w:szCs w:val="26"/>
        </w:rPr>
        <w:t>be considered because</w:t>
      </w:r>
      <w:r w:rsidRPr="00F663DD">
        <w:rPr>
          <w:sz w:val="26"/>
          <w:szCs w:val="26"/>
        </w:rPr>
        <w:t xml:space="preserve"> EGS pricing exceeds the scope of the Commission’s jurisdiction.  </w:t>
      </w:r>
      <w:r w:rsidR="00BC6F52">
        <w:rPr>
          <w:sz w:val="26"/>
          <w:szCs w:val="26"/>
        </w:rPr>
        <w:t>The Company</w:t>
      </w:r>
      <w:r w:rsidRPr="00F663DD">
        <w:rPr>
          <w:sz w:val="26"/>
          <w:szCs w:val="26"/>
        </w:rPr>
        <w:t xml:space="preserve"> criticizes the ALJ for reviewing a narrow subset of wholesale market prices and determining what a just and reasonable price should have been during the time period in question.  Exc. at 11-12.</w:t>
      </w:r>
    </w:p>
    <w:p w:rsidR="00F663DD" w:rsidRPr="00F663DD" w:rsidRDefault="00F663DD" w:rsidP="00F663DD">
      <w:pPr>
        <w:spacing w:line="360" w:lineRule="auto"/>
        <w:rPr>
          <w:sz w:val="26"/>
          <w:szCs w:val="26"/>
        </w:rPr>
      </w:pPr>
    </w:p>
    <w:p w:rsidR="00F663DD" w:rsidRPr="00F663DD" w:rsidRDefault="00F663DD" w:rsidP="00F663DD">
      <w:pPr>
        <w:spacing w:line="360" w:lineRule="auto"/>
        <w:ind w:firstLine="1440"/>
        <w:rPr>
          <w:sz w:val="26"/>
          <w:szCs w:val="26"/>
        </w:rPr>
      </w:pPr>
      <w:r w:rsidRPr="00F663DD">
        <w:rPr>
          <w:sz w:val="26"/>
          <w:szCs w:val="26"/>
        </w:rPr>
        <w:t xml:space="preserve">In its Replies, Enrico notes that Blue Pilot did not present any evidence concerning the additional factors that it states may go into their variable price determination.  R. Exc. at 5.  Enrico distinguishes the </w:t>
      </w:r>
      <w:r w:rsidRPr="00F663DD">
        <w:rPr>
          <w:i/>
          <w:sz w:val="26"/>
          <w:szCs w:val="26"/>
        </w:rPr>
        <w:t>Variable Rate Order</w:t>
      </w:r>
      <w:r w:rsidRPr="00F663DD">
        <w:rPr>
          <w:sz w:val="26"/>
          <w:szCs w:val="26"/>
        </w:rPr>
        <w:t xml:space="preserve"> explaining that it was prompted by a spike in wholesale energy prices that occurred during the sustained cold weather of January of 2014, commonly known as the “Polar Vortex.”  R. Exc. at 5.  In contrast, explains Enrico, the circumstances pertaining to its Complaint occurred in June and July of 2014.  Thus, the changes imposed by Blue Pilot, according to Enrico, had nothing to do with market volatility that would cause a spike in energy prices.  </w:t>
      </w:r>
      <w:r w:rsidRPr="00F663DD">
        <w:rPr>
          <w:i/>
          <w:sz w:val="26"/>
          <w:szCs w:val="26"/>
        </w:rPr>
        <w:t>Id</w:t>
      </w:r>
      <w:r w:rsidRPr="00F663DD">
        <w:rPr>
          <w:sz w:val="26"/>
          <w:szCs w:val="26"/>
        </w:rPr>
        <w:t xml:space="preserve">.  </w:t>
      </w:r>
    </w:p>
    <w:p w:rsidR="00F663DD" w:rsidRPr="00F663DD" w:rsidRDefault="00F663DD" w:rsidP="00F663DD">
      <w:pPr>
        <w:spacing w:line="360" w:lineRule="auto"/>
        <w:ind w:firstLine="1440"/>
        <w:rPr>
          <w:sz w:val="26"/>
          <w:szCs w:val="26"/>
        </w:rPr>
      </w:pPr>
    </w:p>
    <w:p w:rsidR="00F663DD" w:rsidRPr="00F663DD" w:rsidRDefault="00F663DD" w:rsidP="00F663DD">
      <w:pPr>
        <w:spacing w:line="360" w:lineRule="auto"/>
        <w:ind w:firstLine="1440"/>
        <w:rPr>
          <w:sz w:val="26"/>
          <w:szCs w:val="26"/>
        </w:rPr>
      </w:pPr>
      <w:r w:rsidRPr="00F663DD">
        <w:rPr>
          <w:sz w:val="26"/>
          <w:szCs w:val="26"/>
        </w:rPr>
        <w:t>In further response, Enrico points out that the geographic area was undergoing a mild summer season with cool nights and prices declined in the wholesale energy market during this period.  R. Exc. at 5 (citing Exh. 7).  The Complainant contends that the Company’s actions were arbitrary and purely motivated by profit as Blue Pilot did not provide any evidence in support of its 215 percent rate increase.  R. Exc. at 5.</w:t>
      </w:r>
    </w:p>
    <w:p w:rsidR="00F663DD" w:rsidRPr="00F663DD" w:rsidRDefault="00F663DD" w:rsidP="00F663DD">
      <w:pPr>
        <w:spacing w:line="360" w:lineRule="auto"/>
        <w:ind w:firstLine="1440"/>
        <w:rPr>
          <w:sz w:val="26"/>
          <w:szCs w:val="26"/>
        </w:rPr>
      </w:pPr>
    </w:p>
    <w:p w:rsidR="00F663DD" w:rsidRPr="00F663DD" w:rsidRDefault="00F663DD" w:rsidP="00F663DD">
      <w:pPr>
        <w:spacing w:line="360" w:lineRule="auto"/>
        <w:ind w:firstLine="1440"/>
        <w:rPr>
          <w:sz w:val="26"/>
          <w:szCs w:val="26"/>
        </w:rPr>
      </w:pPr>
      <w:r w:rsidRPr="00F663DD">
        <w:rPr>
          <w:sz w:val="26"/>
          <w:szCs w:val="26"/>
        </w:rPr>
        <w:t xml:space="preserve">Enrico also presents a policy concern that if a variable rate price determination is so complex, the public at large would be unable to determine the  variable rate Service Agreement without a specifically defined index or metric.    The Complainant argues that customers should be able to rely on a fixed set of unambiguous parameters that will enable the price to be ascertained and not subject to the whim of the EGS.  R. Exc. at 5-6. </w:t>
      </w:r>
    </w:p>
    <w:p w:rsidR="00F663DD" w:rsidRPr="00F663DD" w:rsidRDefault="00F663DD" w:rsidP="00F663DD">
      <w:pPr>
        <w:spacing w:line="360" w:lineRule="auto"/>
        <w:rPr>
          <w:sz w:val="26"/>
          <w:szCs w:val="26"/>
        </w:rPr>
      </w:pPr>
    </w:p>
    <w:p w:rsidR="00F663DD" w:rsidRPr="00F663DD" w:rsidRDefault="00F663DD" w:rsidP="00F663DD">
      <w:pPr>
        <w:spacing w:line="360" w:lineRule="auto"/>
        <w:ind w:firstLine="1440"/>
        <w:rPr>
          <w:sz w:val="26"/>
          <w:szCs w:val="26"/>
        </w:rPr>
      </w:pPr>
      <w:r w:rsidRPr="00F663DD">
        <w:rPr>
          <w:sz w:val="26"/>
          <w:szCs w:val="26"/>
        </w:rPr>
        <w:t xml:space="preserve"> On consideration, we shall deny the second Exception consistent with the discussion herein. </w:t>
      </w:r>
      <w:r w:rsidR="00BC6F52">
        <w:rPr>
          <w:sz w:val="26"/>
          <w:szCs w:val="26"/>
        </w:rPr>
        <w:t xml:space="preserve"> </w:t>
      </w:r>
      <w:r w:rsidRPr="00F663DD">
        <w:rPr>
          <w:sz w:val="26"/>
          <w:szCs w:val="26"/>
        </w:rPr>
        <w:t xml:space="preserve">In the matter of </w:t>
      </w:r>
      <w:r w:rsidRPr="00F663DD">
        <w:rPr>
          <w:i/>
          <w:sz w:val="26"/>
          <w:szCs w:val="26"/>
        </w:rPr>
        <w:t>IDT</w:t>
      </w:r>
      <w:r w:rsidR="00BC6F52">
        <w:rPr>
          <w:i/>
          <w:sz w:val="26"/>
          <w:szCs w:val="26"/>
        </w:rPr>
        <w:t xml:space="preserve"> Energy</w:t>
      </w:r>
      <w:r w:rsidRPr="00F663DD">
        <w:rPr>
          <w:sz w:val="26"/>
          <w:szCs w:val="26"/>
        </w:rPr>
        <w:t xml:space="preserve">, we considered material questions presented to the Commission for interlocutory review that are relevant to this dispute.  These material questions arose in the context of formal complaints filed against </w:t>
      </w:r>
      <w:r w:rsidR="004B7B47">
        <w:rPr>
          <w:sz w:val="26"/>
          <w:szCs w:val="26"/>
        </w:rPr>
        <w:t xml:space="preserve">an </w:t>
      </w:r>
      <w:r w:rsidRPr="00F663DD">
        <w:rPr>
          <w:sz w:val="26"/>
          <w:szCs w:val="26"/>
        </w:rPr>
        <w:t>EGS that primarily involved challenges concerni</w:t>
      </w:r>
      <w:r w:rsidR="00BC6F52">
        <w:rPr>
          <w:sz w:val="26"/>
          <w:szCs w:val="26"/>
        </w:rPr>
        <w:t xml:space="preserve">ng the authority of the EGS to </w:t>
      </w:r>
      <w:r w:rsidRPr="00F663DD">
        <w:rPr>
          <w:sz w:val="26"/>
          <w:szCs w:val="26"/>
        </w:rPr>
        <w:t>pass</w:t>
      </w:r>
      <w:r w:rsidR="00BC6F52">
        <w:rPr>
          <w:sz w:val="26"/>
          <w:szCs w:val="26"/>
        </w:rPr>
        <w:t xml:space="preserve"> through</w:t>
      </w:r>
      <w:r w:rsidRPr="00F663DD">
        <w:rPr>
          <w:sz w:val="26"/>
          <w:szCs w:val="26"/>
        </w:rPr>
        <w:t xml:space="preserve"> unanticipated spikes in wholesale costs in variable rate agreements to end-user customers.  </w:t>
      </w:r>
    </w:p>
    <w:p w:rsidR="00F663DD" w:rsidRPr="00F663DD" w:rsidRDefault="00F663DD" w:rsidP="00F663DD">
      <w:pPr>
        <w:spacing w:line="360" w:lineRule="auto"/>
        <w:ind w:firstLine="1440"/>
        <w:rPr>
          <w:sz w:val="26"/>
          <w:szCs w:val="26"/>
        </w:rPr>
      </w:pPr>
    </w:p>
    <w:p w:rsidR="00F663DD" w:rsidRPr="00F663DD" w:rsidRDefault="00F663DD" w:rsidP="00F663DD">
      <w:pPr>
        <w:spacing w:line="360" w:lineRule="auto"/>
        <w:ind w:firstLine="1440"/>
        <w:rPr>
          <w:sz w:val="26"/>
          <w:szCs w:val="26"/>
        </w:rPr>
      </w:pPr>
      <w:r w:rsidRPr="00F663DD">
        <w:rPr>
          <w:sz w:val="26"/>
          <w:szCs w:val="26"/>
        </w:rPr>
        <w:t xml:space="preserve">In </w:t>
      </w:r>
      <w:r w:rsidRPr="00F663DD">
        <w:rPr>
          <w:i/>
          <w:sz w:val="26"/>
          <w:szCs w:val="26"/>
        </w:rPr>
        <w:t>IDT</w:t>
      </w:r>
      <w:r w:rsidR="00BC6F52">
        <w:rPr>
          <w:i/>
          <w:sz w:val="26"/>
          <w:szCs w:val="26"/>
        </w:rPr>
        <w:t xml:space="preserve"> Energy</w:t>
      </w:r>
      <w:r w:rsidRPr="00F663DD">
        <w:rPr>
          <w:sz w:val="26"/>
          <w:szCs w:val="26"/>
        </w:rPr>
        <w:t xml:space="preserve"> we discussed, </w:t>
      </w:r>
      <w:r w:rsidRPr="00F663DD">
        <w:rPr>
          <w:i/>
          <w:sz w:val="26"/>
          <w:szCs w:val="26"/>
        </w:rPr>
        <w:t>inter alia</w:t>
      </w:r>
      <w:r w:rsidRPr="00F663DD">
        <w:rPr>
          <w:sz w:val="26"/>
          <w:szCs w:val="26"/>
        </w:rPr>
        <w:t>, the Commission’s jurisdiction and authority to consider and to order a billing adjustment as between an EGS and a customer.  There we held as follows:</w:t>
      </w:r>
    </w:p>
    <w:p w:rsidR="00F663DD" w:rsidRPr="00F663DD" w:rsidRDefault="00F663DD" w:rsidP="00F663DD">
      <w:pPr>
        <w:ind w:left="1440" w:right="1440"/>
        <w:rPr>
          <w:sz w:val="26"/>
          <w:szCs w:val="26"/>
        </w:rPr>
      </w:pPr>
    </w:p>
    <w:p w:rsidR="00F663DD" w:rsidRPr="00F663DD" w:rsidRDefault="00F663DD" w:rsidP="00BC6F52">
      <w:pPr>
        <w:ind w:left="1440" w:right="1440"/>
        <w:rPr>
          <w:sz w:val="26"/>
          <w:szCs w:val="26"/>
        </w:rPr>
      </w:pPr>
      <w:r w:rsidRPr="00F663DD">
        <w:rPr>
          <w:sz w:val="26"/>
          <w:szCs w:val="26"/>
        </w:rPr>
        <w:t xml:space="preserve">Directing a billing adjustment for an EGS over bill of supply charges is within the Commission’s Section 501 [66 Pa. C.S. § 501] powers to carry out the consumer protections in the Electric Competition Act that are applicable to competitive </w:t>
      </w:r>
      <w:r w:rsidRPr="00F663DD">
        <w:rPr>
          <w:sz w:val="26"/>
          <w:szCs w:val="26"/>
        </w:rPr>
        <w:lastRenderedPageBreak/>
        <w:t>electricity generation supply service.  These consumer protections include the Section 2809(b) requirement that EGSs comply with the Commission’s Regulations, including the Chapter 54 billing and disclosure regulations.  Having the authority to order EGS credits and/or refunds carries out these statutorily-prescribed consumer protections by ensuring that electric generation supply bills are adjusted accordingly when an EGS, for example, fails to bill a customer in accordance with its disclosure statement, in violation of the Commission’s Chapter 54 Regulations and, in turn, Code Section 2809(b).  Thus, having the</w:t>
      </w:r>
      <w:r w:rsidRPr="00F663DD">
        <w:rPr>
          <w:color w:val="000000"/>
          <w:sz w:val="26"/>
          <w:szCs w:val="26"/>
        </w:rPr>
        <w:t xml:space="preserve"> </w:t>
      </w:r>
      <w:r w:rsidRPr="00F663DD">
        <w:rPr>
          <w:sz w:val="26"/>
          <w:szCs w:val="26"/>
        </w:rPr>
        <w:t xml:space="preserve">authority to order EGS billing adjustments, including refunds, under the appropriate circumstances, helps ensure that EGSs comply with the Commission’s Regulations and bill customers in accordance with their disclosure statement - a fundamental consumer protection under the Electric Competition Act.   </w:t>
      </w:r>
      <w:r w:rsidRPr="00F663DD">
        <w:rPr>
          <w:i/>
          <w:sz w:val="26"/>
          <w:szCs w:val="26"/>
        </w:rPr>
        <w:t>See</w:t>
      </w:r>
      <w:r w:rsidRPr="00F663DD">
        <w:rPr>
          <w:sz w:val="26"/>
          <w:szCs w:val="26"/>
        </w:rPr>
        <w:t xml:space="preserve"> 66 Pa. C.S. § 2802(14) (“ . . . Electric generation suppliers will be required to obtain licenses, demonstrate financial responsibility and comply with such other requirements concerning service as the commission deems necessary for the protection of the public.”). </w:t>
      </w:r>
    </w:p>
    <w:p w:rsidR="00F663DD" w:rsidRPr="00F663DD" w:rsidRDefault="00F663DD" w:rsidP="00F663DD">
      <w:pPr>
        <w:ind w:left="1440" w:right="1440"/>
        <w:rPr>
          <w:sz w:val="26"/>
          <w:szCs w:val="26"/>
        </w:rPr>
      </w:pPr>
    </w:p>
    <w:p w:rsidR="00F663DD" w:rsidRPr="00F663DD" w:rsidRDefault="00F663DD" w:rsidP="00BC6F52">
      <w:pPr>
        <w:ind w:left="1440" w:right="1440"/>
        <w:rPr>
          <w:sz w:val="26"/>
          <w:szCs w:val="26"/>
        </w:rPr>
      </w:pPr>
      <w:r w:rsidRPr="00F663DD">
        <w:rPr>
          <w:sz w:val="26"/>
          <w:szCs w:val="26"/>
        </w:rPr>
        <w:t>Based on the foregoing, ordering EGS billing adjustments for an over bill of supply charges is fully consistent with the policy objectives of the Electric Competition Act as well.  Under Section 2802(9) of the Code, 66 Pa. C.S. § 2802(9), electric service, including electric supply, is to be available to customers on reasonable terms and conditions.  The ability to order an EGS to provide a refund to a customer that has been over charged in violation of its Disclosure Statement that has been required pursuant to the Code and/or the Commission’s Regulations furthers this policy objective by ensuring that customers receive accurate bills and hence, receive service under reasonable terms and conditions.</w:t>
      </w:r>
    </w:p>
    <w:p w:rsidR="00F663DD" w:rsidRPr="00F663DD" w:rsidRDefault="00F663DD" w:rsidP="00F663DD">
      <w:pPr>
        <w:ind w:left="1440" w:right="1440" w:firstLine="720"/>
        <w:rPr>
          <w:sz w:val="26"/>
          <w:szCs w:val="26"/>
        </w:rPr>
      </w:pPr>
    </w:p>
    <w:p w:rsidR="00F663DD" w:rsidRPr="00F663DD" w:rsidRDefault="00F663DD" w:rsidP="00F663DD">
      <w:pPr>
        <w:spacing w:line="360" w:lineRule="auto"/>
        <w:rPr>
          <w:sz w:val="26"/>
          <w:szCs w:val="26"/>
        </w:rPr>
      </w:pPr>
      <w:r w:rsidRPr="00F663DD">
        <w:rPr>
          <w:i/>
          <w:sz w:val="26"/>
          <w:szCs w:val="26"/>
        </w:rPr>
        <w:t>IDT</w:t>
      </w:r>
      <w:r w:rsidR="00BC6F52">
        <w:rPr>
          <w:i/>
          <w:sz w:val="26"/>
          <w:szCs w:val="26"/>
        </w:rPr>
        <w:t xml:space="preserve"> Energy</w:t>
      </w:r>
      <w:r w:rsidRPr="00F663DD">
        <w:rPr>
          <w:i/>
          <w:sz w:val="26"/>
          <w:szCs w:val="26"/>
        </w:rPr>
        <w:t xml:space="preserve"> </w:t>
      </w:r>
      <w:r w:rsidRPr="00F663DD">
        <w:rPr>
          <w:sz w:val="26"/>
          <w:szCs w:val="26"/>
        </w:rPr>
        <w:t>at 17-18</w:t>
      </w:r>
      <w:r w:rsidR="00417AB7">
        <w:rPr>
          <w:sz w:val="26"/>
          <w:szCs w:val="26"/>
        </w:rPr>
        <w:t xml:space="preserve"> (footnotes omitted)</w:t>
      </w:r>
      <w:r w:rsidRPr="00F663DD">
        <w:rPr>
          <w:sz w:val="26"/>
          <w:szCs w:val="26"/>
        </w:rPr>
        <w:t>.</w:t>
      </w:r>
    </w:p>
    <w:p w:rsidR="00F663DD" w:rsidRPr="00F663DD" w:rsidRDefault="00F663DD" w:rsidP="00F663DD">
      <w:pPr>
        <w:spacing w:line="360" w:lineRule="auto"/>
        <w:rPr>
          <w:sz w:val="26"/>
          <w:szCs w:val="26"/>
        </w:rPr>
      </w:pPr>
    </w:p>
    <w:p w:rsidR="00F663DD" w:rsidRPr="00F663DD" w:rsidRDefault="00F663DD" w:rsidP="00F663DD">
      <w:pPr>
        <w:spacing w:line="360" w:lineRule="auto"/>
        <w:ind w:firstLine="1440"/>
        <w:rPr>
          <w:sz w:val="26"/>
          <w:szCs w:val="26"/>
        </w:rPr>
      </w:pPr>
      <w:r w:rsidRPr="00F663DD">
        <w:rPr>
          <w:sz w:val="26"/>
          <w:szCs w:val="26"/>
        </w:rPr>
        <w:t xml:space="preserve">Therefore, this Commission has determined that we retain inherent authority pursuant to Section 501 of the Code, 66 Pa. C.S. § 501, as compared to Section 1312, 66 Pa. C.S. § 1312, which only applies to “public utilities,” to direct a billing </w:t>
      </w:r>
      <w:r w:rsidRPr="00F663DD">
        <w:rPr>
          <w:sz w:val="26"/>
          <w:szCs w:val="26"/>
        </w:rPr>
        <w:lastRenderedPageBreak/>
        <w:t xml:space="preserve">adjustment in a dispute between an EGS company and a customer.  This general authority includes the power to direct a refund of overcharges and/or credits for over payments under the appropriate circumstances.  </w:t>
      </w:r>
      <w:r w:rsidRPr="00F663DD">
        <w:rPr>
          <w:i/>
          <w:sz w:val="26"/>
          <w:szCs w:val="26"/>
        </w:rPr>
        <w:t>See</w:t>
      </w:r>
      <w:r w:rsidR="00165C82">
        <w:rPr>
          <w:i/>
          <w:sz w:val="26"/>
          <w:szCs w:val="26"/>
        </w:rPr>
        <w:t>,</w:t>
      </w:r>
      <w:r w:rsidRPr="00F663DD">
        <w:rPr>
          <w:i/>
          <w:sz w:val="26"/>
          <w:szCs w:val="26"/>
        </w:rPr>
        <w:t xml:space="preserve"> IDT</w:t>
      </w:r>
      <w:r w:rsidR="004B7B47">
        <w:rPr>
          <w:i/>
          <w:sz w:val="26"/>
          <w:szCs w:val="26"/>
        </w:rPr>
        <w:t xml:space="preserve"> Energy</w:t>
      </w:r>
      <w:r w:rsidR="00F730EB">
        <w:rPr>
          <w:sz w:val="26"/>
          <w:szCs w:val="26"/>
        </w:rPr>
        <w:t xml:space="preserve"> at 17 n.9 (</w:t>
      </w:r>
      <w:r w:rsidRPr="00F663DD">
        <w:rPr>
          <w:sz w:val="26"/>
          <w:szCs w:val="26"/>
        </w:rPr>
        <w:t xml:space="preserve">citing </w:t>
      </w:r>
      <w:r w:rsidRPr="00F663DD">
        <w:rPr>
          <w:i/>
          <w:sz w:val="26"/>
          <w:szCs w:val="26"/>
        </w:rPr>
        <w:t>Erie Light Co. v. Pa. PUC</w:t>
      </w:r>
      <w:r w:rsidRPr="00F663DD">
        <w:rPr>
          <w:sz w:val="26"/>
          <w:szCs w:val="26"/>
        </w:rPr>
        <w:t>, 198 A. 901 (Pa. Super. 1938)</w:t>
      </w:r>
      <w:r w:rsidR="00F730EB">
        <w:rPr>
          <w:sz w:val="26"/>
          <w:szCs w:val="26"/>
        </w:rPr>
        <w:t>)</w:t>
      </w:r>
      <w:r w:rsidRPr="00F663DD">
        <w:rPr>
          <w:sz w:val="26"/>
          <w:szCs w:val="26"/>
        </w:rPr>
        <w:t xml:space="preserve">; </w:t>
      </w:r>
      <w:r w:rsidR="00F730EB">
        <w:rPr>
          <w:sz w:val="26"/>
          <w:szCs w:val="26"/>
        </w:rPr>
        <w:t xml:space="preserve">and </w:t>
      </w:r>
      <w:r w:rsidRPr="00F663DD">
        <w:rPr>
          <w:i/>
          <w:sz w:val="26"/>
          <w:szCs w:val="26"/>
        </w:rPr>
        <w:t>Kiback</w:t>
      </w:r>
      <w:r w:rsidRPr="00F663DD">
        <w:rPr>
          <w:sz w:val="26"/>
          <w:szCs w:val="26"/>
        </w:rPr>
        <w:t xml:space="preserve"> at 33.   </w:t>
      </w:r>
    </w:p>
    <w:p w:rsidR="00F663DD" w:rsidRPr="00F663DD" w:rsidRDefault="00F663DD" w:rsidP="00F663DD">
      <w:pPr>
        <w:spacing w:line="360" w:lineRule="auto"/>
        <w:rPr>
          <w:sz w:val="26"/>
          <w:szCs w:val="26"/>
        </w:rPr>
      </w:pPr>
    </w:p>
    <w:p w:rsidR="00F663DD" w:rsidRPr="00F663DD" w:rsidRDefault="00F663DD" w:rsidP="00F663DD">
      <w:pPr>
        <w:spacing w:line="360" w:lineRule="auto"/>
        <w:ind w:firstLine="1440"/>
        <w:rPr>
          <w:sz w:val="26"/>
          <w:szCs w:val="26"/>
        </w:rPr>
      </w:pPr>
      <w:r w:rsidRPr="00F663DD">
        <w:rPr>
          <w:sz w:val="26"/>
          <w:szCs w:val="26"/>
        </w:rPr>
        <w:t xml:space="preserve">As discussed in </w:t>
      </w:r>
      <w:r w:rsidRPr="00F663DD">
        <w:rPr>
          <w:i/>
          <w:sz w:val="26"/>
          <w:szCs w:val="26"/>
        </w:rPr>
        <w:t>IDT</w:t>
      </w:r>
      <w:r w:rsidR="00417AB7">
        <w:rPr>
          <w:i/>
          <w:sz w:val="26"/>
          <w:szCs w:val="26"/>
        </w:rPr>
        <w:t xml:space="preserve"> Energy</w:t>
      </w:r>
      <w:r w:rsidRPr="00F663DD">
        <w:rPr>
          <w:sz w:val="26"/>
          <w:szCs w:val="26"/>
        </w:rPr>
        <w:t>, one of the circumstances under which a billing adjustment may be necessary is where an EGS fails to bill a c</w:t>
      </w:r>
      <w:r w:rsidR="00417AB7">
        <w:rPr>
          <w:sz w:val="26"/>
          <w:szCs w:val="26"/>
        </w:rPr>
        <w:t>ustomer in accordance with its disclosure s</w:t>
      </w:r>
      <w:r w:rsidRPr="00F663DD">
        <w:rPr>
          <w:sz w:val="26"/>
          <w:szCs w:val="26"/>
        </w:rPr>
        <w:t xml:space="preserve">tatement.  </w:t>
      </w:r>
      <w:r w:rsidRPr="00F663DD">
        <w:rPr>
          <w:i/>
          <w:sz w:val="26"/>
          <w:szCs w:val="26"/>
        </w:rPr>
        <w:t>See</w:t>
      </w:r>
      <w:r w:rsidR="00165C82">
        <w:rPr>
          <w:i/>
          <w:sz w:val="26"/>
          <w:szCs w:val="26"/>
        </w:rPr>
        <w:t>,</w:t>
      </w:r>
      <w:r w:rsidRPr="00F663DD">
        <w:rPr>
          <w:i/>
          <w:sz w:val="26"/>
          <w:szCs w:val="26"/>
        </w:rPr>
        <w:t xml:space="preserve"> IDT</w:t>
      </w:r>
      <w:r w:rsidR="00417AB7">
        <w:rPr>
          <w:i/>
          <w:sz w:val="26"/>
          <w:szCs w:val="26"/>
        </w:rPr>
        <w:t xml:space="preserve"> Energy</w:t>
      </w:r>
      <w:r w:rsidRPr="00F663DD">
        <w:rPr>
          <w:i/>
          <w:sz w:val="26"/>
          <w:szCs w:val="26"/>
        </w:rPr>
        <w:t xml:space="preserve"> </w:t>
      </w:r>
      <w:r w:rsidRPr="00F663DD">
        <w:rPr>
          <w:sz w:val="26"/>
          <w:szCs w:val="26"/>
        </w:rPr>
        <w:t xml:space="preserve">at 18.  </w:t>
      </w:r>
      <w:r w:rsidR="00546AC7">
        <w:rPr>
          <w:sz w:val="26"/>
          <w:szCs w:val="26"/>
        </w:rPr>
        <w:t>If</w:t>
      </w:r>
      <w:r w:rsidRPr="00F663DD">
        <w:rPr>
          <w:sz w:val="26"/>
          <w:szCs w:val="26"/>
        </w:rPr>
        <w:t xml:space="preserve"> the EGS has failed </w:t>
      </w:r>
      <w:r w:rsidR="00546AC7">
        <w:rPr>
          <w:sz w:val="26"/>
          <w:szCs w:val="26"/>
        </w:rPr>
        <w:t>to bill in accordance with its disclosure s</w:t>
      </w:r>
      <w:r w:rsidRPr="00F663DD">
        <w:rPr>
          <w:sz w:val="26"/>
          <w:szCs w:val="26"/>
        </w:rPr>
        <w:t>tatement, the EGS is in violation of the Commission’s Chapter 54 Regulations</w:t>
      </w:r>
      <w:r w:rsidR="00417AB7">
        <w:rPr>
          <w:sz w:val="26"/>
          <w:szCs w:val="26"/>
        </w:rPr>
        <w:t xml:space="preserve"> </w:t>
      </w:r>
      <w:r w:rsidRPr="00F663DD">
        <w:rPr>
          <w:sz w:val="26"/>
          <w:szCs w:val="26"/>
        </w:rPr>
        <w:t xml:space="preserve">and Section 2809(b) of the Code, 66 Pa. C.S. § 2809(b).  </w:t>
      </w:r>
      <w:r w:rsidRPr="00F663DD">
        <w:rPr>
          <w:i/>
          <w:sz w:val="26"/>
          <w:szCs w:val="26"/>
        </w:rPr>
        <w:t>Id</w:t>
      </w:r>
      <w:r w:rsidRPr="00F663DD">
        <w:rPr>
          <w:sz w:val="26"/>
          <w:szCs w:val="26"/>
        </w:rPr>
        <w:t>.</w:t>
      </w:r>
    </w:p>
    <w:p w:rsidR="00F663DD" w:rsidRPr="00F663DD" w:rsidRDefault="00F663DD" w:rsidP="00F663DD">
      <w:pPr>
        <w:spacing w:line="360" w:lineRule="auto"/>
        <w:ind w:firstLine="1440"/>
        <w:rPr>
          <w:sz w:val="26"/>
          <w:szCs w:val="26"/>
        </w:rPr>
      </w:pPr>
    </w:p>
    <w:p w:rsidR="00F663DD" w:rsidRPr="00621B05" w:rsidRDefault="00F663DD" w:rsidP="00D13383">
      <w:pPr>
        <w:spacing w:line="360" w:lineRule="auto"/>
        <w:ind w:firstLine="1440"/>
        <w:rPr>
          <w:sz w:val="26"/>
          <w:szCs w:val="26"/>
          <w:u w:val="double"/>
        </w:rPr>
      </w:pPr>
      <w:r w:rsidRPr="00F663DD">
        <w:rPr>
          <w:sz w:val="26"/>
          <w:szCs w:val="26"/>
        </w:rPr>
        <w:t>A review of Commission</w:t>
      </w:r>
      <w:r w:rsidR="00417AB7">
        <w:rPr>
          <w:sz w:val="26"/>
          <w:szCs w:val="26"/>
        </w:rPr>
        <w:t xml:space="preserve"> decisions </w:t>
      </w:r>
      <w:r w:rsidRPr="00F663DD">
        <w:rPr>
          <w:sz w:val="26"/>
          <w:szCs w:val="26"/>
        </w:rPr>
        <w:t xml:space="preserve">reveals that we have carefully decided on a case-by-case basis the circumstances under </w:t>
      </w:r>
      <w:r w:rsidR="00546AC7">
        <w:rPr>
          <w:sz w:val="26"/>
          <w:szCs w:val="26"/>
        </w:rPr>
        <w:t xml:space="preserve">which </w:t>
      </w:r>
      <w:r w:rsidRPr="00F663DD">
        <w:rPr>
          <w:sz w:val="26"/>
          <w:szCs w:val="26"/>
        </w:rPr>
        <w:t>a directed r</w:t>
      </w:r>
      <w:r w:rsidR="009035EA">
        <w:rPr>
          <w:sz w:val="26"/>
          <w:szCs w:val="26"/>
        </w:rPr>
        <w:t xml:space="preserve">efund is an </w:t>
      </w:r>
      <w:r w:rsidR="00417AB7">
        <w:rPr>
          <w:sz w:val="26"/>
          <w:szCs w:val="26"/>
        </w:rPr>
        <w:t>appropriate remedy</w:t>
      </w:r>
      <w:r w:rsidRPr="00F663DD">
        <w:rPr>
          <w:sz w:val="26"/>
          <w:szCs w:val="26"/>
        </w:rPr>
        <w:t xml:space="preserve">.  </w:t>
      </w:r>
      <w:r w:rsidR="00417AB7">
        <w:rPr>
          <w:i/>
          <w:sz w:val="26"/>
          <w:szCs w:val="26"/>
        </w:rPr>
        <w:t>See</w:t>
      </w:r>
      <w:r w:rsidR="00165C82">
        <w:rPr>
          <w:i/>
          <w:sz w:val="26"/>
          <w:szCs w:val="26"/>
        </w:rPr>
        <w:t>,</w:t>
      </w:r>
      <w:r w:rsidRPr="00F663DD">
        <w:rPr>
          <w:i/>
          <w:sz w:val="26"/>
          <w:szCs w:val="26"/>
        </w:rPr>
        <w:t xml:space="preserve"> e.g.,</w:t>
      </w:r>
      <w:r w:rsidRPr="00F663DD">
        <w:rPr>
          <w:sz w:val="26"/>
          <w:szCs w:val="26"/>
        </w:rPr>
        <w:t xml:space="preserve"> </w:t>
      </w:r>
      <w:r w:rsidR="00B41EC8">
        <w:rPr>
          <w:i/>
          <w:sz w:val="26"/>
          <w:szCs w:val="26"/>
        </w:rPr>
        <w:t>Tom Darlington v. Blue Pilot Entergy, LLC</w:t>
      </w:r>
      <w:r w:rsidR="00B41EC8">
        <w:rPr>
          <w:sz w:val="26"/>
          <w:szCs w:val="26"/>
        </w:rPr>
        <w:t xml:space="preserve">, Docket No. F-2015-2500535 (Order entered </w:t>
      </w:r>
      <w:r w:rsidR="003B124B">
        <w:rPr>
          <w:sz w:val="26"/>
          <w:szCs w:val="26"/>
        </w:rPr>
        <w:t>June 30, 2016);</w:t>
      </w:r>
      <w:r w:rsidR="00B41EC8">
        <w:rPr>
          <w:i/>
          <w:sz w:val="26"/>
          <w:szCs w:val="26"/>
        </w:rPr>
        <w:t xml:space="preserve"> </w:t>
      </w:r>
      <w:r w:rsidR="001F7AB7" w:rsidRPr="001F7AB7">
        <w:rPr>
          <w:i/>
          <w:color w:val="000000"/>
          <w:sz w:val="26"/>
          <w:szCs w:val="26"/>
        </w:rPr>
        <w:t>Herp</w:t>
      </w:r>
      <w:r w:rsidR="001F7AB7" w:rsidRPr="001F7AB7">
        <w:rPr>
          <w:sz w:val="26"/>
          <w:szCs w:val="26"/>
        </w:rPr>
        <w:t>;</w:t>
      </w:r>
      <w:r w:rsidR="001F7AB7">
        <w:rPr>
          <w:sz w:val="26"/>
          <w:szCs w:val="26"/>
        </w:rPr>
        <w:t xml:space="preserve"> </w:t>
      </w:r>
      <w:r w:rsidR="004A2E47" w:rsidRPr="001F7AB7">
        <w:rPr>
          <w:i/>
          <w:sz w:val="26"/>
          <w:szCs w:val="26"/>
        </w:rPr>
        <w:t>Kiback</w:t>
      </w:r>
      <w:r w:rsidR="004A2E47">
        <w:rPr>
          <w:sz w:val="26"/>
          <w:szCs w:val="26"/>
        </w:rPr>
        <w:t>; and</w:t>
      </w:r>
      <w:r w:rsidR="004A2E47" w:rsidRPr="001F7AB7">
        <w:rPr>
          <w:i/>
          <w:sz w:val="26"/>
          <w:szCs w:val="26"/>
        </w:rPr>
        <w:t xml:space="preserve"> </w:t>
      </w:r>
      <w:r w:rsidRPr="001F7AB7">
        <w:rPr>
          <w:i/>
          <w:sz w:val="26"/>
          <w:szCs w:val="26"/>
        </w:rPr>
        <w:t>Joseph Nadav v. Respond Power, LLC</w:t>
      </w:r>
      <w:r w:rsidRPr="001F7AB7">
        <w:rPr>
          <w:sz w:val="26"/>
          <w:szCs w:val="26"/>
        </w:rPr>
        <w:t>, Docket No. C-2014-2429159 (Order entered December 19, 2014</w:t>
      </w:r>
      <w:r w:rsidR="004A2E47">
        <w:rPr>
          <w:sz w:val="26"/>
          <w:szCs w:val="26"/>
        </w:rPr>
        <w:t>) (</w:t>
      </w:r>
      <w:r w:rsidR="004A2E47">
        <w:rPr>
          <w:i/>
          <w:sz w:val="26"/>
          <w:szCs w:val="26"/>
        </w:rPr>
        <w:t>Nadav</w:t>
      </w:r>
      <w:r w:rsidR="004A2E47">
        <w:rPr>
          <w:sz w:val="26"/>
          <w:szCs w:val="26"/>
        </w:rPr>
        <w:t>)</w:t>
      </w:r>
      <w:r w:rsidRPr="001F7AB7">
        <w:rPr>
          <w:sz w:val="26"/>
          <w:szCs w:val="26"/>
        </w:rPr>
        <w:t>.</w:t>
      </w:r>
      <w:r w:rsidR="004A2E47">
        <w:rPr>
          <w:sz w:val="26"/>
          <w:szCs w:val="26"/>
        </w:rPr>
        <w:t xml:space="preserve">  </w:t>
      </w:r>
      <w:r w:rsidR="00D13383">
        <w:rPr>
          <w:sz w:val="26"/>
          <w:szCs w:val="26"/>
        </w:rPr>
        <w:t xml:space="preserve">Specifically, </w:t>
      </w:r>
      <w:r w:rsidR="00774746">
        <w:rPr>
          <w:sz w:val="26"/>
          <w:szCs w:val="26"/>
        </w:rPr>
        <w:t xml:space="preserve">in </w:t>
      </w:r>
      <w:r w:rsidR="00774746" w:rsidRPr="00774746">
        <w:rPr>
          <w:i/>
          <w:sz w:val="26"/>
          <w:szCs w:val="26"/>
        </w:rPr>
        <w:t>Herp</w:t>
      </w:r>
      <w:r w:rsidR="00774746">
        <w:rPr>
          <w:sz w:val="26"/>
          <w:szCs w:val="26"/>
        </w:rPr>
        <w:t xml:space="preserve"> </w:t>
      </w:r>
      <w:r w:rsidR="00D13383">
        <w:rPr>
          <w:sz w:val="26"/>
          <w:szCs w:val="26"/>
        </w:rPr>
        <w:t xml:space="preserve">we affirmed our conclusion in </w:t>
      </w:r>
      <w:r w:rsidR="00D13383" w:rsidRPr="00546AC7">
        <w:rPr>
          <w:i/>
          <w:sz w:val="26"/>
          <w:szCs w:val="26"/>
        </w:rPr>
        <w:t>IDT Energy</w:t>
      </w:r>
      <w:r w:rsidR="00D13383">
        <w:rPr>
          <w:sz w:val="26"/>
          <w:szCs w:val="26"/>
        </w:rPr>
        <w:t xml:space="preserve"> and subsequent cases that “an EGS’ failure to abide by our applicable regulatory standards governing customer communications constitutes appropriate circumstances justifying the ordering of a credit or refund.”  </w:t>
      </w:r>
      <w:r w:rsidR="00621B05">
        <w:rPr>
          <w:i/>
          <w:sz w:val="26"/>
          <w:szCs w:val="26"/>
        </w:rPr>
        <w:t xml:space="preserve">Herp </w:t>
      </w:r>
      <w:r w:rsidR="00621B05">
        <w:rPr>
          <w:sz w:val="26"/>
          <w:szCs w:val="26"/>
        </w:rPr>
        <w:t xml:space="preserve">at 43.  </w:t>
      </w:r>
    </w:p>
    <w:p w:rsidR="00F663DD" w:rsidRPr="00F663DD" w:rsidRDefault="00F663DD" w:rsidP="00F663DD">
      <w:pPr>
        <w:spacing w:line="360" w:lineRule="auto"/>
        <w:ind w:firstLine="1440"/>
        <w:rPr>
          <w:color w:val="000000"/>
          <w:sz w:val="26"/>
          <w:szCs w:val="26"/>
        </w:rPr>
      </w:pPr>
      <w:r w:rsidRPr="00F663DD">
        <w:rPr>
          <w:color w:val="000000"/>
          <w:sz w:val="26"/>
          <w:szCs w:val="26"/>
        </w:rPr>
        <w:t xml:space="preserve">    </w:t>
      </w:r>
    </w:p>
    <w:p w:rsidR="00F663DD" w:rsidRPr="00F663DD" w:rsidRDefault="00546AC7" w:rsidP="00F663DD">
      <w:pPr>
        <w:spacing w:line="360" w:lineRule="auto"/>
        <w:ind w:firstLine="1440"/>
        <w:rPr>
          <w:sz w:val="26"/>
          <w:szCs w:val="26"/>
        </w:rPr>
      </w:pPr>
      <w:r>
        <w:rPr>
          <w:sz w:val="26"/>
          <w:szCs w:val="26"/>
        </w:rPr>
        <w:t>Here,</w:t>
      </w:r>
      <w:r w:rsidR="00F663DD" w:rsidRPr="00F663DD">
        <w:rPr>
          <w:sz w:val="26"/>
          <w:szCs w:val="26"/>
        </w:rPr>
        <w:t xml:space="preserve"> a billing adjustment, in the amount and according to the rationale set forth in the Initial Decision, is warranted under the facts and the law.  We </w:t>
      </w:r>
      <w:r>
        <w:rPr>
          <w:sz w:val="26"/>
          <w:szCs w:val="26"/>
        </w:rPr>
        <w:t xml:space="preserve">agree </w:t>
      </w:r>
      <w:r w:rsidR="00F663DD" w:rsidRPr="00F663DD">
        <w:rPr>
          <w:sz w:val="26"/>
          <w:szCs w:val="26"/>
        </w:rPr>
        <w:t xml:space="preserve">that Enrico has met its burden of proof in demonstrating that Blue Pilot failed </w:t>
      </w:r>
      <w:r w:rsidR="00621B05">
        <w:rPr>
          <w:sz w:val="26"/>
          <w:szCs w:val="26"/>
        </w:rPr>
        <w:t>to bill in accordance with its disclosure s</w:t>
      </w:r>
      <w:r w:rsidR="00F663DD" w:rsidRPr="00F663DD">
        <w:rPr>
          <w:sz w:val="26"/>
          <w:szCs w:val="26"/>
        </w:rPr>
        <w:t xml:space="preserve">tatement (Service Agreement).  We also find that the billing adjustment recommended, in the absence of any evidence from Blue Pilot to the contrary, is appropriate.  We make this finding as a result of the unique factual circumstances of this case.  Such a finding is necessary due to, </w:t>
      </w:r>
      <w:r w:rsidR="00F663DD" w:rsidRPr="00F663DD">
        <w:rPr>
          <w:i/>
          <w:sz w:val="26"/>
          <w:szCs w:val="26"/>
        </w:rPr>
        <w:t>inter alia,</w:t>
      </w:r>
      <w:r w:rsidR="00F663DD" w:rsidRPr="00F663DD">
        <w:rPr>
          <w:sz w:val="26"/>
          <w:szCs w:val="26"/>
        </w:rPr>
        <w:t xml:space="preserve"> the ambiguous wording contained in the Service Agreement that purported to explain how Blue Pilot </w:t>
      </w:r>
      <w:r w:rsidR="00F663DD" w:rsidRPr="00F663DD">
        <w:rPr>
          <w:sz w:val="26"/>
          <w:szCs w:val="26"/>
        </w:rPr>
        <w:lastRenderedPageBreak/>
        <w:t xml:space="preserve">would apply its billing criteria for variability.  Having determined that Blue Pilot did not bill according to the terms of the Service Agreement, or has billed in a manner that is not supported by the documents provided, we affirm that this is an appropriate circumstance under which we make direct a billing adjustment consistent with our authority under Section 2809 of the </w:t>
      </w:r>
      <w:r w:rsidR="0046584A">
        <w:rPr>
          <w:sz w:val="26"/>
          <w:szCs w:val="26"/>
        </w:rPr>
        <w:t xml:space="preserve">Electric </w:t>
      </w:r>
      <w:r w:rsidR="00F663DD" w:rsidRPr="00F663DD">
        <w:rPr>
          <w:sz w:val="26"/>
          <w:szCs w:val="26"/>
        </w:rPr>
        <w:t xml:space="preserve">Competition Act.    </w:t>
      </w:r>
    </w:p>
    <w:p w:rsidR="00F663DD" w:rsidRPr="00F663DD" w:rsidRDefault="00F663DD" w:rsidP="00F663DD">
      <w:pPr>
        <w:spacing w:line="360" w:lineRule="auto"/>
        <w:ind w:firstLine="1440"/>
        <w:rPr>
          <w:sz w:val="26"/>
          <w:szCs w:val="26"/>
        </w:rPr>
      </w:pPr>
    </w:p>
    <w:p w:rsidR="00F663DD" w:rsidRPr="00F663DD" w:rsidRDefault="00F663DD" w:rsidP="00F663DD">
      <w:pPr>
        <w:spacing w:line="360" w:lineRule="auto"/>
        <w:ind w:firstLine="1440"/>
        <w:rPr>
          <w:sz w:val="26"/>
          <w:szCs w:val="26"/>
        </w:rPr>
      </w:pPr>
      <w:r w:rsidRPr="00F663DD">
        <w:rPr>
          <w:sz w:val="26"/>
          <w:szCs w:val="26"/>
        </w:rPr>
        <w:t>The pertinent Findings of Fact of ALJ Cheskis concerning the recommended billing adjustment are reprinted below:</w:t>
      </w:r>
    </w:p>
    <w:p w:rsidR="00F663DD" w:rsidRPr="00F663DD" w:rsidRDefault="00F663DD" w:rsidP="00F663DD">
      <w:pPr>
        <w:spacing w:line="360" w:lineRule="auto"/>
        <w:ind w:firstLine="1440"/>
        <w:rPr>
          <w:sz w:val="26"/>
          <w:szCs w:val="26"/>
        </w:rPr>
      </w:pPr>
    </w:p>
    <w:p w:rsidR="00F663DD" w:rsidRPr="00F663DD" w:rsidRDefault="00165C82" w:rsidP="00A12759">
      <w:pPr>
        <w:widowControl/>
        <w:spacing w:after="200" w:line="276" w:lineRule="auto"/>
        <w:ind w:left="1440" w:right="1440"/>
        <w:contextualSpacing/>
        <w:rPr>
          <w:sz w:val="26"/>
          <w:szCs w:val="26"/>
        </w:rPr>
      </w:pPr>
      <w:r>
        <w:rPr>
          <w:sz w:val="26"/>
          <w:szCs w:val="26"/>
        </w:rPr>
        <w:tab/>
        <w:t>14.</w:t>
      </w:r>
      <w:r>
        <w:rPr>
          <w:sz w:val="26"/>
          <w:szCs w:val="26"/>
        </w:rPr>
        <w:tab/>
      </w:r>
      <w:r w:rsidR="00F663DD" w:rsidRPr="00F663DD">
        <w:rPr>
          <w:sz w:val="26"/>
          <w:szCs w:val="26"/>
        </w:rPr>
        <w:t xml:space="preserve">Enrico was over billed $23,794, or a difference of 17 cents per kwh, during the two billing periods it was charged the higher rate.  Tr. </w:t>
      </w:r>
      <w:r w:rsidR="00546AC7">
        <w:rPr>
          <w:sz w:val="26"/>
          <w:szCs w:val="26"/>
        </w:rPr>
        <w:t xml:space="preserve">[at] </w:t>
      </w:r>
      <w:r w:rsidR="00F663DD" w:rsidRPr="00F663DD">
        <w:rPr>
          <w:sz w:val="26"/>
          <w:szCs w:val="26"/>
        </w:rPr>
        <w:t>16.</w:t>
      </w:r>
    </w:p>
    <w:p w:rsidR="00165C82" w:rsidRPr="00F663DD" w:rsidRDefault="00165C82" w:rsidP="00F663DD">
      <w:pPr>
        <w:ind w:left="1440" w:right="1440"/>
        <w:contextualSpacing/>
        <w:rPr>
          <w:sz w:val="26"/>
          <w:szCs w:val="26"/>
        </w:rPr>
      </w:pPr>
    </w:p>
    <w:p w:rsidR="00F663DD" w:rsidRPr="00F663DD" w:rsidRDefault="00165C82" w:rsidP="00A12759">
      <w:pPr>
        <w:widowControl/>
        <w:spacing w:after="200" w:line="276" w:lineRule="auto"/>
        <w:ind w:left="1440" w:right="1440"/>
        <w:contextualSpacing/>
        <w:rPr>
          <w:sz w:val="26"/>
          <w:szCs w:val="26"/>
        </w:rPr>
      </w:pPr>
      <w:r>
        <w:rPr>
          <w:sz w:val="26"/>
          <w:szCs w:val="26"/>
        </w:rPr>
        <w:tab/>
        <w:t>15.</w:t>
      </w:r>
      <w:r>
        <w:rPr>
          <w:sz w:val="26"/>
          <w:szCs w:val="26"/>
        </w:rPr>
        <w:tab/>
      </w:r>
      <w:r w:rsidR="00F663DD" w:rsidRPr="00F663DD">
        <w:rPr>
          <w:sz w:val="26"/>
          <w:szCs w:val="26"/>
        </w:rPr>
        <w:t xml:space="preserve">Enrico Exhibit Number 7 contains the PJM wholesale hourly market price for March 2014 through August 2014.  Enrico Exh. No. 7; Tr. </w:t>
      </w:r>
      <w:r w:rsidR="00546AC7">
        <w:rPr>
          <w:sz w:val="26"/>
          <w:szCs w:val="26"/>
        </w:rPr>
        <w:t xml:space="preserve">[at] </w:t>
      </w:r>
      <w:r w:rsidR="00F663DD" w:rsidRPr="00F663DD">
        <w:rPr>
          <w:sz w:val="26"/>
          <w:szCs w:val="26"/>
        </w:rPr>
        <w:t>17-19.</w:t>
      </w:r>
    </w:p>
    <w:p w:rsidR="00F663DD" w:rsidRPr="00F663DD" w:rsidRDefault="00F663DD" w:rsidP="00F663DD">
      <w:pPr>
        <w:ind w:left="1440" w:right="1440"/>
        <w:contextualSpacing/>
        <w:rPr>
          <w:sz w:val="26"/>
          <w:szCs w:val="26"/>
        </w:rPr>
      </w:pPr>
    </w:p>
    <w:p w:rsidR="00F663DD" w:rsidRPr="00F663DD" w:rsidRDefault="00165C82" w:rsidP="00A12759">
      <w:pPr>
        <w:widowControl/>
        <w:spacing w:after="200" w:line="276" w:lineRule="auto"/>
        <w:ind w:left="1440" w:right="1440"/>
        <w:contextualSpacing/>
        <w:rPr>
          <w:sz w:val="26"/>
          <w:szCs w:val="26"/>
        </w:rPr>
      </w:pPr>
      <w:r>
        <w:rPr>
          <w:sz w:val="26"/>
          <w:szCs w:val="26"/>
        </w:rPr>
        <w:tab/>
        <w:t>16.</w:t>
      </w:r>
      <w:r>
        <w:rPr>
          <w:sz w:val="26"/>
          <w:szCs w:val="26"/>
        </w:rPr>
        <w:tab/>
      </w:r>
      <w:r w:rsidR="00F663DD" w:rsidRPr="00F663DD">
        <w:rPr>
          <w:sz w:val="26"/>
          <w:szCs w:val="26"/>
        </w:rPr>
        <w:t xml:space="preserve">Mr. Holtz calculated the average daily hourly price of the PJM wholesale hourly market price.  Tr. </w:t>
      </w:r>
      <w:r w:rsidR="00546AC7">
        <w:rPr>
          <w:sz w:val="26"/>
          <w:szCs w:val="26"/>
        </w:rPr>
        <w:t xml:space="preserve">[at] </w:t>
      </w:r>
      <w:r w:rsidR="00F663DD" w:rsidRPr="00F663DD">
        <w:rPr>
          <w:sz w:val="26"/>
          <w:szCs w:val="26"/>
        </w:rPr>
        <w:t>18-19.</w:t>
      </w:r>
    </w:p>
    <w:p w:rsidR="00F663DD" w:rsidRPr="00F663DD" w:rsidRDefault="00F663DD" w:rsidP="00F663DD">
      <w:pPr>
        <w:ind w:left="1440" w:right="1440"/>
        <w:contextualSpacing/>
        <w:rPr>
          <w:sz w:val="26"/>
          <w:szCs w:val="26"/>
        </w:rPr>
      </w:pPr>
    </w:p>
    <w:p w:rsidR="00F663DD" w:rsidRPr="00F663DD" w:rsidRDefault="00165C82" w:rsidP="00A12759">
      <w:pPr>
        <w:widowControl/>
        <w:spacing w:after="200" w:line="276" w:lineRule="auto"/>
        <w:ind w:left="1440" w:right="1440"/>
        <w:contextualSpacing/>
        <w:rPr>
          <w:sz w:val="26"/>
          <w:szCs w:val="26"/>
        </w:rPr>
      </w:pPr>
      <w:r>
        <w:rPr>
          <w:sz w:val="26"/>
          <w:szCs w:val="26"/>
        </w:rPr>
        <w:tab/>
        <w:t>17.</w:t>
      </w:r>
      <w:r>
        <w:rPr>
          <w:sz w:val="26"/>
          <w:szCs w:val="26"/>
        </w:rPr>
        <w:tab/>
      </w:r>
      <w:r w:rsidR="00F663DD" w:rsidRPr="00F663DD">
        <w:rPr>
          <w:sz w:val="26"/>
          <w:szCs w:val="26"/>
        </w:rPr>
        <w:t xml:space="preserve">Enrico received the fixed rate of 7.9 cents per kwh from March 7, 2014 to May 4, 2014.  Tr. </w:t>
      </w:r>
      <w:r w:rsidR="00546AC7">
        <w:rPr>
          <w:sz w:val="26"/>
          <w:szCs w:val="26"/>
        </w:rPr>
        <w:t xml:space="preserve">[at] </w:t>
      </w:r>
      <w:r w:rsidR="00F663DD" w:rsidRPr="00F663DD">
        <w:rPr>
          <w:sz w:val="26"/>
          <w:szCs w:val="26"/>
        </w:rPr>
        <w:t>19.</w:t>
      </w:r>
    </w:p>
    <w:p w:rsidR="00F663DD" w:rsidRPr="00F663DD" w:rsidRDefault="00F663DD" w:rsidP="00F663DD">
      <w:pPr>
        <w:ind w:left="1440" w:right="1440"/>
        <w:contextualSpacing/>
        <w:rPr>
          <w:sz w:val="26"/>
          <w:szCs w:val="26"/>
        </w:rPr>
      </w:pPr>
    </w:p>
    <w:p w:rsidR="00F663DD" w:rsidRPr="00F663DD" w:rsidRDefault="00165C82" w:rsidP="00A12759">
      <w:pPr>
        <w:widowControl/>
        <w:spacing w:after="200" w:line="276" w:lineRule="auto"/>
        <w:ind w:left="1440" w:right="1440"/>
        <w:contextualSpacing/>
        <w:rPr>
          <w:sz w:val="26"/>
          <w:szCs w:val="26"/>
        </w:rPr>
      </w:pPr>
      <w:r>
        <w:rPr>
          <w:sz w:val="26"/>
          <w:szCs w:val="26"/>
        </w:rPr>
        <w:tab/>
        <w:t>18.</w:t>
      </w:r>
      <w:r>
        <w:rPr>
          <w:sz w:val="26"/>
          <w:szCs w:val="26"/>
        </w:rPr>
        <w:tab/>
      </w:r>
      <w:r w:rsidR="00F663DD" w:rsidRPr="00F663DD">
        <w:rPr>
          <w:sz w:val="26"/>
          <w:szCs w:val="26"/>
        </w:rPr>
        <w:t xml:space="preserve">According to Mr. Holtz’s calculations, the average daily hourly price of the PJM wholesale market price during the sixty-day introductory fixed-price period was 4.699 cents per kwh when Enrico was paying Blue Pilot 7.9 cents per kwh.  Enrico Exh. No. 7; Tr. </w:t>
      </w:r>
      <w:r w:rsidR="00546AC7">
        <w:rPr>
          <w:sz w:val="26"/>
          <w:szCs w:val="26"/>
        </w:rPr>
        <w:t xml:space="preserve">[at] </w:t>
      </w:r>
      <w:r w:rsidR="00F663DD" w:rsidRPr="00F663DD">
        <w:rPr>
          <w:sz w:val="26"/>
          <w:szCs w:val="26"/>
        </w:rPr>
        <w:t>20-21.</w:t>
      </w:r>
    </w:p>
    <w:p w:rsidR="00F663DD" w:rsidRPr="00F663DD" w:rsidRDefault="00F663DD" w:rsidP="00F663DD">
      <w:pPr>
        <w:ind w:left="1440" w:right="1440"/>
        <w:rPr>
          <w:sz w:val="26"/>
          <w:szCs w:val="26"/>
        </w:rPr>
      </w:pPr>
    </w:p>
    <w:p w:rsidR="00F663DD" w:rsidRPr="00F663DD" w:rsidRDefault="00165C82" w:rsidP="00A12759">
      <w:pPr>
        <w:widowControl/>
        <w:spacing w:after="200" w:line="276" w:lineRule="auto"/>
        <w:ind w:left="1440" w:right="1440"/>
        <w:contextualSpacing/>
        <w:rPr>
          <w:sz w:val="26"/>
          <w:szCs w:val="26"/>
        </w:rPr>
      </w:pPr>
      <w:r>
        <w:rPr>
          <w:sz w:val="26"/>
          <w:szCs w:val="26"/>
        </w:rPr>
        <w:tab/>
        <w:t>19.</w:t>
      </w:r>
      <w:r>
        <w:rPr>
          <w:sz w:val="26"/>
          <w:szCs w:val="26"/>
        </w:rPr>
        <w:tab/>
      </w:r>
      <w:r w:rsidR="00F663DD" w:rsidRPr="00F663DD">
        <w:rPr>
          <w:sz w:val="26"/>
          <w:szCs w:val="26"/>
        </w:rPr>
        <w:t xml:space="preserve">According to Mr. Holtz’s calculations, the average daily hourly price of the PJM wholesale market price during Enrico’s third billing period was 3.544 cents per kwh when Enrico was paying Blue Pilot 7.9 cents per kwh.  Enrico Exh. No. 7; Tr. </w:t>
      </w:r>
      <w:r w:rsidR="00546AC7">
        <w:rPr>
          <w:sz w:val="26"/>
          <w:szCs w:val="26"/>
        </w:rPr>
        <w:t xml:space="preserve">[at] </w:t>
      </w:r>
      <w:r w:rsidR="00F663DD" w:rsidRPr="00F663DD">
        <w:rPr>
          <w:sz w:val="26"/>
          <w:szCs w:val="26"/>
        </w:rPr>
        <w:t>21.</w:t>
      </w:r>
    </w:p>
    <w:p w:rsidR="00F663DD" w:rsidRPr="00F663DD" w:rsidRDefault="00F663DD" w:rsidP="00F663DD">
      <w:pPr>
        <w:ind w:left="1440" w:right="1440"/>
        <w:contextualSpacing/>
        <w:rPr>
          <w:sz w:val="26"/>
          <w:szCs w:val="26"/>
        </w:rPr>
      </w:pPr>
    </w:p>
    <w:p w:rsidR="00F663DD" w:rsidRPr="00F663DD" w:rsidRDefault="00165C82" w:rsidP="00A12759">
      <w:pPr>
        <w:widowControl/>
        <w:spacing w:after="200" w:line="276" w:lineRule="auto"/>
        <w:ind w:left="1440" w:right="1440"/>
        <w:contextualSpacing/>
        <w:rPr>
          <w:sz w:val="26"/>
          <w:szCs w:val="26"/>
        </w:rPr>
      </w:pPr>
      <w:r>
        <w:rPr>
          <w:sz w:val="26"/>
          <w:szCs w:val="26"/>
        </w:rPr>
        <w:tab/>
        <w:t>20.</w:t>
      </w:r>
      <w:r>
        <w:rPr>
          <w:sz w:val="26"/>
          <w:szCs w:val="26"/>
        </w:rPr>
        <w:tab/>
      </w:r>
      <w:r w:rsidR="00F663DD" w:rsidRPr="00F663DD">
        <w:rPr>
          <w:sz w:val="26"/>
          <w:szCs w:val="26"/>
        </w:rPr>
        <w:t xml:space="preserve">According to Mr. Holtz’s calculations, the average daily hourly price of the PJM wholesale market price during Enrico’s fourth billing period was 3.994 cents per kwh when Enrico was paying Blue Pilot 24.9 cents per kwh.  Enrico Exh. No. 7; Tr. </w:t>
      </w:r>
      <w:r w:rsidR="00546AC7">
        <w:rPr>
          <w:sz w:val="26"/>
          <w:szCs w:val="26"/>
        </w:rPr>
        <w:t xml:space="preserve">[at] </w:t>
      </w:r>
      <w:r w:rsidR="00F663DD" w:rsidRPr="00F663DD">
        <w:rPr>
          <w:sz w:val="26"/>
          <w:szCs w:val="26"/>
        </w:rPr>
        <w:t>21-22.</w:t>
      </w:r>
    </w:p>
    <w:p w:rsidR="00F663DD" w:rsidRPr="00F663DD" w:rsidRDefault="00F663DD" w:rsidP="00F663DD">
      <w:pPr>
        <w:ind w:left="1440" w:right="1440"/>
        <w:contextualSpacing/>
        <w:rPr>
          <w:sz w:val="26"/>
          <w:szCs w:val="26"/>
        </w:rPr>
      </w:pPr>
    </w:p>
    <w:p w:rsidR="00F663DD" w:rsidRPr="00F663DD" w:rsidRDefault="00165C82" w:rsidP="00A12759">
      <w:pPr>
        <w:widowControl/>
        <w:spacing w:after="200" w:line="276" w:lineRule="auto"/>
        <w:ind w:left="1440" w:right="1440"/>
        <w:contextualSpacing/>
        <w:rPr>
          <w:sz w:val="26"/>
          <w:szCs w:val="26"/>
        </w:rPr>
      </w:pPr>
      <w:r>
        <w:rPr>
          <w:sz w:val="26"/>
          <w:szCs w:val="26"/>
        </w:rPr>
        <w:tab/>
        <w:t>21.</w:t>
      </w:r>
      <w:r>
        <w:rPr>
          <w:sz w:val="26"/>
          <w:szCs w:val="26"/>
        </w:rPr>
        <w:tab/>
      </w:r>
      <w:r w:rsidR="00F663DD" w:rsidRPr="00F663DD">
        <w:rPr>
          <w:sz w:val="26"/>
          <w:szCs w:val="26"/>
        </w:rPr>
        <w:t xml:space="preserve">According to Mr. Holtz’s calculations, the average daily hourly price of the PJM wholesale market price during Enrico’s fifth billing period was 3.559 cents per kwh when Enrico was paying Blue Pilot 24.9 cents per kwh.  Enrico Exh. No. 7; Tr. </w:t>
      </w:r>
      <w:r w:rsidR="00546AC7">
        <w:rPr>
          <w:sz w:val="26"/>
          <w:szCs w:val="26"/>
        </w:rPr>
        <w:t xml:space="preserve">[at] </w:t>
      </w:r>
      <w:r w:rsidR="00F663DD" w:rsidRPr="00F663DD">
        <w:rPr>
          <w:sz w:val="26"/>
          <w:szCs w:val="26"/>
        </w:rPr>
        <w:t>22.</w:t>
      </w:r>
    </w:p>
    <w:p w:rsidR="00F663DD" w:rsidRPr="00F663DD" w:rsidRDefault="00F663DD" w:rsidP="00F663DD">
      <w:pPr>
        <w:ind w:left="1440" w:right="1440"/>
        <w:contextualSpacing/>
        <w:rPr>
          <w:sz w:val="26"/>
          <w:szCs w:val="26"/>
        </w:rPr>
      </w:pPr>
    </w:p>
    <w:p w:rsidR="00F663DD" w:rsidRPr="00F663DD" w:rsidRDefault="00165C82" w:rsidP="00A12759">
      <w:pPr>
        <w:widowControl/>
        <w:spacing w:after="200" w:line="276" w:lineRule="auto"/>
        <w:ind w:left="1440" w:right="1440"/>
        <w:contextualSpacing/>
        <w:rPr>
          <w:sz w:val="26"/>
          <w:szCs w:val="26"/>
        </w:rPr>
      </w:pPr>
      <w:r>
        <w:rPr>
          <w:sz w:val="26"/>
          <w:szCs w:val="26"/>
        </w:rPr>
        <w:tab/>
        <w:t>22.</w:t>
      </w:r>
      <w:r>
        <w:rPr>
          <w:sz w:val="26"/>
          <w:szCs w:val="26"/>
        </w:rPr>
        <w:tab/>
      </w:r>
      <w:r w:rsidR="00F663DD" w:rsidRPr="00F663DD">
        <w:rPr>
          <w:sz w:val="26"/>
          <w:szCs w:val="26"/>
        </w:rPr>
        <w:t xml:space="preserve">According to Mr. Holtz’s calculations, if the rate was determined by the average daily hourly price of the PJM wholesale market price during the third, fourth and fifth billing periods compared to the 7.9 cents per kwh rate, the difference would be a credit to Enrico of $3,374.48.  Enrico Exh. No. 7; Tr. </w:t>
      </w:r>
      <w:r w:rsidR="00546AC7">
        <w:rPr>
          <w:sz w:val="26"/>
          <w:szCs w:val="26"/>
        </w:rPr>
        <w:t xml:space="preserve">[at] </w:t>
      </w:r>
      <w:r w:rsidR="00F663DD" w:rsidRPr="00F663DD">
        <w:rPr>
          <w:sz w:val="26"/>
          <w:szCs w:val="26"/>
        </w:rPr>
        <w:t>23.</w:t>
      </w:r>
    </w:p>
    <w:p w:rsidR="00F663DD" w:rsidRPr="00F663DD" w:rsidRDefault="00F663DD" w:rsidP="00F663DD">
      <w:pPr>
        <w:ind w:left="1440" w:right="1440"/>
        <w:contextualSpacing/>
        <w:rPr>
          <w:sz w:val="26"/>
          <w:szCs w:val="26"/>
        </w:rPr>
      </w:pPr>
    </w:p>
    <w:p w:rsidR="00F663DD" w:rsidRPr="00F663DD" w:rsidRDefault="00165C82" w:rsidP="00A12759">
      <w:pPr>
        <w:widowControl/>
        <w:spacing w:after="200" w:line="276" w:lineRule="auto"/>
        <w:ind w:left="1440" w:right="1440"/>
        <w:contextualSpacing/>
        <w:rPr>
          <w:sz w:val="26"/>
          <w:szCs w:val="26"/>
        </w:rPr>
      </w:pPr>
      <w:r>
        <w:rPr>
          <w:sz w:val="26"/>
          <w:szCs w:val="26"/>
        </w:rPr>
        <w:tab/>
        <w:t>23.</w:t>
      </w:r>
      <w:r>
        <w:rPr>
          <w:sz w:val="26"/>
          <w:szCs w:val="26"/>
        </w:rPr>
        <w:tab/>
      </w:r>
      <w:r w:rsidR="00F663DD" w:rsidRPr="00F663DD">
        <w:rPr>
          <w:sz w:val="26"/>
          <w:szCs w:val="26"/>
        </w:rPr>
        <w:t xml:space="preserve">The total amount for the five billing periods Blue Pilot has overcharged Enrico is $23,794 plus, $3,374.48, or $27,168.48.  Tr. </w:t>
      </w:r>
      <w:r w:rsidR="00B850F6">
        <w:rPr>
          <w:sz w:val="26"/>
          <w:szCs w:val="26"/>
        </w:rPr>
        <w:t xml:space="preserve">[at] </w:t>
      </w:r>
      <w:r w:rsidR="00F663DD" w:rsidRPr="00F663DD">
        <w:rPr>
          <w:sz w:val="26"/>
          <w:szCs w:val="26"/>
        </w:rPr>
        <w:t>23.</w:t>
      </w:r>
    </w:p>
    <w:p w:rsidR="00F663DD" w:rsidRPr="00F663DD" w:rsidRDefault="00F663DD" w:rsidP="00F663DD">
      <w:pPr>
        <w:widowControl/>
        <w:ind w:left="1440" w:right="1440"/>
        <w:contextualSpacing/>
        <w:rPr>
          <w:sz w:val="24"/>
          <w:szCs w:val="24"/>
        </w:rPr>
      </w:pPr>
    </w:p>
    <w:p w:rsidR="00F663DD" w:rsidRPr="00F663DD" w:rsidRDefault="007E3E14" w:rsidP="00F663DD">
      <w:pPr>
        <w:spacing w:line="480" w:lineRule="auto"/>
        <w:rPr>
          <w:sz w:val="26"/>
          <w:szCs w:val="26"/>
        </w:rPr>
      </w:pPr>
      <w:r>
        <w:rPr>
          <w:sz w:val="26"/>
          <w:szCs w:val="26"/>
        </w:rPr>
        <w:t>I.D. at 4-5</w:t>
      </w:r>
      <w:r w:rsidR="00F663DD" w:rsidRPr="00F663DD">
        <w:rPr>
          <w:sz w:val="26"/>
          <w:szCs w:val="26"/>
        </w:rPr>
        <w:t>.</w:t>
      </w:r>
    </w:p>
    <w:p w:rsidR="00F663DD" w:rsidRPr="00F663DD" w:rsidRDefault="00B850F6" w:rsidP="00F663DD">
      <w:pPr>
        <w:spacing w:line="360" w:lineRule="auto"/>
        <w:ind w:firstLine="1440"/>
        <w:rPr>
          <w:sz w:val="26"/>
          <w:szCs w:val="26"/>
        </w:rPr>
      </w:pPr>
      <w:r>
        <w:rPr>
          <w:sz w:val="26"/>
          <w:szCs w:val="26"/>
        </w:rPr>
        <w:t>The</w:t>
      </w:r>
      <w:r w:rsidR="00F663DD" w:rsidRPr="00F663DD">
        <w:rPr>
          <w:sz w:val="26"/>
          <w:szCs w:val="26"/>
        </w:rPr>
        <w:t xml:space="preserve"> </w:t>
      </w:r>
      <w:r>
        <w:rPr>
          <w:sz w:val="26"/>
          <w:szCs w:val="26"/>
        </w:rPr>
        <w:t xml:space="preserve">unrebutted </w:t>
      </w:r>
      <w:r w:rsidR="00F663DD" w:rsidRPr="00F663DD">
        <w:rPr>
          <w:sz w:val="26"/>
          <w:szCs w:val="26"/>
        </w:rPr>
        <w:t>testimony of Enrico</w:t>
      </w:r>
      <w:r>
        <w:rPr>
          <w:sz w:val="26"/>
          <w:szCs w:val="26"/>
        </w:rPr>
        <w:t>’s</w:t>
      </w:r>
      <w:r w:rsidR="00F663DD" w:rsidRPr="00F663DD">
        <w:rPr>
          <w:sz w:val="26"/>
          <w:szCs w:val="26"/>
        </w:rPr>
        <w:t xml:space="preserve"> witness sets forth the hourly wholesale PJM prices as recorded during the pertinent term of the Service Agreement.  The only evidence of record </w:t>
      </w:r>
      <w:r>
        <w:rPr>
          <w:sz w:val="26"/>
          <w:szCs w:val="26"/>
        </w:rPr>
        <w:t>pertaining to changes in</w:t>
      </w:r>
      <w:r w:rsidR="00F663DD" w:rsidRPr="00F663DD">
        <w:rPr>
          <w:sz w:val="26"/>
          <w:szCs w:val="26"/>
        </w:rPr>
        <w:t xml:space="preserve"> the PJM market prices indicate a downward, rather than an upward, trend.   Based on the foregoing, the evidence in this proceeding</w:t>
      </w:r>
      <w:r>
        <w:rPr>
          <w:sz w:val="26"/>
          <w:szCs w:val="26"/>
        </w:rPr>
        <w:t xml:space="preserve"> indicates</w:t>
      </w:r>
      <w:r w:rsidR="00F663DD" w:rsidRPr="00F663DD">
        <w:rPr>
          <w:sz w:val="26"/>
          <w:szCs w:val="26"/>
        </w:rPr>
        <w:t xml:space="preserve"> that the variable rate should have </w:t>
      </w:r>
      <w:r>
        <w:rPr>
          <w:sz w:val="26"/>
          <w:szCs w:val="26"/>
        </w:rPr>
        <w:t>trended</w:t>
      </w:r>
      <w:r w:rsidR="00F663DD" w:rsidRPr="00F663DD">
        <w:rPr>
          <w:sz w:val="26"/>
          <w:szCs w:val="26"/>
        </w:rPr>
        <w:t xml:space="preserve"> downward rather than upward to the approximately </w:t>
      </w:r>
      <w:r>
        <w:rPr>
          <w:sz w:val="26"/>
          <w:szCs w:val="26"/>
        </w:rPr>
        <w:t>$0.24</w:t>
      </w:r>
      <w:r w:rsidR="00F663DD" w:rsidRPr="00F663DD">
        <w:rPr>
          <w:sz w:val="26"/>
          <w:szCs w:val="26"/>
        </w:rPr>
        <w:t xml:space="preserve"> per kWh charged by Blue Pilot.      </w:t>
      </w:r>
    </w:p>
    <w:p w:rsidR="00F663DD" w:rsidRPr="00F663DD" w:rsidRDefault="00F663DD" w:rsidP="00F663DD">
      <w:pPr>
        <w:spacing w:line="360" w:lineRule="auto"/>
        <w:rPr>
          <w:sz w:val="26"/>
          <w:szCs w:val="26"/>
        </w:rPr>
      </w:pPr>
    </w:p>
    <w:p w:rsidR="00F663DD" w:rsidRPr="00F663DD" w:rsidRDefault="00F663DD" w:rsidP="00F663DD">
      <w:pPr>
        <w:spacing w:line="360" w:lineRule="auto"/>
        <w:ind w:firstLine="1440"/>
        <w:rPr>
          <w:sz w:val="26"/>
          <w:szCs w:val="26"/>
        </w:rPr>
      </w:pPr>
      <w:r w:rsidRPr="00F663DD">
        <w:rPr>
          <w:sz w:val="26"/>
          <w:szCs w:val="26"/>
        </w:rPr>
        <w:t xml:space="preserve">Consistent with our inherent general powers under Section 501 of the Code, discussed in </w:t>
      </w:r>
      <w:r w:rsidRPr="00F663DD">
        <w:rPr>
          <w:i/>
          <w:sz w:val="26"/>
          <w:szCs w:val="26"/>
        </w:rPr>
        <w:t>IDT</w:t>
      </w:r>
      <w:r w:rsidR="00282565">
        <w:rPr>
          <w:i/>
          <w:sz w:val="26"/>
          <w:szCs w:val="26"/>
        </w:rPr>
        <w:t xml:space="preserve"> Energy</w:t>
      </w:r>
      <w:r w:rsidRPr="00F663DD">
        <w:rPr>
          <w:sz w:val="26"/>
          <w:szCs w:val="26"/>
        </w:rPr>
        <w:t xml:space="preserve">, we may, when the facts and circumstances justify it, direct a billing adjustment and refund based on a finding that the customer was subjected to an </w:t>
      </w:r>
      <w:r w:rsidRPr="00F663DD">
        <w:rPr>
          <w:sz w:val="26"/>
          <w:szCs w:val="26"/>
        </w:rPr>
        <w:lastRenderedPageBreak/>
        <w:t>overbilling according to the E</w:t>
      </w:r>
      <w:r w:rsidR="00621B05">
        <w:rPr>
          <w:sz w:val="26"/>
          <w:szCs w:val="26"/>
        </w:rPr>
        <w:t>GS’ oral or written marketing, disclosure s</w:t>
      </w:r>
      <w:r w:rsidRPr="00F663DD">
        <w:rPr>
          <w:sz w:val="26"/>
          <w:szCs w:val="26"/>
        </w:rPr>
        <w:t xml:space="preserve">tatement, or other documents or circumstances.  </w:t>
      </w:r>
      <w:r w:rsidR="00282565">
        <w:rPr>
          <w:i/>
          <w:sz w:val="26"/>
          <w:szCs w:val="26"/>
        </w:rPr>
        <w:t>See</w:t>
      </w:r>
      <w:r w:rsidR="00514005">
        <w:rPr>
          <w:i/>
          <w:sz w:val="26"/>
          <w:szCs w:val="26"/>
        </w:rPr>
        <w:t>,</w:t>
      </w:r>
      <w:r w:rsidR="00282565">
        <w:rPr>
          <w:i/>
          <w:sz w:val="26"/>
          <w:szCs w:val="26"/>
        </w:rPr>
        <w:t xml:space="preserve"> </w:t>
      </w:r>
      <w:r w:rsidRPr="00F663DD">
        <w:rPr>
          <w:i/>
          <w:sz w:val="26"/>
          <w:szCs w:val="26"/>
        </w:rPr>
        <w:t xml:space="preserve">e.g., </w:t>
      </w:r>
      <w:r w:rsidR="00282565">
        <w:rPr>
          <w:i/>
          <w:sz w:val="26"/>
          <w:szCs w:val="26"/>
        </w:rPr>
        <w:t xml:space="preserve">Herp </w:t>
      </w:r>
      <w:r w:rsidR="00282565">
        <w:rPr>
          <w:sz w:val="26"/>
          <w:szCs w:val="26"/>
        </w:rPr>
        <w:t xml:space="preserve">and </w:t>
      </w:r>
      <w:r w:rsidRPr="00F663DD">
        <w:rPr>
          <w:i/>
          <w:sz w:val="26"/>
          <w:szCs w:val="26"/>
        </w:rPr>
        <w:t>Kiback.</w:t>
      </w:r>
      <w:r w:rsidRPr="00F663DD">
        <w:rPr>
          <w:sz w:val="26"/>
          <w:szCs w:val="26"/>
        </w:rPr>
        <w:t xml:space="preserve">   </w:t>
      </w:r>
    </w:p>
    <w:p w:rsidR="00F663DD" w:rsidRPr="00F663DD" w:rsidRDefault="00F663DD" w:rsidP="00F663DD">
      <w:pPr>
        <w:spacing w:line="360" w:lineRule="auto"/>
        <w:ind w:firstLine="1440"/>
        <w:rPr>
          <w:sz w:val="26"/>
          <w:szCs w:val="26"/>
        </w:rPr>
      </w:pPr>
    </w:p>
    <w:p w:rsidR="00F663DD" w:rsidRPr="00F663DD" w:rsidRDefault="00B850F6" w:rsidP="00F663DD">
      <w:pPr>
        <w:spacing w:line="360" w:lineRule="auto"/>
        <w:ind w:firstLine="1440"/>
        <w:rPr>
          <w:sz w:val="26"/>
          <w:szCs w:val="26"/>
        </w:rPr>
      </w:pPr>
      <w:r>
        <w:rPr>
          <w:sz w:val="26"/>
          <w:szCs w:val="26"/>
        </w:rPr>
        <w:t>Accordingly</w:t>
      </w:r>
      <w:r w:rsidR="00F663DD" w:rsidRPr="00F663DD">
        <w:rPr>
          <w:sz w:val="26"/>
          <w:szCs w:val="26"/>
        </w:rPr>
        <w:t xml:space="preserve">, we shall deny the </w:t>
      </w:r>
      <w:r>
        <w:rPr>
          <w:sz w:val="26"/>
          <w:szCs w:val="26"/>
        </w:rPr>
        <w:t xml:space="preserve">second </w:t>
      </w:r>
      <w:r w:rsidR="00F663DD" w:rsidRPr="00F663DD">
        <w:rPr>
          <w:sz w:val="26"/>
          <w:szCs w:val="26"/>
        </w:rPr>
        <w:t>Exception.</w:t>
      </w:r>
      <w:r>
        <w:rPr>
          <w:rStyle w:val="FootnoteReference"/>
          <w:sz w:val="26"/>
          <w:szCs w:val="26"/>
        </w:rPr>
        <w:footnoteReference w:id="6"/>
      </w:r>
      <w:r w:rsidR="00F663DD" w:rsidRPr="00F663DD">
        <w:rPr>
          <w:sz w:val="26"/>
          <w:szCs w:val="26"/>
        </w:rPr>
        <w:t xml:space="preserve"> </w:t>
      </w:r>
    </w:p>
    <w:p w:rsidR="00AB006D" w:rsidRDefault="00AB006D" w:rsidP="001A538C">
      <w:pPr>
        <w:rPr>
          <w:b/>
          <w:sz w:val="26"/>
          <w:szCs w:val="26"/>
        </w:rPr>
      </w:pPr>
    </w:p>
    <w:p w:rsidR="00514005" w:rsidRPr="00A12759" w:rsidRDefault="009F3AC7" w:rsidP="00A12759">
      <w:pPr>
        <w:spacing w:line="360" w:lineRule="auto"/>
        <w:ind w:firstLine="720"/>
        <w:rPr>
          <w:b/>
          <w:sz w:val="26"/>
          <w:szCs w:val="26"/>
        </w:rPr>
      </w:pPr>
      <w:r>
        <w:rPr>
          <w:b/>
          <w:sz w:val="26"/>
          <w:szCs w:val="26"/>
        </w:rPr>
        <w:t xml:space="preserve">Compliance with </w:t>
      </w:r>
      <w:r w:rsidRPr="00A12759">
        <w:rPr>
          <w:b/>
          <w:sz w:val="26"/>
          <w:szCs w:val="26"/>
        </w:rPr>
        <w:t>Plain Language Requirement</w:t>
      </w:r>
    </w:p>
    <w:p w:rsidR="00514005" w:rsidRDefault="00514005" w:rsidP="001A538C">
      <w:pPr>
        <w:rPr>
          <w:b/>
          <w:sz w:val="26"/>
          <w:szCs w:val="26"/>
        </w:rPr>
      </w:pPr>
    </w:p>
    <w:p w:rsidR="00480FFA" w:rsidRPr="00FE1AA8" w:rsidRDefault="00696257" w:rsidP="00B82007">
      <w:pPr>
        <w:spacing w:line="360" w:lineRule="auto"/>
        <w:ind w:firstLine="1440"/>
        <w:rPr>
          <w:sz w:val="26"/>
          <w:szCs w:val="26"/>
        </w:rPr>
      </w:pPr>
      <w:r>
        <w:rPr>
          <w:sz w:val="26"/>
          <w:szCs w:val="26"/>
        </w:rPr>
        <w:t xml:space="preserve">In its third Exception, </w:t>
      </w:r>
      <w:r w:rsidR="00480FFA">
        <w:rPr>
          <w:sz w:val="26"/>
          <w:szCs w:val="26"/>
        </w:rPr>
        <w:t>Blue Pilot</w:t>
      </w:r>
      <w:r>
        <w:rPr>
          <w:sz w:val="26"/>
          <w:szCs w:val="26"/>
        </w:rPr>
        <w:t xml:space="preserve"> </w:t>
      </w:r>
      <w:r w:rsidR="0009080C">
        <w:rPr>
          <w:sz w:val="26"/>
          <w:szCs w:val="26"/>
        </w:rPr>
        <w:t xml:space="preserve">argues </w:t>
      </w:r>
      <w:r>
        <w:rPr>
          <w:sz w:val="26"/>
          <w:szCs w:val="26"/>
        </w:rPr>
        <w:t>that the ALJ</w:t>
      </w:r>
      <w:r w:rsidR="0009080C">
        <w:rPr>
          <w:sz w:val="26"/>
          <w:szCs w:val="26"/>
        </w:rPr>
        <w:t xml:space="preserve"> erred in finding that </w:t>
      </w:r>
      <w:r>
        <w:rPr>
          <w:sz w:val="26"/>
          <w:szCs w:val="26"/>
        </w:rPr>
        <w:t xml:space="preserve">the </w:t>
      </w:r>
      <w:r w:rsidR="00B238F0">
        <w:rPr>
          <w:sz w:val="26"/>
          <w:szCs w:val="26"/>
        </w:rPr>
        <w:t xml:space="preserve">Company’s disclosure statement </w:t>
      </w:r>
      <w:r>
        <w:rPr>
          <w:sz w:val="26"/>
          <w:szCs w:val="26"/>
        </w:rPr>
        <w:t xml:space="preserve">failed to comply with the Commission’s plain language requirements.   </w:t>
      </w:r>
      <w:r w:rsidR="0009080C">
        <w:rPr>
          <w:sz w:val="26"/>
          <w:szCs w:val="26"/>
        </w:rPr>
        <w:t xml:space="preserve">Within this Exception are </w:t>
      </w:r>
      <w:r w:rsidR="004B7B47">
        <w:rPr>
          <w:sz w:val="26"/>
          <w:szCs w:val="26"/>
        </w:rPr>
        <w:t xml:space="preserve">several </w:t>
      </w:r>
      <w:r w:rsidR="0009080C">
        <w:rPr>
          <w:sz w:val="26"/>
          <w:szCs w:val="26"/>
        </w:rPr>
        <w:t>sub-arguments related to the plain language finding.  Primarily</w:t>
      </w:r>
      <w:r w:rsidR="007E3E14">
        <w:rPr>
          <w:sz w:val="26"/>
          <w:szCs w:val="26"/>
        </w:rPr>
        <w:t xml:space="preserve">, Blue Pilot asserts </w:t>
      </w:r>
      <w:r w:rsidR="00A070B8">
        <w:rPr>
          <w:sz w:val="26"/>
          <w:szCs w:val="26"/>
        </w:rPr>
        <w:t xml:space="preserve">a </w:t>
      </w:r>
      <w:r w:rsidR="007E3E14">
        <w:rPr>
          <w:sz w:val="26"/>
          <w:szCs w:val="26"/>
        </w:rPr>
        <w:t xml:space="preserve">due process </w:t>
      </w:r>
      <w:r w:rsidR="00A070B8">
        <w:rPr>
          <w:sz w:val="26"/>
          <w:szCs w:val="26"/>
        </w:rPr>
        <w:t>violation</w:t>
      </w:r>
      <w:r w:rsidR="007E3E14">
        <w:rPr>
          <w:sz w:val="26"/>
          <w:szCs w:val="26"/>
        </w:rPr>
        <w:t xml:space="preserve"> </w:t>
      </w:r>
      <w:r w:rsidR="00B82007">
        <w:rPr>
          <w:sz w:val="26"/>
          <w:szCs w:val="26"/>
        </w:rPr>
        <w:t xml:space="preserve">claiming lack of notice that the ALJ would evaluate the disclosure materials under the Commission’s plain language requirements and failure of the Commission to provide clear standards governing </w:t>
      </w:r>
      <w:r w:rsidR="0009080C">
        <w:rPr>
          <w:sz w:val="26"/>
          <w:szCs w:val="26"/>
        </w:rPr>
        <w:t xml:space="preserve">these </w:t>
      </w:r>
      <w:r w:rsidR="00B82007">
        <w:rPr>
          <w:sz w:val="26"/>
          <w:szCs w:val="26"/>
        </w:rPr>
        <w:t xml:space="preserve">requirements.  Exc. 12-21.  </w:t>
      </w:r>
    </w:p>
    <w:p w:rsidR="00480FFA" w:rsidRPr="00FE1AA8" w:rsidRDefault="00480FFA" w:rsidP="00A12759">
      <w:pPr>
        <w:spacing w:line="360" w:lineRule="auto"/>
        <w:rPr>
          <w:sz w:val="26"/>
          <w:szCs w:val="26"/>
        </w:rPr>
      </w:pPr>
      <w:r>
        <w:rPr>
          <w:sz w:val="26"/>
          <w:szCs w:val="26"/>
        </w:rPr>
        <w:t xml:space="preserve"> </w:t>
      </w:r>
    </w:p>
    <w:p w:rsidR="00270CA1" w:rsidRDefault="00480FFA" w:rsidP="00270CA1">
      <w:pPr>
        <w:spacing w:line="360" w:lineRule="auto"/>
        <w:ind w:firstLine="1440"/>
        <w:rPr>
          <w:sz w:val="26"/>
          <w:szCs w:val="26"/>
        </w:rPr>
      </w:pPr>
      <w:r>
        <w:rPr>
          <w:sz w:val="26"/>
          <w:szCs w:val="26"/>
        </w:rPr>
        <w:t xml:space="preserve">In this Exception, Blue Pilot </w:t>
      </w:r>
      <w:r w:rsidR="00270CA1">
        <w:rPr>
          <w:sz w:val="26"/>
          <w:szCs w:val="26"/>
        </w:rPr>
        <w:t>contends</w:t>
      </w:r>
      <w:r>
        <w:rPr>
          <w:sz w:val="26"/>
          <w:szCs w:val="26"/>
        </w:rPr>
        <w:t xml:space="preserve"> that the ALJ committed error by, unilaterally, and after the close of the record and the filing of briefs, injecting the issue regarding its compliance with the </w:t>
      </w:r>
      <w:r w:rsidR="00D03F84">
        <w:rPr>
          <w:sz w:val="26"/>
          <w:szCs w:val="26"/>
        </w:rPr>
        <w:t xml:space="preserve">Commission’s </w:t>
      </w:r>
      <w:r>
        <w:rPr>
          <w:sz w:val="26"/>
          <w:szCs w:val="26"/>
        </w:rPr>
        <w:t>plain language requirements.  Exc. at 12-13.</w:t>
      </w:r>
      <w:r w:rsidR="00270CA1">
        <w:rPr>
          <w:sz w:val="26"/>
          <w:szCs w:val="26"/>
        </w:rPr>
        <w:t xml:space="preserve">  Citing the ALJ’s comment that the term “plain language” is not defined in the Code, the Commission’s Regulations or the Commission’s Policy Statement on Plain Language Guidelines, 52 Pa. Code § 69.251, Blue Pilot argues that it is inappropriate to review the language in Blue Pilot’s contract with Enrico </w:t>
      </w:r>
      <w:r w:rsidR="00D03F84">
        <w:rPr>
          <w:sz w:val="26"/>
          <w:szCs w:val="26"/>
        </w:rPr>
        <w:t xml:space="preserve">under such plain language requirements </w:t>
      </w:r>
      <w:r w:rsidR="00270CA1">
        <w:rPr>
          <w:sz w:val="26"/>
          <w:szCs w:val="26"/>
        </w:rPr>
        <w:t>and to impose a civil penalty upon Blue Pilot.  Exc. at 19.</w:t>
      </w:r>
    </w:p>
    <w:p w:rsidR="00480FFA" w:rsidRDefault="00480FFA" w:rsidP="00480FFA">
      <w:pPr>
        <w:spacing w:line="360" w:lineRule="auto"/>
        <w:rPr>
          <w:b/>
          <w:sz w:val="26"/>
          <w:szCs w:val="26"/>
        </w:rPr>
      </w:pPr>
    </w:p>
    <w:p w:rsidR="00480FFA" w:rsidRDefault="00621FF3" w:rsidP="00480FFA">
      <w:pPr>
        <w:spacing w:line="360" w:lineRule="auto"/>
        <w:ind w:firstLine="1440"/>
        <w:rPr>
          <w:sz w:val="26"/>
          <w:szCs w:val="26"/>
        </w:rPr>
      </w:pPr>
      <w:r>
        <w:rPr>
          <w:sz w:val="26"/>
          <w:szCs w:val="26"/>
        </w:rPr>
        <w:t xml:space="preserve">In response, </w:t>
      </w:r>
      <w:r w:rsidR="00480FFA">
        <w:rPr>
          <w:sz w:val="26"/>
          <w:szCs w:val="26"/>
        </w:rPr>
        <w:t xml:space="preserve">Enrico </w:t>
      </w:r>
      <w:r w:rsidR="00E71EA9">
        <w:rPr>
          <w:sz w:val="26"/>
          <w:szCs w:val="26"/>
        </w:rPr>
        <w:t xml:space="preserve">explains </w:t>
      </w:r>
      <w:r w:rsidR="00D03F84">
        <w:rPr>
          <w:sz w:val="26"/>
          <w:szCs w:val="26"/>
        </w:rPr>
        <w:t xml:space="preserve">that the issue of plain language has been the basis of its claim from the beginning of its Complaint proceeding.  Additionally, Enrico believes the ALJ properly concluded that all </w:t>
      </w:r>
      <w:r w:rsidR="00E71EA9">
        <w:rPr>
          <w:sz w:val="26"/>
          <w:szCs w:val="26"/>
        </w:rPr>
        <w:t xml:space="preserve">disclosures must be clear and unequivocal.  </w:t>
      </w:r>
      <w:r w:rsidR="00E71EA9">
        <w:rPr>
          <w:sz w:val="26"/>
          <w:szCs w:val="26"/>
        </w:rPr>
        <w:lastRenderedPageBreak/>
        <w:t xml:space="preserve">According to the Complainant, </w:t>
      </w:r>
      <w:r w:rsidR="00D03F84">
        <w:rPr>
          <w:sz w:val="26"/>
          <w:szCs w:val="26"/>
        </w:rPr>
        <w:t xml:space="preserve">the ALJ correctly explained that language is ambiguous when it conveys two or more reasonable meanings or when it is otherwise vague, uncertain or indefinite.  R. Exc. at 7-8 (citing </w:t>
      </w:r>
      <w:r w:rsidR="00D03F84" w:rsidRPr="00195267">
        <w:rPr>
          <w:i/>
          <w:sz w:val="26"/>
          <w:szCs w:val="26"/>
        </w:rPr>
        <w:t>Barasch v. Pa. PUC</w:t>
      </w:r>
      <w:r w:rsidR="00451C92">
        <w:rPr>
          <w:sz w:val="26"/>
          <w:szCs w:val="26"/>
        </w:rPr>
        <w:t xml:space="preserve">, 516 Pa. 142, 156, 532 A.2d 325, 332 </w:t>
      </w:r>
      <w:r w:rsidR="00D03F84">
        <w:rPr>
          <w:sz w:val="26"/>
          <w:szCs w:val="26"/>
        </w:rPr>
        <w:t xml:space="preserve">(1987)).  </w:t>
      </w:r>
      <w:r w:rsidR="00262E6F">
        <w:rPr>
          <w:sz w:val="26"/>
          <w:szCs w:val="26"/>
        </w:rPr>
        <w:t xml:space="preserve">Enrico argues that the ALJ rightly determined that the Service Agreement was not clear, obvious or easily understood and violated the Commission’s Regulations.  R. Exc. at 8.  </w:t>
      </w:r>
      <w:r w:rsidR="00D03F84">
        <w:rPr>
          <w:sz w:val="26"/>
          <w:szCs w:val="26"/>
        </w:rPr>
        <w:t xml:space="preserve">  </w:t>
      </w:r>
    </w:p>
    <w:p w:rsidR="00262E6F" w:rsidRDefault="00262E6F" w:rsidP="00480FFA">
      <w:pPr>
        <w:spacing w:line="360" w:lineRule="auto"/>
        <w:ind w:firstLine="1440"/>
        <w:rPr>
          <w:sz w:val="26"/>
          <w:szCs w:val="26"/>
        </w:rPr>
      </w:pPr>
    </w:p>
    <w:p w:rsidR="00262E6F" w:rsidRDefault="00262E6F" w:rsidP="00480FFA">
      <w:pPr>
        <w:spacing w:line="360" w:lineRule="auto"/>
        <w:ind w:firstLine="1440"/>
        <w:rPr>
          <w:sz w:val="26"/>
          <w:szCs w:val="26"/>
        </w:rPr>
      </w:pPr>
      <w:r>
        <w:rPr>
          <w:sz w:val="26"/>
          <w:szCs w:val="26"/>
        </w:rPr>
        <w:t xml:space="preserve">Moreover, Enrico contends that Blue Pilot had the opportunity to build a record and to refute the Complainant’s claims.  Instead, the Company declined to present any testimony or </w:t>
      </w:r>
      <w:r w:rsidR="005C3B78">
        <w:rPr>
          <w:sz w:val="26"/>
          <w:szCs w:val="26"/>
        </w:rPr>
        <w:t xml:space="preserve">offer </w:t>
      </w:r>
      <w:r w:rsidR="00937DE3">
        <w:rPr>
          <w:sz w:val="26"/>
          <w:szCs w:val="26"/>
        </w:rPr>
        <w:t xml:space="preserve">rebuttal </w:t>
      </w:r>
      <w:r>
        <w:rPr>
          <w:sz w:val="26"/>
          <w:szCs w:val="26"/>
        </w:rPr>
        <w:t>evidence</w:t>
      </w:r>
      <w:r w:rsidR="00200BA9">
        <w:rPr>
          <w:sz w:val="26"/>
          <w:szCs w:val="26"/>
        </w:rPr>
        <w:t xml:space="preserve">.  </w:t>
      </w:r>
      <w:r w:rsidR="00195267">
        <w:rPr>
          <w:sz w:val="26"/>
          <w:szCs w:val="26"/>
        </w:rPr>
        <w:t>Thus, Enrico asserts</w:t>
      </w:r>
      <w:r w:rsidR="00200BA9">
        <w:rPr>
          <w:sz w:val="26"/>
          <w:szCs w:val="26"/>
        </w:rPr>
        <w:t xml:space="preserve">, </w:t>
      </w:r>
      <w:r w:rsidR="00195267">
        <w:rPr>
          <w:sz w:val="26"/>
          <w:szCs w:val="26"/>
        </w:rPr>
        <w:t xml:space="preserve">Blue Pilot </w:t>
      </w:r>
      <w:r w:rsidR="00200BA9">
        <w:rPr>
          <w:sz w:val="26"/>
          <w:szCs w:val="26"/>
        </w:rPr>
        <w:t xml:space="preserve">cannot now claim a deprivation of due process rights.  </w:t>
      </w:r>
      <w:r w:rsidR="00937DE3">
        <w:rPr>
          <w:i/>
          <w:sz w:val="26"/>
          <w:szCs w:val="26"/>
        </w:rPr>
        <w:t xml:space="preserve">Id.  </w:t>
      </w:r>
    </w:p>
    <w:p w:rsidR="0009080C" w:rsidRDefault="0009080C" w:rsidP="00480FFA">
      <w:pPr>
        <w:spacing w:line="360" w:lineRule="auto"/>
        <w:ind w:firstLine="1440"/>
        <w:rPr>
          <w:sz w:val="26"/>
          <w:szCs w:val="26"/>
        </w:rPr>
      </w:pPr>
    </w:p>
    <w:p w:rsidR="00FE4FFC" w:rsidRDefault="0009080C" w:rsidP="00FE4FFC">
      <w:pPr>
        <w:spacing w:line="360" w:lineRule="auto"/>
        <w:ind w:firstLine="1440"/>
        <w:rPr>
          <w:sz w:val="26"/>
          <w:szCs w:val="26"/>
        </w:rPr>
      </w:pPr>
      <w:r>
        <w:rPr>
          <w:sz w:val="26"/>
          <w:szCs w:val="26"/>
        </w:rPr>
        <w:t xml:space="preserve">Upon review, we </w:t>
      </w:r>
      <w:r w:rsidR="00FE4FFC">
        <w:rPr>
          <w:sz w:val="26"/>
          <w:szCs w:val="26"/>
        </w:rPr>
        <w:t>find that Blue Pilot’s due process arguments lack merit</w:t>
      </w:r>
      <w:r>
        <w:rPr>
          <w:sz w:val="26"/>
          <w:szCs w:val="26"/>
        </w:rPr>
        <w:t xml:space="preserve">.  </w:t>
      </w:r>
      <w:r w:rsidR="00FE4FFC">
        <w:rPr>
          <w:sz w:val="26"/>
          <w:szCs w:val="26"/>
        </w:rPr>
        <w:t xml:space="preserve">The Commonwealth Court in </w:t>
      </w:r>
      <w:r w:rsidR="00FE4FFC">
        <w:rPr>
          <w:i/>
          <w:sz w:val="26"/>
          <w:szCs w:val="26"/>
        </w:rPr>
        <w:t xml:space="preserve">Pocono Water Co. v. Pa. </w:t>
      </w:r>
      <w:r w:rsidR="00FE4FFC" w:rsidRPr="00581162">
        <w:rPr>
          <w:i/>
          <w:sz w:val="26"/>
          <w:szCs w:val="26"/>
        </w:rPr>
        <w:t>PUC,</w:t>
      </w:r>
      <w:r w:rsidR="00FE4FFC">
        <w:rPr>
          <w:sz w:val="26"/>
          <w:szCs w:val="26"/>
        </w:rPr>
        <w:t xml:space="preserve"> stated: </w:t>
      </w:r>
    </w:p>
    <w:p w:rsidR="00FE4FFC" w:rsidRDefault="00FE4FFC" w:rsidP="00FE4FFC">
      <w:pPr>
        <w:ind w:left="1440"/>
        <w:rPr>
          <w:sz w:val="26"/>
          <w:szCs w:val="26"/>
        </w:rPr>
      </w:pPr>
    </w:p>
    <w:p w:rsidR="00FE4FFC" w:rsidRDefault="00FE4FFC" w:rsidP="00FE4FFC">
      <w:pPr>
        <w:ind w:left="1440" w:right="1440"/>
        <w:rPr>
          <w:sz w:val="26"/>
          <w:szCs w:val="26"/>
        </w:rPr>
      </w:pPr>
      <w:r>
        <w:rPr>
          <w:sz w:val="26"/>
          <w:szCs w:val="26"/>
        </w:rPr>
        <w:t xml:space="preserve">Due process in matters before the Commission requires that a party be afforded reasonable notice of the nature of allegations against it so that the party can prepare a suitable defense.… This Court has held that the Commission violated due process rights when it assessed liability by determining an issue which the utility had not been afforded a reasonable opportunity to address at an evidentiary hearing. </w:t>
      </w:r>
    </w:p>
    <w:p w:rsidR="00FE4FFC" w:rsidRDefault="00FE4FFC" w:rsidP="00FE4FFC">
      <w:pPr>
        <w:ind w:left="1440"/>
        <w:rPr>
          <w:sz w:val="26"/>
          <w:szCs w:val="26"/>
        </w:rPr>
      </w:pPr>
    </w:p>
    <w:p w:rsidR="00FE4FFC" w:rsidRDefault="00FE4FFC" w:rsidP="00FE4FFC">
      <w:pPr>
        <w:ind w:left="1440"/>
        <w:rPr>
          <w:sz w:val="26"/>
          <w:szCs w:val="26"/>
        </w:rPr>
      </w:pPr>
    </w:p>
    <w:p w:rsidR="00FE4FFC" w:rsidRDefault="00FE4FFC" w:rsidP="00FE4FFC">
      <w:pPr>
        <w:spacing w:line="360" w:lineRule="auto"/>
        <w:rPr>
          <w:sz w:val="26"/>
          <w:szCs w:val="26"/>
        </w:rPr>
      </w:pPr>
      <w:r>
        <w:rPr>
          <w:sz w:val="26"/>
          <w:szCs w:val="26"/>
        </w:rPr>
        <w:t>630 A.2d 971, 973 (Pa. Cmwlth. 1993)</w:t>
      </w:r>
      <w:r w:rsidR="007C1247">
        <w:rPr>
          <w:sz w:val="26"/>
          <w:szCs w:val="26"/>
        </w:rPr>
        <w:t xml:space="preserve"> </w:t>
      </w:r>
      <w:r>
        <w:rPr>
          <w:sz w:val="26"/>
          <w:szCs w:val="26"/>
        </w:rPr>
        <w:t xml:space="preserve">(internal citations omitted).  Further, the Commonwealth Court explained that, if the Commission has not afforded a fair hearing to a party, a remand for further action is necessary for fulfillment of the administrative process.  </w:t>
      </w:r>
      <w:r>
        <w:rPr>
          <w:i/>
          <w:sz w:val="26"/>
          <w:szCs w:val="26"/>
        </w:rPr>
        <w:t>Id.</w:t>
      </w:r>
      <w:r>
        <w:rPr>
          <w:sz w:val="26"/>
          <w:szCs w:val="26"/>
        </w:rPr>
        <w:t xml:space="preserve">  </w:t>
      </w:r>
    </w:p>
    <w:p w:rsidR="000A63B9" w:rsidRDefault="000A63B9" w:rsidP="00FE4FFC">
      <w:pPr>
        <w:spacing w:line="360" w:lineRule="auto"/>
        <w:rPr>
          <w:sz w:val="26"/>
          <w:szCs w:val="26"/>
        </w:rPr>
      </w:pPr>
    </w:p>
    <w:p w:rsidR="00774746" w:rsidRDefault="00FE4FFC" w:rsidP="00FE4FFC">
      <w:pPr>
        <w:spacing w:line="360" w:lineRule="auto"/>
        <w:rPr>
          <w:sz w:val="26"/>
          <w:szCs w:val="26"/>
        </w:rPr>
      </w:pPr>
      <w:r>
        <w:rPr>
          <w:sz w:val="26"/>
          <w:szCs w:val="26"/>
        </w:rPr>
        <w:tab/>
      </w:r>
      <w:r>
        <w:rPr>
          <w:sz w:val="26"/>
          <w:szCs w:val="26"/>
        </w:rPr>
        <w:tab/>
        <w:t xml:space="preserve">Here, Blue Pilot was provided sufficient notice in the Complaint that </w:t>
      </w:r>
      <w:r w:rsidR="00A070B8">
        <w:rPr>
          <w:sz w:val="26"/>
          <w:szCs w:val="26"/>
        </w:rPr>
        <w:t>the nature of the allegations related to t</w:t>
      </w:r>
      <w:r w:rsidR="005F0262">
        <w:rPr>
          <w:sz w:val="26"/>
          <w:szCs w:val="26"/>
        </w:rPr>
        <w:t xml:space="preserve">he disclosure statement for the EGS services provided to Enrico.  Indeed, the Complainant cited to Section 54.5(c) of our Regulations, 52 Pa. </w:t>
      </w:r>
      <w:r w:rsidR="005F0262">
        <w:rPr>
          <w:sz w:val="26"/>
          <w:szCs w:val="26"/>
        </w:rPr>
        <w:lastRenderedPageBreak/>
        <w:t xml:space="preserve">Code § 54.5(c), which pertains to the terms and conditions required in a disclosure statement including </w:t>
      </w:r>
      <w:r w:rsidR="002D3A6B">
        <w:rPr>
          <w:sz w:val="26"/>
          <w:szCs w:val="26"/>
        </w:rPr>
        <w:t xml:space="preserve">provisions related to any </w:t>
      </w:r>
      <w:r w:rsidR="005F0262">
        <w:rPr>
          <w:sz w:val="26"/>
          <w:szCs w:val="26"/>
        </w:rPr>
        <w:t xml:space="preserve">variable pricing statement and the conditions of variability.  Complaint Attachment at ¶ 4.  </w:t>
      </w:r>
      <w:r>
        <w:rPr>
          <w:sz w:val="26"/>
          <w:szCs w:val="26"/>
        </w:rPr>
        <w:t xml:space="preserve"> </w:t>
      </w:r>
      <w:r w:rsidR="00587D93">
        <w:rPr>
          <w:sz w:val="26"/>
          <w:szCs w:val="26"/>
        </w:rPr>
        <w:t>It</w:t>
      </w:r>
      <w:r w:rsidR="002D3A6B">
        <w:rPr>
          <w:sz w:val="26"/>
          <w:szCs w:val="26"/>
        </w:rPr>
        <w:t xml:space="preserve"> is </w:t>
      </w:r>
      <w:r w:rsidR="00587D93">
        <w:rPr>
          <w:sz w:val="26"/>
          <w:szCs w:val="26"/>
        </w:rPr>
        <w:t xml:space="preserve">also </w:t>
      </w:r>
      <w:r w:rsidR="002D3A6B">
        <w:rPr>
          <w:sz w:val="26"/>
          <w:szCs w:val="26"/>
        </w:rPr>
        <w:t xml:space="preserve">clear from the Complaint </w:t>
      </w:r>
      <w:r w:rsidR="007E764B">
        <w:rPr>
          <w:sz w:val="26"/>
          <w:szCs w:val="26"/>
        </w:rPr>
        <w:t xml:space="preserve">that </w:t>
      </w:r>
      <w:r w:rsidR="00587D93">
        <w:rPr>
          <w:sz w:val="26"/>
          <w:szCs w:val="26"/>
        </w:rPr>
        <w:t>t</w:t>
      </w:r>
      <w:r w:rsidR="0074620F">
        <w:rPr>
          <w:sz w:val="26"/>
          <w:szCs w:val="26"/>
        </w:rPr>
        <w:t xml:space="preserve">he allegations pertained to Enrico’s understanding of the language related to the variable pricing conditions contained in the disclosure statement.  Thus, the Complaint provided adequate notice of the allegations and that Blue Pilot would need to prepare a defense </w:t>
      </w:r>
      <w:r w:rsidR="003843CD">
        <w:rPr>
          <w:sz w:val="26"/>
          <w:szCs w:val="26"/>
        </w:rPr>
        <w:t xml:space="preserve">related to the variable pricing language </w:t>
      </w:r>
      <w:r w:rsidR="0074620F">
        <w:rPr>
          <w:sz w:val="26"/>
          <w:szCs w:val="26"/>
        </w:rPr>
        <w:t xml:space="preserve">at the time of the hearing.  </w:t>
      </w:r>
    </w:p>
    <w:p w:rsidR="00774746" w:rsidRDefault="00774746" w:rsidP="00FE4FFC">
      <w:pPr>
        <w:spacing w:line="360" w:lineRule="auto"/>
        <w:rPr>
          <w:sz w:val="26"/>
          <w:szCs w:val="26"/>
        </w:rPr>
      </w:pPr>
    </w:p>
    <w:p w:rsidR="00FE4FFC" w:rsidRDefault="00774746" w:rsidP="00FE4FFC">
      <w:pPr>
        <w:spacing w:line="360" w:lineRule="auto"/>
        <w:rPr>
          <w:sz w:val="26"/>
          <w:szCs w:val="26"/>
        </w:rPr>
      </w:pPr>
      <w:r>
        <w:rPr>
          <w:sz w:val="26"/>
          <w:szCs w:val="26"/>
        </w:rPr>
        <w:tab/>
      </w:r>
      <w:r>
        <w:rPr>
          <w:sz w:val="26"/>
          <w:szCs w:val="26"/>
        </w:rPr>
        <w:tab/>
      </w:r>
      <w:r w:rsidR="0074620F">
        <w:rPr>
          <w:sz w:val="26"/>
          <w:szCs w:val="26"/>
        </w:rPr>
        <w:t xml:space="preserve">Moreover, the testimony </w:t>
      </w:r>
      <w:r w:rsidR="003843CD">
        <w:rPr>
          <w:sz w:val="26"/>
          <w:szCs w:val="26"/>
        </w:rPr>
        <w:t xml:space="preserve">of Mr. Holtz </w:t>
      </w:r>
      <w:r w:rsidR="0074620F">
        <w:rPr>
          <w:sz w:val="26"/>
          <w:szCs w:val="26"/>
        </w:rPr>
        <w:t>during the hearing</w:t>
      </w:r>
      <w:r w:rsidR="003843CD">
        <w:rPr>
          <w:sz w:val="26"/>
          <w:szCs w:val="26"/>
        </w:rPr>
        <w:t xml:space="preserve">, particularly during the cross examination by the Company’s counsel, revealed the potential ambiguity of the </w:t>
      </w:r>
      <w:r w:rsidR="00654692">
        <w:rPr>
          <w:sz w:val="26"/>
          <w:szCs w:val="26"/>
        </w:rPr>
        <w:t>variable pricing language</w:t>
      </w:r>
      <w:r w:rsidR="003843CD">
        <w:rPr>
          <w:sz w:val="26"/>
          <w:szCs w:val="26"/>
        </w:rPr>
        <w:t xml:space="preserve"> (</w:t>
      </w:r>
      <w:r w:rsidR="003843CD" w:rsidRPr="003843CD">
        <w:rPr>
          <w:i/>
          <w:sz w:val="26"/>
          <w:szCs w:val="26"/>
        </w:rPr>
        <w:t>e.g.</w:t>
      </w:r>
      <w:r w:rsidR="003843CD">
        <w:rPr>
          <w:sz w:val="26"/>
          <w:szCs w:val="26"/>
        </w:rPr>
        <w:t>, that sentences five and six under paragraph three of the Service Agreement appeared unclear and ambiguous when read together).  Tr. at 24-26.  Thus, during the hearing Blue Pilot should have reasonably understood that</w:t>
      </w:r>
      <w:r w:rsidR="00654692">
        <w:rPr>
          <w:sz w:val="26"/>
          <w:szCs w:val="26"/>
        </w:rPr>
        <w:t xml:space="preserve"> </w:t>
      </w:r>
      <w:r w:rsidR="00F9728D">
        <w:rPr>
          <w:sz w:val="26"/>
          <w:szCs w:val="26"/>
        </w:rPr>
        <w:t>the lack of clarity as to its variable pricing explanation was a major component of the Complainant’s case.</w:t>
      </w:r>
      <w:r>
        <w:rPr>
          <w:sz w:val="26"/>
          <w:szCs w:val="26"/>
        </w:rPr>
        <w:t xml:space="preserve">  In our </w:t>
      </w:r>
      <w:r>
        <w:rPr>
          <w:bCs/>
          <w:i/>
          <w:color w:val="000000"/>
          <w:sz w:val="26"/>
          <w:szCs w:val="26"/>
        </w:rPr>
        <w:t>License Application Order</w:t>
      </w:r>
      <w:r>
        <w:rPr>
          <w:bCs/>
          <w:color w:val="000000"/>
          <w:sz w:val="26"/>
          <w:szCs w:val="26"/>
        </w:rPr>
        <w:t xml:space="preserve">, we directed Blue Pilot to comply with the standards of conduct and disclosure for licensees under 52 Pa. Code § 54.43.  In light of the Complaint </w:t>
      </w:r>
      <w:r w:rsidR="00217B9D">
        <w:rPr>
          <w:bCs/>
          <w:color w:val="000000"/>
          <w:sz w:val="26"/>
          <w:szCs w:val="26"/>
        </w:rPr>
        <w:t xml:space="preserve">allegations </w:t>
      </w:r>
      <w:r>
        <w:rPr>
          <w:bCs/>
          <w:color w:val="000000"/>
          <w:sz w:val="26"/>
          <w:szCs w:val="26"/>
        </w:rPr>
        <w:t xml:space="preserve">and the testimony during the hearing, it should not have been surprising to the Company that the ALJ would evaluate Blue Pilot’s disclosure language pursuant to Section 54.43 of our Regulations.   </w:t>
      </w:r>
    </w:p>
    <w:p w:rsidR="00217B9D" w:rsidRDefault="00217B9D" w:rsidP="00480FFA">
      <w:pPr>
        <w:spacing w:line="360" w:lineRule="auto"/>
        <w:ind w:firstLine="1440"/>
        <w:rPr>
          <w:sz w:val="26"/>
          <w:szCs w:val="26"/>
        </w:rPr>
      </w:pPr>
    </w:p>
    <w:p w:rsidR="00480FFA" w:rsidRPr="007C1247" w:rsidRDefault="00671123" w:rsidP="00A12759">
      <w:pPr>
        <w:widowControl/>
        <w:spacing w:line="360" w:lineRule="auto"/>
        <w:ind w:firstLine="1440"/>
        <w:rPr>
          <w:sz w:val="26"/>
          <w:szCs w:val="26"/>
        </w:rPr>
      </w:pPr>
      <w:r>
        <w:rPr>
          <w:sz w:val="26"/>
          <w:szCs w:val="26"/>
        </w:rPr>
        <w:t xml:space="preserve">We also reject Blue Pilot’s argument that the lack of a Commission definition of plain language constituted a due process violation.  </w:t>
      </w:r>
      <w:r w:rsidR="007C1247">
        <w:rPr>
          <w:sz w:val="26"/>
          <w:szCs w:val="26"/>
        </w:rPr>
        <w:t xml:space="preserve">The Commission has held that all disclosures must be clear and unequivocal.  </w:t>
      </w:r>
      <w:r w:rsidR="007C1247" w:rsidRPr="007C1247">
        <w:rPr>
          <w:i/>
          <w:sz w:val="26"/>
          <w:szCs w:val="26"/>
        </w:rPr>
        <w:t>See</w:t>
      </w:r>
      <w:r w:rsidR="0023189B">
        <w:rPr>
          <w:i/>
          <w:sz w:val="26"/>
          <w:szCs w:val="26"/>
        </w:rPr>
        <w:t>,</w:t>
      </w:r>
      <w:r w:rsidR="007C1247" w:rsidRPr="007C1247">
        <w:rPr>
          <w:i/>
          <w:sz w:val="26"/>
          <w:szCs w:val="26"/>
        </w:rPr>
        <w:t xml:space="preserve"> </w:t>
      </w:r>
      <w:r w:rsidR="004B7B47">
        <w:rPr>
          <w:i/>
          <w:sz w:val="26"/>
          <w:szCs w:val="26"/>
        </w:rPr>
        <w:t xml:space="preserve">e.g., </w:t>
      </w:r>
      <w:r w:rsidR="007C1247" w:rsidRPr="007C1247">
        <w:rPr>
          <w:i/>
          <w:sz w:val="26"/>
          <w:szCs w:val="26"/>
        </w:rPr>
        <w:t>Yaglidereliler</w:t>
      </w:r>
      <w:r w:rsidR="007C1247">
        <w:rPr>
          <w:sz w:val="26"/>
          <w:szCs w:val="26"/>
        </w:rPr>
        <w:t>.  It is axiomatic that ambiguous terms lack clarity.  As the Pennsylvania Su</w:t>
      </w:r>
      <w:r w:rsidR="00451C92">
        <w:rPr>
          <w:sz w:val="26"/>
          <w:szCs w:val="26"/>
        </w:rPr>
        <w:t xml:space="preserve">preme Court explained, language is ambiguous when it conveys two or more reasonable meanings or is otherwise vague, uncertain or indefinite.  </w:t>
      </w:r>
      <w:r w:rsidR="00451C92" w:rsidRPr="00451C92">
        <w:rPr>
          <w:i/>
          <w:sz w:val="26"/>
          <w:szCs w:val="26"/>
        </w:rPr>
        <w:t>Baras</w:t>
      </w:r>
      <w:r w:rsidR="00451C92">
        <w:rPr>
          <w:i/>
          <w:sz w:val="26"/>
          <w:szCs w:val="26"/>
        </w:rPr>
        <w:t>c</w:t>
      </w:r>
      <w:r w:rsidR="00451C92" w:rsidRPr="00451C92">
        <w:rPr>
          <w:i/>
          <w:sz w:val="26"/>
          <w:szCs w:val="26"/>
        </w:rPr>
        <w:t>h</w:t>
      </w:r>
      <w:r w:rsidR="00451C92">
        <w:rPr>
          <w:sz w:val="26"/>
          <w:szCs w:val="26"/>
        </w:rPr>
        <w:t xml:space="preserve">, 532 A.2d at 332.  Here, we agree </w:t>
      </w:r>
      <w:r w:rsidR="00451C92">
        <w:rPr>
          <w:sz w:val="26"/>
          <w:szCs w:val="26"/>
        </w:rPr>
        <w:lastRenderedPageBreak/>
        <w:t>with the ALJ that the two sentences within the disclosure statement were unclear and ambiguous when read together.  Accordingly, we shall deny the third Exception.</w:t>
      </w:r>
      <w:r w:rsidR="00BA0FC6">
        <w:rPr>
          <w:rStyle w:val="FootnoteReference"/>
          <w:sz w:val="26"/>
          <w:szCs w:val="26"/>
        </w:rPr>
        <w:footnoteReference w:id="7"/>
      </w:r>
    </w:p>
    <w:p w:rsidR="00FC545E" w:rsidRDefault="009D5D06" w:rsidP="00A12759">
      <w:pPr>
        <w:spacing w:line="360" w:lineRule="auto"/>
      </w:pPr>
      <w:r>
        <w:rPr>
          <w:b/>
          <w:sz w:val="26"/>
          <w:szCs w:val="26"/>
        </w:rPr>
        <w:tab/>
      </w:r>
      <w:r>
        <w:rPr>
          <w:b/>
          <w:sz w:val="26"/>
          <w:szCs w:val="26"/>
        </w:rPr>
        <w:tab/>
      </w:r>
      <w:r w:rsidR="00FC545E" w:rsidRPr="00FC545E">
        <w:t xml:space="preserve"> </w:t>
      </w:r>
    </w:p>
    <w:p w:rsidR="00CF613E" w:rsidRPr="00A12759" w:rsidRDefault="00CF613E" w:rsidP="00A12759">
      <w:pPr>
        <w:spacing w:line="360" w:lineRule="auto"/>
        <w:ind w:firstLine="720"/>
        <w:rPr>
          <w:b/>
          <w:sz w:val="26"/>
          <w:szCs w:val="26"/>
        </w:rPr>
      </w:pPr>
      <w:r>
        <w:rPr>
          <w:b/>
          <w:sz w:val="26"/>
          <w:szCs w:val="26"/>
        </w:rPr>
        <w:t>Imposition of a Civil Penalty</w:t>
      </w:r>
    </w:p>
    <w:p w:rsidR="00CF613E" w:rsidRDefault="00CF613E" w:rsidP="00E5127F">
      <w:pPr>
        <w:spacing w:line="360" w:lineRule="auto"/>
        <w:ind w:firstLine="1440"/>
        <w:rPr>
          <w:sz w:val="26"/>
          <w:szCs w:val="26"/>
        </w:rPr>
      </w:pPr>
    </w:p>
    <w:p w:rsidR="008E55F1" w:rsidRDefault="00217B9D" w:rsidP="00E5127F">
      <w:pPr>
        <w:spacing w:line="360" w:lineRule="auto"/>
        <w:ind w:firstLine="1440"/>
        <w:rPr>
          <w:sz w:val="26"/>
          <w:szCs w:val="26"/>
        </w:rPr>
      </w:pPr>
      <w:r>
        <w:rPr>
          <w:sz w:val="26"/>
          <w:szCs w:val="26"/>
        </w:rPr>
        <w:t xml:space="preserve">Blue Pilot’s fifth Exception </w:t>
      </w:r>
      <w:r w:rsidR="00E5127F">
        <w:rPr>
          <w:sz w:val="26"/>
          <w:szCs w:val="26"/>
        </w:rPr>
        <w:t>objects to the imposition of a civil penalty of $2,000 based on a violation of the Commission’s plain language Regulations</w:t>
      </w:r>
      <w:r>
        <w:rPr>
          <w:sz w:val="26"/>
          <w:szCs w:val="26"/>
        </w:rPr>
        <w:t xml:space="preserve">.  </w:t>
      </w:r>
      <w:r w:rsidR="00E5127F">
        <w:rPr>
          <w:sz w:val="26"/>
          <w:szCs w:val="26"/>
        </w:rPr>
        <w:t xml:space="preserve"> </w:t>
      </w:r>
      <w:r w:rsidR="00D22C87">
        <w:rPr>
          <w:sz w:val="26"/>
          <w:szCs w:val="26"/>
        </w:rPr>
        <w:t xml:space="preserve">The Company </w:t>
      </w:r>
      <w:r w:rsidR="00E5127F">
        <w:rPr>
          <w:sz w:val="26"/>
          <w:szCs w:val="26"/>
        </w:rPr>
        <w:t xml:space="preserve">asserts that a civil penalty is inappropriate </w:t>
      </w:r>
      <w:r w:rsidR="00D22C87">
        <w:rPr>
          <w:sz w:val="26"/>
          <w:szCs w:val="26"/>
        </w:rPr>
        <w:t xml:space="preserve">for the following reasons: </w:t>
      </w:r>
      <w:r w:rsidR="00E5127F">
        <w:rPr>
          <w:sz w:val="26"/>
          <w:szCs w:val="26"/>
        </w:rPr>
        <w:t xml:space="preserve">the Complainant did not allege a violation of </w:t>
      </w:r>
      <w:r w:rsidR="00D22C87">
        <w:rPr>
          <w:sz w:val="26"/>
          <w:szCs w:val="26"/>
        </w:rPr>
        <w:t>the plain language requirements;</w:t>
      </w:r>
      <w:r w:rsidR="00E5127F">
        <w:rPr>
          <w:sz w:val="26"/>
          <w:szCs w:val="26"/>
        </w:rPr>
        <w:t xml:space="preserve"> the ALJ interjected the issue into the proceedings</w:t>
      </w:r>
      <w:r w:rsidR="00D22C87">
        <w:rPr>
          <w:sz w:val="26"/>
          <w:szCs w:val="26"/>
        </w:rPr>
        <w:t xml:space="preserve">; </w:t>
      </w:r>
      <w:r w:rsidR="00E5127F">
        <w:rPr>
          <w:sz w:val="26"/>
          <w:szCs w:val="26"/>
        </w:rPr>
        <w:t>no enforceable standards exist for determining what constitutes plain language</w:t>
      </w:r>
      <w:r w:rsidR="00D22C87">
        <w:rPr>
          <w:sz w:val="26"/>
          <w:szCs w:val="26"/>
        </w:rPr>
        <w:t xml:space="preserve">; </w:t>
      </w:r>
      <w:r w:rsidR="00E5127F">
        <w:rPr>
          <w:sz w:val="26"/>
          <w:szCs w:val="26"/>
        </w:rPr>
        <w:t>and its contract contains language that is consistent with common terminology used and approved by the Commission.  As a proposed alternative to a civil penalty, Blue Pilot posits that the appropriate remedy upon a finding</w:t>
      </w:r>
      <w:r w:rsidR="008E55F1">
        <w:rPr>
          <w:sz w:val="26"/>
          <w:szCs w:val="26"/>
        </w:rPr>
        <w:t xml:space="preserve"> </w:t>
      </w:r>
      <w:r w:rsidR="00E5127F">
        <w:rPr>
          <w:sz w:val="26"/>
          <w:szCs w:val="26"/>
        </w:rPr>
        <w:t xml:space="preserve">that the contract could be more artfully drafted, is to direct the Company to revise the contract and submit it for review by the Commission.  </w:t>
      </w:r>
      <w:r w:rsidR="00D22C87" w:rsidRPr="00D22C87">
        <w:rPr>
          <w:sz w:val="26"/>
          <w:szCs w:val="26"/>
        </w:rPr>
        <w:t>Exc. at 25-26.</w:t>
      </w:r>
      <w:r w:rsidR="00D22C87">
        <w:rPr>
          <w:i/>
          <w:sz w:val="26"/>
          <w:szCs w:val="26"/>
        </w:rPr>
        <w:t xml:space="preserve">  </w:t>
      </w:r>
      <w:r w:rsidR="00E5127F">
        <w:rPr>
          <w:sz w:val="26"/>
          <w:szCs w:val="26"/>
        </w:rPr>
        <w:t xml:space="preserve">Enrico </w:t>
      </w:r>
      <w:r w:rsidR="008E55F1">
        <w:rPr>
          <w:sz w:val="26"/>
          <w:szCs w:val="26"/>
        </w:rPr>
        <w:t xml:space="preserve">did not file replies to this Exception.  </w:t>
      </w:r>
    </w:p>
    <w:p w:rsidR="008E55F1" w:rsidRDefault="008E55F1" w:rsidP="00E5127F">
      <w:pPr>
        <w:spacing w:line="360" w:lineRule="auto"/>
        <w:ind w:firstLine="1440"/>
        <w:rPr>
          <w:sz w:val="26"/>
          <w:szCs w:val="26"/>
        </w:rPr>
      </w:pPr>
    </w:p>
    <w:p w:rsidR="00E5127F" w:rsidRDefault="008E55F1" w:rsidP="00E5127F">
      <w:pPr>
        <w:spacing w:line="360" w:lineRule="auto"/>
        <w:ind w:firstLine="1440"/>
        <w:rPr>
          <w:sz w:val="26"/>
          <w:szCs w:val="26"/>
        </w:rPr>
      </w:pPr>
      <w:r>
        <w:rPr>
          <w:sz w:val="26"/>
          <w:szCs w:val="26"/>
        </w:rPr>
        <w:t>We reject Blue Pilot’</w:t>
      </w:r>
      <w:r w:rsidR="001756E3">
        <w:rPr>
          <w:sz w:val="26"/>
          <w:szCs w:val="26"/>
        </w:rPr>
        <w:t xml:space="preserve">s </w:t>
      </w:r>
      <w:r w:rsidR="00CF613E">
        <w:rPr>
          <w:sz w:val="26"/>
          <w:szCs w:val="26"/>
        </w:rPr>
        <w:t>Exception, in part</w:t>
      </w:r>
      <w:r w:rsidR="001756E3">
        <w:rPr>
          <w:sz w:val="26"/>
          <w:szCs w:val="26"/>
        </w:rPr>
        <w:t xml:space="preserve">.  As discussed above, we find that the Complaint adequately asserted the allegations pursuant to Chapter 54 of our Regulations and the ALJ properly evaluated the Company’s disclosure statement pursuant to 52 Pa. Code § 54.43.  Additionally, we have found no error in the ALJ’s determination that the disclosure statement contained ambiguous language.  The additional argument that the contract contains Commission approved language is unsupported by any record evidence.  Accordingly, we </w:t>
      </w:r>
      <w:r>
        <w:rPr>
          <w:sz w:val="26"/>
          <w:szCs w:val="26"/>
        </w:rPr>
        <w:t xml:space="preserve">find that </w:t>
      </w:r>
      <w:r w:rsidR="001756E3">
        <w:rPr>
          <w:sz w:val="26"/>
          <w:szCs w:val="26"/>
        </w:rPr>
        <w:t xml:space="preserve">a </w:t>
      </w:r>
      <w:r>
        <w:rPr>
          <w:sz w:val="26"/>
          <w:szCs w:val="26"/>
        </w:rPr>
        <w:t xml:space="preserve">civil penalty is appropriate </w:t>
      </w:r>
      <w:r w:rsidR="001756E3">
        <w:rPr>
          <w:sz w:val="26"/>
          <w:szCs w:val="26"/>
        </w:rPr>
        <w:t xml:space="preserve">in this proceeding.  </w:t>
      </w:r>
    </w:p>
    <w:p w:rsidR="001756E3" w:rsidRDefault="001756E3" w:rsidP="00E5127F">
      <w:pPr>
        <w:spacing w:line="360" w:lineRule="auto"/>
        <w:ind w:firstLine="1440"/>
        <w:rPr>
          <w:sz w:val="26"/>
          <w:szCs w:val="26"/>
        </w:rPr>
      </w:pPr>
    </w:p>
    <w:p w:rsidR="00D83C82" w:rsidRDefault="001756E3" w:rsidP="00E5127F">
      <w:pPr>
        <w:spacing w:line="360" w:lineRule="auto"/>
        <w:ind w:firstLine="1440"/>
        <w:rPr>
          <w:sz w:val="26"/>
          <w:szCs w:val="26"/>
        </w:rPr>
      </w:pPr>
      <w:r>
        <w:rPr>
          <w:sz w:val="26"/>
          <w:szCs w:val="26"/>
        </w:rPr>
        <w:lastRenderedPageBreak/>
        <w:t xml:space="preserve">We also find persuasive the ALJ’s application of the </w:t>
      </w:r>
      <w:r w:rsidR="00444BE8">
        <w:rPr>
          <w:sz w:val="26"/>
          <w:szCs w:val="26"/>
        </w:rPr>
        <w:t xml:space="preserve">civil penalty </w:t>
      </w:r>
      <w:r>
        <w:rPr>
          <w:sz w:val="26"/>
          <w:szCs w:val="26"/>
        </w:rPr>
        <w:t xml:space="preserve">factors under 52 Pa. Code </w:t>
      </w:r>
      <w:r w:rsidR="00444BE8">
        <w:rPr>
          <w:sz w:val="26"/>
          <w:szCs w:val="26"/>
        </w:rPr>
        <w:t xml:space="preserve">§ 69.1201(c).  </w:t>
      </w:r>
      <w:r w:rsidR="00444BE8" w:rsidRPr="00444BE8">
        <w:rPr>
          <w:i/>
          <w:sz w:val="26"/>
          <w:szCs w:val="26"/>
        </w:rPr>
        <w:t xml:space="preserve">See </w:t>
      </w:r>
      <w:r w:rsidR="00444BE8">
        <w:rPr>
          <w:sz w:val="26"/>
          <w:szCs w:val="26"/>
        </w:rPr>
        <w:t xml:space="preserve">I.D. at 19-21.  However, we shall modify the ALJ’s finding related to the third factor pertaining to whether the conduct was deemed intentional or negligent.  Upon review, we find no record evidence to support a finding that Blue Pilot acted intentionally by including ambiguous language in the disclosure statement.  As such we do not find that this </w:t>
      </w:r>
      <w:r w:rsidR="00D83C82">
        <w:rPr>
          <w:sz w:val="26"/>
          <w:szCs w:val="26"/>
        </w:rPr>
        <w:t xml:space="preserve">factor supports a higher penalty.  </w:t>
      </w:r>
    </w:p>
    <w:p w:rsidR="00D83C82" w:rsidRDefault="00D83C82" w:rsidP="00E5127F">
      <w:pPr>
        <w:spacing w:line="360" w:lineRule="auto"/>
        <w:ind w:firstLine="1440"/>
        <w:rPr>
          <w:sz w:val="26"/>
          <w:szCs w:val="26"/>
        </w:rPr>
      </w:pPr>
    </w:p>
    <w:p w:rsidR="002366B5" w:rsidRDefault="00D83C82" w:rsidP="00E5127F">
      <w:pPr>
        <w:spacing w:line="360" w:lineRule="auto"/>
        <w:ind w:firstLine="1440"/>
        <w:rPr>
          <w:sz w:val="26"/>
          <w:szCs w:val="26"/>
        </w:rPr>
      </w:pPr>
      <w:r>
        <w:rPr>
          <w:sz w:val="26"/>
          <w:szCs w:val="26"/>
        </w:rPr>
        <w:t xml:space="preserve">Additionally, as noted above, </w:t>
      </w:r>
      <w:r w:rsidR="00444BE8">
        <w:rPr>
          <w:sz w:val="26"/>
          <w:szCs w:val="26"/>
        </w:rPr>
        <w:t>52 Pa. Code § 111.12</w:t>
      </w:r>
      <w:r>
        <w:rPr>
          <w:sz w:val="26"/>
          <w:szCs w:val="26"/>
        </w:rPr>
        <w:t xml:space="preserve"> </w:t>
      </w:r>
      <w:r w:rsidR="00444BE8">
        <w:rPr>
          <w:sz w:val="26"/>
          <w:szCs w:val="26"/>
        </w:rPr>
        <w:t xml:space="preserve">is inapplicable to this proceeding because it relates to residential customers.  Accordingly, we will not impose a civil penalty related to Section 111.12 of our Regulations.   </w:t>
      </w:r>
      <w:r>
        <w:rPr>
          <w:sz w:val="26"/>
          <w:szCs w:val="26"/>
        </w:rPr>
        <w:t xml:space="preserve">In considering all the civil penalty factors, we shall impose a $1,000 civil penalty for the violation of 52 Pa. Code </w:t>
      </w:r>
    </w:p>
    <w:p w:rsidR="001756E3" w:rsidRDefault="00D83C82" w:rsidP="002366B5">
      <w:pPr>
        <w:spacing w:line="360" w:lineRule="auto"/>
        <w:rPr>
          <w:sz w:val="26"/>
          <w:szCs w:val="26"/>
        </w:rPr>
      </w:pPr>
      <w:r>
        <w:rPr>
          <w:sz w:val="26"/>
          <w:szCs w:val="26"/>
        </w:rPr>
        <w:t xml:space="preserve">§ 54.43.  Accordingly, we shall grant the fifth Exception, in part, deny it, in part, and modify the Initial Decision.   </w:t>
      </w:r>
    </w:p>
    <w:p w:rsidR="00D83C82" w:rsidRPr="00210CAA" w:rsidRDefault="00D83C82" w:rsidP="00E5127F">
      <w:pPr>
        <w:spacing w:line="360" w:lineRule="auto"/>
        <w:ind w:firstLine="1440"/>
        <w:rPr>
          <w:sz w:val="26"/>
          <w:szCs w:val="26"/>
        </w:rPr>
      </w:pPr>
    </w:p>
    <w:p w:rsidR="00EB238E" w:rsidRPr="00E62E32" w:rsidRDefault="00EB238E" w:rsidP="00F07B9B">
      <w:pPr>
        <w:keepNext/>
        <w:spacing w:line="360" w:lineRule="auto"/>
        <w:jc w:val="center"/>
        <w:rPr>
          <w:b/>
          <w:sz w:val="26"/>
          <w:szCs w:val="26"/>
        </w:rPr>
      </w:pPr>
      <w:r>
        <w:rPr>
          <w:b/>
          <w:sz w:val="26"/>
          <w:szCs w:val="26"/>
        </w:rPr>
        <w:t>Conclusion</w:t>
      </w:r>
    </w:p>
    <w:p w:rsidR="00EB238E" w:rsidRDefault="00EB238E" w:rsidP="00F07B9B">
      <w:pPr>
        <w:keepNext/>
        <w:spacing w:line="360" w:lineRule="auto"/>
        <w:ind w:firstLine="1440"/>
        <w:rPr>
          <w:sz w:val="26"/>
          <w:szCs w:val="26"/>
        </w:rPr>
      </w:pPr>
    </w:p>
    <w:p w:rsidR="00EB238E" w:rsidRDefault="00EB238E" w:rsidP="00EB238E">
      <w:pPr>
        <w:spacing w:line="360" w:lineRule="auto"/>
        <w:ind w:firstLine="1440"/>
        <w:rPr>
          <w:sz w:val="26"/>
          <w:szCs w:val="26"/>
        </w:rPr>
      </w:pPr>
      <w:r>
        <w:rPr>
          <w:sz w:val="26"/>
          <w:szCs w:val="26"/>
        </w:rPr>
        <w:t>For the reasons set forth above, we shall</w:t>
      </w:r>
      <w:r w:rsidR="00D72C19">
        <w:rPr>
          <w:sz w:val="26"/>
          <w:szCs w:val="26"/>
        </w:rPr>
        <w:t xml:space="preserve"> </w:t>
      </w:r>
      <w:r w:rsidR="00E5127F">
        <w:rPr>
          <w:color w:val="000000"/>
          <w:sz w:val="26"/>
        </w:rPr>
        <w:t xml:space="preserve">grant the Exceptions, in part, deny them, in part, and adopt the </w:t>
      </w:r>
      <w:r w:rsidR="002366B5">
        <w:rPr>
          <w:color w:val="000000"/>
          <w:sz w:val="26"/>
        </w:rPr>
        <w:t>Initial Decision, as modified</w:t>
      </w:r>
      <w:r w:rsidR="00CF613E">
        <w:rPr>
          <w:color w:val="000000"/>
          <w:sz w:val="26"/>
        </w:rPr>
        <w:t>, all consistent with this Opinion and Order</w:t>
      </w:r>
      <w:r>
        <w:rPr>
          <w:sz w:val="26"/>
          <w:szCs w:val="26"/>
        </w:rPr>
        <w:t xml:space="preserve">; </w:t>
      </w:r>
      <w:r w:rsidRPr="00D57141">
        <w:rPr>
          <w:b/>
          <w:sz w:val="26"/>
          <w:szCs w:val="26"/>
        </w:rPr>
        <w:t xml:space="preserve">THEREFORE, </w:t>
      </w:r>
    </w:p>
    <w:p w:rsidR="00EB238E" w:rsidRDefault="00EB238E" w:rsidP="00EB238E">
      <w:pPr>
        <w:spacing w:line="360" w:lineRule="auto"/>
        <w:ind w:firstLine="1440"/>
        <w:rPr>
          <w:b/>
          <w:sz w:val="26"/>
          <w:szCs w:val="26"/>
        </w:rPr>
      </w:pPr>
    </w:p>
    <w:p w:rsidR="00EB238E" w:rsidRDefault="00EB238E" w:rsidP="00EB238E">
      <w:pPr>
        <w:spacing w:line="360" w:lineRule="auto"/>
        <w:ind w:firstLine="1440"/>
        <w:rPr>
          <w:b/>
          <w:sz w:val="26"/>
          <w:szCs w:val="26"/>
        </w:rPr>
      </w:pPr>
      <w:r>
        <w:rPr>
          <w:b/>
          <w:sz w:val="26"/>
          <w:szCs w:val="26"/>
        </w:rPr>
        <w:t>IT IS ORDERED:</w:t>
      </w:r>
    </w:p>
    <w:p w:rsidR="00EB238E" w:rsidRDefault="00EB238E" w:rsidP="00EB238E">
      <w:pPr>
        <w:spacing w:line="360" w:lineRule="auto"/>
        <w:ind w:firstLine="1440"/>
        <w:rPr>
          <w:b/>
          <w:sz w:val="26"/>
          <w:szCs w:val="26"/>
        </w:rPr>
      </w:pPr>
    </w:p>
    <w:p w:rsidR="00EB238E" w:rsidRPr="00B21635" w:rsidRDefault="00EB238E" w:rsidP="009C6BA2">
      <w:pPr>
        <w:pStyle w:val="ListParagraph"/>
        <w:numPr>
          <w:ilvl w:val="0"/>
          <w:numId w:val="2"/>
        </w:numPr>
        <w:tabs>
          <w:tab w:val="clear" w:pos="2430"/>
          <w:tab w:val="num" w:pos="2160"/>
        </w:tabs>
        <w:spacing w:line="360" w:lineRule="auto"/>
        <w:ind w:left="0" w:firstLine="1440"/>
        <w:rPr>
          <w:sz w:val="26"/>
          <w:szCs w:val="26"/>
        </w:rPr>
      </w:pPr>
      <w:r>
        <w:rPr>
          <w:sz w:val="26"/>
          <w:szCs w:val="26"/>
        </w:rPr>
        <w:t xml:space="preserve">That the </w:t>
      </w:r>
      <w:r w:rsidR="00D72C19">
        <w:rPr>
          <w:sz w:val="26"/>
          <w:szCs w:val="26"/>
        </w:rPr>
        <w:t>Exceptions of Blue Pilot Energy, LLC</w:t>
      </w:r>
      <w:r w:rsidR="004B3F01">
        <w:rPr>
          <w:sz w:val="26"/>
          <w:szCs w:val="26"/>
        </w:rPr>
        <w:t xml:space="preserve">, filed on April 2, 2015, </w:t>
      </w:r>
      <w:r w:rsidR="00D72C19">
        <w:rPr>
          <w:sz w:val="26"/>
          <w:szCs w:val="26"/>
        </w:rPr>
        <w:t xml:space="preserve">are </w:t>
      </w:r>
      <w:r w:rsidR="00E5127F">
        <w:rPr>
          <w:sz w:val="26"/>
          <w:szCs w:val="26"/>
        </w:rPr>
        <w:t xml:space="preserve">denied, in part, and </w:t>
      </w:r>
      <w:r>
        <w:rPr>
          <w:color w:val="000000"/>
          <w:sz w:val="26"/>
        </w:rPr>
        <w:t>granted</w:t>
      </w:r>
      <w:r w:rsidR="00D72C19">
        <w:rPr>
          <w:color w:val="000000"/>
          <w:sz w:val="26"/>
        </w:rPr>
        <w:t>, in part</w:t>
      </w:r>
      <w:r>
        <w:rPr>
          <w:color w:val="000000"/>
          <w:sz w:val="26"/>
        </w:rPr>
        <w:t>.</w:t>
      </w:r>
      <w:r>
        <w:rPr>
          <w:sz w:val="26"/>
          <w:szCs w:val="26"/>
        </w:rPr>
        <w:t xml:space="preserve"> </w:t>
      </w:r>
    </w:p>
    <w:p w:rsidR="00EB238E" w:rsidRDefault="00EB238E" w:rsidP="00EB238E">
      <w:pPr>
        <w:rPr>
          <w:sz w:val="26"/>
          <w:szCs w:val="26"/>
        </w:rPr>
      </w:pPr>
    </w:p>
    <w:p w:rsidR="00972EB3" w:rsidRDefault="00EB238E" w:rsidP="009C6BA2">
      <w:pPr>
        <w:pStyle w:val="ListParagraph"/>
        <w:keepNext/>
        <w:widowControl/>
        <w:numPr>
          <w:ilvl w:val="0"/>
          <w:numId w:val="2"/>
        </w:numPr>
        <w:tabs>
          <w:tab w:val="clear" w:pos="2430"/>
          <w:tab w:val="num" w:pos="0"/>
          <w:tab w:val="num" w:pos="2160"/>
        </w:tabs>
        <w:spacing w:line="360" w:lineRule="auto"/>
        <w:ind w:left="0" w:firstLine="1440"/>
        <w:rPr>
          <w:sz w:val="26"/>
          <w:szCs w:val="26"/>
        </w:rPr>
      </w:pPr>
      <w:r w:rsidRPr="00FC740F">
        <w:rPr>
          <w:sz w:val="26"/>
          <w:szCs w:val="26"/>
        </w:rPr>
        <w:t>That the</w:t>
      </w:r>
      <w:r w:rsidR="00972EB3">
        <w:rPr>
          <w:sz w:val="26"/>
          <w:szCs w:val="26"/>
        </w:rPr>
        <w:t xml:space="preserve"> </w:t>
      </w:r>
      <w:r w:rsidR="00B841B9">
        <w:rPr>
          <w:sz w:val="26"/>
          <w:szCs w:val="26"/>
        </w:rPr>
        <w:t>Initial Decision of Administrative Law Judge Joel H. Cheskis</w:t>
      </w:r>
      <w:r w:rsidR="009C6BA2">
        <w:rPr>
          <w:sz w:val="26"/>
          <w:szCs w:val="26"/>
        </w:rPr>
        <w:t>, issued on March 13, 2015,</w:t>
      </w:r>
      <w:r w:rsidR="00B841B9">
        <w:rPr>
          <w:sz w:val="26"/>
          <w:szCs w:val="26"/>
        </w:rPr>
        <w:t xml:space="preserve"> is </w:t>
      </w:r>
      <w:r w:rsidR="00E5127F">
        <w:rPr>
          <w:sz w:val="26"/>
          <w:szCs w:val="26"/>
        </w:rPr>
        <w:t>adopted, as modified</w:t>
      </w:r>
      <w:r w:rsidR="00972EB3">
        <w:rPr>
          <w:sz w:val="26"/>
          <w:szCs w:val="26"/>
        </w:rPr>
        <w:t>.</w:t>
      </w:r>
    </w:p>
    <w:p w:rsidR="00972EB3" w:rsidRPr="00972EB3" w:rsidRDefault="00972EB3" w:rsidP="00972EB3">
      <w:pPr>
        <w:pStyle w:val="ListParagraph"/>
        <w:rPr>
          <w:sz w:val="26"/>
          <w:szCs w:val="26"/>
        </w:rPr>
      </w:pPr>
    </w:p>
    <w:p w:rsidR="00972EB3" w:rsidRDefault="009C6BA2" w:rsidP="009C6BA2">
      <w:pPr>
        <w:pStyle w:val="ListParagraph"/>
        <w:keepNext/>
        <w:widowControl/>
        <w:numPr>
          <w:ilvl w:val="0"/>
          <w:numId w:val="2"/>
        </w:numPr>
        <w:tabs>
          <w:tab w:val="clear" w:pos="2430"/>
          <w:tab w:val="num" w:pos="0"/>
          <w:tab w:val="num" w:pos="2160"/>
        </w:tabs>
        <w:spacing w:line="360" w:lineRule="auto"/>
        <w:ind w:left="0" w:firstLine="1440"/>
        <w:rPr>
          <w:sz w:val="26"/>
          <w:szCs w:val="26"/>
        </w:rPr>
      </w:pPr>
      <w:r>
        <w:rPr>
          <w:sz w:val="26"/>
          <w:szCs w:val="26"/>
        </w:rPr>
        <w:lastRenderedPageBreak/>
        <w:t xml:space="preserve">That the Formal Complaint filed by Enrico Partners, L.P., on </w:t>
      </w:r>
      <w:r w:rsidRPr="007F7DB7">
        <w:rPr>
          <w:sz w:val="26"/>
          <w:szCs w:val="26"/>
        </w:rPr>
        <w:t>July 18, 2014</w:t>
      </w:r>
      <w:r>
        <w:rPr>
          <w:sz w:val="26"/>
          <w:szCs w:val="26"/>
        </w:rPr>
        <w:t>, is sustained, in part.</w:t>
      </w:r>
    </w:p>
    <w:p w:rsidR="009C6BA2" w:rsidRDefault="009C6BA2" w:rsidP="009C6BA2">
      <w:pPr>
        <w:keepNext/>
        <w:widowControl/>
        <w:tabs>
          <w:tab w:val="num" w:pos="0"/>
        </w:tabs>
        <w:spacing w:line="360" w:lineRule="auto"/>
        <w:rPr>
          <w:sz w:val="26"/>
          <w:szCs w:val="26"/>
        </w:rPr>
      </w:pPr>
    </w:p>
    <w:p w:rsidR="00CF613E" w:rsidRDefault="009C6BA2" w:rsidP="00D40B2C">
      <w:pPr>
        <w:tabs>
          <w:tab w:val="left" w:pos="1440"/>
        </w:tabs>
        <w:spacing w:line="360" w:lineRule="auto"/>
        <w:ind w:firstLine="720"/>
        <w:rPr>
          <w:sz w:val="26"/>
          <w:szCs w:val="26"/>
        </w:rPr>
      </w:pPr>
      <w:r>
        <w:rPr>
          <w:sz w:val="26"/>
          <w:szCs w:val="26"/>
        </w:rPr>
        <w:tab/>
        <w:t>4.</w:t>
      </w:r>
      <w:r>
        <w:rPr>
          <w:sz w:val="26"/>
          <w:szCs w:val="26"/>
        </w:rPr>
        <w:tab/>
      </w:r>
      <w:r w:rsidR="00D40B2C">
        <w:rPr>
          <w:sz w:val="26"/>
          <w:szCs w:val="26"/>
        </w:rPr>
        <w:t xml:space="preserve">That Blue Pilot Energy, LLC, shall </w:t>
      </w:r>
      <w:r w:rsidR="00D40B2C" w:rsidRPr="0064024F">
        <w:rPr>
          <w:sz w:val="26"/>
          <w:szCs w:val="26"/>
        </w:rPr>
        <w:t xml:space="preserve">provide a </w:t>
      </w:r>
      <w:r w:rsidR="00D40B2C">
        <w:rPr>
          <w:sz w:val="26"/>
          <w:szCs w:val="26"/>
        </w:rPr>
        <w:t xml:space="preserve">billing adjustment in the form of a </w:t>
      </w:r>
      <w:r w:rsidR="00D40B2C" w:rsidRPr="0064024F">
        <w:rPr>
          <w:sz w:val="26"/>
          <w:szCs w:val="26"/>
        </w:rPr>
        <w:t>refund</w:t>
      </w:r>
      <w:r w:rsidR="00D40B2C">
        <w:rPr>
          <w:sz w:val="26"/>
          <w:szCs w:val="26"/>
        </w:rPr>
        <w:t xml:space="preserve"> </w:t>
      </w:r>
      <w:r w:rsidR="00D40B2C" w:rsidRPr="0064024F">
        <w:rPr>
          <w:sz w:val="26"/>
          <w:szCs w:val="26"/>
        </w:rPr>
        <w:t xml:space="preserve">to </w:t>
      </w:r>
      <w:r w:rsidR="00D40B2C">
        <w:rPr>
          <w:sz w:val="26"/>
          <w:szCs w:val="26"/>
        </w:rPr>
        <w:t xml:space="preserve">Enrico Partners L.P., </w:t>
      </w:r>
      <w:r w:rsidR="00D40B2C" w:rsidRPr="0064024F">
        <w:rPr>
          <w:sz w:val="26"/>
          <w:szCs w:val="26"/>
        </w:rPr>
        <w:t xml:space="preserve">within sixty (60) days from the date of entry of this Order, in the amount of </w:t>
      </w:r>
      <w:r w:rsidR="00D40B2C">
        <w:rPr>
          <w:sz w:val="26"/>
          <w:szCs w:val="26"/>
        </w:rPr>
        <w:t>$27,168.48</w:t>
      </w:r>
      <w:r w:rsidR="00D40B2C" w:rsidRPr="0064024F">
        <w:rPr>
          <w:sz w:val="26"/>
          <w:szCs w:val="26"/>
        </w:rPr>
        <w:t>.</w:t>
      </w:r>
      <w:r w:rsidR="00CF613E">
        <w:rPr>
          <w:sz w:val="26"/>
          <w:szCs w:val="26"/>
        </w:rPr>
        <w:t xml:space="preserve">  </w:t>
      </w:r>
    </w:p>
    <w:p w:rsidR="00CF613E" w:rsidRDefault="00CF613E" w:rsidP="00D40B2C">
      <w:pPr>
        <w:tabs>
          <w:tab w:val="left" w:pos="1440"/>
        </w:tabs>
        <w:spacing w:line="360" w:lineRule="auto"/>
        <w:ind w:firstLine="720"/>
        <w:rPr>
          <w:sz w:val="26"/>
          <w:szCs w:val="26"/>
        </w:rPr>
      </w:pPr>
    </w:p>
    <w:p w:rsidR="00CF613E" w:rsidRDefault="00CF613E" w:rsidP="00D40B2C">
      <w:pPr>
        <w:tabs>
          <w:tab w:val="left" w:pos="1440"/>
        </w:tabs>
        <w:spacing w:line="360" w:lineRule="auto"/>
        <w:ind w:firstLine="720"/>
        <w:rPr>
          <w:sz w:val="26"/>
          <w:szCs w:val="26"/>
        </w:rPr>
      </w:pPr>
      <w:r>
        <w:rPr>
          <w:sz w:val="26"/>
          <w:szCs w:val="26"/>
        </w:rPr>
        <w:tab/>
        <w:t>5.</w:t>
      </w:r>
      <w:r>
        <w:rPr>
          <w:sz w:val="26"/>
          <w:szCs w:val="26"/>
        </w:rPr>
        <w:tab/>
        <w:t>That Blue Pilot Energy, LLC, shall file a notice at this docket within ten days of making the billing adjustment required by Ordering Paragraph No. 4.</w:t>
      </w:r>
    </w:p>
    <w:p w:rsidR="00D40B2C" w:rsidRDefault="00D40B2C" w:rsidP="00D40B2C">
      <w:pPr>
        <w:tabs>
          <w:tab w:val="left" w:pos="1440"/>
        </w:tabs>
        <w:spacing w:line="360" w:lineRule="auto"/>
        <w:ind w:firstLine="720"/>
        <w:rPr>
          <w:sz w:val="26"/>
          <w:szCs w:val="26"/>
        </w:rPr>
      </w:pPr>
    </w:p>
    <w:p w:rsidR="00D40B2C" w:rsidRPr="00616B75" w:rsidRDefault="00D40B2C" w:rsidP="00D40B2C">
      <w:pPr>
        <w:tabs>
          <w:tab w:val="left" w:pos="1440"/>
        </w:tabs>
        <w:spacing w:line="360" w:lineRule="auto"/>
        <w:ind w:firstLine="720"/>
        <w:rPr>
          <w:sz w:val="26"/>
          <w:szCs w:val="26"/>
        </w:rPr>
      </w:pPr>
      <w:r>
        <w:rPr>
          <w:sz w:val="26"/>
          <w:szCs w:val="26"/>
        </w:rPr>
        <w:tab/>
      </w:r>
      <w:r w:rsidR="00CF613E">
        <w:rPr>
          <w:sz w:val="26"/>
          <w:szCs w:val="26"/>
        </w:rPr>
        <w:t>6</w:t>
      </w:r>
      <w:r>
        <w:rPr>
          <w:sz w:val="26"/>
          <w:szCs w:val="26"/>
        </w:rPr>
        <w:t>.</w:t>
      </w:r>
      <w:r>
        <w:rPr>
          <w:sz w:val="26"/>
          <w:szCs w:val="26"/>
        </w:rPr>
        <w:tab/>
        <w:t>That</w:t>
      </w:r>
      <w:r w:rsidRPr="00616B75">
        <w:rPr>
          <w:sz w:val="26"/>
          <w:szCs w:val="26"/>
        </w:rPr>
        <w:t xml:space="preserve"> in accordance with Section 3301 of the Public Utility Code, 66 Pa. C.S. § 3301, within thirty (30) days of entry of this Opinion and Order, </w:t>
      </w:r>
      <w:r>
        <w:rPr>
          <w:sz w:val="26"/>
          <w:szCs w:val="26"/>
        </w:rPr>
        <w:t>Blue Pilot Energy, LLC</w:t>
      </w:r>
      <w:r w:rsidRPr="00616B75">
        <w:rPr>
          <w:sz w:val="26"/>
          <w:szCs w:val="26"/>
        </w:rPr>
        <w:t xml:space="preserve"> shall pay a civil penalty in the amount of </w:t>
      </w:r>
      <w:r>
        <w:rPr>
          <w:sz w:val="26"/>
          <w:szCs w:val="26"/>
        </w:rPr>
        <w:t xml:space="preserve">One Thousand Dollars </w:t>
      </w:r>
      <w:r w:rsidRPr="00616B75">
        <w:rPr>
          <w:sz w:val="26"/>
          <w:szCs w:val="26"/>
        </w:rPr>
        <w:t>($</w:t>
      </w:r>
      <w:r w:rsidR="00D70EFE">
        <w:rPr>
          <w:sz w:val="26"/>
          <w:szCs w:val="26"/>
        </w:rPr>
        <w:t>1,0</w:t>
      </w:r>
      <w:r>
        <w:rPr>
          <w:sz w:val="26"/>
          <w:szCs w:val="26"/>
        </w:rPr>
        <w:t>00.00</w:t>
      </w:r>
      <w:r w:rsidRPr="00616B75">
        <w:rPr>
          <w:sz w:val="26"/>
          <w:szCs w:val="26"/>
        </w:rPr>
        <w:t>).  Certified check or money order in that amount shall be made payable to “Commonwealth of Pennsylvania” and sent addressed as follows:</w:t>
      </w:r>
    </w:p>
    <w:p w:rsidR="00D40B2C" w:rsidRPr="00616B75" w:rsidRDefault="00D40B2C" w:rsidP="00D40B2C">
      <w:pPr>
        <w:tabs>
          <w:tab w:val="left" w:pos="1440"/>
        </w:tabs>
        <w:spacing w:line="360" w:lineRule="auto"/>
        <w:ind w:firstLine="720"/>
        <w:rPr>
          <w:sz w:val="26"/>
          <w:szCs w:val="26"/>
        </w:rPr>
      </w:pPr>
    </w:p>
    <w:p w:rsidR="00D40B2C" w:rsidRPr="00616B75" w:rsidRDefault="00D40B2C" w:rsidP="00D40B2C">
      <w:pPr>
        <w:tabs>
          <w:tab w:val="left" w:pos="1440"/>
        </w:tabs>
        <w:ind w:firstLine="720"/>
        <w:rPr>
          <w:sz w:val="26"/>
          <w:szCs w:val="26"/>
        </w:rPr>
      </w:pPr>
      <w:r w:rsidRPr="00616B75">
        <w:rPr>
          <w:sz w:val="26"/>
          <w:szCs w:val="26"/>
        </w:rPr>
        <w:tab/>
      </w:r>
      <w:r w:rsidRPr="00616B75">
        <w:rPr>
          <w:sz w:val="26"/>
          <w:szCs w:val="26"/>
        </w:rPr>
        <w:tab/>
      </w:r>
      <w:r w:rsidRPr="00616B75">
        <w:rPr>
          <w:sz w:val="26"/>
          <w:szCs w:val="26"/>
        </w:rPr>
        <w:tab/>
      </w:r>
      <w:r w:rsidRPr="00616B75">
        <w:rPr>
          <w:sz w:val="26"/>
          <w:szCs w:val="26"/>
        </w:rPr>
        <w:tab/>
        <w:t>Secretary</w:t>
      </w:r>
    </w:p>
    <w:p w:rsidR="00D40B2C" w:rsidRPr="00616B75" w:rsidRDefault="00D40B2C" w:rsidP="00D40B2C">
      <w:pPr>
        <w:tabs>
          <w:tab w:val="left" w:pos="1440"/>
        </w:tabs>
        <w:ind w:firstLine="720"/>
        <w:rPr>
          <w:sz w:val="26"/>
          <w:szCs w:val="26"/>
        </w:rPr>
      </w:pPr>
      <w:r w:rsidRPr="00616B75">
        <w:rPr>
          <w:sz w:val="26"/>
          <w:szCs w:val="26"/>
        </w:rPr>
        <w:tab/>
      </w:r>
      <w:r w:rsidRPr="00616B75">
        <w:rPr>
          <w:sz w:val="26"/>
          <w:szCs w:val="26"/>
        </w:rPr>
        <w:tab/>
      </w:r>
      <w:r w:rsidRPr="00616B75">
        <w:rPr>
          <w:sz w:val="26"/>
          <w:szCs w:val="26"/>
        </w:rPr>
        <w:tab/>
      </w:r>
      <w:r w:rsidRPr="00616B75">
        <w:rPr>
          <w:sz w:val="26"/>
          <w:szCs w:val="26"/>
        </w:rPr>
        <w:tab/>
        <w:t>Pennsylvania Public Utility Commission</w:t>
      </w:r>
    </w:p>
    <w:p w:rsidR="00D40B2C" w:rsidRPr="00FB1727" w:rsidRDefault="00D40B2C" w:rsidP="00D40B2C">
      <w:pPr>
        <w:tabs>
          <w:tab w:val="left" w:pos="1440"/>
        </w:tabs>
        <w:ind w:firstLine="720"/>
        <w:rPr>
          <w:sz w:val="26"/>
          <w:szCs w:val="26"/>
        </w:rPr>
      </w:pPr>
      <w:r w:rsidRPr="00616B75">
        <w:rPr>
          <w:sz w:val="26"/>
          <w:szCs w:val="26"/>
        </w:rPr>
        <w:tab/>
      </w:r>
      <w:r w:rsidRPr="00616B75">
        <w:rPr>
          <w:sz w:val="26"/>
          <w:szCs w:val="26"/>
        </w:rPr>
        <w:tab/>
      </w:r>
      <w:r w:rsidRPr="00616B75">
        <w:rPr>
          <w:sz w:val="26"/>
          <w:szCs w:val="26"/>
        </w:rPr>
        <w:tab/>
      </w:r>
      <w:r w:rsidRPr="00616B75">
        <w:rPr>
          <w:sz w:val="26"/>
          <w:szCs w:val="26"/>
        </w:rPr>
        <w:tab/>
      </w:r>
      <w:r w:rsidRPr="00FB1727">
        <w:rPr>
          <w:sz w:val="26"/>
          <w:szCs w:val="26"/>
        </w:rPr>
        <w:t>400 North Street</w:t>
      </w:r>
    </w:p>
    <w:p w:rsidR="00D40B2C" w:rsidRPr="00FB1727" w:rsidRDefault="00D40B2C" w:rsidP="00D40B2C">
      <w:pPr>
        <w:tabs>
          <w:tab w:val="left" w:pos="1440"/>
        </w:tabs>
        <w:ind w:firstLine="720"/>
        <w:rPr>
          <w:sz w:val="26"/>
          <w:szCs w:val="26"/>
        </w:rPr>
      </w:pPr>
      <w:r>
        <w:rPr>
          <w:sz w:val="26"/>
          <w:szCs w:val="26"/>
        </w:rPr>
        <w:tab/>
      </w:r>
      <w:r>
        <w:rPr>
          <w:sz w:val="26"/>
          <w:szCs w:val="26"/>
        </w:rPr>
        <w:tab/>
      </w:r>
      <w:r>
        <w:rPr>
          <w:sz w:val="26"/>
          <w:szCs w:val="26"/>
        </w:rPr>
        <w:tab/>
      </w:r>
      <w:r>
        <w:rPr>
          <w:sz w:val="26"/>
          <w:szCs w:val="26"/>
        </w:rPr>
        <w:tab/>
      </w:r>
      <w:r w:rsidRPr="00FB1727">
        <w:rPr>
          <w:sz w:val="26"/>
          <w:szCs w:val="26"/>
        </w:rPr>
        <w:t>Keystone B</w:t>
      </w:r>
      <w:r>
        <w:rPr>
          <w:sz w:val="26"/>
          <w:szCs w:val="26"/>
        </w:rPr>
        <w:t>uilding</w:t>
      </w:r>
    </w:p>
    <w:p w:rsidR="00D40B2C" w:rsidRDefault="00D40B2C" w:rsidP="00D40B2C">
      <w:pPr>
        <w:tabs>
          <w:tab w:val="left" w:pos="1440"/>
        </w:tabs>
        <w:ind w:firstLine="720"/>
        <w:rPr>
          <w:sz w:val="26"/>
          <w:szCs w:val="26"/>
        </w:rPr>
      </w:pPr>
      <w:r>
        <w:rPr>
          <w:sz w:val="26"/>
          <w:szCs w:val="26"/>
        </w:rPr>
        <w:tab/>
      </w:r>
      <w:r>
        <w:rPr>
          <w:sz w:val="26"/>
          <w:szCs w:val="26"/>
        </w:rPr>
        <w:tab/>
      </w:r>
      <w:r>
        <w:rPr>
          <w:sz w:val="26"/>
          <w:szCs w:val="26"/>
        </w:rPr>
        <w:tab/>
      </w:r>
      <w:r>
        <w:rPr>
          <w:sz w:val="26"/>
          <w:szCs w:val="26"/>
        </w:rPr>
        <w:tab/>
      </w:r>
      <w:r w:rsidRPr="00FB1727">
        <w:rPr>
          <w:sz w:val="26"/>
          <w:szCs w:val="26"/>
        </w:rPr>
        <w:t>Harrisburg, PA 17120</w:t>
      </w:r>
    </w:p>
    <w:p w:rsidR="00D40B2C" w:rsidRPr="00616B75" w:rsidRDefault="00D40B2C" w:rsidP="00D40B2C">
      <w:pPr>
        <w:tabs>
          <w:tab w:val="left" w:pos="1440"/>
        </w:tabs>
        <w:ind w:firstLine="720"/>
        <w:rPr>
          <w:sz w:val="26"/>
          <w:szCs w:val="26"/>
        </w:rPr>
      </w:pPr>
    </w:p>
    <w:p w:rsidR="00D40B2C" w:rsidRPr="00616B75" w:rsidRDefault="00D40B2C" w:rsidP="00D40B2C">
      <w:pPr>
        <w:tabs>
          <w:tab w:val="left" w:pos="1440"/>
        </w:tabs>
        <w:spacing w:line="360" w:lineRule="auto"/>
        <w:ind w:firstLine="720"/>
        <w:rPr>
          <w:sz w:val="26"/>
          <w:szCs w:val="26"/>
        </w:rPr>
      </w:pPr>
    </w:p>
    <w:p w:rsidR="00D40B2C" w:rsidRPr="00616B75" w:rsidRDefault="00D40B2C" w:rsidP="00D40B2C">
      <w:pPr>
        <w:tabs>
          <w:tab w:val="left" w:pos="1440"/>
        </w:tabs>
        <w:spacing w:line="360" w:lineRule="auto"/>
        <w:ind w:firstLine="720"/>
        <w:rPr>
          <w:sz w:val="26"/>
          <w:szCs w:val="26"/>
        </w:rPr>
      </w:pPr>
      <w:r>
        <w:rPr>
          <w:sz w:val="26"/>
          <w:szCs w:val="26"/>
        </w:rPr>
        <w:tab/>
      </w:r>
      <w:r w:rsidR="00CF613E">
        <w:rPr>
          <w:sz w:val="26"/>
          <w:szCs w:val="26"/>
        </w:rPr>
        <w:t>7</w:t>
      </w:r>
      <w:r w:rsidRPr="00616B75">
        <w:rPr>
          <w:sz w:val="26"/>
          <w:szCs w:val="26"/>
        </w:rPr>
        <w:t>.</w:t>
      </w:r>
      <w:r w:rsidRPr="00616B75">
        <w:rPr>
          <w:sz w:val="26"/>
          <w:szCs w:val="26"/>
        </w:rPr>
        <w:tab/>
        <w:t xml:space="preserve">That </w:t>
      </w:r>
      <w:r>
        <w:rPr>
          <w:sz w:val="26"/>
          <w:szCs w:val="26"/>
        </w:rPr>
        <w:t>Blue Pilot Energy, LLC</w:t>
      </w:r>
      <w:r w:rsidRPr="00616B75">
        <w:rPr>
          <w:sz w:val="26"/>
          <w:szCs w:val="26"/>
        </w:rPr>
        <w:t xml:space="preserve"> shall cease and desist from further violations of the Public Utility Commission’s Regulations.</w:t>
      </w:r>
    </w:p>
    <w:p w:rsidR="00D40B2C" w:rsidRPr="00616B75" w:rsidRDefault="00D40B2C" w:rsidP="00D40B2C">
      <w:pPr>
        <w:tabs>
          <w:tab w:val="left" w:pos="1440"/>
        </w:tabs>
        <w:spacing w:line="360" w:lineRule="auto"/>
        <w:ind w:firstLine="720"/>
        <w:rPr>
          <w:sz w:val="26"/>
          <w:szCs w:val="26"/>
        </w:rPr>
      </w:pPr>
    </w:p>
    <w:p w:rsidR="00D40B2C" w:rsidRPr="00616B75" w:rsidRDefault="00D40B2C" w:rsidP="00D40B2C">
      <w:pPr>
        <w:tabs>
          <w:tab w:val="left" w:pos="1440"/>
        </w:tabs>
        <w:spacing w:line="360" w:lineRule="auto"/>
        <w:ind w:firstLine="720"/>
        <w:rPr>
          <w:sz w:val="26"/>
          <w:szCs w:val="26"/>
        </w:rPr>
      </w:pPr>
      <w:r>
        <w:rPr>
          <w:sz w:val="26"/>
          <w:szCs w:val="26"/>
        </w:rPr>
        <w:tab/>
      </w:r>
      <w:r w:rsidR="00CF613E">
        <w:rPr>
          <w:sz w:val="26"/>
          <w:szCs w:val="26"/>
        </w:rPr>
        <w:t>8</w:t>
      </w:r>
      <w:r w:rsidRPr="00616B75">
        <w:rPr>
          <w:sz w:val="26"/>
          <w:szCs w:val="26"/>
        </w:rPr>
        <w:t>.</w:t>
      </w:r>
      <w:r w:rsidRPr="00616B75">
        <w:rPr>
          <w:sz w:val="26"/>
          <w:szCs w:val="26"/>
        </w:rPr>
        <w:tab/>
        <w:t xml:space="preserve">That a copy of this Opinion and Order </w:t>
      </w:r>
      <w:r w:rsidR="00CF613E">
        <w:rPr>
          <w:sz w:val="26"/>
          <w:szCs w:val="26"/>
        </w:rPr>
        <w:t xml:space="preserve">shall </w:t>
      </w:r>
      <w:r w:rsidRPr="00616B75">
        <w:rPr>
          <w:sz w:val="26"/>
          <w:szCs w:val="26"/>
        </w:rPr>
        <w:t>be served upon the Financial and Assessment Chief, Office of Administrative Services, the Office of Competitive Market Oversight, and the Bureau of Consumer Services.</w:t>
      </w:r>
    </w:p>
    <w:p w:rsidR="00D40B2C" w:rsidRPr="00616B75" w:rsidRDefault="00D40B2C" w:rsidP="00D40B2C">
      <w:pPr>
        <w:tabs>
          <w:tab w:val="left" w:pos="1440"/>
        </w:tabs>
        <w:spacing w:line="360" w:lineRule="auto"/>
        <w:ind w:firstLine="720"/>
        <w:rPr>
          <w:sz w:val="26"/>
          <w:szCs w:val="26"/>
        </w:rPr>
      </w:pPr>
    </w:p>
    <w:p w:rsidR="00D40B2C" w:rsidRDefault="006D17F9" w:rsidP="00A12759">
      <w:pPr>
        <w:widowControl/>
        <w:spacing w:line="360" w:lineRule="auto"/>
        <w:ind w:firstLine="1440"/>
        <w:rPr>
          <w:sz w:val="26"/>
          <w:szCs w:val="26"/>
        </w:rPr>
      </w:pPr>
      <w:r>
        <w:rPr>
          <w:sz w:val="26"/>
          <w:szCs w:val="26"/>
        </w:rPr>
        <w:lastRenderedPageBreak/>
        <w:t>9.</w:t>
      </w:r>
      <w:r w:rsidR="00D40B2C">
        <w:rPr>
          <w:sz w:val="26"/>
          <w:szCs w:val="26"/>
        </w:rPr>
        <w:tab/>
        <w:t>That this proceeding shall</w:t>
      </w:r>
      <w:r w:rsidR="00D40B2C" w:rsidRPr="00616B75">
        <w:rPr>
          <w:sz w:val="26"/>
          <w:szCs w:val="26"/>
        </w:rPr>
        <w:t xml:space="preserve"> be marked closed upon </w:t>
      </w:r>
      <w:r>
        <w:rPr>
          <w:sz w:val="26"/>
          <w:szCs w:val="26"/>
        </w:rPr>
        <w:t xml:space="preserve">filing of the notice described in Ordering Paragraph No. 5 and </w:t>
      </w:r>
      <w:r w:rsidR="00D40B2C" w:rsidRPr="00616B75">
        <w:rPr>
          <w:sz w:val="26"/>
          <w:szCs w:val="26"/>
        </w:rPr>
        <w:t xml:space="preserve">payment of the penalty described in Ordering Paragraph No. </w:t>
      </w:r>
      <w:r>
        <w:rPr>
          <w:sz w:val="26"/>
          <w:szCs w:val="26"/>
        </w:rPr>
        <w:t>6</w:t>
      </w:r>
      <w:r w:rsidR="00D40B2C">
        <w:rPr>
          <w:sz w:val="26"/>
          <w:szCs w:val="26"/>
        </w:rPr>
        <w:t>.</w:t>
      </w:r>
    </w:p>
    <w:p w:rsidR="00AE6778" w:rsidRDefault="00550DFC" w:rsidP="0080270D">
      <w:pPr>
        <w:spacing w:line="360" w:lineRule="auto"/>
        <w:rPr>
          <w:sz w:val="26"/>
          <w:szCs w:val="26"/>
        </w:rPr>
      </w:pPr>
      <w:bookmarkStart w:id="2" w:name="_GoBack"/>
      <w:r w:rsidRPr="009F01BA">
        <w:rPr>
          <w:b/>
          <w:noProof/>
        </w:rPr>
        <w:drawing>
          <wp:anchor distT="0" distB="0" distL="114300" distR="114300" simplePos="0" relativeHeight="251659264" behindDoc="1" locked="0" layoutInCell="1" allowOverlap="1" wp14:anchorId="3DE7FAE2" wp14:editId="07907903">
            <wp:simplePos x="0" y="0"/>
            <wp:positionH relativeFrom="column">
              <wp:posOffset>3079750</wp:posOffset>
            </wp:positionH>
            <wp:positionV relativeFrom="paragraph">
              <wp:posOffset>241935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EB238E" w:rsidRDefault="00020D75" w:rsidP="00020D75">
      <w:pPr>
        <w:tabs>
          <w:tab w:val="left" w:pos="-720"/>
        </w:tab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6920F5">
        <w:rPr>
          <w:sz w:val="26"/>
          <w:szCs w:val="26"/>
        </w:rPr>
        <w:tab/>
      </w:r>
      <w:r w:rsidR="00EB238E">
        <w:rPr>
          <w:b/>
          <w:sz w:val="26"/>
          <w:szCs w:val="26"/>
        </w:rPr>
        <w:t>BY THE COMMISSION,</w:t>
      </w:r>
    </w:p>
    <w:p w:rsidR="00EB238E" w:rsidRDefault="00EB238E" w:rsidP="00EB238E">
      <w:pPr>
        <w:tabs>
          <w:tab w:val="left" w:pos="-720"/>
        </w:tabs>
        <w:rPr>
          <w:sz w:val="26"/>
          <w:szCs w:val="26"/>
        </w:rPr>
      </w:pPr>
    </w:p>
    <w:p w:rsidR="00EB238E" w:rsidRDefault="00EB238E" w:rsidP="00EB238E">
      <w:pPr>
        <w:tabs>
          <w:tab w:val="left" w:pos="-720"/>
        </w:tabs>
        <w:rPr>
          <w:sz w:val="26"/>
          <w:szCs w:val="26"/>
        </w:rPr>
      </w:pPr>
    </w:p>
    <w:p w:rsidR="00EB238E" w:rsidRDefault="00EB238E" w:rsidP="00EB238E">
      <w:pPr>
        <w:tabs>
          <w:tab w:val="left" w:pos="-720"/>
        </w:tabs>
        <w:rPr>
          <w:sz w:val="26"/>
          <w:szCs w:val="26"/>
        </w:rPr>
      </w:pPr>
    </w:p>
    <w:p w:rsidR="00EB238E" w:rsidRDefault="00EB238E" w:rsidP="00EB238E">
      <w:pPr>
        <w:tabs>
          <w:tab w:val="left" w:pos="-720"/>
        </w:tabs>
        <w:ind w:firstLine="5040"/>
        <w:rPr>
          <w:b/>
          <w:sz w:val="26"/>
          <w:szCs w:val="26"/>
        </w:rPr>
      </w:pPr>
      <w:r>
        <w:rPr>
          <w:sz w:val="26"/>
          <w:szCs w:val="26"/>
        </w:rPr>
        <w:t>Rosemary Chiavetta</w:t>
      </w:r>
    </w:p>
    <w:p w:rsidR="00EB238E" w:rsidRDefault="00EB238E" w:rsidP="00EB238E">
      <w:pPr>
        <w:tabs>
          <w:tab w:val="left" w:pos="-720"/>
        </w:tabs>
        <w:ind w:firstLine="5040"/>
        <w:rPr>
          <w:sz w:val="26"/>
          <w:szCs w:val="26"/>
        </w:rPr>
      </w:pPr>
      <w:r>
        <w:rPr>
          <w:sz w:val="26"/>
          <w:szCs w:val="26"/>
        </w:rPr>
        <w:t>Secretary</w:t>
      </w:r>
    </w:p>
    <w:p w:rsidR="00EB238E" w:rsidRDefault="00EB238E" w:rsidP="00EB238E">
      <w:pPr>
        <w:tabs>
          <w:tab w:val="left" w:pos="-720"/>
        </w:tabs>
        <w:ind w:firstLine="5040"/>
        <w:rPr>
          <w:sz w:val="26"/>
          <w:szCs w:val="26"/>
        </w:rPr>
      </w:pPr>
    </w:p>
    <w:p w:rsidR="00EB238E" w:rsidRDefault="00EB238E" w:rsidP="00EB238E">
      <w:pPr>
        <w:tabs>
          <w:tab w:val="left" w:pos="-720"/>
        </w:tabs>
        <w:rPr>
          <w:sz w:val="26"/>
          <w:szCs w:val="26"/>
        </w:rPr>
      </w:pPr>
      <w:r>
        <w:rPr>
          <w:sz w:val="26"/>
          <w:szCs w:val="26"/>
        </w:rPr>
        <w:t>(SEAL)</w:t>
      </w:r>
    </w:p>
    <w:p w:rsidR="00EB238E" w:rsidRDefault="00EB238E" w:rsidP="00EB238E">
      <w:pPr>
        <w:tabs>
          <w:tab w:val="left" w:pos="-720"/>
        </w:tabs>
        <w:rPr>
          <w:sz w:val="26"/>
          <w:szCs w:val="26"/>
        </w:rPr>
      </w:pPr>
    </w:p>
    <w:p w:rsidR="00EB238E" w:rsidRDefault="00EB238E" w:rsidP="00EB238E">
      <w:pPr>
        <w:tabs>
          <w:tab w:val="left" w:pos="-720"/>
        </w:tabs>
        <w:rPr>
          <w:sz w:val="26"/>
          <w:szCs w:val="26"/>
        </w:rPr>
      </w:pPr>
      <w:r>
        <w:rPr>
          <w:sz w:val="26"/>
          <w:szCs w:val="26"/>
        </w:rPr>
        <w:t xml:space="preserve">ORDER ADOPTED: </w:t>
      </w:r>
      <w:r>
        <w:rPr>
          <w:sz w:val="26"/>
          <w:szCs w:val="26"/>
        </w:rPr>
        <w:tab/>
      </w:r>
      <w:r w:rsidR="00030EC1">
        <w:rPr>
          <w:sz w:val="26"/>
          <w:szCs w:val="26"/>
        </w:rPr>
        <w:t>May 4</w:t>
      </w:r>
      <w:r w:rsidR="006059E4">
        <w:rPr>
          <w:sz w:val="26"/>
          <w:szCs w:val="26"/>
        </w:rPr>
        <w:t>, 2017</w:t>
      </w:r>
    </w:p>
    <w:p w:rsidR="00EB238E" w:rsidRDefault="00EB238E" w:rsidP="00EB238E">
      <w:pPr>
        <w:tabs>
          <w:tab w:val="left" w:pos="-720"/>
        </w:tabs>
        <w:rPr>
          <w:sz w:val="26"/>
          <w:szCs w:val="26"/>
        </w:rPr>
      </w:pPr>
    </w:p>
    <w:p w:rsidR="00EB238E" w:rsidRPr="00934A99" w:rsidRDefault="00EB238E" w:rsidP="00EB238E">
      <w:pPr>
        <w:tabs>
          <w:tab w:val="left" w:pos="-720"/>
        </w:tabs>
        <w:rPr>
          <w:sz w:val="26"/>
          <w:szCs w:val="26"/>
        </w:rPr>
      </w:pPr>
      <w:r>
        <w:rPr>
          <w:sz w:val="26"/>
          <w:szCs w:val="26"/>
        </w:rPr>
        <w:t xml:space="preserve">ORDER ENTERED:        </w:t>
      </w:r>
      <w:r w:rsidR="00550DFC">
        <w:rPr>
          <w:sz w:val="26"/>
          <w:szCs w:val="26"/>
        </w:rPr>
        <w:t>May 4, 2017</w:t>
      </w:r>
      <w:r>
        <w:rPr>
          <w:sz w:val="26"/>
          <w:szCs w:val="26"/>
        </w:rPr>
        <w:t xml:space="preserve">    </w:t>
      </w:r>
    </w:p>
    <w:p w:rsidR="00364588" w:rsidRDefault="00364588" w:rsidP="00A71487">
      <w:pPr>
        <w:rPr>
          <w:sz w:val="26"/>
          <w:szCs w:val="26"/>
        </w:rPr>
      </w:pPr>
    </w:p>
    <w:sectPr w:rsidR="00364588" w:rsidSect="00E62E3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E35" w:rsidRDefault="00084E35" w:rsidP="0054576F">
      <w:r>
        <w:separator/>
      </w:r>
    </w:p>
  </w:endnote>
  <w:endnote w:type="continuationSeparator" w:id="0">
    <w:p w:rsidR="00084E35" w:rsidRDefault="00084E35" w:rsidP="0054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066613"/>
      <w:docPartObj>
        <w:docPartGallery w:val="Page Numbers (Bottom of Page)"/>
        <w:docPartUnique/>
      </w:docPartObj>
    </w:sdtPr>
    <w:sdtEndPr>
      <w:rPr>
        <w:noProof/>
        <w:sz w:val="26"/>
        <w:szCs w:val="26"/>
      </w:rPr>
    </w:sdtEndPr>
    <w:sdtContent>
      <w:p w:rsidR="004A5F93" w:rsidRPr="00E62E32" w:rsidRDefault="004A5F93">
        <w:pPr>
          <w:pStyle w:val="Footer"/>
          <w:jc w:val="center"/>
          <w:rPr>
            <w:sz w:val="26"/>
            <w:szCs w:val="26"/>
          </w:rPr>
        </w:pPr>
        <w:r w:rsidRPr="00E62E32">
          <w:rPr>
            <w:sz w:val="26"/>
            <w:szCs w:val="26"/>
          </w:rPr>
          <w:fldChar w:fldCharType="begin"/>
        </w:r>
        <w:r w:rsidRPr="00E62E32">
          <w:rPr>
            <w:sz w:val="26"/>
            <w:szCs w:val="26"/>
          </w:rPr>
          <w:instrText xml:space="preserve"> PAGE   \* MERGEFORMAT </w:instrText>
        </w:r>
        <w:r w:rsidRPr="00E62E32">
          <w:rPr>
            <w:sz w:val="26"/>
            <w:szCs w:val="26"/>
          </w:rPr>
          <w:fldChar w:fldCharType="separate"/>
        </w:r>
        <w:r w:rsidR="00550DFC">
          <w:rPr>
            <w:noProof/>
            <w:sz w:val="26"/>
            <w:szCs w:val="26"/>
          </w:rPr>
          <w:t>31</w:t>
        </w:r>
        <w:r w:rsidRPr="00E62E32">
          <w:rPr>
            <w:noProof/>
            <w:sz w:val="26"/>
            <w:szCs w:val="26"/>
          </w:rPr>
          <w:fldChar w:fldCharType="end"/>
        </w:r>
      </w:p>
    </w:sdtContent>
  </w:sdt>
  <w:p w:rsidR="004A5F93" w:rsidRDefault="004A5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E35" w:rsidRDefault="00084E35" w:rsidP="0054576F">
      <w:r>
        <w:separator/>
      </w:r>
    </w:p>
  </w:footnote>
  <w:footnote w:type="continuationSeparator" w:id="0">
    <w:p w:rsidR="00084E35" w:rsidRDefault="00084E35" w:rsidP="0054576F">
      <w:r>
        <w:continuationSeparator/>
      </w:r>
    </w:p>
  </w:footnote>
  <w:footnote w:id="1">
    <w:p w:rsidR="004B7B47" w:rsidRDefault="004A5F93" w:rsidP="00BD4B16">
      <w:pPr>
        <w:adjustRightInd w:val="0"/>
        <w:ind w:firstLine="720"/>
        <w:rPr>
          <w:bCs/>
          <w:color w:val="000000"/>
          <w:sz w:val="26"/>
          <w:szCs w:val="26"/>
        </w:rPr>
      </w:pPr>
      <w:r>
        <w:rPr>
          <w:rStyle w:val="FootnoteReference"/>
        </w:rPr>
        <w:footnoteRef/>
      </w:r>
      <w:r>
        <w:t xml:space="preserve"> </w:t>
      </w:r>
      <w:r>
        <w:rPr>
          <w:bCs/>
          <w:color w:val="000000"/>
          <w:sz w:val="26"/>
          <w:szCs w:val="26"/>
        </w:rPr>
        <w:t xml:space="preserve"> </w:t>
      </w:r>
      <w:r>
        <w:rPr>
          <w:bCs/>
          <w:color w:val="000000"/>
          <w:sz w:val="26"/>
          <w:szCs w:val="26"/>
        </w:rPr>
        <w:tab/>
      </w:r>
      <w:r w:rsidRPr="00BD4B16">
        <w:rPr>
          <w:bCs/>
          <w:i/>
          <w:color w:val="000000"/>
          <w:sz w:val="26"/>
          <w:szCs w:val="26"/>
        </w:rPr>
        <w:t>See License Application of Blue Pilot Energy, LLC</w:t>
      </w:r>
      <w:r>
        <w:rPr>
          <w:bCs/>
          <w:color w:val="000000"/>
          <w:sz w:val="26"/>
          <w:szCs w:val="26"/>
        </w:rPr>
        <w:t xml:space="preserve">, Docket No. </w:t>
      </w:r>
    </w:p>
    <w:p w:rsidR="004B7B47" w:rsidRDefault="004A5F93" w:rsidP="004B7B47">
      <w:pPr>
        <w:adjustRightInd w:val="0"/>
        <w:rPr>
          <w:bCs/>
          <w:color w:val="000000"/>
          <w:sz w:val="26"/>
          <w:szCs w:val="26"/>
        </w:rPr>
      </w:pPr>
      <w:r>
        <w:rPr>
          <w:bCs/>
          <w:color w:val="000000"/>
          <w:sz w:val="26"/>
          <w:szCs w:val="26"/>
        </w:rPr>
        <w:t>A-2011-2223888 (Order entered June 10, 2011)</w:t>
      </w:r>
      <w:r w:rsidR="00870760">
        <w:rPr>
          <w:bCs/>
          <w:color w:val="000000"/>
          <w:sz w:val="26"/>
          <w:szCs w:val="26"/>
        </w:rPr>
        <w:t xml:space="preserve"> (</w:t>
      </w:r>
      <w:r w:rsidR="00870760">
        <w:rPr>
          <w:bCs/>
          <w:i/>
          <w:color w:val="000000"/>
          <w:sz w:val="26"/>
          <w:szCs w:val="26"/>
        </w:rPr>
        <w:t>License Application Order</w:t>
      </w:r>
      <w:r w:rsidR="00870760">
        <w:rPr>
          <w:bCs/>
          <w:color w:val="000000"/>
          <w:sz w:val="26"/>
          <w:szCs w:val="26"/>
        </w:rPr>
        <w:t>)</w:t>
      </w:r>
      <w:r>
        <w:rPr>
          <w:bCs/>
          <w:color w:val="000000"/>
          <w:sz w:val="26"/>
          <w:szCs w:val="26"/>
        </w:rPr>
        <w:t xml:space="preserve">.  However, Blue Pilot’s license is currently under suspension due to its failure to provide evidence of a Commission-approved bond or security.  </w:t>
      </w:r>
      <w:r w:rsidRPr="00CC2B01">
        <w:rPr>
          <w:bCs/>
          <w:i/>
          <w:color w:val="000000"/>
          <w:sz w:val="26"/>
          <w:szCs w:val="26"/>
        </w:rPr>
        <w:t>Electric Generation Supplier License Cancellations of Companies with an Expired Financial Security</w:t>
      </w:r>
      <w:r>
        <w:rPr>
          <w:bCs/>
          <w:color w:val="000000"/>
          <w:sz w:val="26"/>
          <w:szCs w:val="26"/>
        </w:rPr>
        <w:t xml:space="preserve">, Docket No. </w:t>
      </w:r>
    </w:p>
    <w:p w:rsidR="004A5F93" w:rsidRPr="009C6BA2" w:rsidRDefault="004A5F93" w:rsidP="009C6BA2">
      <w:pPr>
        <w:adjustRightInd w:val="0"/>
        <w:rPr>
          <w:bCs/>
          <w:color w:val="000000"/>
          <w:sz w:val="26"/>
          <w:szCs w:val="26"/>
        </w:rPr>
      </w:pPr>
      <w:r>
        <w:rPr>
          <w:bCs/>
          <w:color w:val="000000"/>
          <w:sz w:val="26"/>
          <w:szCs w:val="26"/>
        </w:rPr>
        <w:t>M-2015-2490383 (Final Order entered March 14, 2016) (</w:t>
      </w:r>
      <w:r w:rsidRPr="00CC2B01">
        <w:rPr>
          <w:bCs/>
          <w:i/>
          <w:color w:val="000000"/>
          <w:sz w:val="26"/>
          <w:szCs w:val="26"/>
        </w:rPr>
        <w:t>EGS Cancellation Order</w:t>
      </w:r>
      <w:r>
        <w:rPr>
          <w:bCs/>
          <w:color w:val="000000"/>
          <w:sz w:val="26"/>
          <w:szCs w:val="26"/>
        </w:rPr>
        <w:t xml:space="preserve">).   Blue Pilot’s license was suspended until final resolution of the pending Joint Complaint filed by the Office of the Attorney General and the Office of Consumer Advocate against the Company in </w:t>
      </w:r>
      <w:r w:rsidRPr="00CC2B01">
        <w:rPr>
          <w:bCs/>
          <w:i/>
          <w:color w:val="000000"/>
          <w:sz w:val="26"/>
          <w:szCs w:val="26"/>
        </w:rPr>
        <w:t>Com. of Pa. v. Blue Pilot Energy, LLC</w:t>
      </w:r>
      <w:r>
        <w:rPr>
          <w:bCs/>
          <w:color w:val="000000"/>
          <w:sz w:val="26"/>
          <w:szCs w:val="26"/>
        </w:rPr>
        <w:t xml:space="preserve">, Docket No. C-2014-2427655.  </w:t>
      </w:r>
      <w:r w:rsidRPr="00CC2B01">
        <w:rPr>
          <w:bCs/>
          <w:i/>
          <w:color w:val="000000"/>
          <w:sz w:val="26"/>
          <w:szCs w:val="26"/>
        </w:rPr>
        <w:t>EGS Cancellation Order</w:t>
      </w:r>
      <w:r>
        <w:rPr>
          <w:bCs/>
          <w:color w:val="000000"/>
          <w:sz w:val="26"/>
          <w:szCs w:val="26"/>
        </w:rPr>
        <w:t xml:space="preserve"> at 3.  Blue Pilot is prohibited from enrolling any new customers during the suspension period.  </w:t>
      </w:r>
      <w:r w:rsidRPr="00CC2B01">
        <w:rPr>
          <w:bCs/>
          <w:i/>
          <w:color w:val="000000"/>
          <w:sz w:val="26"/>
          <w:szCs w:val="26"/>
        </w:rPr>
        <w:t>Id.</w:t>
      </w:r>
      <w:r>
        <w:rPr>
          <w:bCs/>
          <w:color w:val="000000"/>
          <w:sz w:val="26"/>
          <w:szCs w:val="26"/>
        </w:rPr>
        <w:t xml:space="preserve">    </w:t>
      </w:r>
    </w:p>
  </w:footnote>
  <w:footnote w:id="2">
    <w:p w:rsidR="004A5F93" w:rsidRDefault="004A5F93" w:rsidP="00E131C2">
      <w:pPr>
        <w:pStyle w:val="NormalWeb"/>
        <w:spacing w:before="0" w:beforeAutospacing="0" w:after="0" w:afterAutospacing="0"/>
        <w:ind w:firstLine="720"/>
      </w:pPr>
      <w:r w:rsidRPr="008A3141">
        <w:rPr>
          <w:rStyle w:val="FootnoteReference"/>
          <w:sz w:val="26"/>
          <w:szCs w:val="26"/>
        </w:rPr>
        <w:footnoteRef/>
      </w:r>
      <w:r w:rsidRPr="008A3141">
        <w:rPr>
          <w:sz w:val="26"/>
          <w:szCs w:val="26"/>
        </w:rPr>
        <w:t xml:space="preserve">      </w:t>
      </w:r>
      <w:r>
        <w:rPr>
          <w:sz w:val="26"/>
          <w:szCs w:val="26"/>
        </w:rPr>
        <w:t xml:space="preserve">Section 54.5 of our Regulations, </w:t>
      </w:r>
      <w:r>
        <w:rPr>
          <w:bCs/>
          <w:color w:val="000000"/>
          <w:sz w:val="26"/>
          <w:szCs w:val="26"/>
        </w:rPr>
        <w:t>52 Pa. Code § 54.5</w:t>
      </w:r>
      <w:r>
        <w:rPr>
          <w:sz w:val="26"/>
          <w:szCs w:val="26"/>
        </w:rPr>
        <w:t>, is applicable to residential and small business customers.  The regulation requires an</w:t>
      </w:r>
      <w:r w:rsidRPr="0060572C">
        <w:rPr>
          <w:sz w:val="26"/>
          <w:szCs w:val="26"/>
        </w:rPr>
        <w:t xml:space="preserve"> EGS </w:t>
      </w:r>
      <w:r>
        <w:rPr>
          <w:sz w:val="26"/>
          <w:szCs w:val="26"/>
        </w:rPr>
        <w:t>to</w:t>
      </w:r>
      <w:r w:rsidRPr="0060572C">
        <w:rPr>
          <w:sz w:val="26"/>
          <w:szCs w:val="26"/>
        </w:rPr>
        <w:t xml:space="preserve"> provide </w:t>
      </w:r>
      <w:r>
        <w:rPr>
          <w:sz w:val="26"/>
          <w:szCs w:val="26"/>
        </w:rPr>
        <w:t>a</w:t>
      </w:r>
      <w:r w:rsidRPr="0060572C">
        <w:rPr>
          <w:sz w:val="26"/>
          <w:szCs w:val="26"/>
        </w:rPr>
        <w:t xml:space="preserve"> customer </w:t>
      </w:r>
      <w:r>
        <w:rPr>
          <w:sz w:val="26"/>
          <w:szCs w:val="26"/>
        </w:rPr>
        <w:t xml:space="preserve">with </w:t>
      </w:r>
      <w:r w:rsidRPr="0060572C">
        <w:rPr>
          <w:sz w:val="26"/>
          <w:szCs w:val="26"/>
        </w:rPr>
        <w:t>written disclosure of the terms of service</w:t>
      </w:r>
      <w:r>
        <w:rPr>
          <w:sz w:val="26"/>
          <w:szCs w:val="26"/>
        </w:rPr>
        <w:t xml:space="preserve">, </w:t>
      </w:r>
      <w:r>
        <w:rPr>
          <w:i/>
          <w:sz w:val="26"/>
          <w:szCs w:val="26"/>
        </w:rPr>
        <w:t>inter alia</w:t>
      </w:r>
      <w:r>
        <w:rPr>
          <w:sz w:val="26"/>
          <w:szCs w:val="26"/>
        </w:rPr>
        <w:t>,</w:t>
      </w:r>
      <w:r>
        <w:rPr>
          <w:i/>
          <w:sz w:val="26"/>
          <w:szCs w:val="26"/>
        </w:rPr>
        <w:t xml:space="preserve"> </w:t>
      </w:r>
      <w:r>
        <w:rPr>
          <w:sz w:val="26"/>
          <w:szCs w:val="26"/>
        </w:rPr>
        <w:t>when the customer</w:t>
      </w:r>
      <w:r>
        <w:rPr>
          <w:i/>
          <w:sz w:val="26"/>
          <w:szCs w:val="26"/>
        </w:rPr>
        <w:t xml:space="preserve"> </w:t>
      </w:r>
      <w:r>
        <w:rPr>
          <w:sz w:val="26"/>
          <w:szCs w:val="26"/>
        </w:rPr>
        <w:t>r</w:t>
      </w:r>
      <w:r w:rsidRPr="0060572C">
        <w:rPr>
          <w:sz w:val="26"/>
          <w:szCs w:val="26"/>
        </w:rPr>
        <w:t>equests that an EGS initiate service</w:t>
      </w:r>
      <w:r>
        <w:rPr>
          <w:sz w:val="26"/>
          <w:szCs w:val="26"/>
        </w:rPr>
        <w:t>.  We note that Enrico is a real estate business and shall be treated as a small business customer under our Regulations.  Tr. at 24.</w:t>
      </w:r>
      <w:r w:rsidRPr="0060572C">
        <w:rPr>
          <w:sz w:val="26"/>
          <w:szCs w:val="26"/>
        </w:rPr>
        <w:t xml:space="preserve">  </w:t>
      </w:r>
    </w:p>
  </w:footnote>
  <w:footnote w:id="3">
    <w:p w:rsidR="004A5F93" w:rsidRPr="007F7DB7" w:rsidRDefault="004A5F93" w:rsidP="00785372">
      <w:pPr>
        <w:widowControl/>
        <w:ind w:firstLine="720"/>
        <w:rPr>
          <w:sz w:val="26"/>
          <w:szCs w:val="26"/>
        </w:rPr>
      </w:pPr>
      <w:r>
        <w:rPr>
          <w:rStyle w:val="FootnoteReference"/>
        </w:rPr>
        <w:footnoteRef/>
      </w:r>
      <w:r>
        <w:t xml:space="preserve"> </w:t>
      </w:r>
      <w:r>
        <w:tab/>
      </w:r>
      <w:r>
        <w:rPr>
          <w:sz w:val="26"/>
          <w:szCs w:val="26"/>
        </w:rPr>
        <w:t>E</w:t>
      </w:r>
      <w:r w:rsidRPr="007F7DB7">
        <w:rPr>
          <w:sz w:val="26"/>
          <w:szCs w:val="26"/>
        </w:rPr>
        <w:t>nrico amended the Complaint to include PECO as a</w:t>
      </w:r>
      <w:r>
        <w:rPr>
          <w:sz w:val="26"/>
          <w:szCs w:val="26"/>
        </w:rPr>
        <w:t>n additional</w:t>
      </w:r>
      <w:r w:rsidRPr="007F7DB7">
        <w:rPr>
          <w:sz w:val="26"/>
          <w:szCs w:val="26"/>
        </w:rPr>
        <w:t xml:space="preserve"> </w:t>
      </w:r>
      <w:r>
        <w:rPr>
          <w:sz w:val="26"/>
          <w:szCs w:val="26"/>
        </w:rPr>
        <w:t>R</w:t>
      </w:r>
      <w:r w:rsidRPr="007F7DB7">
        <w:rPr>
          <w:sz w:val="26"/>
          <w:szCs w:val="26"/>
        </w:rPr>
        <w:t xml:space="preserve">espondent. </w:t>
      </w:r>
      <w:r>
        <w:rPr>
          <w:sz w:val="26"/>
          <w:szCs w:val="26"/>
        </w:rPr>
        <w:t xml:space="preserve"> </w:t>
      </w:r>
      <w:r w:rsidRPr="007F7DB7">
        <w:rPr>
          <w:sz w:val="26"/>
          <w:szCs w:val="26"/>
        </w:rPr>
        <w:t>On September 18, 2014, PECO filed Preliminary Objections in response to the Complaint</w:t>
      </w:r>
      <w:r>
        <w:rPr>
          <w:sz w:val="26"/>
          <w:szCs w:val="26"/>
        </w:rPr>
        <w:t xml:space="preserve">.  On September 18, 2014, PECO </w:t>
      </w:r>
      <w:r w:rsidRPr="007F7DB7">
        <w:rPr>
          <w:sz w:val="26"/>
          <w:szCs w:val="26"/>
        </w:rPr>
        <w:t xml:space="preserve">filed a Certificate of Satisfaction </w:t>
      </w:r>
      <w:r>
        <w:rPr>
          <w:sz w:val="26"/>
          <w:szCs w:val="26"/>
        </w:rPr>
        <w:t xml:space="preserve">with the Commission thereby terminating PECO’s </w:t>
      </w:r>
      <w:r w:rsidRPr="007F7DB7">
        <w:rPr>
          <w:sz w:val="26"/>
          <w:szCs w:val="26"/>
        </w:rPr>
        <w:t>formal involvement in the matter</w:t>
      </w:r>
      <w:r>
        <w:rPr>
          <w:sz w:val="26"/>
          <w:szCs w:val="26"/>
        </w:rPr>
        <w:t>.  I.D. at 2.</w:t>
      </w:r>
    </w:p>
    <w:p w:rsidR="004A5F93" w:rsidRPr="00EF65DA" w:rsidRDefault="004A5F93" w:rsidP="00785372">
      <w:pPr>
        <w:pStyle w:val="FootnoteText"/>
        <w:ind w:firstLine="720"/>
        <w:rPr>
          <w:sz w:val="26"/>
          <w:szCs w:val="26"/>
        </w:rPr>
      </w:pPr>
      <w:r>
        <w:tab/>
      </w:r>
    </w:p>
  </w:footnote>
  <w:footnote w:id="4">
    <w:p w:rsidR="00B06C16" w:rsidRDefault="004A5F93" w:rsidP="00044D9F">
      <w:pPr>
        <w:pStyle w:val="FootnoteText"/>
        <w:keepNext/>
        <w:keepLines/>
        <w:ind w:left="1440" w:right="1440" w:hanging="720"/>
        <w:rPr>
          <w:sz w:val="26"/>
          <w:szCs w:val="26"/>
        </w:rPr>
      </w:pPr>
      <w:r w:rsidRPr="00140831">
        <w:rPr>
          <w:rStyle w:val="FootnoteReference"/>
          <w:sz w:val="26"/>
          <w:szCs w:val="26"/>
        </w:rPr>
        <w:footnoteRef/>
      </w:r>
      <w:r w:rsidRPr="00140831">
        <w:rPr>
          <w:sz w:val="26"/>
          <w:szCs w:val="26"/>
        </w:rPr>
        <w:t xml:space="preserve"> </w:t>
      </w:r>
      <w:r>
        <w:rPr>
          <w:sz w:val="26"/>
          <w:szCs w:val="26"/>
        </w:rPr>
        <w:tab/>
        <w:t xml:space="preserve">To protect consumers of this Commonwealth, licensees shall adhere to the following principles in the provision of electric generation service: </w:t>
      </w:r>
    </w:p>
    <w:p w:rsidR="004A5F93" w:rsidRDefault="004A5F93" w:rsidP="00A12759">
      <w:pPr>
        <w:pStyle w:val="FootnoteText"/>
        <w:keepNext/>
        <w:keepLines/>
        <w:ind w:left="1440" w:right="1440" w:firstLine="720"/>
        <w:rPr>
          <w:sz w:val="26"/>
          <w:szCs w:val="26"/>
        </w:rPr>
      </w:pPr>
      <w:r>
        <w:rPr>
          <w:sz w:val="26"/>
          <w:szCs w:val="26"/>
        </w:rPr>
        <w:t>(1) A licensee shall provide accurate information about their electric generation services using plain language and common terms in communications with consumers.  When new terms are use</w:t>
      </w:r>
      <w:r w:rsidR="00040E5A">
        <w:rPr>
          <w:sz w:val="26"/>
          <w:szCs w:val="26"/>
        </w:rPr>
        <w:t>d</w:t>
      </w:r>
      <w:r>
        <w:rPr>
          <w:sz w:val="26"/>
          <w:szCs w:val="26"/>
        </w:rPr>
        <w:t>, the terms shall be defined again using plain language.  Information shall be provided in a format that enables customers to compare the various electric generation services offered and the prices charged for each type of service.</w:t>
      </w:r>
    </w:p>
    <w:p w:rsidR="004A5F93" w:rsidRDefault="004A5F93" w:rsidP="00044D9F">
      <w:pPr>
        <w:pStyle w:val="FootnoteText"/>
        <w:keepNext/>
        <w:keepLines/>
        <w:rPr>
          <w:sz w:val="26"/>
          <w:szCs w:val="26"/>
        </w:rPr>
      </w:pPr>
    </w:p>
    <w:p w:rsidR="004A5F93" w:rsidRDefault="004A5F93" w:rsidP="00044D9F">
      <w:pPr>
        <w:pStyle w:val="FootnoteText"/>
        <w:keepNext/>
        <w:keepLines/>
        <w:rPr>
          <w:sz w:val="26"/>
          <w:szCs w:val="26"/>
        </w:rPr>
      </w:pPr>
      <w:r w:rsidDel="0098279F">
        <w:rPr>
          <w:sz w:val="26"/>
          <w:szCs w:val="26"/>
        </w:rPr>
        <w:t xml:space="preserve">52 Pa. Code § 54.43(1).  </w:t>
      </w:r>
      <w:r>
        <w:rPr>
          <w:sz w:val="26"/>
          <w:szCs w:val="26"/>
        </w:rPr>
        <w:t xml:space="preserve">Section 111.12(d)(5) of our Regulations, 52 Pa. Code </w:t>
      </w:r>
    </w:p>
    <w:p w:rsidR="004A5F93" w:rsidRDefault="004A5F93" w:rsidP="00044D9F">
      <w:pPr>
        <w:pStyle w:val="FootnoteText"/>
        <w:keepNext/>
        <w:keepLines/>
        <w:rPr>
          <w:sz w:val="26"/>
          <w:szCs w:val="26"/>
        </w:rPr>
      </w:pPr>
      <w:r>
        <w:rPr>
          <w:sz w:val="26"/>
          <w:szCs w:val="26"/>
        </w:rPr>
        <w:t xml:space="preserve">§ 111.12(d)(5), provides similar plain language directives.    </w:t>
      </w:r>
    </w:p>
    <w:p w:rsidR="004A5F93" w:rsidRPr="00140831" w:rsidRDefault="004A5F93" w:rsidP="00B06C16">
      <w:pPr>
        <w:pStyle w:val="FootnoteText"/>
        <w:rPr>
          <w:sz w:val="26"/>
          <w:szCs w:val="26"/>
        </w:rPr>
      </w:pPr>
      <w:r>
        <w:rPr>
          <w:sz w:val="26"/>
          <w:szCs w:val="26"/>
        </w:rPr>
        <w:tab/>
      </w:r>
      <w:r>
        <w:rPr>
          <w:sz w:val="26"/>
          <w:szCs w:val="26"/>
        </w:rPr>
        <w:tab/>
      </w:r>
    </w:p>
  </w:footnote>
  <w:footnote w:id="5">
    <w:p w:rsidR="004B7B47" w:rsidRDefault="005C0360" w:rsidP="00F730EB">
      <w:pPr>
        <w:pStyle w:val="FootnoteText"/>
        <w:keepNext/>
        <w:keepLines/>
        <w:rPr>
          <w:sz w:val="26"/>
          <w:szCs w:val="26"/>
        </w:rPr>
      </w:pPr>
      <w:r>
        <w:rPr>
          <w:sz w:val="26"/>
          <w:szCs w:val="26"/>
        </w:rPr>
        <w:tab/>
      </w:r>
      <w:r w:rsidRPr="005C0360">
        <w:rPr>
          <w:rStyle w:val="FootnoteReference"/>
          <w:sz w:val="26"/>
          <w:szCs w:val="26"/>
        </w:rPr>
        <w:footnoteRef/>
      </w:r>
      <w:r w:rsidRPr="005C0360">
        <w:rPr>
          <w:sz w:val="26"/>
          <w:szCs w:val="26"/>
        </w:rPr>
        <w:t xml:space="preserve"> </w:t>
      </w:r>
      <w:r>
        <w:rPr>
          <w:sz w:val="26"/>
          <w:szCs w:val="26"/>
        </w:rPr>
        <w:tab/>
        <w:t xml:space="preserve">However, we decline to find that the Company violated 52 Pa. Code </w:t>
      </w:r>
    </w:p>
    <w:p w:rsidR="005C0360" w:rsidRPr="005C0360" w:rsidRDefault="005C0360" w:rsidP="00F730EB">
      <w:pPr>
        <w:pStyle w:val="FootnoteText"/>
        <w:keepNext/>
        <w:keepLines/>
        <w:rPr>
          <w:sz w:val="26"/>
          <w:szCs w:val="26"/>
        </w:rPr>
      </w:pPr>
      <w:r>
        <w:rPr>
          <w:sz w:val="26"/>
          <w:szCs w:val="26"/>
        </w:rPr>
        <w:t xml:space="preserve">§ 111.12(d)(5) because this provision applies to residential customers.  </w:t>
      </w:r>
      <w:r w:rsidR="00912844">
        <w:rPr>
          <w:sz w:val="26"/>
          <w:szCs w:val="26"/>
        </w:rPr>
        <w:t xml:space="preserve">Here, the Complainant is a small business customer and not a residential customer.  </w:t>
      </w:r>
      <w:r>
        <w:rPr>
          <w:sz w:val="26"/>
          <w:szCs w:val="26"/>
        </w:rPr>
        <w:t xml:space="preserve">Thus, we shall modify the Initial Decision accordingly.  </w:t>
      </w:r>
    </w:p>
  </w:footnote>
  <w:footnote w:id="6">
    <w:p w:rsidR="00B850F6" w:rsidRPr="00B850F6" w:rsidRDefault="00B850F6">
      <w:pPr>
        <w:pStyle w:val="FootnoteText"/>
        <w:rPr>
          <w:sz w:val="26"/>
          <w:szCs w:val="26"/>
        </w:rPr>
      </w:pPr>
      <w:r>
        <w:rPr>
          <w:sz w:val="26"/>
          <w:szCs w:val="26"/>
        </w:rPr>
        <w:tab/>
      </w:r>
      <w:r w:rsidRPr="00B850F6">
        <w:rPr>
          <w:rStyle w:val="FootnoteReference"/>
          <w:sz w:val="26"/>
          <w:szCs w:val="26"/>
        </w:rPr>
        <w:footnoteRef/>
      </w:r>
      <w:r w:rsidRPr="00B850F6">
        <w:rPr>
          <w:sz w:val="26"/>
          <w:szCs w:val="26"/>
        </w:rPr>
        <w:t xml:space="preserve"> </w:t>
      </w:r>
      <w:r>
        <w:rPr>
          <w:sz w:val="26"/>
          <w:szCs w:val="26"/>
        </w:rPr>
        <w:tab/>
        <w:t xml:space="preserve">Blue Pilot makes the overlapping argument in its fourth Exception that the ALJ erred in issuing a credit or refund.  </w:t>
      </w:r>
      <w:r w:rsidR="00696257">
        <w:rPr>
          <w:sz w:val="26"/>
          <w:szCs w:val="26"/>
        </w:rPr>
        <w:t xml:space="preserve">For the reasons set forth above, we shall also deny the fourth Exception.  </w:t>
      </w:r>
    </w:p>
  </w:footnote>
  <w:footnote w:id="7">
    <w:p w:rsidR="00BA0FC6" w:rsidRPr="00BA0FC6" w:rsidRDefault="00BA0FC6">
      <w:pPr>
        <w:pStyle w:val="FootnoteText"/>
        <w:rPr>
          <w:sz w:val="26"/>
          <w:szCs w:val="26"/>
        </w:rPr>
      </w:pPr>
      <w:r>
        <w:rPr>
          <w:sz w:val="26"/>
          <w:szCs w:val="26"/>
        </w:rPr>
        <w:tab/>
      </w:r>
      <w:r w:rsidRPr="00BA0FC6">
        <w:rPr>
          <w:rStyle w:val="FootnoteReference"/>
          <w:sz w:val="26"/>
          <w:szCs w:val="26"/>
        </w:rPr>
        <w:footnoteRef/>
      </w:r>
      <w:r w:rsidRPr="00BA0FC6">
        <w:rPr>
          <w:sz w:val="26"/>
          <w:szCs w:val="26"/>
        </w:rPr>
        <w:t xml:space="preserve"> </w:t>
      </w:r>
      <w:r>
        <w:rPr>
          <w:sz w:val="26"/>
          <w:szCs w:val="26"/>
        </w:rPr>
        <w:tab/>
      </w:r>
      <w:r w:rsidR="002366B5">
        <w:rPr>
          <w:sz w:val="26"/>
          <w:szCs w:val="26"/>
        </w:rPr>
        <w:t xml:space="preserve">In its third Exception </w:t>
      </w:r>
      <w:r>
        <w:rPr>
          <w:sz w:val="26"/>
          <w:szCs w:val="26"/>
        </w:rPr>
        <w:t>Blue Pilot seek</w:t>
      </w:r>
      <w:r w:rsidR="002366B5">
        <w:rPr>
          <w:sz w:val="26"/>
          <w:szCs w:val="26"/>
        </w:rPr>
        <w:t xml:space="preserve">s to </w:t>
      </w:r>
      <w:r>
        <w:rPr>
          <w:sz w:val="26"/>
          <w:szCs w:val="26"/>
        </w:rPr>
        <w:t>introduc</w:t>
      </w:r>
      <w:r w:rsidR="004B7B47">
        <w:rPr>
          <w:sz w:val="26"/>
          <w:szCs w:val="26"/>
        </w:rPr>
        <w:t>e</w:t>
      </w:r>
      <w:r>
        <w:rPr>
          <w:sz w:val="26"/>
          <w:szCs w:val="26"/>
        </w:rPr>
        <w:t xml:space="preserve"> extra-record evidence pertaining to its disclosure statement.  The Company had the opportunity to introduce such evidence at the hearing but refrained from doing so.  As such, we decline to reopen the record at this time to consider such material.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5C15"/>
    <w:multiLevelType w:val="hybridMultilevel"/>
    <w:tmpl w:val="27AC4ACE"/>
    <w:lvl w:ilvl="0" w:tplc="9D126222">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CE7B1C"/>
    <w:multiLevelType w:val="hybridMultilevel"/>
    <w:tmpl w:val="7C1A6304"/>
    <w:lvl w:ilvl="0" w:tplc="EEEC5C6E">
      <w:start w:val="25"/>
      <w:numFmt w:val="bullet"/>
      <w:lvlText w:val=""/>
      <w:lvlJc w:val="left"/>
      <w:pPr>
        <w:ind w:left="3492" w:hanging="360"/>
      </w:pPr>
      <w:rPr>
        <w:rFonts w:ascii="Symbol" w:eastAsia="Times New Roman" w:hAnsi="Symbol" w:cs="Times New Roman" w:hint="default"/>
      </w:rPr>
    </w:lvl>
    <w:lvl w:ilvl="1" w:tplc="04090003" w:tentative="1">
      <w:start w:val="1"/>
      <w:numFmt w:val="bullet"/>
      <w:lvlText w:val="o"/>
      <w:lvlJc w:val="left"/>
      <w:pPr>
        <w:ind w:left="4212" w:hanging="360"/>
      </w:pPr>
      <w:rPr>
        <w:rFonts w:ascii="Courier New" w:hAnsi="Courier New" w:cs="Courier New" w:hint="default"/>
      </w:rPr>
    </w:lvl>
    <w:lvl w:ilvl="2" w:tplc="04090005" w:tentative="1">
      <w:start w:val="1"/>
      <w:numFmt w:val="bullet"/>
      <w:lvlText w:val=""/>
      <w:lvlJc w:val="left"/>
      <w:pPr>
        <w:ind w:left="4932" w:hanging="360"/>
      </w:pPr>
      <w:rPr>
        <w:rFonts w:ascii="Wingdings" w:hAnsi="Wingdings" w:hint="default"/>
      </w:rPr>
    </w:lvl>
    <w:lvl w:ilvl="3" w:tplc="04090001" w:tentative="1">
      <w:start w:val="1"/>
      <w:numFmt w:val="bullet"/>
      <w:lvlText w:val=""/>
      <w:lvlJc w:val="left"/>
      <w:pPr>
        <w:ind w:left="5652" w:hanging="360"/>
      </w:pPr>
      <w:rPr>
        <w:rFonts w:ascii="Symbol" w:hAnsi="Symbol" w:hint="default"/>
      </w:rPr>
    </w:lvl>
    <w:lvl w:ilvl="4" w:tplc="04090003" w:tentative="1">
      <w:start w:val="1"/>
      <w:numFmt w:val="bullet"/>
      <w:lvlText w:val="o"/>
      <w:lvlJc w:val="left"/>
      <w:pPr>
        <w:ind w:left="6372" w:hanging="360"/>
      </w:pPr>
      <w:rPr>
        <w:rFonts w:ascii="Courier New" w:hAnsi="Courier New" w:cs="Courier New" w:hint="default"/>
      </w:rPr>
    </w:lvl>
    <w:lvl w:ilvl="5" w:tplc="04090005" w:tentative="1">
      <w:start w:val="1"/>
      <w:numFmt w:val="bullet"/>
      <w:lvlText w:val=""/>
      <w:lvlJc w:val="left"/>
      <w:pPr>
        <w:ind w:left="7092" w:hanging="360"/>
      </w:pPr>
      <w:rPr>
        <w:rFonts w:ascii="Wingdings" w:hAnsi="Wingdings" w:hint="default"/>
      </w:rPr>
    </w:lvl>
    <w:lvl w:ilvl="6" w:tplc="04090001" w:tentative="1">
      <w:start w:val="1"/>
      <w:numFmt w:val="bullet"/>
      <w:lvlText w:val=""/>
      <w:lvlJc w:val="left"/>
      <w:pPr>
        <w:ind w:left="7812" w:hanging="360"/>
      </w:pPr>
      <w:rPr>
        <w:rFonts w:ascii="Symbol" w:hAnsi="Symbol" w:hint="default"/>
      </w:rPr>
    </w:lvl>
    <w:lvl w:ilvl="7" w:tplc="04090003" w:tentative="1">
      <w:start w:val="1"/>
      <w:numFmt w:val="bullet"/>
      <w:lvlText w:val="o"/>
      <w:lvlJc w:val="left"/>
      <w:pPr>
        <w:ind w:left="8532" w:hanging="360"/>
      </w:pPr>
      <w:rPr>
        <w:rFonts w:ascii="Courier New" w:hAnsi="Courier New" w:cs="Courier New" w:hint="default"/>
      </w:rPr>
    </w:lvl>
    <w:lvl w:ilvl="8" w:tplc="04090005" w:tentative="1">
      <w:start w:val="1"/>
      <w:numFmt w:val="bullet"/>
      <w:lvlText w:val=""/>
      <w:lvlJc w:val="left"/>
      <w:pPr>
        <w:ind w:left="9252" w:hanging="360"/>
      </w:pPr>
      <w:rPr>
        <w:rFonts w:ascii="Wingdings" w:hAnsi="Wingdings" w:hint="default"/>
      </w:rPr>
    </w:lvl>
  </w:abstractNum>
  <w:abstractNum w:abstractNumId="2">
    <w:nsid w:val="0A371B4E"/>
    <w:multiLevelType w:val="hybridMultilevel"/>
    <w:tmpl w:val="8F36A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70E42"/>
    <w:multiLevelType w:val="hybridMultilevel"/>
    <w:tmpl w:val="2B34DAD6"/>
    <w:lvl w:ilvl="0" w:tplc="F76CAEAA">
      <w:start w:val="1"/>
      <w:numFmt w:val="decimal"/>
      <w:lvlText w:val="%1."/>
      <w:lvlJc w:val="left"/>
      <w:pPr>
        <w:ind w:left="279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50A2C08"/>
    <w:multiLevelType w:val="hybridMultilevel"/>
    <w:tmpl w:val="AE381806"/>
    <w:lvl w:ilvl="0" w:tplc="A0100FAC">
      <w:start w:val="14"/>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
    <w:nsid w:val="25C06D46"/>
    <w:multiLevelType w:val="hybridMultilevel"/>
    <w:tmpl w:val="A3B86B2A"/>
    <w:lvl w:ilvl="0" w:tplc="5992AD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5C93AA2"/>
    <w:multiLevelType w:val="hybridMultilevel"/>
    <w:tmpl w:val="C7522CF8"/>
    <w:lvl w:ilvl="0" w:tplc="76E0F17C">
      <w:start w:val="1"/>
      <w:numFmt w:val="decimal"/>
      <w:lvlText w:val="%1."/>
      <w:lvlJc w:val="left"/>
      <w:pPr>
        <w:tabs>
          <w:tab w:val="num" w:pos="2430"/>
        </w:tabs>
        <w:ind w:left="243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
    <w:nsid w:val="2FA45722"/>
    <w:multiLevelType w:val="hybridMultilevel"/>
    <w:tmpl w:val="8FFEA584"/>
    <w:lvl w:ilvl="0" w:tplc="F0D84C2C">
      <w:start w:val="25"/>
      <w:numFmt w:val="bullet"/>
      <w:lvlText w:val=""/>
      <w:lvlJc w:val="left"/>
      <w:pPr>
        <w:ind w:left="1020" w:hanging="360"/>
      </w:pPr>
      <w:rPr>
        <w:rFonts w:ascii="Symbol" w:eastAsia="Times New Roman" w:hAnsi="Symbol"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39CD2038"/>
    <w:multiLevelType w:val="hybridMultilevel"/>
    <w:tmpl w:val="F7DA0AA8"/>
    <w:lvl w:ilvl="0" w:tplc="607CC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975AE2"/>
    <w:multiLevelType w:val="hybridMultilevel"/>
    <w:tmpl w:val="C178CF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7BB5C90"/>
    <w:multiLevelType w:val="hybridMultilevel"/>
    <w:tmpl w:val="B61CCB10"/>
    <w:lvl w:ilvl="0" w:tplc="BA503E38">
      <w:start w:val="25"/>
      <w:numFmt w:val="decimal"/>
      <w:lvlText w:val="%1."/>
      <w:lvlJc w:val="left"/>
      <w:pPr>
        <w:ind w:left="2790" w:hanging="360"/>
      </w:pPr>
      <w:rPr>
        <w:rFonts w:hint="default"/>
        <w:sz w:val="26"/>
        <w:szCs w:val="26"/>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nsid w:val="5E8673CA"/>
    <w:multiLevelType w:val="hybridMultilevel"/>
    <w:tmpl w:val="140A0576"/>
    <w:lvl w:ilvl="0" w:tplc="15DE5354">
      <w:start w:val="25"/>
      <w:numFmt w:val="bullet"/>
      <w:lvlText w:val=""/>
      <w:lvlJc w:val="left"/>
      <w:pPr>
        <w:ind w:left="3492" w:hanging="360"/>
      </w:pPr>
      <w:rPr>
        <w:rFonts w:ascii="Symbol" w:eastAsia="Times New Roman" w:hAnsi="Symbol" w:cs="Times New Roman" w:hint="default"/>
      </w:rPr>
    </w:lvl>
    <w:lvl w:ilvl="1" w:tplc="04090003" w:tentative="1">
      <w:start w:val="1"/>
      <w:numFmt w:val="bullet"/>
      <w:lvlText w:val="o"/>
      <w:lvlJc w:val="left"/>
      <w:pPr>
        <w:ind w:left="4212" w:hanging="360"/>
      </w:pPr>
      <w:rPr>
        <w:rFonts w:ascii="Courier New" w:hAnsi="Courier New" w:cs="Courier New" w:hint="default"/>
      </w:rPr>
    </w:lvl>
    <w:lvl w:ilvl="2" w:tplc="04090005" w:tentative="1">
      <w:start w:val="1"/>
      <w:numFmt w:val="bullet"/>
      <w:lvlText w:val=""/>
      <w:lvlJc w:val="left"/>
      <w:pPr>
        <w:ind w:left="4932" w:hanging="360"/>
      </w:pPr>
      <w:rPr>
        <w:rFonts w:ascii="Wingdings" w:hAnsi="Wingdings" w:hint="default"/>
      </w:rPr>
    </w:lvl>
    <w:lvl w:ilvl="3" w:tplc="04090001" w:tentative="1">
      <w:start w:val="1"/>
      <w:numFmt w:val="bullet"/>
      <w:lvlText w:val=""/>
      <w:lvlJc w:val="left"/>
      <w:pPr>
        <w:ind w:left="5652" w:hanging="360"/>
      </w:pPr>
      <w:rPr>
        <w:rFonts w:ascii="Symbol" w:hAnsi="Symbol" w:hint="default"/>
      </w:rPr>
    </w:lvl>
    <w:lvl w:ilvl="4" w:tplc="04090003" w:tentative="1">
      <w:start w:val="1"/>
      <w:numFmt w:val="bullet"/>
      <w:lvlText w:val="o"/>
      <w:lvlJc w:val="left"/>
      <w:pPr>
        <w:ind w:left="6372" w:hanging="360"/>
      </w:pPr>
      <w:rPr>
        <w:rFonts w:ascii="Courier New" w:hAnsi="Courier New" w:cs="Courier New" w:hint="default"/>
      </w:rPr>
    </w:lvl>
    <w:lvl w:ilvl="5" w:tplc="04090005" w:tentative="1">
      <w:start w:val="1"/>
      <w:numFmt w:val="bullet"/>
      <w:lvlText w:val=""/>
      <w:lvlJc w:val="left"/>
      <w:pPr>
        <w:ind w:left="7092" w:hanging="360"/>
      </w:pPr>
      <w:rPr>
        <w:rFonts w:ascii="Wingdings" w:hAnsi="Wingdings" w:hint="default"/>
      </w:rPr>
    </w:lvl>
    <w:lvl w:ilvl="6" w:tplc="04090001" w:tentative="1">
      <w:start w:val="1"/>
      <w:numFmt w:val="bullet"/>
      <w:lvlText w:val=""/>
      <w:lvlJc w:val="left"/>
      <w:pPr>
        <w:ind w:left="7812" w:hanging="360"/>
      </w:pPr>
      <w:rPr>
        <w:rFonts w:ascii="Symbol" w:hAnsi="Symbol" w:hint="default"/>
      </w:rPr>
    </w:lvl>
    <w:lvl w:ilvl="7" w:tplc="04090003" w:tentative="1">
      <w:start w:val="1"/>
      <w:numFmt w:val="bullet"/>
      <w:lvlText w:val="o"/>
      <w:lvlJc w:val="left"/>
      <w:pPr>
        <w:ind w:left="8532" w:hanging="360"/>
      </w:pPr>
      <w:rPr>
        <w:rFonts w:ascii="Courier New" w:hAnsi="Courier New" w:cs="Courier New" w:hint="default"/>
      </w:rPr>
    </w:lvl>
    <w:lvl w:ilvl="8" w:tplc="04090005" w:tentative="1">
      <w:start w:val="1"/>
      <w:numFmt w:val="bullet"/>
      <w:lvlText w:val=""/>
      <w:lvlJc w:val="left"/>
      <w:pPr>
        <w:ind w:left="9252" w:hanging="360"/>
      </w:pPr>
      <w:rPr>
        <w:rFonts w:ascii="Wingdings" w:hAnsi="Wingdings" w:hint="default"/>
      </w:rPr>
    </w:lvl>
  </w:abstractNum>
  <w:abstractNum w:abstractNumId="12">
    <w:nsid w:val="69982ABE"/>
    <w:multiLevelType w:val="hybridMultilevel"/>
    <w:tmpl w:val="47063392"/>
    <w:lvl w:ilvl="0" w:tplc="4D38E1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CC6466D"/>
    <w:multiLevelType w:val="hybridMultilevel"/>
    <w:tmpl w:val="F0B88D0E"/>
    <w:lvl w:ilvl="0" w:tplc="D96A518C">
      <w:start w:val="1"/>
      <w:numFmt w:val="decimal"/>
      <w:lvlText w:val="%1."/>
      <w:lvlJc w:val="left"/>
      <w:pPr>
        <w:ind w:left="162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6FEA2D86"/>
    <w:multiLevelType w:val="hybridMultilevel"/>
    <w:tmpl w:val="65FE4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76DF2014"/>
    <w:multiLevelType w:val="hybridMultilevel"/>
    <w:tmpl w:val="B2CE20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8CE4AF3"/>
    <w:multiLevelType w:val="hybridMultilevel"/>
    <w:tmpl w:val="FFE2052A"/>
    <w:lvl w:ilvl="0" w:tplc="2960CD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7"/>
  </w:num>
  <w:num w:numId="5">
    <w:abstractNumId w:val="6"/>
  </w:num>
  <w:num w:numId="6">
    <w:abstractNumId w:val="9"/>
  </w:num>
  <w:num w:numId="7">
    <w:abstractNumId w:val="2"/>
  </w:num>
  <w:num w:numId="8">
    <w:abstractNumId w:val="14"/>
  </w:num>
  <w:num w:numId="9">
    <w:abstractNumId w:val="1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num>
  <w:num w:numId="13">
    <w:abstractNumId w:val="4"/>
  </w:num>
  <w:num w:numId="14">
    <w:abstractNumId w:val="3"/>
  </w:num>
  <w:num w:numId="15">
    <w:abstractNumId w:val="10"/>
  </w:num>
  <w:num w:numId="16">
    <w:abstractNumId w:val="7"/>
  </w:num>
  <w:num w:numId="17">
    <w:abstractNumId w:val="11"/>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D9"/>
    <w:rsid w:val="00000525"/>
    <w:rsid w:val="00001987"/>
    <w:rsid w:val="00004F2B"/>
    <w:rsid w:val="00005240"/>
    <w:rsid w:val="00005BCD"/>
    <w:rsid w:val="00011958"/>
    <w:rsid w:val="000124F6"/>
    <w:rsid w:val="00017B1F"/>
    <w:rsid w:val="00020D75"/>
    <w:rsid w:val="0002625D"/>
    <w:rsid w:val="0002711D"/>
    <w:rsid w:val="0002778A"/>
    <w:rsid w:val="00027FCF"/>
    <w:rsid w:val="00030146"/>
    <w:rsid w:val="00030878"/>
    <w:rsid w:val="00030EC1"/>
    <w:rsid w:val="0003334D"/>
    <w:rsid w:val="00034682"/>
    <w:rsid w:val="00036C80"/>
    <w:rsid w:val="00037FE5"/>
    <w:rsid w:val="000402B9"/>
    <w:rsid w:val="00040E5A"/>
    <w:rsid w:val="00041437"/>
    <w:rsid w:val="00041691"/>
    <w:rsid w:val="0004459F"/>
    <w:rsid w:val="00044B9E"/>
    <w:rsid w:val="00044D9F"/>
    <w:rsid w:val="0004584A"/>
    <w:rsid w:val="00045FB9"/>
    <w:rsid w:val="000460C7"/>
    <w:rsid w:val="00050A56"/>
    <w:rsid w:val="00050A83"/>
    <w:rsid w:val="000521CA"/>
    <w:rsid w:val="0005279C"/>
    <w:rsid w:val="0005622A"/>
    <w:rsid w:val="00060A8E"/>
    <w:rsid w:val="00061CAC"/>
    <w:rsid w:val="00061E0B"/>
    <w:rsid w:val="00062D91"/>
    <w:rsid w:val="00062FC5"/>
    <w:rsid w:val="00063290"/>
    <w:rsid w:val="00064C7C"/>
    <w:rsid w:val="00066885"/>
    <w:rsid w:val="0006722F"/>
    <w:rsid w:val="00067D4E"/>
    <w:rsid w:val="00072303"/>
    <w:rsid w:val="00075072"/>
    <w:rsid w:val="00076023"/>
    <w:rsid w:val="000779A8"/>
    <w:rsid w:val="000808FA"/>
    <w:rsid w:val="0008199F"/>
    <w:rsid w:val="00082758"/>
    <w:rsid w:val="00084E35"/>
    <w:rsid w:val="0009028E"/>
    <w:rsid w:val="0009080C"/>
    <w:rsid w:val="0009371B"/>
    <w:rsid w:val="00095B10"/>
    <w:rsid w:val="000A16F9"/>
    <w:rsid w:val="000A2088"/>
    <w:rsid w:val="000A2FB8"/>
    <w:rsid w:val="000A3F4A"/>
    <w:rsid w:val="000A4AE4"/>
    <w:rsid w:val="000A5B09"/>
    <w:rsid w:val="000A63B9"/>
    <w:rsid w:val="000A77BC"/>
    <w:rsid w:val="000B1FA5"/>
    <w:rsid w:val="000B3D35"/>
    <w:rsid w:val="000B4484"/>
    <w:rsid w:val="000B6C03"/>
    <w:rsid w:val="000C0CC9"/>
    <w:rsid w:val="000C1A3D"/>
    <w:rsid w:val="000C2042"/>
    <w:rsid w:val="000C2596"/>
    <w:rsid w:val="000C31BB"/>
    <w:rsid w:val="000C3A8C"/>
    <w:rsid w:val="000C4819"/>
    <w:rsid w:val="000C4C0C"/>
    <w:rsid w:val="000C6356"/>
    <w:rsid w:val="000C70DE"/>
    <w:rsid w:val="000C77D1"/>
    <w:rsid w:val="000D5F69"/>
    <w:rsid w:val="000D6A7E"/>
    <w:rsid w:val="000D712C"/>
    <w:rsid w:val="000D7E1B"/>
    <w:rsid w:val="000E4E0A"/>
    <w:rsid w:val="000E525D"/>
    <w:rsid w:val="000E591D"/>
    <w:rsid w:val="000E760D"/>
    <w:rsid w:val="000F0839"/>
    <w:rsid w:val="000F4787"/>
    <w:rsid w:val="000F59FF"/>
    <w:rsid w:val="000F75B4"/>
    <w:rsid w:val="00100319"/>
    <w:rsid w:val="00102C56"/>
    <w:rsid w:val="00102F90"/>
    <w:rsid w:val="00103964"/>
    <w:rsid w:val="00105CFE"/>
    <w:rsid w:val="00116D79"/>
    <w:rsid w:val="001175B1"/>
    <w:rsid w:val="001179E2"/>
    <w:rsid w:val="00117EBC"/>
    <w:rsid w:val="00122A73"/>
    <w:rsid w:val="00124A5C"/>
    <w:rsid w:val="00134C2F"/>
    <w:rsid w:val="00136203"/>
    <w:rsid w:val="00136F70"/>
    <w:rsid w:val="00140831"/>
    <w:rsid w:val="00140A09"/>
    <w:rsid w:val="00141012"/>
    <w:rsid w:val="001416AA"/>
    <w:rsid w:val="00144BA7"/>
    <w:rsid w:val="001451EE"/>
    <w:rsid w:val="00146CA1"/>
    <w:rsid w:val="00147A07"/>
    <w:rsid w:val="0015061D"/>
    <w:rsid w:val="00155A92"/>
    <w:rsid w:val="001610F7"/>
    <w:rsid w:val="001626EC"/>
    <w:rsid w:val="00165C82"/>
    <w:rsid w:val="0016608C"/>
    <w:rsid w:val="00166AC6"/>
    <w:rsid w:val="00167B0D"/>
    <w:rsid w:val="00170668"/>
    <w:rsid w:val="00170E6D"/>
    <w:rsid w:val="00172700"/>
    <w:rsid w:val="001738ED"/>
    <w:rsid w:val="00174480"/>
    <w:rsid w:val="001756E3"/>
    <w:rsid w:val="00176392"/>
    <w:rsid w:val="00177001"/>
    <w:rsid w:val="00181A28"/>
    <w:rsid w:val="00182241"/>
    <w:rsid w:val="001823BB"/>
    <w:rsid w:val="00183C6F"/>
    <w:rsid w:val="00184AB4"/>
    <w:rsid w:val="00190404"/>
    <w:rsid w:val="00190EE7"/>
    <w:rsid w:val="00190F31"/>
    <w:rsid w:val="00190F3F"/>
    <w:rsid w:val="00195267"/>
    <w:rsid w:val="00195C21"/>
    <w:rsid w:val="00195EF3"/>
    <w:rsid w:val="001A538C"/>
    <w:rsid w:val="001A5F66"/>
    <w:rsid w:val="001A61DE"/>
    <w:rsid w:val="001A66D9"/>
    <w:rsid w:val="001A6D97"/>
    <w:rsid w:val="001A710D"/>
    <w:rsid w:val="001A72F4"/>
    <w:rsid w:val="001B3F46"/>
    <w:rsid w:val="001B6380"/>
    <w:rsid w:val="001B6688"/>
    <w:rsid w:val="001B7924"/>
    <w:rsid w:val="001C104F"/>
    <w:rsid w:val="001C1C97"/>
    <w:rsid w:val="001C3E6E"/>
    <w:rsid w:val="001D21A2"/>
    <w:rsid w:val="001D2D58"/>
    <w:rsid w:val="001D310D"/>
    <w:rsid w:val="001E0670"/>
    <w:rsid w:val="001E1181"/>
    <w:rsid w:val="001E3530"/>
    <w:rsid w:val="001E7C5A"/>
    <w:rsid w:val="001F0702"/>
    <w:rsid w:val="001F20E6"/>
    <w:rsid w:val="001F37EA"/>
    <w:rsid w:val="001F437C"/>
    <w:rsid w:val="001F4A4E"/>
    <w:rsid w:val="001F5005"/>
    <w:rsid w:val="001F7AB7"/>
    <w:rsid w:val="00200BA9"/>
    <w:rsid w:val="00202D39"/>
    <w:rsid w:val="00203FE6"/>
    <w:rsid w:val="00205204"/>
    <w:rsid w:val="00207D22"/>
    <w:rsid w:val="00210CAA"/>
    <w:rsid w:val="00210F3E"/>
    <w:rsid w:val="002125C4"/>
    <w:rsid w:val="00217B9D"/>
    <w:rsid w:val="002203D1"/>
    <w:rsid w:val="00221242"/>
    <w:rsid w:val="0022338C"/>
    <w:rsid w:val="00223E75"/>
    <w:rsid w:val="00224C67"/>
    <w:rsid w:val="00227666"/>
    <w:rsid w:val="0023189B"/>
    <w:rsid w:val="00232B3D"/>
    <w:rsid w:val="00234682"/>
    <w:rsid w:val="00234FD2"/>
    <w:rsid w:val="00235E0F"/>
    <w:rsid w:val="002366B5"/>
    <w:rsid w:val="00237F36"/>
    <w:rsid w:val="002408E9"/>
    <w:rsid w:val="00241274"/>
    <w:rsid w:val="00242A1E"/>
    <w:rsid w:val="00244CCC"/>
    <w:rsid w:val="00251A97"/>
    <w:rsid w:val="0025204E"/>
    <w:rsid w:val="0025383B"/>
    <w:rsid w:val="002540F6"/>
    <w:rsid w:val="00255846"/>
    <w:rsid w:val="00256265"/>
    <w:rsid w:val="00262E6F"/>
    <w:rsid w:val="00266AE6"/>
    <w:rsid w:val="00270CA1"/>
    <w:rsid w:val="00271DC5"/>
    <w:rsid w:val="002728E5"/>
    <w:rsid w:val="0027693E"/>
    <w:rsid w:val="00282565"/>
    <w:rsid w:val="002828AA"/>
    <w:rsid w:val="002834CB"/>
    <w:rsid w:val="00290443"/>
    <w:rsid w:val="00292E63"/>
    <w:rsid w:val="0029357D"/>
    <w:rsid w:val="00294EE1"/>
    <w:rsid w:val="0029548C"/>
    <w:rsid w:val="00297F10"/>
    <w:rsid w:val="002A0420"/>
    <w:rsid w:val="002A1197"/>
    <w:rsid w:val="002A17C1"/>
    <w:rsid w:val="002A183B"/>
    <w:rsid w:val="002A3FF3"/>
    <w:rsid w:val="002A5793"/>
    <w:rsid w:val="002A7ACA"/>
    <w:rsid w:val="002B01B8"/>
    <w:rsid w:val="002B06CD"/>
    <w:rsid w:val="002B2282"/>
    <w:rsid w:val="002B4933"/>
    <w:rsid w:val="002B718A"/>
    <w:rsid w:val="002C205E"/>
    <w:rsid w:val="002C6C71"/>
    <w:rsid w:val="002D06D7"/>
    <w:rsid w:val="002D17AD"/>
    <w:rsid w:val="002D3A6B"/>
    <w:rsid w:val="002D4239"/>
    <w:rsid w:val="002D50B8"/>
    <w:rsid w:val="002D58B0"/>
    <w:rsid w:val="002D62A1"/>
    <w:rsid w:val="002D6C65"/>
    <w:rsid w:val="002E1DA6"/>
    <w:rsid w:val="002E4CF8"/>
    <w:rsid w:val="002E61C2"/>
    <w:rsid w:val="002F034A"/>
    <w:rsid w:val="002F0F14"/>
    <w:rsid w:val="002F1ABA"/>
    <w:rsid w:val="002F277F"/>
    <w:rsid w:val="002F4083"/>
    <w:rsid w:val="002F4699"/>
    <w:rsid w:val="002F5A30"/>
    <w:rsid w:val="00302ECB"/>
    <w:rsid w:val="00306CDC"/>
    <w:rsid w:val="00306E95"/>
    <w:rsid w:val="003073A7"/>
    <w:rsid w:val="00311E08"/>
    <w:rsid w:val="00312CF5"/>
    <w:rsid w:val="00315F78"/>
    <w:rsid w:val="00316637"/>
    <w:rsid w:val="00322008"/>
    <w:rsid w:val="003263ED"/>
    <w:rsid w:val="00327F1D"/>
    <w:rsid w:val="00342118"/>
    <w:rsid w:val="00345CC9"/>
    <w:rsid w:val="00345FBF"/>
    <w:rsid w:val="0034736A"/>
    <w:rsid w:val="0034792F"/>
    <w:rsid w:val="00350BB8"/>
    <w:rsid w:val="00350BD9"/>
    <w:rsid w:val="00352617"/>
    <w:rsid w:val="00354CC2"/>
    <w:rsid w:val="00355058"/>
    <w:rsid w:val="00356B90"/>
    <w:rsid w:val="00364588"/>
    <w:rsid w:val="00366D7E"/>
    <w:rsid w:val="00367983"/>
    <w:rsid w:val="00373C56"/>
    <w:rsid w:val="00373EF0"/>
    <w:rsid w:val="0037411C"/>
    <w:rsid w:val="00380F99"/>
    <w:rsid w:val="0038305F"/>
    <w:rsid w:val="003843CD"/>
    <w:rsid w:val="0038447F"/>
    <w:rsid w:val="003874EA"/>
    <w:rsid w:val="0039120B"/>
    <w:rsid w:val="003917FC"/>
    <w:rsid w:val="00395BD3"/>
    <w:rsid w:val="003A0A69"/>
    <w:rsid w:val="003A0D45"/>
    <w:rsid w:val="003A2EEE"/>
    <w:rsid w:val="003A567F"/>
    <w:rsid w:val="003A78DA"/>
    <w:rsid w:val="003B0CD3"/>
    <w:rsid w:val="003B102E"/>
    <w:rsid w:val="003B124B"/>
    <w:rsid w:val="003B3ED9"/>
    <w:rsid w:val="003B51E0"/>
    <w:rsid w:val="003B60CC"/>
    <w:rsid w:val="003B6104"/>
    <w:rsid w:val="003C2CD9"/>
    <w:rsid w:val="003C734D"/>
    <w:rsid w:val="003D216E"/>
    <w:rsid w:val="003D307D"/>
    <w:rsid w:val="003D33F7"/>
    <w:rsid w:val="003D6695"/>
    <w:rsid w:val="003D73BB"/>
    <w:rsid w:val="003D7A5B"/>
    <w:rsid w:val="003E07CB"/>
    <w:rsid w:val="003E290C"/>
    <w:rsid w:val="003E5AFF"/>
    <w:rsid w:val="003E6B54"/>
    <w:rsid w:val="003E7D3C"/>
    <w:rsid w:val="003E7FA7"/>
    <w:rsid w:val="003F71DB"/>
    <w:rsid w:val="004016DA"/>
    <w:rsid w:val="0040527E"/>
    <w:rsid w:val="00405D85"/>
    <w:rsid w:val="00407124"/>
    <w:rsid w:val="00411854"/>
    <w:rsid w:val="004119B8"/>
    <w:rsid w:val="004147BE"/>
    <w:rsid w:val="00414CEC"/>
    <w:rsid w:val="00417AB7"/>
    <w:rsid w:val="00421328"/>
    <w:rsid w:val="00421335"/>
    <w:rsid w:val="004244B2"/>
    <w:rsid w:val="00424735"/>
    <w:rsid w:val="004248B7"/>
    <w:rsid w:val="004252B7"/>
    <w:rsid w:val="00425656"/>
    <w:rsid w:val="00425E3B"/>
    <w:rsid w:val="004308FE"/>
    <w:rsid w:val="00430E9A"/>
    <w:rsid w:val="004335E0"/>
    <w:rsid w:val="0043584B"/>
    <w:rsid w:val="00437508"/>
    <w:rsid w:val="00441654"/>
    <w:rsid w:val="00444BE8"/>
    <w:rsid w:val="004459F2"/>
    <w:rsid w:val="00451C92"/>
    <w:rsid w:val="0045312D"/>
    <w:rsid w:val="00454102"/>
    <w:rsid w:val="00454AEB"/>
    <w:rsid w:val="00460B74"/>
    <w:rsid w:val="00461476"/>
    <w:rsid w:val="0046584A"/>
    <w:rsid w:val="00466960"/>
    <w:rsid w:val="004672E1"/>
    <w:rsid w:val="00470A74"/>
    <w:rsid w:val="00470E39"/>
    <w:rsid w:val="004712BF"/>
    <w:rsid w:val="00473689"/>
    <w:rsid w:val="00474794"/>
    <w:rsid w:val="00480797"/>
    <w:rsid w:val="00480FFA"/>
    <w:rsid w:val="00483C7A"/>
    <w:rsid w:val="004876D2"/>
    <w:rsid w:val="00490505"/>
    <w:rsid w:val="004921B0"/>
    <w:rsid w:val="004924B1"/>
    <w:rsid w:val="0049534A"/>
    <w:rsid w:val="004A1012"/>
    <w:rsid w:val="004A2E47"/>
    <w:rsid w:val="004A48B4"/>
    <w:rsid w:val="004A4E79"/>
    <w:rsid w:val="004A5737"/>
    <w:rsid w:val="004A5F93"/>
    <w:rsid w:val="004B3F01"/>
    <w:rsid w:val="004B4A31"/>
    <w:rsid w:val="004B5483"/>
    <w:rsid w:val="004B79D9"/>
    <w:rsid w:val="004B7B47"/>
    <w:rsid w:val="004D07A8"/>
    <w:rsid w:val="004D1E21"/>
    <w:rsid w:val="004D3448"/>
    <w:rsid w:val="004D3BBB"/>
    <w:rsid w:val="004E0592"/>
    <w:rsid w:val="004E1069"/>
    <w:rsid w:val="004E4029"/>
    <w:rsid w:val="004E7AB9"/>
    <w:rsid w:val="004F0044"/>
    <w:rsid w:val="00501207"/>
    <w:rsid w:val="00504E7B"/>
    <w:rsid w:val="00506351"/>
    <w:rsid w:val="00514005"/>
    <w:rsid w:val="00514BED"/>
    <w:rsid w:val="00516F43"/>
    <w:rsid w:val="00523320"/>
    <w:rsid w:val="0052377D"/>
    <w:rsid w:val="0053126C"/>
    <w:rsid w:val="00533028"/>
    <w:rsid w:val="00533C85"/>
    <w:rsid w:val="0053489D"/>
    <w:rsid w:val="00535130"/>
    <w:rsid w:val="00536D48"/>
    <w:rsid w:val="0054576F"/>
    <w:rsid w:val="00546AC7"/>
    <w:rsid w:val="0054736D"/>
    <w:rsid w:val="00547517"/>
    <w:rsid w:val="00550D6B"/>
    <w:rsid w:val="00550DFC"/>
    <w:rsid w:val="00552526"/>
    <w:rsid w:val="005537A9"/>
    <w:rsid w:val="00553B6B"/>
    <w:rsid w:val="005542C6"/>
    <w:rsid w:val="0055555D"/>
    <w:rsid w:val="005630EF"/>
    <w:rsid w:val="005702BA"/>
    <w:rsid w:val="005716A2"/>
    <w:rsid w:val="0057497D"/>
    <w:rsid w:val="00581E74"/>
    <w:rsid w:val="00587BCE"/>
    <w:rsid w:val="00587D93"/>
    <w:rsid w:val="00593C8E"/>
    <w:rsid w:val="00594B6F"/>
    <w:rsid w:val="00595B2C"/>
    <w:rsid w:val="005965D6"/>
    <w:rsid w:val="00596AEA"/>
    <w:rsid w:val="005A10B0"/>
    <w:rsid w:val="005A1638"/>
    <w:rsid w:val="005A5390"/>
    <w:rsid w:val="005A5955"/>
    <w:rsid w:val="005B5507"/>
    <w:rsid w:val="005B5BEE"/>
    <w:rsid w:val="005B600B"/>
    <w:rsid w:val="005B7ED3"/>
    <w:rsid w:val="005C0360"/>
    <w:rsid w:val="005C263A"/>
    <w:rsid w:val="005C38A9"/>
    <w:rsid w:val="005C3B78"/>
    <w:rsid w:val="005C402B"/>
    <w:rsid w:val="005C69F2"/>
    <w:rsid w:val="005C6F14"/>
    <w:rsid w:val="005D2461"/>
    <w:rsid w:val="005D2A62"/>
    <w:rsid w:val="005D3F40"/>
    <w:rsid w:val="005D4269"/>
    <w:rsid w:val="005D5254"/>
    <w:rsid w:val="005E2C88"/>
    <w:rsid w:val="005E3F97"/>
    <w:rsid w:val="005E4B69"/>
    <w:rsid w:val="005E516D"/>
    <w:rsid w:val="005E541F"/>
    <w:rsid w:val="005E5B44"/>
    <w:rsid w:val="005E623E"/>
    <w:rsid w:val="005E6DDE"/>
    <w:rsid w:val="005F0262"/>
    <w:rsid w:val="005F4F7D"/>
    <w:rsid w:val="00600724"/>
    <w:rsid w:val="00600B0A"/>
    <w:rsid w:val="00600E97"/>
    <w:rsid w:val="0060231D"/>
    <w:rsid w:val="00602D01"/>
    <w:rsid w:val="00602D43"/>
    <w:rsid w:val="006059E4"/>
    <w:rsid w:val="00610F98"/>
    <w:rsid w:val="006115C5"/>
    <w:rsid w:val="006129CE"/>
    <w:rsid w:val="006148DD"/>
    <w:rsid w:val="00614A5B"/>
    <w:rsid w:val="006157E0"/>
    <w:rsid w:val="0061777B"/>
    <w:rsid w:val="00620A5F"/>
    <w:rsid w:val="00621B05"/>
    <w:rsid w:val="00621FF3"/>
    <w:rsid w:val="00625261"/>
    <w:rsid w:val="006259DB"/>
    <w:rsid w:val="006305B3"/>
    <w:rsid w:val="00632C19"/>
    <w:rsid w:val="0063485C"/>
    <w:rsid w:val="00634CF4"/>
    <w:rsid w:val="006377DD"/>
    <w:rsid w:val="00645972"/>
    <w:rsid w:val="00647DA4"/>
    <w:rsid w:val="00651ACB"/>
    <w:rsid w:val="0065335C"/>
    <w:rsid w:val="006539BB"/>
    <w:rsid w:val="00654692"/>
    <w:rsid w:val="00655140"/>
    <w:rsid w:val="006617A0"/>
    <w:rsid w:val="006618FC"/>
    <w:rsid w:val="00661FB2"/>
    <w:rsid w:val="0066271F"/>
    <w:rsid w:val="006636BF"/>
    <w:rsid w:val="0066372E"/>
    <w:rsid w:val="00663C7B"/>
    <w:rsid w:val="00665D14"/>
    <w:rsid w:val="00671123"/>
    <w:rsid w:val="00672C02"/>
    <w:rsid w:val="00674959"/>
    <w:rsid w:val="00674F78"/>
    <w:rsid w:val="00675062"/>
    <w:rsid w:val="0067645B"/>
    <w:rsid w:val="0067718A"/>
    <w:rsid w:val="006805DD"/>
    <w:rsid w:val="00681A7B"/>
    <w:rsid w:val="00682ADF"/>
    <w:rsid w:val="0068441D"/>
    <w:rsid w:val="00684A69"/>
    <w:rsid w:val="006870D1"/>
    <w:rsid w:val="00687250"/>
    <w:rsid w:val="006920F5"/>
    <w:rsid w:val="00692FE0"/>
    <w:rsid w:val="00693097"/>
    <w:rsid w:val="006950F4"/>
    <w:rsid w:val="00696257"/>
    <w:rsid w:val="00696878"/>
    <w:rsid w:val="00696936"/>
    <w:rsid w:val="00696EAD"/>
    <w:rsid w:val="00697301"/>
    <w:rsid w:val="006976D3"/>
    <w:rsid w:val="006A1755"/>
    <w:rsid w:val="006A3F64"/>
    <w:rsid w:val="006A4AE2"/>
    <w:rsid w:val="006A7418"/>
    <w:rsid w:val="006B5AC0"/>
    <w:rsid w:val="006B7813"/>
    <w:rsid w:val="006C14DE"/>
    <w:rsid w:val="006C1CB4"/>
    <w:rsid w:val="006C556A"/>
    <w:rsid w:val="006D0315"/>
    <w:rsid w:val="006D1117"/>
    <w:rsid w:val="006D17F9"/>
    <w:rsid w:val="006D26D5"/>
    <w:rsid w:val="006D297A"/>
    <w:rsid w:val="006D2FF7"/>
    <w:rsid w:val="006D4F03"/>
    <w:rsid w:val="006D6045"/>
    <w:rsid w:val="006D66C5"/>
    <w:rsid w:val="006D7E81"/>
    <w:rsid w:val="006E30A8"/>
    <w:rsid w:val="006E3F2A"/>
    <w:rsid w:val="006E4523"/>
    <w:rsid w:val="006E531F"/>
    <w:rsid w:val="006E5BB4"/>
    <w:rsid w:val="006F04C4"/>
    <w:rsid w:val="006F04CA"/>
    <w:rsid w:val="006F24E6"/>
    <w:rsid w:val="006F2A10"/>
    <w:rsid w:val="006F36CC"/>
    <w:rsid w:val="006F53C5"/>
    <w:rsid w:val="006F7749"/>
    <w:rsid w:val="00700BB0"/>
    <w:rsid w:val="00700F60"/>
    <w:rsid w:val="0070190E"/>
    <w:rsid w:val="00703068"/>
    <w:rsid w:val="00704DFE"/>
    <w:rsid w:val="00705161"/>
    <w:rsid w:val="00710466"/>
    <w:rsid w:val="007118C4"/>
    <w:rsid w:val="00711C09"/>
    <w:rsid w:val="00712B86"/>
    <w:rsid w:val="00713878"/>
    <w:rsid w:val="00713FFD"/>
    <w:rsid w:val="007148FD"/>
    <w:rsid w:val="00717099"/>
    <w:rsid w:val="00720671"/>
    <w:rsid w:val="0072083B"/>
    <w:rsid w:val="00722198"/>
    <w:rsid w:val="00726A91"/>
    <w:rsid w:val="007271DF"/>
    <w:rsid w:val="007273CA"/>
    <w:rsid w:val="0073364A"/>
    <w:rsid w:val="00742A0F"/>
    <w:rsid w:val="007435D2"/>
    <w:rsid w:val="0074620F"/>
    <w:rsid w:val="007516E7"/>
    <w:rsid w:val="00751F75"/>
    <w:rsid w:val="00752AAA"/>
    <w:rsid w:val="00754003"/>
    <w:rsid w:val="00756DD3"/>
    <w:rsid w:val="00757DE8"/>
    <w:rsid w:val="0076341F"/>
    <w:rsid w:val="007657E5"/>
    <w:rsid w:val="00767292"/>
    <w:rsid w:val="007723A8"/>
    <w:rsid w:val="007723FF"/>
    <w:rsid w:val="00774746"/>
    <w:rsid w:val="00776EDB"/>
    <w:rsid w:val="007823E3"/>
    <w:rsid w:val="00784AC1"/>
    <w:rsid w:val="00785372"/>
    <w:rsid w:val="00787F0C"/>
    <w:rsid w:val="00797C38"/>
    <w:rsid w:val="007A19FD"/>
    <w:rsid w:val="007A2E92"/>
    <w:rsid w:val="007A4A01"/>
    <w:rsid w:val="007A6F77"/>
    <w:rsid w:val="007A7AB2"/>
    <w:rsid w:val="007B165F"/>
    <w:rsid w:val="007B3410"/>
    <w:rsid w:val="007B4FD5"/>
    <w:rsid w:val="007B7D88"/>
    <w:rsid w:val="007C1247"/>
    <w:rsid w:val="007C47D2"/>
    <w:rsid w:val="007C68E2"/>
    <w:rsid w:val="007D0458"/>
    <w:rsid w:val="007D393E"/>
    <w:rsid w:val="007D5024"/>
    <w:rsid w:val="007D78C3"/>
    <w:rsid w:val="007D7AD5"/>
    <w:rsid w:val="007E1CDD"/>
    <w:rsid w:val="007E3E14"/>
    <w:rsid w:val="007E4AD8"/>
    <w:rsid w:val="007E638F"/>
    <w:rsid w:val="007E764B"/>
    <w:rsid w:val="007E7A94"/>
    <w:rsid w:val="007F3086"/>
    <w:rsid w:val="007F6A4F"/>
    <w:rsid w:val="007F725B"/>
    <w:rsid w:val="0080026B"/>
    <w:rsid w:val="0080270D"/>
    <w:rsid w:val="0080787A"/>
    <w:rsid w:val="008128EE"/>
    <w:rsid w:val="00813B15"/>
    <w:rsid w:val="00814AC4"/>
    <w:rsid w:val="00815EF0"/>
    <w:rsid w:val="00816EEC"/>
    <w:rsid w:val="00821833"/>
    <w:rsid w:val="0082296A"/>
    <w:rsid w:val="00822C91"/>
    <w:rsid w:val="008235F2"/>
    <w:rsid w:val="008239AE"/>
    <w:rsid w:val="008239DC"/>
    <w:rsid w:val="00825C4B"/>
    <w:rsid w:val="00825D3B"/>
    <w:rsid w:val="00831885"/>
    <w:rsid w:val="00832494"/>
    <w:rsid w:val="00835785"/>
    <w:rsid w:val="00836723"/>
    <w:rsid w:val="00836B62"/>
    <w:rsid w:val="00836D14"/>
    <w:rsid w:val="008409F6"/>
    <w:rsid w:val="00841AE3"/>
    <w:rsid w:val="00841FA9"/>
    <w:rsid w:val="008428BE"/>
    <w:rsid w:val="00846216"/>
    <w:rsid w:val="00847296"/>
    <w:rsid w:val="00852DED"/>
    <w:rsid w:val="00854A39"/>
    <w:rsid w:val="00860B10"/>
    <w:rsid w:val="00861327"/>
    <w:rsid w:val="0086277B"/>
    <w:rsid w:val="008631A7"/>
    <w:rsid w:val="00864683"/>
    <w:rsid w:val="00864DCA"/>
    <w:rsid w:val="00865EA6"/>
    <w:rsid w:val="00867BF0"/>
    <w:rsid w:val="00867E32"/>
    <w:rsid w:val="00870760"/>
    <w:rsid w:val="00870A90"/>
    <w:rsid w:val="00883A98"/>
    <w:rsid w:val="0088481F"/>
    <w:rsid w:val="00885298"/>
    <w:rsid w:val="00891A53"/>
    <w:rsid w:val="00893663"/>
    <w:rsid w:val="00894607"/>
    <w:rsid w:val="00894A4E"/>
    <w:rsid w:val="008A0596"/>
    <w:rsid w:val="008A3141"/>
    <w:rsid w:val="008A36CD"/>
    <w:rsid w:val="008B5D2D"/>
    <w:rsid w:val="008B6DAF"/>
    <w:rsid w:val="008B74F0"/>
    <w:rsid w:val="008C11CB"/>
    <w:rsid w:val="008C27C9"/>
    <w:rsid w:val="008C6E96"/>
    <w:rsid w:val="008C6FBF"/>
    <w:rsid w:val="008C75E1"/>
    <w:rsid w:val="008D038A"/>
    <w:rsid w:val="008D04AB"/>
    <w:rsid w:val="008D300C"/>
    <w:rsid w:val="008D3712"/>
    <w:rsid w:val="008D5960"/>
    <w:rsid w:val="008E10A6"/>
    <w:rsid w:val="008E2DD9"/>
    <w:rsid w:val="008E55F1"/>
    <w:rsid w:val="008E5BD3"/>
    <w:rsid w:val="008E5EF9"/>
    <w:rsid w:val="008E64E7"/>
    <w:rsid w:val="008F3CD1"/>
    <w:rsid w:val="008F4656"/>
    <w:rsid w:val="008F7F93"/>
    <w:rsid w:val="009008AF"/>
    <w:rsid w:val="009035EA"/>
    <w:rsid w:val="00905E52"/>
    <w:rsid w:val="00906895"/>
    <w:rsid w:val="00910819"/>
    <w:rsid w:val="00912844"/>
    <w:rsid w:val="00912A0E"/>
    <w:rsid w:val="0091433E"/>
    <w:rsid w:val="00914E71"/>
    <w:rsid w:val="00916F91"/>
    <w:rsid w:val="0092021F"/>
    <w:rsid w:val="00920299"/>
    <w:rsid w:val="00921555"/>
    <w:rsid w:val="009248CD"/>
    <w:rsid w:val="00924A89"/>
    <w:rsid w:val="00925BBE"/>
    <w:rsid w:val="009264B0"/>
    <w:rsid w:val="009274F6"/>
    <w:rsid w:val="00933FD4"/>
    <w:rsid w:val="00934A99"/>
    <w:rsid w:val="00935429"/>
    <w:rsid w:val="00936168"/>
    <w:rsid w:val="0093743F"/>
    <w:rsid w:val="00937DE3"/>
    <w:rsid w:val="00942935"/>
    <w:rsid w:val="0094557E"/>
    <w:rsid w:val="0094596E"/>
    <w:rsid w:val="00951F8A"/>
    <w:rsid w:val="00952112"/>
    <w:rsid w:val="0095474B"/>
    <w:rsid w:val="00962A3E"/>
    <w:rsid w:val="0096347B"/>
    <w:rsid w:val="00966E87"/>
    <w:rsid w:val="00972EB3"/>
    <w:rsid w:val="0098071C"/>
    <w:rsid w:val="00981EF4"/>
    <w:rsid w:val="0098279F"/>
    <w:rsid w:val="00984C55"/>
    <w:rsid w:val="0098608F"/>
    <w:rsid w:val="00986265"/>
    <w:rsid w:val="009865DC"/>
    <w:rsid w:val="00990160"/>
    <w:rsid w:val="009910C3"/>
    <w:rsid w:val="00993FA3"/>
    <w:rsid w:val="0099749C"/>
    <w:rsid w:val="009A0D5F"/>
    <w:rsid w:val="009A2045"/>
    <w:rsid w:val="009A254D"/>
    <w:rsid w:val="009A49D9"/>
    <w:rsid w:val="009B19F5"/>
    <w:rsid w:val="009B27A0"/>
    <w:rsid w:val="009B29E8"/>
    <w:rsid w:val="009B4183"/>
    <w:rsid w:val="009C2D46"/>
    <w:rsid w:val="009C6480"/>
    <w:rsid w:val="009C6505"/>
    <w:rsid w:val="009C6BA2"/>
    <w:rsid w:val="009D12AB"/>
    <w:rsid w:val="009D3E33"/>
    <w:rsid w:val="009D5D06"/>
    <w:rsid w:val="009D7769"/>
    <w:rsid w:val="009E07D8"/>
    <w:rsid w:val="009E3BB6"/>
    <w:rsid w:val="009E471C"/>
    <w:rsid w:val="009E7C4E"/>
    <w:rsid w:val="009F3AC7"/>
    <w:rsid w:val="00A00888"/>
    <w:rsid w:val="00A04E72"/>
    <w:rsid w:val="00A05307"/>
    <w:rsid w:val="00A05D42"/>
    <w:rsid w:val="00A070B8"/>
    <w:rsid w:val="00A12759"/>
    <w:rsid w:val="00A15558"/>
    <w:rsid w:val="00A17427"/>
    <w:rsid w:val="00A23106"/>
    <w:rsid w:val="00A23126"/>
    <w:rsid w:val="00A23DFA"/>
    <w:rsid w:val="00A26458"/>
    <w:rsid w:val="00A30AFA"/>
    <w:rsid w:val="00A3533E"/>
    <w:rsid w:val="00A35476"/>
    <w:rsid w:val="00A37CE0"/>
    <w:rsid w:val="00A37E1A"/>
    <w:rsid w:val="00A40723"/>
    <w:rsid w:val="00A40FB9"/>
    <w:rsid w:val="00A4179C"/>
    <w:rsid w:val="00A443FF"/>
    <w:rsid w:val="00A50802"/>
    <w:rsid w:val="00A54ECB"/>
    <w:rsid w:val="00A552EA"/>
    <w:rsid w:val="00A5570D"/>
    <w:rsid w:val="00A566A7"/>
    <w:rsid w:val="00A6297E"/>
    <w:rsid w:val="00A63F3A"/>
    <w:rsid w:val="00A64733"/>
    <w:rsid w:val="00A6640F"/>
    <w:rsid w:val="00A702A5"/>
    <w:rsid w:val="00A70601"/>
    <w:rsid w:val="00A71487"/>
    <w:rsid w:val="00A71FB2"/>
    <w:rsid w:val="00A72FF2"/>
    <w:rsid w:val="00A764BF"/>
    <w:rsid w:val="00A80DE6"/>
    <w:rsid w:val="00A8376E"/>
    <w:rsid w:val="00A86810"/>
    <w:rsid w:val="00A86FD2"/>
    <w:rsid w:val="00A91ED1"/>
    <w:rsid w:val="00A94657"/>
    <w:rsid w:val="00A969B2"/>
    <w:rsid w:val="00A97A6B"/>
    <w:rsid w:val="00A97EA2"/>
    <w:rsid w:val="00AA6DEB"/>
    <w:rsid w:val="00AA6FA1"/>
    <w:rsid w:val="00AB006D"/>
    <w:rsid w:val="00AB08AF"/>
    <w:rsid w:val="00AB193E"/>
    <w:rsid w:val="00AB37FF"/>
    <w:rsid w:val="00AB516D"/>
    <w:rsid w:val="00AB67D0"/>
    <w:rsid w:val="00AB76B5"/>
    <w:rsid w:val="00AC1159"/>
    <w:rsid w:val="00AC1A9C"/>
    <w:rsid w:val="00AC2CD0"/>
    <w:rsid w:val="00AD19BB"/>
    <w:rsid w:val="00AD3DAC"/>
    <w:rsid w:val="00AD471A"/>
    <w:rsid w:val="00AD49A7"/>
    <w:rsid w:val="00AD54B5"/>
    <w:rsid w:val="00AD64C4"/>
    <w:rsid w:val="00AE1718"/>
    <w:rsid w:val="00AE1CB4"/>
    <w:rsid w:val="00AE49E0"/>
    <w:rsid w:val="00AE6778"/>
    <w:rsid w:val="00AE6F2F"/>
    <w:rsid w:val="00AF0BD5"/>
    <w:rsid w:val="00AF2180"/>
    <w:rsid w:val="00AF5072"/>
    <w:rsid w:val="00AF617F"/>
    <w:rsid w:val="00AF65A4"/>
    <w:rsid w:val="00AF6E00"/>
    <w:rsid w:val="00B0014B"/>
    <w:rsid w:val="00B02523"/>
    <w:rsid w:val="00B033A2"/>
    <w:rsid w:val="00B06487"/>
    <w:rsid w:val="00B06C16"/>
    <w:rsid w:val="00B06F9D"/>
    <w:rsid w:val="00B0726D"/>
    <w:rsid w:val="00B120E6"/>
    <w:rsid w:val="00B1491B"/>
    <w:rsid w:val="00B152EC"/>
    <w:rsid w:val="00B16DC0"/>
    <w:rsid w:val="00B21635"/>
    <w:rsid w:val="00B2195D"/>
    <w:rsid w:val="00B2278C"/>
    <w:rsid w:val="00B230D7"/>
    <w:rsid w:val="00B23273"/>
    <w:rsid w:val="00B238F0"/>
    <w:rsid w:val="00B269B3"/>
    <w:rsid w:val="00B31FF9"/>
    <w:rsid w:val="00B3327F"/>
    <w:rsid w:val="00B33D63"/>
    <w:rsid w:val="00B34265"/>
    <w:rsid w:val="00B37939"/>
    <w:rsid w:val="00B41EC8"/>
    <w:rsid w:val="00B42B64"/>
    <w:rsid w:val="00B468FC"/>
    <w:rsid w:val="00B47BB0"/>
    <w:rsid w:val="00B5044B"/>
    <w:rsid w:val="00B52609"/>
    <w:rsid w:val="00B64BA5"/>
    <w:rsid w:val="00B70A74"/>
    <w:rsid w:val="00B7520E"/>
    <w:rsid w:val="00B8036C"/>
    <w:rsid w:val="00B80EB4"/>
    <w:rsid w:val="00B82007"/>
    <w:rsid w:val="00B841B9"/>
    <w:rsid w:val="00B850F6"/>
    <w:rsid w:val="00B857FD"/>
    <w:rsid w:val="00B9142C"/>
    <w:rsid w:val="00B9160D"/>
    <w:rsid w:val="00B916D4"/>
    <w:rsid w:val="00B9565E"/>
    <w:rsid w:val="00B963C2"/>
    <w:rsid w:val="00BA0FC6"/>
    <w:rsid w:val="00BA216F"/>
    <w:rsid w:val="00BA237B"/>
    <w:rsid w:val="00BA34C3"/>
    <w:rsid w:val="00BA5724"/>
    <w:rsid w:val="00BA6959"/>
    <w:rsid w:val="00BB0820"/>
    <w:rsid w:val="00BB1C7E"/>
    <w:rsid w:val="00BC09B5"/>
    <w:rsid w:val="00BC1CCE"/>
    <w:rsid w:val="00BC3078"/>
    <w:rsid w:val="00BC6F52"/>
    <w:rsid w:val="00BC75E2"/>
    <w:rsid w:val="00BD137F"/>
    <w:rsid w:val="00BD1E3A"/>
    <w:rsid w:val="00BD2890"/>
    <w:rsid w:val="00BD2C00"/>
    <w:rsid w:val="00BD4B16"/>
    <w:rsid w:val="00BD686D"/>
    <w:rsid w:val="00BD7CE2"/>
    <w:rsid w:val="00BE46E1"/>
    <w:rsid w:val="00BE5703"/>
    <w:rsid w:val="00BE74E4"/>
    <w:rsid w:val="00BF031B"/>
    <w:rsid w:val="00BF23BF"/>
    <w:rsid w:val="00BF676C"/>
    <w:rsid w:val="00BF6889"/>
    <w:rsid w:val="00BF7E86"/>
    <w:rsid w:val="00C036F6"/>
    <w:rsid w:val="00C12335"/>
    <w:rsid w:val="00C15128"/>
    <w:rsid w:val="00C20047"/>
    <w:rsid w:val="00C212EC"/>
    <w:rsid w:val="00C21A27"/>
    <w:rsid w:val="00C21E5D"/>
    <w:rsid w:val="00C22127"/>
    <w:rsid w:val="00C24AB6"/>
    <w:rsid w:val="00C30EAA"/>
    <w:rsid w:val="00C3179B"/>
    <w:rsid w:val="00C4625B"/>
    <w:rsid w:val="00C46D9F"/>
    <w:rsid w:val="00C471CB"/>
    <w:rsid w:val="00C50566"/>
    <w:rsid w:val="00C53285"/>
    <w:rsid w:val="00C538D7"/>
    <w:rsid w:val="00C5448F"/>
    <w:rsid w:val="00C61096"/>
    <w:rsid w:val="00C618C8"/>
    <w:rsid w:val="00C62DD5"/>
    <w:rsid w:val="00C64BF9"/>
    <w:rsid w:val="00C65006"/>
    <w:rsid w:val="00C72C0F"/>
    <w:rsid w:val="00C72D3C"/>
    <w:rsid w:val="00C73245"/>
    <w:rsid w:val="00C74746"/>
    <w:rsid w:val="00C75796"/>
    <w:rsid w:val="00C86311"/>
    <w:rsid w:val="00C86993"/>
    <w:rsid w:val="00C86C89"/>
    <w:rsid w:val="00C874C4"/>
    <w:rsid w:val="00CA28C7"/>
    <w:rsid w:val="00CA301D"/>
    <w:rsid w:val="00CA3C6F"/>
    <w:rsid w:val="00CA43CB"/>
    <w:rsid w:val="00CA7A08"/>
    <w:rsid w:val="00CA7B10"/>
    <w:rsid w:val="00CB1135"/>
    <w:rsid w:val="00CB30D4"/>
    <w:rsid w:val="00CC2B01"/>
    <w:rsid w:val="00CC4D3F"/>
    <w:rsid w:val="00CC66A3"/>
    <w:rsid w:val="00CC7A1F"/>
    <w:rsid w:val="00CD47AF"/>
    <w:rsid w:val="00CE05BB"/>
    <w:rsid w:val="00CE095B"/>
    <w:rsid w:val="00CE2184"/>
    <w:rsid w:val="00CE35B1"/>
    <w:rsid w:val="00CE3CDC"/>
    <w:rsid w:val="00CE5391"/>
    <w:rsid w:val="00CE62F7"/>
    <w:rsid w:val="00CF241E"/>
    <w:rsid w:val="00CF3DDF"/>
    <w:rsid w:val="00CF40F1"/>
    <w:rsid w:val="00CF4FFD"/>
    <w:rsid w:val="00CF613E"/>
    <w:rsid w:val="00D03F84"/>
    <w:rsid w:val="00D04493"/>
    <w:rsid w:val="00D05CE1"/>
    <w:rsid w:val="00D114A4"/>
    <w:rsid w:val="00D120FF"/>
    <w:rsid w:val="00D13383"/>
    <w:rsid w:val="00D17355"/>
    <w:rsid w:val="00D17EDD"/>
    <w:rsid w:val="00D226D9"/>
    <w:rsid w:val="00D2292E"/>
    <w:rsid w:val="00D22C87"/>
    <w:rsid w:val="00D23D8F"/>
    <w:rsid w:val="00D319C2"/>
    <w:rsid w:val="00D34592"/>
    <w:rsid w:val="00D34659"/>
    <w:rsid w:val="00D37CC5"/>
    <w:rsid w:val="00D40B2C"/>
    <w:rsid w:val="00D46F7D"/>
    <w:rsid w:val="00D57141"/>
    <w:rsid w:val="00D60A65"/>
    <w:rsid w:val="00D6383E"/>
    <w:rsid w:val="00D64C51"/>
    <w:rsid w:val="00D70EFE"/>
    <w:rsid w:val="00D72C19"/>
    <w:rsid w:val="00D75E1C"/>
    <w:rsid w:val="00D83C82"/>
    <w:rsid w:val="00D85973"/>
    <w:rsid w:val="00D90BC1"/>
    <w:rsid w:val="00D90CD7"/>
    <w:rsid w:val="00D92706"/>
    <w:rsid w:val="00D92A82"/>
    <w:rsid w:val="00D9349C"/>
    <w:rsid w:val="00D935A4"/>
    <w:rsid w:val="00D9491E"/>
    <w:rsid w:val="00D94B27"/>
    <w:rsid w:val="00DA017D"/>
    <w:rsid w:val="00DA091B"/>
    <w:rsid w:val="00DA1FF0"/>
    <w:rsid w:val="00DA3467"/>
    <w:rsid w:val="00DA40A3"/>
    <w:rsid w:val="00DA5DAB"/>
    <w:rsid w:val="00DB1B7A"/>
    <w:rsid w:val="00DB4F9F"/>
    <w:rsid w:val="00DB6022"/>
    <w:rsid w:val="00DB61A8"/>
    <w:rsid w:val="00DB712D"/>
    <w:rsid w:val="00DB7235"/>
    <w:rsid w:val="00DC0051"/>
    <w:rsid w:val="00DC6117"/>
    <w:rsid w:val="00DC706A"/>
    <w:rsid w:val="00DC7BC2"/>
    <w:rsid w:val="00DD04DD"/>
    <w:rsid w:val="00DD0E1C"/>
    <w:rsid w:val="00DD20DC"/>
    <w:rsid w:val="00DD48D4"/>
    <w:rsid w:val="00DD7E13"/>
    <w:rsid w:val="00DE075F"/>
    <w:rsid w:val="00DE0F24"/>
    <w:rsid w:val="00DE3560"/>
    <w:rsid w:val="00DE3D3B"/>
    <w:rsid w:val="00DF4476"/>
    <w:rsid w:val="00DF77AA"/>
    <w:rsid w:val="00E00694"/>
    <w:rsid w:val="00E00DF4"/>
    <w:rsid w:val="00E060CF"/>
    <w:rsid w:val="00E10E76"/>
    <w:rsid w:val="00E12800"/>
    <w:rsid w:val="00E131C2"/>
    <w:rsid w:val="00E14A4C"/>
    <w:rsid w:val="00E17709"/>
    <w:rsid w:val="00E17E20"/>
    <w:rsid w:val="00E21B43"/>
    <w:rsid w:val="00E256E7"/>
    <w:rsid w:val="00E309CC"/>
    <w:rsid w:val="00E30BAC"/>
    <w:rsid w:val="00E311EB"/>
    <w:rsid w:val="00E3224A"/>
    <w:rsid w:val="00E339D4"/>
    <w:rsid w:val="00E352C8"/>
    <w:rsid w:val="00E35916"/>
    <w:rsid w:val="00E36B65"/>
    <w:rsid w:val="00E40128"/>
    <w:rsid w:val="00E40237"/>
    <w:rsid w:val="00E4621F"/>
    <w:rsid w:val="00E50292"/>
    <w:rsid w:val="00E5127F"/>
    <w:rsid w:val="00E5201A"/>
    <w:rsid w:val="00E52CE1"/>
    <w:rsid w:val="00E53511"/>
    <w:rsid w:val="00E61AA9"/>
    <w:rsid w:val="00E62E32"/>
    <w:rsid w:val="00E64A98"/>
    <w:rsid w:val="00E70557"/>
    <w:rsid w:val="00E71EA9"/>
    <w:rsid w:val="00E72806"/>
    <w:rsid w:val="00E72B52"/>
    <w:rsid w:val="00E73CB3"/>
    <w:rsid w:val="00E8309B"/>
    <w:rsid w:val="00E83A86"/>
    <w:rsid w:val="00E86143"/>
    <w:rsid w:val="00E87E6D"/>
    <w:rsid w:val="00E96AA2"/>
    <w:rsid w:val="00EA0617"/>
    <w:rsid w:val="00EA1630"/>
    <w:rsid w:val="00EA2C18"/>
    <w:rsid w:val="00EA36BC"/>
    <w:rsid w:val="00EA59C2"/>
    <w:rsid w:val="00EA6782"/>
    <w:rsid w:val="00EB0214"/>
    <w:rsid w:val="00EB112C"/>
    <w:rsid w:val="00EB221A"/>
    <w:rsid w:val="00EB238E"/>
    <w:rsid w:val="00EB3103"/>
    <w:rsid w:val="00EB701D"/>
    <w:rsid w:val="00EC09DD"/>
    <w:rsid w:val="00EC4894"/>
    <w:rsid w:val="00EC7D53"/>
    <w:rsid w:val="00ED1D87"/>
    <w:rsid w:val="00EF0CE0"/>
    <w:rsid w:val="00EF314D"/>
    <w:rsid w:val="00EF3D1F"/>
    <w:rsid w:val="00EF75F3"/>
    <w:rsid w:val="00F0174F"/>
    <w:rsid w:val="00F02718"/>
    <w:rsid w:val="00F03CD9"/>
    <w:rsid w:val="00F044AC"/>
    <w:rsid w:val="00F05345"/>
    <w:rsid w:val="00F0674A"/>
    <w:rsid w:val="00F07B9B"/>
    <w:rsid w:val="00F108BE"/>
    <w:rsid w:val="00F119D2"/>
    <w:rsid w:val="00F13505"/>
    <w:rsid w:val="00F1425C"/>
    <w:rsid w:val="00F21840"/>
    <w:rsid w:val="00F235E8"/>
    <w:rsid w:val="00F23CBB"/>
    <w:rsid w:val="00F24F94"/>
    <w:rsid w:val="00F26C89"/>
    <w:rsid w:val="00F300AC"/>
    <w:rsid w:val="00F3017E"/>
    <w:rsid w:val="00F313AC"/>
    <w:rsid w:val="00F31420"/>
    <w:rsid w:val="00F328D1"/>
    <w:rsid w:val="00F329A3"/>
    <w:rsid w:val="00F4070E"/>
    <w:rsid w:val="00F40AE7"/>
    <w:rsid w:val="00F41512"/>
    <w:rsid w:val="00F41585"/>
    <w:rsid w:val="00F417A2"/>
    <w:rsid w:val="00F42EA7"/>
    <w:rsid w:val="00F52A46"/>
    <w:rsid w:val="00F55E44"/>
    <w:rsid w:val="00F64E1C"/>
    <w:rsid w:val="00F663DD"/>
    <w:rsid w:val="00F72248"/>
    <w:rsid w:val="00F730EB"/>
    <w:rsid w:val="00F777CB"/>
    <w:rsid w:val="00F8250A"/>
    <w:rsid w:val="00F9011D"/>
    <w:rsid w:val="00F93C3A"/>
    <w:rsid w:val="00F95390"/>
    <w:rsid w:val="00F96CFE"/>
    <w:rsid w:val="00F9728D"/>
    <w:rsid w:val="00F97328"/>
    <w:rsid w:val="00FA0F7D"/>
    <w:rsid w:val="00FA6E21"/>
    <w:rsid w:val="00FA70CF"/>
    <w:rsid w:val="00FA7436"/>
    <w:rsid w:val="00FA79D7"/>
    <w:rsid w:val="00FA7DD5"/>
    <w:rsid w:val="00FB1D1B"/>
    <w:rsid w:val="00FB2505"/>
    <w:rsid w:val="00FB6EFD"/>
    <w:rsid w:val="00FC1A10"/>
    <w:rsid w:val="00FC48EA"/>
    <w:rsid w:val="00FC545E"/>
    <w:rsid w:val="00FC740F"/>
    <w:rsid w:val="00FD278F"/>
    <w:rsid w:val="00FD294A"/>
    <w:rsid w:val="00FD307D"/>
    <w:rsid w:val="00FD61D0"/>
    <w:rsid w:val="00FD62C1"/>
    <w:rsid w:val="00FD790B"/>
    <w:rsid w:val="00FE0F6C"/>
    <w:rsid w:val="00FE1AA8"/>
    <w:rsid w:val="00FE4FFC"/>
    <w:rsid w:val="00FE59B3"/>
    <w:rsid w:val="00FE6329"/>
    <w:rsid w:val="00FE7F0F"/>
    <w:rsid w:val="00FF1D35"/>
    <w:rsid w:val="00FF29A4"/>
    <w:rsid w:val="00FF4E46"/>
    <w:rsid w:val="00FF7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D9"/>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0C70DE"/>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C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34A99"/>
    <w:pPr>
      <w:ind w:left="720"/>
      <w:contextualSpacing/>
    </w:pPr>
  </w:style>
  <w:style w:type="character" w:customStyle="1" w:styleId="Heading4Char">
    <w:name w:val="Heading 4 Char"/>
    <w:basedOn w:val="DefaultParagraphFont"/>
    <w:link w:val="Heading4"/>
    <w:uiPriority w:val="9"/>
    <w:rsid w:val="000C70DE"/>
    <w:rPr>
      <w:rFonts w:ascii="Times New Roman" w:eastAsia="Times New Roman" w:hAnsi="Times New Roman" w:cs="Times New Roman"/>
      <w:b/>
      <w:bCs/>
      <w:sz w:val="24"/>
      <w:szCs w:val="24"/>
    </w:rPr>
  </w:style>
  <w:style w:type="paragraph" w:styleId="NormalWeb">
    <w:name w:val="Normal (Web)"/>
    <w:basedOn w:val="Normal"/>
    <w:uiPriority w:val="99"/>
    <w:unhideWhenUsed/>
    <w:rsid w:val="000C70DE"/>
    <w:pPr>
      <w:widowControl/>
      <w:spacing w:before="100" w:beforeAutospacing="1" w:after="100" w:afterAutospacing="1"/>
    </w:pPr>
    <w:rPr>
      <w:sz w:val="24"/>
      <w:szCs w:val="24"/>
    </w:rPr>
  </w:style>
  <w:style w:type="paragraph" w:styleId="FootnoteText">
    <w:name w:val="footnote text"/>
    <w:aliases w:val="fn,ALTS FOOTNOTE,Footnote Text 2,Footnote text,FOOTNOTE,fn Char Char,fn Char,Footnote Text Char2,Footnote Text Char1 Char,Footnote Text Char Char Char,Footnote Text Char2 Char Char Char,Footnote Text Char Char1 Char Char Char"/>
    <w:basedOn w:val="Normal"/>
    <w:link w:val="FootnoteTextChar"/>
    <w:uiPriority w:val="99"/>
    <w:unhideWhenUsed/>
    <w:qFormat/>
    <w:rsid w:val="0054576F"/>
  </w:style>
  <w:style w:type="character" w:customStyle="1" w:styleId="FootnoteTextChar">
    <w:name w:val="Footnote Text Char"/>
    <w:aliases w:val="fn Char1,ALTS FOOTNOTE Char,Footnote Text 2 Char,Footnote text Char,FOOTNOTE Char,fn Char Char Char,fn Char Char1,Footnote Text Char2 Char,Footnote Text Char1 Char Char,Footnote Text Char Char Char Char"/>
    <w:basedOn w:val="DefaultParagraphFont"/>
    <w:link w:val="FootnoteText"/>
    <w:uiPriority w:val="99"/>
    <w:rsid w:val="0054576F"/>
    <w:rPr>
      <w:rFonts w:ascii="Times New Roman" w:eastAsia="Times New Roman" w:hAnsi="Times New Roman" w:cs="Times New Roman"/>
      <w:sz w:val="20"/>
      <w:szCs w:val="20"/>
    </w:rPr>
  </w:style>
  <w:style w:type="character" w:styleId="FootnoteReference">
    <w:name w:val="footnote reference"/>
    <w:aliases w:val="o,fr"/>
    <w:basedOn w:val="DefaultParagraphFont"/>
    <w:unhideWhenUsed/>
    <w:rsid w:val="0054576F"/>
    <w:rPr>
      <w:vertAlign w:val="superscript"/>
    </w:rPr>
  </w:style>
  <w:style w:type="character" w:customStyle="1" w:styleId="term1">
    <w:name w:val="term1"/>
    <w:basedOn w:val="DefaultParagraphFont"/>
    <w:rsid w:val="00D57141"/>
    <w:rPr>
      <w:b/>
      <w:bCs/>
    </w:rPr>
  </w:style>
  <w:style w:type="paragraph" w:styleId="Header">
    <w:name w:val="header"/>
    <w:basedOn w:val="Normal"/>
    <w:link w:val="HeaderChar"/>
    <w:uiPriority w:val="99"/>
    <w:unhideWhenUsed/>
    <w:rsid w:val="008631A7"/>
    <w:pPr>
      <w:tabs>
        <w:tab w:val="center" w:pos="4680"/>
        <w:tab w:val="right" w:pos="9360"/>
      </w:tabs>
    </w:pPr>
  </w:style>
  <w:style w:type="character" w:customStyle="1" w:styleId="HeaderChar">
    <w:name w:val="Header Char"/>
    <w:basedOn w:val="DefaultParagraphFont"/>
    <w:link w:val="Header"/>
    <w:uiPriority w:val="99"/>
    <w:rsid w:val="008631A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631A7"/>
    <w:pPr>
      <w:tabs>
        <w:tab w:val="center" w:pos="4680"/>
        <w:tab w:val="right" w:pos="9360"/>
      </w:tabs>
    </w:pPr>
  </w:style>
  <w:style w:type="character" w:customStyle="1" w:styleId="FooterChar">
    <w:name w:val="Footer Char"/>
    <w:basedOn w:val="DefaultParagraphFont"/>
    <w:link w:val="Footer"/>
    <w:uiPriority w:val="99"/>
    <w:rsid w:val="008631A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792F"/>
    <w:rPr>
      <w:rFonts w:ascii="Tahoma" w:hAnsi="Tahoma" w:cs="Tahoma"/>
      <w:sz w:val="16"/>
      <w:szCs w:val="16"/>
    </w:rPr>
  </w:style>
  <w:style w:type="character" w:customStyle="1" w:styleId="BalloonTextChar">
    <w:name w:val="Balloon Text Char"/>
    <w:basedOn w:val="DefaultParagraphFont"/>
    <w:link w:val="BalloonText"/>
    <w:uiPriority w:val="99"/>
    <w:semiHidden/>
    <w:rsid w:val="0034792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94607"/>
    <w:rPr>
      <w:sz w:val="16"/>
      <w:szCs w:val="16"/>
    </w:rPr>
  </w:style>
  <w:style w:type="paragraph" w:styleId="CommentText">
    <w:name w:val="annotation text"/>
    <w:basedOn w:val="Normal"/>
    <w:link w:val="CommentTextChar"/>
    <w:uiPriority w:val="99"/>
    <w:semiHidden/>
    <w:unhideWhenUsed/>
    <w:rsid w:val="00894607"/>
  </w:style>
  <w:style w:type="character" w:customStyle="1" w:styleId="CommentTextChar">
    <w:name w:val="Comment Text Char"/>
    <w:basedOn w:val="DefaultParagraphFont"/>
    <w:link w:val="CommentText"/>
    <w:uiPriority w:val="99"/>
    <w:semiHidden/>
    <w:rsid w:val="00894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4607"/>
    <w:rPr>
      <w:b/>
      <w:bCs/>
    </w:rPr>
  </w:style>
  <w:style w:type="character" w:customStyle="1" w:styleId="CommentSubjectChar">
    <w:name w:val="Comment Subject Char"/>
    <w:basedOn w:val="CommentTextChar"/>
    <w:link w:val="CommentSubject"/>
    <w:uiPriority w:val="99"/>
    <w:semiHidden/>
    <w:rsid w:val="00894607"/>
    <w:rPr>
      <w:rFonts w:ascii="Times New Roman" w:eastAsia="Times New Roman" w:hAnsi="Times New Roman" w:cs="Times New Roman"/>
      <w:b/>
      <w:bCs/>
      <w:sz w:val="20"/>
      <w:szCs w:val="20"/>
    </w:rPr>
  </w:style>
  <w:style w:type="paragraph" w:styleId="Revision">
    <w:name w:val="Revision"/>
    <w:hidden/>
    <w:uiPriority w:val="99"/>
    <w:semiHidden/>
    <w:rsid w:val="00894607"/>
    <w:pPr>
      <w:spacing w:after="0" w:line="240" w:lineRule="auto"/>
    </w:pPr>
    <w:rPr>
      <w:rFonts w:ascii="Times New Roman" w:eastAsia="Times New Roman" w:hAnsi="Times New Roman" w:cs="Times New Roman"/>
      <w:sz w:val="20"/>
      <w:szCs w:val="20"/>
    </w:rPr>
  </w:style>
  <w:style w:type="character" w:styleId="Hyperlink">
    <w:name w:val="Hyperlink"/>
    <w:rsid w:val="00266AE6"/>
    <w:rPr>
      <w:color w:val="0000FF"/>
      <w:u w:val="single"/>
    </w:rPr>
  </w:style>
  <w:style w:type="paragraph" w:customStyle="1" w:styleId="Style">
    <w:name w:val="Style"/>
    <w:rsid w:val="002C20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Emphasis">
    <w:name w:val="Emphasis"/>
    <w:basedOn w:val="DefaultParagraphFont"/>
    <w:qFormat/>
    <w:rsid w:val="00A71487"/>
    <w:rPr>
      <w:i/>
      <w:iCs/>
    </w:rPr>
  </w:style>
  <w:style w:type="paragraph" w:customStyle="1" w:styleId="ParaTab1">
    <w:name w:val="ParaTab 1"/>
    <w:rsid w:val="005B550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customStyle="1" w:styleId="pmterms11">
    <w:name w:val="pmterms11"/>
    <w:basedOn w:val="DefaultParagraphFont"/>
    <w:rsid w:val="00441654"/>
    <w:rPr>
      <w:b/>
      <w:bCs/>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D9"/>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0C70DE"/>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C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34A99"/>
    <w:pPr>
      <w:ind w:left="720"/>
      <w:contextualSpacing/>
    </w:pPr>
  </w:style>
  <w:style w:type="character" w:customStyle="1" w:styleId="Heading4Char">
    <w:name w:val="Heading 4 Char"/>
    <w:basedOn w:val="DefaultParagraphFont"/>
    <w:link w:val="Heading4"/>
    <w:uiPriority w:val="9"/>
    <w:rsid w:val="000C70DE"/>
    <w:rPr>
      <w:rFonts w:ascii="Times New Roman" w:eastAsia="Times New Roman" w:hAnsi="Times New Roman" w:cs="Times New Roman"/>
      <w:b/>
      <w:bCs/>
      <w:sz w:val="24"/>
      <w:szCs w:val="24"/>
    </w:rPr>
  </w:style>
  <w:style w:type="paragraph" w:styleId="NormalWeb">
    <w:name w:val="Normal (Web)"/>
    <w:basedOn w:val="Normal"/>
    <w:uiPriority w:val="99"/>
    <w:unhideWhenUsed/>
    <w:rsid w:val="000C70DE"/>
    <w:pPr>
      <w:widowControl/>
      <w:spacing w:before="100" w:beforeAutospacing="1" w:after="100" w:afterAutospacing="1"/>
    </w:pPr>
    <w:rPr>
      <w:sz w:val="24"/>
      <w:szCs w:val="24"/>
    </w:rPr>
  </w:style>
  <w:style w:type="paragraph" w:styleId="FootnoteText">
    <w:name w:val="footnote text"/>
    <w:aliases w:val="fn,ALTS FOOTNOTE,Footnote Text 2,Footnote text,FOOTNOTE,fn Char Char,fn Char,Footnote Text Char2,Footnote Text Char1 Char,Footnote Text Char Char Char,Footnote Text Char2 Char Char Char,Footnote Text Char Char1 Char Char Char"/>
    <w:basedOn w:val="Normal"/>
    <w:link w:val="FootnoteTextChar"/>
    <w:uiPriority w:val="99"/>
    <w:unhideWhenUsed/>
    <w:qFormat/>
    <w:rsid w:val="0054576F"/>
  </w:style>
  <w:style w:type="character" w:customStyle="1" w:styleId="FootnoteTextChar">
    <w:name w:val="Footnote Text Char"/>
    <w:aliases w:val="fn Char1,ALTS FOOTNOTE Char,Footnote Text 2 Char,Footnote text Char,FOOTNOTE Char,fn Char Char Char,fn Char Char1,Footnote Text Char2 Char,Footnote Text Char1 Char Char,Footnote Text Char Char Char Char"/>
    <w:basedOn w:val="DefaultParagraphFont"/>
    <w:link w:val="FootnoteText"/>
    <w:uiPriority w:val="99"/>
    <w:rsid w:val="0054576F"/>
    <w:rPr>
      <w:rFonts w:ascii="Times New Roman" w:eastAsia="Times New Roman" w:hAnsi="Times New Roman" w:cs="Times New Roman"/>
      <w:sz w:val="20"/>
      <w:szCs w:val="20"/>
    </w:rPr>
  </w:style>
  <w:style w:type="character" w:styleId="FootnoteReference">
    <w:name w:val="footnote reference"/>
    <w:aliases w:val="o,fr"/>
    <w:basedOn w:val="DefaultParagraphFont"/>
    <w:unhideWhenUsed/>
    <w:rsid w:val="0054576F"/>
    <w:rPr>
      <w:vertAlign w:val="superscript"/>
    </w:rPr>
  </w:style>
  <w:style w:type="character" w:customStyle="1" w:styleId="term1">
    <w:name w:val="term1"/>
    <w:basedOn w:val="DefaultParagraphFont"/>
    <w:rsid w:val="00D57141"/>
    <w:rPr>
      <w:b/>
      <w:bCs/>
    </w:rPr>
  </w:style>
  <w:style w:type="paragraph" w:styleId="Header">
    <w:name w:val="header"/>
    <w:basedOn w:val="Normal"/>
    <w:link w:val="HeaderChar"/>
    <w:uiPriority w:val="99"/>
    <w:unhideWhenUsed/>
    <w:rsid w:val="008631A7"/>
    <w:pPr>
      <w:tabs>
        <w:tab w:val="center" w:pos="4680"/>
        <w:tab w:val="right" w:pos="9360"/>
      </w:tabs>
    </w:pPr>
  </w:style>
  <w:style w:type="character" w:customStyle="1" w:styleId="HeaderChar">
    <w:name w:val="Header Char"/>
    <w:basedOn w:val="DefaultParagraphFont"/>
    <w:link w:val="Header"/>
    <w:uiPriority w:val="99"/>
    <w:rsid w:val="008631A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631A7"/>
    <w:pPr>
      <w:tabs>
        <w:tab w:val="center" w:pos="4680"/>
        <w:tab w:val="right" w:pos="9360"/>
      </w:tabs>
    </w:pPr>
  </w:style>
  <w:style w:type="character" w:customStyle="1" w:styleId="FooterChar">
    <w:name w:val="Footer Char"/>
    <w:basedOn w:val="DefaultParagraphFont"/>
    <w:link w:val="Footer"/>
    <w:uiPriority w:val="99"/>
    <w:rsid w:val="008631A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792F"/>
    <w:rPr>
      <w:rFonts w:ascii="Tahoma" w:hAnsi="Tahoma" w:cs="Tahoma"/>
      <w:sz w:val="16"/>
      <w:szCs w:val="16"/>
    </w:rPr>
  </w:style>
  <w:style w:type="character" w:customStyle="1" w:styleId="BalloonTextChar">
    <w:name w:val="Balloon Text Char"/>
    <w:basedOn w:val="DefaultParagraphFont"/>
    <w:link w:val="BalloonText"/>
    <w:uiPriority w:val="99"/>
    <w:semiHidden/>
    <w:rsid w:val="0034792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94607"/>
    <w:rPr>
      <w:sz w:val="16"/>
      <w:szCs w:val="16"/>
    </w:rPr>
  </w:style>
  <w:style w:type="paragraph" w:styleId="CommentText">
    <w:name w:val="annotation text"/>
    <w:basedOn w:val="Normal"/>
    <w:link w:val="CommentTextChar"/>
    <w:uiPriority w:val="99"/>
    <w:semiHidden/>
    <w:unhideWhenUsed/>
    <w:rsid w:val="00894607"/>
  </w:style>
  <w:style w:type="character" w:customStyle="1" w:styleId="CommentTextChar">
    <w:name w:val="Comment Text Char"/>
    <w:basedOn w:val="DefaultParagraphFont"/>
    <w:link w:val="CommentText"/>
    <w:uiPriority w:val="99"/>
    <w:semiHidden/>
    <w:rsid w:val="00894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4607"/>
    <w:rPr>
      <w:b/>
      <w:bCs/>
    </w:rPr>
  </w:style>
  <w:style w:type="character" w:customStyle="1" w:styleId="CommentSubjectChar">
    <w:name w:val="Comment Subject Char"/>
    <w:basedOn w:val="CommentTextChar"/>
    <w:link w:val="CommentSubject"/>
    <w:uiPriority w:val="99"/>
    <w:semiHidden/>
    <w:rsid w:val="00894607"/>
    <w:rPr>
      <w:rFonts w:ascii="Times New Roman" w:eastAsia="Times New Roman" w:hAnsi="Times New Roman" w:cs="Times New Roman"/>
      <w:b/>
      <w:bCs/>
      <w:sz w:val="20"/>
      <w:szCs w:val="20"/>
    </w:rPr>
  </w:style>
  <w:style w:type="paragraph" w:styleId="Revision">
    <w:name w:val="Revision"/>
    <w:hidden/>
    <w:uiPriority w:val="99"/>
    <w:semiHidden/>
    <w:rsid w:val="00894607"/>
    <w:pPr>
      <w:spacing w:after="0" w:line="240" w:lineRule="auto"/>
    </w:pPr>
    <w:rPr>
      <w:rFonts w:ascii="Times New Roman" w:eastAsia="Times New Roman" w:hAnsi="Times New Roman" w:cs="Times New Roman"/>
      <w:sz w:val="20"/>
      <w:szCs w:val="20"/>
    </w:rPr>
  </w:style>
  <w:style w:type="character" w:styleId="Hyperlink">
    <w:name w:val="Hyperlink"/>
    <w:rsid w:val="00266AE6"/>
    <w:rPr>
      <w:color w:val="0000FF"/>
      <w:u w:val="single"/>
    </w:rPr>
  </w:style>
  <w:style w:type="paragraph" w:customStyle="1" w:styleId="Style">
    <w:name w:val="Style"/>
    <w:rsid w:val="002C20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Emphasis">
    <w:name w:val="Emphasis"/>
    <w:basedOn w:val="DefaultParagraphFont"/>
    <w:qFormat/>
    <w:rsid w:val="00A71487"/>
    <w:rPr>
      <w:i/>
      <w:iCs/>
    </w:rPr>
  </w:style>
  <w:style w:type="paragraph" w:customStyle="1" w:styleId="ParaTab1">
    <w:name w:val="ParaTab 1"/>
    <w:rsid w:val="005B550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customStyle="1" w:styleId="pmterms11">
    <w:name w:val="pmterms11"/>
    <w:basedOn w:val="DefaultParagraphFont"/>
    <w:rsid w:val="00441654"/>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3450">
      <w:bodyDiv w:val="1"/>
      <w:marLeft w:val="0"/>
      <w:marRight w:val="0"/>
      <w:marTop w:val="0"/>
      <w:marBottom w:val="0"/>
      <w:divBdr>
        <w:top w:val="none" w:sz="0" w:space="0" w:color="auto"/>
        <w:left w:val="none" w:sz="0" w:space="0" w:color="auto"/>
        <w:bottom w:val="none" w:sz="0" w:space="0" w:color="auto"/>
        <w:right w:val="none" w:sz="0" w:space="0" w:color="auto"/>
      </w:divBdr>
    </w:div>
    <w:div w:id="204876445">
      <w:bodyDiv w:val="1"/>
      <w:marLeft w:val="0"/>
      <w:marRight w:val="0"/>
      <w:marTop w:val="0"/>
      <w:marBottom w:val="0"/>
      <w:divBdr>
        <w:top w:val="none" w:sz="0" w:space="0" w:color="auto"/>
        <w:left w:val="none" w:sz="0" w:space="0" w:color="auto"/>
        <w:bottom w:val="none" w:sz="0" w:space="0" w:color="auto"/>
        <w:right w:val="none" w:sz="0" w:space="0" w:color="auto"/>
      </w:divBdr>
      <w:divsChild>
        <w:div w:id="2363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229523">
      <w:bodyDiv w:val="1"/>
      <w:marLeft w:val="0"/>
      <w:marRight w:val="0"/>
      <w:marTop w:val="0"/>
      <w:marBottom w:val="0"/>
      <w:divBdr>
        <w:top w:val="none" w:sz="0" w:space="0" w:color="auto"/>
        <w:left w:val="none" w:sz="0" w:space="0" w:color="auto"/>
        <w:bottom w:val="none" w:sz="0" w:space="0" w:color="auto"/>
        <w:right w:val="none" w:sz="0" w:space="0" w:color="auto"/>
      </w:divBdr>
    </w:div>
    <w:div w:id="719204793">
      <w:bodyDiv w:val="1"/>
      <w:marLeft w:val="0"/>
      <w:marRight w:val="0"/>
      <w:marTop w:val="0"/>
      <w:marBottom w:val="0"/>
      <w:divBdr>
        <w:top w:val="none" w:sz="0" w:space="0" w:color="auto"/>
        <w:left w:val="none" w:sz="0" w:space="0" w:color="auto"/>
        <w:bottom w:val="none" w:sz="0" w:space="0" w:color="auto"/>
        <w:right w:val="none" w:sz="0" w:space="0" w:color="auto"/>
      </w:divBdr>
      <w:divsChild>
        <w:div w:id="97899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316534">
      <w:bodyDiv w:val="1"/>
      <w:marLeft w:val="0"/>
      <w:marRight w:val="0"/>
      <w:marTop w:val="0"/>
      <w:marBottom w:val="0"/>
      <w:divBdr>
        <w:top w:val="none" w:sz="0" w:space="0" w:color="auto"/>
        <w:left w:val="none" w:sz="0" w:space="0" w:color="auto"/>
        <w:bottom w:val="none" w:sz="0" w:space="0" w:color="auto"/>
        <w:right w:val="none" w:sz="0" w:space="0" w:color="auto"/>
      </w:divBdr>
    </w:div>
    <w:div w:id="949701126">
      <w:bodyDiv w:val="1"/>
      <w:marLeft w:val="0"/>
      <w:marRight w:val="0"/>
      <w:marTop w:val="0"/>
      <w:marBottom w:val="0"/>
      <w:divBdr>
        <w:top w:val="none" w:sz="0" w:space="0" w:color="auto"/>
        <w:left w:val="none" w:sz="0" w:space="0" w:color="auto"/>
        <w:bottom w:val="none" w:sz="0" w:space="0" w:color="auto"/>
        <w:right w:val="none" w:sz="0" w:space="0" w:color="auto"/>
      </w:divBdr>
      <w:divsChild>
        <w:div w:id="125895665">
          <w:marLeft w:val="0"/>
          <w:marRight w:val="0"/>
          <w:marTop w:val="0"/>
          <w:marBottom w:val="0"/>
          <w:divBdr>
            <w:top w:val="none" w:sz="0" w:space="0" w:color="auto"/>
            <w:left w:val="none" w:sz="0" w:space="0" w:color="auto"/>
            <w:bottom w:val="none" w:sz="0" w:space="0" w:color="auto"/>
            <w:right w:val="none" w:sz="0" w:space="0" w:color="auto"/>
          </w:divBdr>
          <w:divsChild>
            <w:div w:id="519439470">
              <w:marLeft w:val="0"/>
              <w:marRight w:val="0"/>
              <w:marTop w:val="0"/>
              <w:marBottom w:val="0"/>
              <w:divBdr>
                <w:top w:val="none" w:sz="0" w:space="0" w:color="auto"/>
                <w:left w:val="none" w:sz="0" w:space="0" w:color="auto"/>
                <w:bottom w:val="none" w:sz="0" w:space="0" w:color="auto"/>
                <w:right w:val="none" w:sz="0" w:space="0" w:color="auto"/>
              </w:divBdr>
              <w:divsChild>
                <w:div w:id="1142768552">
                  <w:marLeft w:val="0"/>
                  <w:marRight w:val="0"/>
                  <w:marTop w:val="0"/>
                  <w:marBottom w:val="0"/>
                  <w:divBdr>
                    <w:top w:val="none" w:sz="0" w:space="0" w:color="auto"/>
                    <w:left w:val="none" w:sz="0" w:space="0" w:color="auto"/>
                    <w:bottom w:val="none" w:sz="0" w:space="0" w:color="auto"/>
                    <w:right w:val="none" w:sz="0" w:space="0" w:color="auto"/>
                  </w:divBdr>
                  <w:divsChild>
                    <w:div w:id="76174167">
                      <w:marLeft w:val="300"/>
                      <w:marRight w:val="300"/>
                      <w:marTop w:val="0"/>
                      <w:marBottom w:val="0"/>
                      <w:divBdr>
                        <w:top w:val="none" w:sz="0" w:space="0" w:color="auto"/>
                        <w:left w:val="none" w:sz="0" w:space="0" w:color="auto"/>
                        <w:bottom w:val="none" w:sz="0" w:space="0" w:color="auto"/>
                        <w:right w:val="none" w:sz="0" w:space="0" w:color="auto"/>
                      </w:divBdr>
                      <w:divsChild>
                        <w:div w:id="480463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81665284">
      <w:bodyDiv w:val="1"/>
      <w:marLeft w:val="0"/>
      <w:marRight w:val="0"/>
      <w:marTop w:val="0"/>
      <w:marBottom w:val="0"/>
      <w:divBdr>
        <w:top w:val="none" w:sz="0" w:space="0" w:color="auto"/>
        <w:left w:val="none" w:sz="0" w:space="0" w:color="auto"/>
        <w:bottom w:val="none" w:sz="0" w:space="0" w:color="auto"/>
        <w:right w:val="none" w:sz="0" w:space="0" w:color="auto"/>
      </w:divBdr>
    </w:div>
    <w:div w:id="1177230024">
      <w:bodyDiv w:val="1"/>
      <w:marLeft w:val="0"/>
      <w:marRight w:val="0"/>
      <w:marTop w:val="0"/>
      <w:marBottom w:val="0"/>
      <w:divBdr>
        <w:top w:val="none" w:sz="0" w:space="0" w:color="auto"/>
        <w:left w:val="none" w:sz="0" w:space="0" w:color="auto"/>
        <w:bottom w:val="none" w:sz="0" w:space="0" w:color="auto"/>
        <w:right w:val="none" w:sz="0" w:space="0" w:color="auto"/>
      </w:divBdr>
      <w:divsChild>
        <w:div w:id="684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9451111">
      <w:bodyDiv w:val="1"/>
      <w:marLeft w:val="0"/>
      <w:marRight w:val="0"/>
      <w:marTop w:val="0"/>
      <w:marBottom w:val="0"/>
      <w:divBdr>
        <w:top w:val="none" w:sz="0" w:space="0" w:color="auto"/>
        <w:left w:val="none" w:sz="0" w:space="0" w:color="auto"/>
        <w:bottom w:val="none" w:sz="0" w:space="0" w:color="auto"/>
        <w:right w:val="none" w:sz="0" w:space="0" w:color="auto"/>
      </w:divBdr>
      <w:divsChild>
        <w:div w:id="507594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5804659">
      <w:bodyDiv w:val="1"/>
      <w:marLeft w:val="0"/>
      <w:marRight w:val="0"/>
      <w:marTop w:val="0"/>
      <w:marBottom w:val="0"/>
      <w:divBdr>
        <w:top w:val="none" w:sz="0" w:space="0" w:color="auto"/>
        <w:left w:val="none" w:sz="0" w:space="0" w:color="auto"/>
        <w:bottom w:val="none" w:sz="0" w:space="0" w:color="auto"/>
        <w:right w:val="none" w:sz="0" w:space="0" w:color="auto"/>
      </w:divBdr>
    </w:div>
    <w:div w:id="1511480070">
      <w:bodyDiv w:val="1"/>
      <w:marLeft w:val="0"/>
      <w:marRight w:val="0"/>
      <w:marTop w:val="0"/>
      <w:marBottom w:val="0"/>
      <w:divBdr>
        <w:top w:val="none" w:sz="0" w:space="0" w:color="auto"/>
        <w:left w:val="none" w:sz="0" w:space="0" w:color="auto"/>
        <w:bottom w:val="none" w:sz="0" w:space="0" w:color="auto"/>
        <w:right w:val="none" w:sz="0" w:space="0" w:color="auto"/>
      </w:divBdr>
      <w:divsChild>
        <w:div w:id="1375809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153404">
      <w:bodyDiv w:val="1"/>
      <w:marLeft w:val="0"/>
      <w:marRight w:val="0"/>
      <w:marTop w:val="0"/>
      <w:marBottom w:val="0"/>
      <w:divBdr>
        <w:top w:val="none" w:sz="0" w:space="0" w:color="auto"/>
        <w:left w:val="none" w:sz="0" w:space="0" w:color="auto"/>
        <w:bottom w:val="none" w:sz="0" w:space="0" w:color="auto"/>
        <w:right w:val="none" w:sz="0" w:space="0" w:color="auto"/>
      </w:divBdr>
    </w:div>
    <w:div w:id="1590964687">
      <w:bodyDiv w:val="1"/>
      <w:marLeft w:val="0"/>
      <w:marRight w:val="0"/>
      <w:marTop w:val="0"/>
      <w:marBottom w:val="0"/>
      <w:divBdr>
        <w:top w:val="none" w:sz="0" w:space="0" w:color="auto"/>
        <w:left w:val="none" w:sz="0" w:space="0" w:color="auto"/>
        <w:bottom w:val="none" w:sz="0" w:space="0" w:color="auto"/>
        <w:right w:val="none" w:sz="0" w:space="0" w:color="auto"/>
      </w:divBdr>
    </w:div>
    <w:div w:id="1602567525">
      <w:bodyDiv w:val="1"/>
      <w:marLeft w:val="0"/>
      <w:marRight w:val="0"/>
      <w:marTop w:val="0"/>
      <w:marBottom w:val="0"/>
      <w:divBdr>
        <w:top w:val="none" w:sz="0" w:space="0" w:color="auto"/>
        <w:left w:val="none" w:sz="0" w:space="0" w:color="auto"/>
        <w:bottom w:val="none" w:sz="0" w:space="0" w:color="auto"/>
        <w:right w:val="none" w:sz="0" w:space="0" w:color="auto"/>
      </w:divBdr>
    </w:div>
    <w:div w:id="1778326378">
      <w:bodyDiv w:val="1"/>
      <w:marLeft w:val="0"/>
      <w:marRight w:val="0"/>
      <w:marTop w:val="0"/>
      <w:marBottom w:val="0"/>
      <w:divBdr>
        <w:top w:val="none" w:sz="0" w:space="0" w:color="auto"/>
        <w:left w:val="none" w:sz="0" w:space="0" w:color="auto"/>
        <w:bottom w:val="none" w:sz="0" w:space="0" w:color="auto"/>
        <w:right w:val="none" w:sz="0" w:space="0" w:color="auto"/>
      </w:divBdr>
    </w:div>
    <w:div w:id="2065250646">
      <w:bodyDiv w:val="1"/>
      <w:marLeft w:val="0"/>
      <w:marRight w:val="0"/>
      <w:marTop w:val="0"/>
      <w:marBottom w:val="0"/>
      <w:divBdr>
        <w:top w:val="none" w:sz="0" w:space="0" w:color="auto"/>
        <w:left w:val="none" w:sz="0" w:space="0" w:color="auto"/>
        <w:bottom w:val="none" w:sz="0" w:space="0" w:color="auto"/>
        <w:right w:val="none" w:sz="0" w:space="0" w:color="auto"/>
      </w:divBdr>
      <w:divsChild>
        <w:div w:id="1781487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09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4" Type="http://schemas.microsoft.com/office/2007/relationships/stylesWithEffects" Target="stylesWithEffects.xml"/><Relationship Id="rId9" Type="http://schemas.openxmlformats.org/officeDocument/2006/relationships/hyperlink" Target="http://www.bluepilotenerg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6F0E1-D394-42FE-B187-720A828D9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31</Pages>
  <Words>7749</Words>
  <Characters>44170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Phonse</dc:creator>
  <cp:lastModifiedBy>Farner, Joyce</cp:lastModifiedBy>
  <cp:revision>40</cp:revision>
  <cp:lastPrinted>2017-05-04T12:46:00Z</cp:lastPrinted>
  <dcterms:created xsi:type="dcterms:W3CDTF">2017-04-13T13:22:00Z</dcterms:created>
  <dcterms:modified xsi:type="dcterms:W3CDTF">2017-05-04T13:05:00Z</dcterms:modified>
</cp:coreProperties>
</file>