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F514FB" w:rsidRDefault="00F514FB" w:rsidP="00B43911">
      <w:pPr>
        <w:widowControl/>
        <w:tabs>
          <w:tab w:val="center" w:pos="4680"/>
        </w:tabs>
        <w:suppressAutoHyphens/>
        <w:spacing w:line="240" w:lineRule="auto"/>
        <w:ind w:firstLine="0"/>
        <w:jc w:val="center"/>
        <w:rPr>
          <w:b/>
          <w:szCs w:val="26"/>
        </w:rPr>
      </w:pPr>
      <w:r w:rsidRPr="00F514FB">
        <w:rPr>
          <w:b/>
          <w:szCs w:val="26"/>
        </w:rPr>
        <w:t>PENNSYLVANIA</w:t>
      </w:r>
    </w:p>
    <w:p w:rsidR="00F514FB" w:rsidRPr="00F514FB" w:rsidRDefault="00F514FB" w:rsidP="00B43911">
      <w:pPr>
        <w:widowControl/>
        <w:tabs>
          <w:tab w:val="center" w:pos="4680"/>
        </w:tabs>
        <w:suppressAutoHyphens/>
        <w:spacing w:line="240" w:lineRule="auto"/>
        <w:ind w:firstLine="0"/>
        <w:jc w:val="center"/>
        <w:rPr>
          <w:szCs w:val="26"/>
        </w:rPr>
      </w:pPr>
      <w:r w:rsidRPr="00F514FB">
        <w:rPr>
          <w:b/>
          <w:szCs w:val="26"/>
        </w:rPr>
        <w:t>PUBLIC UTILITY COMMISSION</w:t>
      </w:r>
    </w:p>
    <w:p w:rsidR="00F514FB" w:rsidRPr="00F514FB" w:rsidRDefault="00F514FB" w:rsidP="00B43911">
      <w:pPr>
        <w:widowControl/>
        <w:tabs>
          <w:tab w:val="center" w:pos="4680"/>
        </w:tabs>
        <w:suppressAutoHyphens/>
        <w:spacing w:line="240" w:lineRule="auto"/>
        <w:ind w:firstLine="0"/>
        <w:jc w:val="center"/>
        <w:rPr>
          <w:szCs w:val="26"/>
        </w:rPr>
      </w:pPr>
      <w:r w:rsidRPr="00F514FB">
        <w:rPr>
          <w:b/>
          <w:szCs w:val="26"/>
        </w:rPr>
        <w:t>Harrisburg, PA 17105-3265</w:t>
      </w:r>
    </w:p>
    <w:p w:rsidR="00F514FB" w:rsidRPr="00F514FB" w:rsidRDefault="00F514FB" w:rsidP="00B43911">
      <w:pPr>
        <w:widowControl/>
        <w:tabs>
          <w:tab w:val="left" w:pos="-720"/>
        </w:tabs>
        <w:suppressAutoHyphens/>
        <w:spacing w:line="240" w:lineRule="auto"/>
        <w:ind w:firstLine="0"/>
        <w:rPr>
          <w:szCs w:val="26"/>
        </w:rPr>
      </w:pPr>
    </w:p>
    <w:p w:rsidR="00F514FB" w:rsidRPr="00F514FB" w:rsidRDefault="00F514FB" w:rsidP="00B43911">
      <w:pPr>
        <w:widowControl/>
        <w:spacing w:line="240" w:lineRule="auto"/>
        <w:ind w:firstLine="0"/>
        <w:rPr>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58"/>
        <w:gridCol w:w="90"/>
        <w:gridCol w:w="4428"/>
      </w:tblGrid>
      <w:tr w:rsidR="00F514FB" w:rsidRPr="00F514FB" w:rsidTr="00000A1D">
        <w:tc>
          <w:tcPr>
            <w:tcW w:w="5058" w:type="dxa"/>
          </w:tcPr>
          <w:p w:rsidR="00F514FB" w:rsidRPr="00F514FB" w:rsidRDefault="00F514FB" w:rsidP="00B43911">
            <w:pPr>
              <w:widowControl/>
              <w:spacing w:line="240" w:lineRule="auto"/>
              <w:ind w:firstLine="0"/>
              <w:rPr>
                <w:szCs w:val="26"/>
              </w:rPr>
            </w:pPr>
          </w:p>
        </w:tc>
        <w:tc>
          <w:tcPr>
            <w:tcW w:w="4518" w:type="dxa"/>
            <w:gridSpan w:val="2"/>
          </w:tcPr>
          <w:p w:rsidR="00F514FB" w:rsidRPr="00F514FB" w:rsidRDefault="00F514FB" w:rsidP="00B43911">
            <w:pPr>
              <w:widowControl/>
              <w:spacing w:line="240" w:lineRule="auto"/>
              <w:ind w:firstLine="0"/>
              <w:jc w:val="right"/>
              <w:rPr>
                <w:szCs w:val="26"/>
              </w:rPr>
            </w:pPr>
            <w:r w:rsidRPr="00DF3063">
              <w:rPr>
                <w:szCs w:val="26"/>
              </w:rPr>
              <w:t xml:space="preserve">Public Meeting held </w:t>
            </w:r>
            <w:r w:rsidR="00506FE4">
              <w:rPr>
                <w:szCs w:val="26"/>
              </w:rPr>
              <w:t>May 4, 2017</w:t>
            </w:r>
          </w:p>
          <w:p w:rsidR="00F514FB" w:rsidRDefault="00F514FB" w:rsidP="00B43911">
            <w:pPr>
              <w:widowControl/>
              <w:spacing w:line="240" w:lineRule="auto"/>
              <w:ind w:firstLine="0"/>
              <w:jc w:val="right"/>
              <w:rPr>
                <w:szCs w:val="26"/>
              </w:rPr>
            </w:pPr>
          </w:p>
          <w:p w:rsidR="00B43911" w:rsidRPr="00F514FB" w:rsidRDefault="00B43911" w:rsidP="00B43911">
            <w:pPr>
              <w:widowControl/>
              <w:spacing w:line="240" w:lineRule="auto"/>
              <w:ind w:firstLine="0"/>
              <w:jc w:val="right"/>
              <w:rPr>
                <w:szCs w:val="26"/>
              </w:rPr>
            </w:pPr>
          </w:p>
          <w:p w:rsidR="00F514FB" w:rsidRPr="00F514FB" w:rsidRDefault="00F514FB" w:rsidP="00B43911">
            <w:pPr>
              <w:widowControl/>
              <w:spacing w:line="240" w:lineRule="auto"/>
              <w:ind w:firstLine="0"/>
              <w:jc w:val="right"/>
              <w:rPr>
                <w:szCs w:val="26"/>
              </w:rPr>
            </w:pPr>
          </w:p>
        </w:tc>
      </w:tr>
      <w:tr w:rsidR="00F514FB" w:rsidRPr="00F514FB" w:rsidTr="00000A1D">
        <w:tc>
          <w:tcPr>
            <w:tcW w:w="5058" w:type="dxa"/>
          </w:tcPr>
          <w:p w:rsidR="00F514FB" w:rsidRPr="00F514FB" w:rsidRDefault="00F514FB" w:rsidP="00B43911">
            <w:pPr>
              <w:widowControl/>
              <w:spacing w:line="240" w:lineRule="auto"/>
              <w:ind w:firstLine="0"/>
              <w:rPr>
                <w:szCs w:val="26"/>
              </w:rPr>
            </w:pPr>
            <w:r w:rsidRPr="00F514FB">
              <w:rPr>
                <w:szCs w:val="26"/>
              </w:rPr>
              <w:t>Commissioners Present:</w:t>
            </w:r>
          </w:p>
          <w:p w:rsidR="00F514FB" w:rsidRPr="00F514FB" w:rsidRDefault="00F514FB" w:rsidP="00B43911">
            <w:pPr>
              <w:widowControl/>
              <w:spacing w:line="240" w:lineRule="auto"/>
              <w:ind w:firstLine="0"/>
              <w:rPr>
                <w:szCs w:val="26"/>
              </w:rPr>
            </w:pPr>
          </w:p>
          <w:p w:rsidR="0036165E" w:rsidRPr="0036165E" w:rsidRDefault="0036165E" w:rsidP="0036165E">
            <w:pPr>
              <w:widowControl/>
              <w:tabs>
                <w:tab w:val="left" w:pos="705"/>
              </w:tabs>
              <w:autoSpaceDE w:val="0"/>
              <w:autoSpaceDN w:val="0"/>
              <w:spacing w:line="240" w:lineRule="auto"/>
              <w:ind w:left="720" w:firstLine="0"/>
              <w:rPr>
                <w:spacing w:val="-3"/>
                <w:szCs w:val="26"/>
              </w:rPr>
            </w:pPr>
            <w:r w:rsidRPr="0036165E">
              <w:rPr>
                <w:spacing w:val="-3"/>
                <w:szCs w:val="26"/>
              </w:rPr>
              <w:t>Gladys M. Brown, Chairman</w:t>
            </w:r>
          </w:p>
          <w:p w:rsidR="0036165E" w:rsidRPr="0036165E" w:rsidRDefault="0036165E" w:rsidP="0036165E">
            <w:pPr>
              <w:widowControl/>
              <w:tabs>
                <w:tab w:val="left" w:pos="705"/>
              </w:tabs>
              <w:autoSpaceDE w:val="0"/>
              <w:autoSpaceDN w:val="0"/>
              <w:spacing w:line="240" w:lineRule="auto"/>
              <w:ind w:left="720" w:firstLine="0"/>
              <w:rPr>
                <w:spacing w:val="-3"/>
                <w:szCs w:val="26"/>
              </w:rPr>
            </w:pPr>
            <w:r w:rsidRPr="0036165E">
              <w:rPr>
                <w:spacing w:val="-3"/>
                <w:szCs w:val="26"/>
              </w:rPr>
              <w:t>Andrew G. Place, Vice Chairman</w:t>
            </w:r>
          </w:p>
          <w:p w:rsidR="0036165E" w:rsidRPr="0036165E" w:rsidRDefault="0036165E" w:rsidP="0036165E">
            <w:pPr>
              <w:widowControl/>
              <w:tabs>
                <w:tab w:val="left" w:pos="705"/>
              </w:tabs>
              <w:autoSpaceDE w:val="0"/>
              <w:autoSpaceDN w:val="0"/>
              <w:spacing w:line="240" w:lineRule="auto"/>
              <w:ind w:left="720" w:firstLine="0"/>
              <w:rPr>
                <w:spacing w:val="-3"/>
                <w:szCs w:val="26"/>
              </w:rPr>
            </w:pPr>
            <w:r w:rsidRPr="0036165E">
              <w:rPr>
                <w:spacing w:val="-3"/>
                <w:szCs w:val="26"/>
              </w:rPr>
              <w:t>John F. Coleman, Jr.</w:t>
            </w:r>
          </w:p>
          <w:p w:rsidR="0036165E" w:rsidRPr="0036165E" w:rsidRDefault="0036165E" w:rsidP="0036165E">
            <w:pPr>
              <w:widowControl/>
              <w:tabs>
                <w:tab w:val="left" w:pos="705"/>
              </w:tabs>
              <w:autoSpaceDE w:val="0"/>
              <w:autoSpaceDN w:val="0"/>
              <w:spacing w:line="240" w:lineRule="auto"/>
              <w:ind w:left="720" w:firstLine="0"/>
              <w:rPr>
                <w:spacing w:val="-3"/>
                <w:szCs w:val="26"/>
              </w:rPr>
            </w:pPr>
            <w:r w:rsidRPr="0036165E">
              <w:rPr>
                <w:spacing w:val="-3"/>
                <w:szCs w:val="26"/>
              </w:rPr>
              <w:t>Robert F. Powelson</w:t>
            </w:r>
          </w:p>
          <w:p w:rsidR="0036165E" w:rsidRPr="0036165E" w:rsidRDefault="0036165E" w:rsidP="0036165E">
            <w:pPr>
              <w:widowControl/>
              <w:tabs>
                <w:tab w:val="left" w:pos="705"/>
              </w:tabs>
              <w:autoSpaceDE w:val="0"/>
              <w:autoSpaceDN w:val="0"/>
              <w:spacing w:line="240" w:lineRule="auto"/>
              <w:ind w:left="720" w:firstLine="0"/>
              <w:rPr>
                <w:spacing w:val="-3"/>
                <w:szCs w:val="26"/>
              </w:rPr>
            </w:pPr>
            <w:r w:rsidRPr="0036165E">
              <w:rPr>
                <w:spacing w:val="-3"/>
                <w:szCs w:val="26"/>
              </w:rPr>
              <w:t>David W. Sweet</w:t>
            </w:r>
          </w:p>
          <w:p w:rsidR="00F514FB" w:rsidRDefault="00F514FB" w:rsidP="00B43911">
            <w:pPr>
              <w:widowControl/>
              <w:tabs>
                <w:tab w:val="left" w:pos="705"/>
              </w:tabs>
              <w:spacing w:line="240" w:lineRule="auto"/>
              <w:ind w:firstLine="0"/>
              <w:rPr>
                <w:szCs w:val="26"/>
              </w:rPr>
            </w:pPr>
          </w:p>
          <w:p w:rsidR="007B62CC" w:rsidRPr="00F514FB" w:rsidRDefault="007B62CC" w:rsidP="00B43911">
            <w:pPr>
              <w:widowControl/>
              <w:tabs>
                <w:tab w:val="left" w:pos="705"/>
              </w:tabs>
              <w:spacing w:line="240" w:lineRule="auto"/>
              <w:ind w:firstLine="0"/>
              <w:rPr>
                <w:szCs w:val="26"/>
              </w:rPr>
            </w:pPr>
          </w:p>
          <w:p w:rsidR="00A2399A" w:rsidRDefault="00A2399A" w:rsidP="00B43911">
            <w:pPr>
              <w:widowControl/>
              <w:spacing w:line="240" w:lineRule="auto"/>
              <w:ind w:firstLine="0"/>
              <w:rPr>
                <w:szCs w:val="26"/>
              </w:rPr>
            </w:pPr>
          </w:p>
          <w:p w:rsidR="00B43911" w:rsidRDefault="00B43911" w:rsidP="00B43911">
            <w:pPr>
              <w:widowControl/>
              <w:spacing w:line="240" w:lineRule="auto"/>
              <w:ind w:firstLine="0"/>
              <w:rPr>
                <w:szCs w:val="26"/>
              </w:rPr>
            </w:pPr>
          </w:p>
          <w:p w:rsidR="00A2399A" w:rsidRPr="00F514FB" w:rsidRDefault="00A2399A" w:rsidP="00B43911">
            <w:pPr>
              <w:widowControl/>
              <w:spacing w:line="240" w:lineRule="auto"/>
              <w:ind w:firstLine="0"/>
              <w:rPr>
                <w:szCs w:val="26"/>
              </w:rPr>
            </w:pPr>
          </w:p>
        </w:tc>
        <w:tc>
          <w:tcPr>
            <w:tcW w:w="4518" w:type="dxa"/>
            <w:gridSpan w:val="2"/>
          </w:tcPr>
          <w:p w:rsidR="00F514FB" w:rsidRPr="00F514FB" w:rsidRDefault="00F514FB" w:rsidP="00B43911">
            <w:pPr>
              <w:widowControl/>
              <w:spacing w:line="240" w:lineRule="auto"/>
              <w:ind w:firstLine="0"/>
              <w:jc w:val="right"/>
              <w:rPr>
                <w:szCs w:val="26"/>
              </w:rPr>
            </w:pPr>
          </w:p>
          <w:p w:rsidR="00F514FB" w:rsidRPr="00F514FB" w:rsidRDefault="00F514FB" w:rsidP="00B43911">
            <w:pPr>
              <w:widowControl/>
              <w:spacing w:line="240" w:lineRule="auto"/>
              <w:ind w:firstLine="0"/>
              <w:jc w:val="right"/>
              <w:rPr>
                <w:szCs w:val="26"/>
              </w:rPr>
            </w:pPr>
          </w:p>
        </w:tc>
      </w:tr>
      <w:tr w:rsidR="00A41F00" w:rsidTr="00465A2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5148" w:type="dxa"/>
            <w:gridSpan w:val="2"/>
            <w:tcBorders>
              <w:top w:val="nil"/>
              <w:left w:val="nil"/>
              <w:bottom w:val="nil"/>
              <w:right w:val="nil"/>
            </w:tcBorders>
          </w:tcPr>
          <w:p w:rsidR="00A41F00" w:rsidRPr="00A41F00" w:rsidRDefault="00A41F00" w:rsidP="00B43911">
            <w:pPr>
              <w:widowControl/>
              <w:tabs>
                <w:tab w:val="left" w:pos="5220"/>
              </w:tabs>
              <w:spacing w:line="240" w:lineRule="auto"/>
              <w:ind w:firstLine="0"/>
              <w:rPr>
                <w:szCs w:val="26"/>
              </w:rPr>
            </w:pPr>
            <w:r w:rsidRPr="00A41F00">
              <w:rPr>
                <w:szCs w:val="26"/>
              </w:rPr>
              <w:t>Joint Petition for Generic Investigation or</w:t>
            </w:r>
            <w:r>
              <w:rPr>
                <w:szCs w:val="26"/>
              </w:rPr>
              <w:t xml:space="preserve"> R</w:t>
            </w:r>
            <w:r w:rsidRPr="00A41F00">
              <w:rPr>
                <w:szCs w:val="26"/>
              </w:rPr>
              <w:t xml:space="preserve">ulemaking Regarding </w:t>
            </w:r>
            <w:r w:rsidR="001D074D">
              <w:rPr>
                <w:szCs w:val="26"/>
              </w:rPr>
              <w:t>“</w:t>
            </w:r>
            <w:r w:rsidRPr="00A41F00">
              <w:rPr>
                <w:szCs w:val="26"/>
              </w:rPr>
              <w:t>Gas-On-Gas</w:t>
            </w:r>
            <w:r w:rsidR="001D074D">
              <w:rPr>
                <w:szCs w:val="26"/>
              </w:rPr>
              <w:t>”</w:t>
            </w:r>
            <w:r w:rsidRPr="00A41F00">
              <w:rPr>
                <w:szCs w:val="26"/>
              </w:rPr>
              <w:t xml:space="preserve"> Competition</w:t>
            </w:r>
            <w:r>
              <w:rPr>
                <w:szCs w:val="26"/>
              </w:rPr>
              <w:t xml:space="preserve"> </w:t>
            </w:r>
            <w:r w:rsidRPr="00A41F00">
              <w:rPr>
                <w:szCs w:val="26"/>
              </w:rPr>
              <w:t>Between Jurisdictional Natural Gas Distribution</w:t>
            </w:r>
            <w:r w:rsidR="00465A20">
              <w:rPr>
                <w:szCs w:val="26"/>
              </w:rPr>
              <w:t xml:space="preserve"> </w:t>
            </w:r>
            <w:r w:rsidRPr="00A41F00">
              <w:rPr>
                <w:szCs w:val="26"/>
              </w:rPr>
              <w:t>Companies</w:t>
            </w:r>
          </w:p>
        </w:tc>
        <w:tc>
          <w:tcPr>
            <w:tcW w:w="4428" w:type="dxa"/>
            <w:tcBorders>
              <w:top w:val="nil"/>
              <w:left w:val="nil"/>
              <w:bottom w:val="nil"/>
              <w:right w:val="nil"/>
            </w:tcBorders>
          </w:tcPr>
          <w:p w:rsidR="00A41F00" w:rsidRPr="00A41F00" w:rsidRDefault="00A41F00" w:rsidP="00B43911">
            <w:pPr>
              <w:widowControl/>
              <w:tabs>
                <w:tab w:val="left" w:pos="5220"/>
              </w:tabs>
              <w:spacing w:line="240" w:lineRule="auto"/>
              <w:ind w:firstLine="0"/>
              <w:jc w:val="right"/>
              <w:rPr>
                <w:szCs w:val="26"/>
              </w:rPr>
            </w:pPr>
            <w:r w:rsidRPr="00A41F00">
              <w:rPr>
                <w:szCs w:val="26"/>
              </w:rPr>
              <w:t>P-2011-2277868</w:t>
            </w:r>
          </w:p>
          <w:p w:rsidR="00A41F00" w:rsidRDefault="00A41F00" w:rsidP="00B43911">
            <w:pPr>
              <w:widowControl/>
              <w:spacing w:line="240" w:lineRule="auto"/>
              <w:ind w:firstLine="0"/>
              <w:jc w:val="right"/>
              <w:rPr>
                <w:szCs w:val="26"/>
              </w:rPr>
            </w:pPr>
          </w:p>
        </w:tc>
      </w:tr>
      <w:tr w:rsidR="00A41F00" w:rsidTr="00465A2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5148" w:type="dxa"/>
            <w:gridSpan w:val="2"/>
            <w:tcBorders>
              <w:top w:val="nil"/>
              <w:left w:val="nil"/>
              <w:bottom w:val="nil"/>
              <w:right w:val="nil"/>
            </w:tcBorders>
          </w:tcPr>
          <w:p w:rsidR="00A41F00" w:rsidRDefault="00A41F00" w:rsidP="00B43911">
            <w:pPr>
              <w:widowControl/>
              <w:tabs>
                <w:tab w:val="left" w:pos="5220"/>
              </w:tabs>
              <w:spacing w:line="240" w:lineRule="auto"/>
              <w:ind w:firstLine="0"/>
              <w:rPr>
                <w:szCs w:val="26"/>
              </w:rPr>
            </w:pPr>
          </w:p>
          <w:p w:rsidR="00A41F00" w:rsidRPr="00A41F00" w:rsidRDefault="00A41F00" w:rsidP="00B43911">
            <w:pPr>
              <w:widowControl/>
              <w:tabs>
                <w:tab w:val="left" w:pos="5220"/>
              </w:tabs>
              <w:spacing w:line="240" w:lineRule="auto"/>
              <w:ind w:firstLine="0"/>
              <w:rPr>
                <w:szCs w:val="26"/>
              </w:rPr>
            </w:pPr>
            <w:r w:rsidRPr="00A41F00">
              <w:rPr>
                <w:szCs w:val="26"/>
              </w:rPr>
              <w:t>Generic Investigation Regarding Gas-On-Gas Competition Between Jurisdictional Natural</w:t>
            </w:r>
            <w:r>
              <w:rPr>
                <w:szCs w:val="26"/>
              </w:rPr>
              <w:t xml:space="preserve"> </w:t>
            </w:r>
            <w:r w:rsidRPr="00A41F00">
              <w:rPr>
                <w:szCs w:val="26"/>
              </w:rPr>
              <w:t>Gas Distribution Companies</w:t>
            </w:r>
          </w:p>
        </w:tc>
        <w:tc>
          <w:tcPr>
            <w:tcW w:w="4428" w:type="dxa"/>
            <w:tcBorders>
              <w:top w:val="nil"/>
              <w:left w:val="nil"/>
              <w:bottom w:val="nil"/>
              <w:right w:val="nil"/>
            </w:tcBorders>
          </w:tcPr>
          <w:p w:rsidR="00A41F00" w:rsidRDefault="00A41F00" w:rsidP="00B43911">
            <w:pPr>
              <w:widowControl/>
              <w:spacing w:line="240" w:lineRule="auto"/>
              <w:ind w:firstLine="0"/>
              <w:jc w:val="right"/>
              <w:rPr>
                <w:szCs w:val="26"/>
              </w:rPr>
            </w:pPr>
          </w:p>
          <w:p w:rsidR="00A41F00" w:rsidRDefault="00A41F00" w:rsidP="00B43911">
            <w:pPr>
              <w:widowControl/>
              <w:spacing w:line="240" w:lineRule="auto"/>
              <w:ind w:firstLine="0"/>
              <w:jc w:val="right"/>
              <w:rPr>
                <w:szCs w:val="26"/>
              </w:rPr>
            </w:pPr>
          </w:p>
          <w:p w:rsidR="00A41F00" w:rsidRPr="00A41F00" w:rsidRDefault="00A41F00" w:rsidP="00B43911">
            <w:pPr>
              <w:widowControl/>
              <w:spacing w:line="240" w:lineRule="auto"/>
              <w:ind w:firstLine="0"/>
              <w:jc w:val="right"/>
              <w:rPr>
                <w:szCs w:val="26"/>
              </w:rPr>
            </w:pPr>
            <w:r w:rsidRPr="00A41F00">
              <w:rPr>
                <w:szCs w:val="26"/>
              </w:rPr>
              <w:t>I-2012-2320323</w:t>
            </w:r>
          </w:p>
        </w:tc>
      </w:tr>
    </w:tbl>
    <w:p w:rsidR="00A41F00" w:rsidRDefault="00A41F00" w:rsidP="00B43911">
      <w:pPr>
        <w:widowControl/>
        <w:spacing w:line="240" w:lineRule="auto"/>
        <w:ind w:firstLine="0"/>
        <w:jc w:val="center"/>
        <w:rPr>
          <w:b/>
          <w:szCs w:val="26"/>
        </w:rPr>
      </w:pPr>
    </w:p>
    <w:p w:rsidR="00B43911" w:rsidRDefault="00B43911" w:rsidP="00B43911">
      <w:pPr>
        <w:widowControl/>
        <w:spacing w:line="240" w:lineRule="auto"/>
        <w:ind w:firstLine="0"/>
        <w:jc w:val="center"/>
        <w:rPr>
          <w:b/>
          <w:szCs w:val="26"/>
        </w:rPr>
      </w:pPr>
    </w:p>
    <w:p w:rsidR="00B43911" w:rsidRDefault="00B43911" w:rsidP="00B43911">
      <w:pPr>
        <w:widowControl/>
        <w:spacing w:line="240" w:lineRule="auto"/>
        <w:ind w:firstLine="0"/>
        <w:jc w:val="center"/>
        <w:rPr>
          <w:b/>
          <w:szCs w:val="26"/>
        </w:rPr>
      </w:pPr>
    </w:p>
    <w:p w:rsidR="00B43911" w:rsidRDefault="00B43911" w:rsidP="00B43911">
      <w:pPr>
        <w:widowControl/>
        <w:spacing w:line="240" w:lineRule="auto"/>
        <w:ind w:firstLine="0"/>
        <w:jc w:val="center"/>
        <w:rPr>
          <w:b/>
          <w:szCs w:val="26"/>
        </w:rPr>
      </w:pPr>
    </w:p>
    <w:p w:rsidR="003D736D" w:rsidRDefault="003D736D" w:rsidP="00B43911">
      <w:pPr>
        <w:widowControl/>
        <w:spacing w:line="240" w:lineRule="auto"/>
        <w:ind w:firstLine="0"/>
        <w:jc w:val="center"/>
        <w:rPr>
          <w:b/>
          <w:szCs w:val="26"/>
        </w:rPr>
      </w:pPr>
    </w:p>
    <w:p w:rsidR="00F514FB" w:rsidRPr="00F514FB" w:rsidRDefault="00F514FB" w:rsidP="00B43911">
      <w:pPr>
        <w:widowControl/>
        <w:spacing w:line="240" w:lineRule="auto"/>
        <w:ind w:firstLine="0"/>
        <w:jc w:val="center"/>
        <w:rPr>
          <w:b/>
          <w:szCs w:val="26"/>
        </w:rPr>
      </w:pPr>
      <w:r w:rsidRPr="00F514FB">
        <w:rPr>
          <w:b/>
          <w:szCs w:val="26"/>
        </w:rPr>
        <w:t>OPINION AND ORDER</w:t>
      </w:r>
    </w:p>
    <w:p w:rsidR="00F514FB" w:rsidRPr="00F514FB" w:rsidRDefault="00F514FB" w:rsidP="00B43911">
      <w:pPr>
        <w:widowControl/>
        <w:spacing w:line="240" w:lineRule="auto"/>
        <w:ind w:firstLine="0"/>
        <w:jc w:val="center"/>
        <w:rPr>
          <w:b/>
          <w:szCs w:val="26"/>
        </w:rPr>
      </w:pPr>
    </w:p>
    <w:p w:rsidR="00F514FB" w:rsidRPr="00F514FB" w:rsidRDefault="00F514FB" w:rsidP="00B43911">
      <w:pPr>
        <w:widowControl/>
        <w:spacing w:line="240" w:lineRule="auto"/>
        <w:ind w:firstLine="0"/>
        <w:jc w:val="center"/>
        <w:rPr>
          <w:b/>
          <w:szCs w:val="26"/>
        </w:rPr>
      </w:pPr>
    </w:p>
    <w:p w:rsidR="004A77D0" w:rsidRDefault="004A77D0" w:rsidP="00B43911">
      <w:pPr>
        <w:widowControl/>
        <w:spacing w:line="240" w:lineRule="auto"/>
        <w:ind w:firstLine="0"/>
        <w:rPr>
          <w:b/>
          <w:szCs w:val="26"/>
        </w:rPr>
        <w:sectPr w:rsidR="004A77D0" w:rsidSect="009A5FB5">
          <w:footerReference w:type="default" r:id="rId9"/>
          <w:pgSz w:w="12240" w:h="15840"/>
          <w:pgMar w:top="1440" w:right="1440" w:bottom="1440" w:left="1440" w:header="720" w:footer="720" w:gutter="0"/>
          <w:pgNumType w:start="1"/>
          <w:cols w:space="720"/>
          <w:titlePg/>
          <w:docGrid w:linePitch="360"/>
        </w:sectPr>
      </w:pPr>
    </w:p>
    <w:sdt>
      <w:sdtPr>
        <w:rPr>
          <w:rFonts w:ascii="Times New Roman" w:eastAsia="Times New Roman" w:hAnsi="Times New Roman" w:cs="Times New Roman"/>
          <w:b w:val="0"/>
          <w:bCs w:val="0"/>
          <w:color w:val="auto"/>
          <w:sz w:val="26"/>
          <w:szCs w:val="20"/>
          <w:lang w:eastAsia="en-US"/>
        </w:rPr>
        <w:id w:val="1579103125"/>
        <w:docPartObj>
          <w:docPartGallery w:val="Table of Contents"/>
          <w:docPartUnique/>
        </w:docPartObj>
      </w:sdtPr>
      <w:sdtEndPr>
        <w:rPr>
          <w:noProof/>
        </w:rPr>
      </w:sdtEndPr>
      <w:sdtContent>
        <w:p w:rsidR="00E5659C" w:rsidRPr="00E5659C" w:rsidRDefault="00E5659C" w:rsidP="00B43911">
          <w:pPr>
            <w:pStyle w:val="TOCHeading"/>
            <w:spacing w:before="0" w:after="240"/>
            <w:jc w:val="center"/>
            <w:rPr>
              <w:rFonts w:ascii="Times New Roman" w:hAnsi="Times New Roman" w:cs="Times New Roman"/>
              <w:color w:val="auto"/>
              <w:sz w:val="26"/>
              <w:szCs w:val="26"/>
            </w:rPr>
          </w:pPr>
          <w:r w:rsidRPr="00E5659C">
            <w:rPr>
              <w:rFonts w:ascii="Times New Roman" w:hAnsi="Times New Roman" w:cs="Times New Roman"/>
              <w:b w:val="0"/>
              <w:color w:val="auto"/>
              <w:sz w:val="26"/>
              <w:szCs w:val="26"/>
            </w:rPr>
            <w:t>C</w:t>
          </w:r>
          <w:r w:rsidRPr="00E5659C">
            <w:rPr>
              <w:rFonts w:ascii="Times New Roman" w:hAnsi="Times New Roman" w:cs="Times New Roman"/>
              <w:color w:val="auto"/>
              <w:sz w:val="26"/>
              <w:szCs w:val="26"/>
            </w:rPr>
            <w:t>ontents</w:t>
          </w:r>
        </w:p>
        <w:p w:rsidR="00D12C5A" w:rsidRDefault="00E5659C" w:rsidP="001E705E">
          <w:pPr>
            <w:pStyle w:val="TOC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04013212" w:history="1">
            <w:r w:rsidR="00D12C5A" w:rsidRPr="00672664">
              <w:rPr>
                <w:rStyle w:val="Hyperlink"/>
                <w:noProof/>
              </w:rPr>
              <w:t>I.</w:t>
            </w:r>
            <w:r w:rsidR="001E705E">
              <w:rPr>
                <w:rStyle w:val="Hyperlink"/>
                <w:noProof/>
              </w:rPr>
              <w:t xml:space="preserve">        </w:t>
            </w:r>
            <w:r w:rsidR="00D12C5A" w:rsidRPr="00672664">
              <w:rPr>
                <w:rStyle w:val="Hyperlink"/>
                <w:noProof/>
              </w:rPr>
              <w:t>Background</w:t>
            </w:r>
            <w:r w:rsidR="00D12C5A">
              <w:rPr>
                <w:noProof/>
                <w:webHidden/>
              </w:rPr>
              <w:tab/>
            </w:r>
            <w:r w:rsidR="00D12C5A">
              <w:rPr>
                <w:noProof/>
                <w:webHidden/>
              </w:rPr>
              <w:fldChar w:fldCharType="begin"/>
            </w:r>
            <w:r w:rsidR="00D12C5A">
              <w:rPr>
                <w:noProof/>
                <w:webHidden/>
              </w:rPr>
              <w:instrText xml:space="preserve"> PAGEREF _Toc404013212 \h </w:instrText>
            </w:r>
            <w:r w:rsidR="00D12C5A">
              <w:rPr>
                <w:noProof/>
                <w:webHidden/>
              </w:rPr>
            </w:r>
            <w:r w:rsidR="00D12C5A">
              <w:rPr>
                <w:noProof/>
                <w:webHidden/>
              </w:rPr>
              <w:fldChar w:fldCharType="separate"/>
            </w:r>
            <w:r w:rsidR="00026CFA">
              <w:rPr>
                <w:noProof/>
                <w:webHidden/>
              </w:rPr>
              <w:t>2</w:t>
            </w:r>
            <w:r w:rsidR="00D12C5A">
              <w:rPr>
                <w:noProof/>
                <w:webHidden/>
              </w:rPr>
              <w:fldChar w:fldCharType="end"/>
            </w:r>
          </w:hyperlink>
        </w:p>
        <w:p w:rsidR="00D12C5A" w:rsidRDefault="00BF156F" w:rsidP="001E705E">
          <w:pPr>
            <w:pStyle w:val="TOC1"/>
            <w:rPr>
              <w:rFonts w:asciiTheme="minorHAnsi" w:eastAsiaTheme="minorEastAsia" w:hAnsiTheme="minorHAnsi" w:cstheme="minorBidi"/>
              <w:noProof/>
              <w:sz w:val="22"/>
              <w:szCs w:val="22"/>
            </w:rPr>
          </w:pPr>
          <w:hyperlink w:anchor="_Toc404013213" w:history="1">
            <w:r w:rsidR="00D12C5A" w:rsidRPr="00672664">
              <w:rPr>
                <w:rStyle w:val="Hyperlink"/>
                <w:noProof/>
              </w:rPr>
              <w:t>II.</w:t>
            </w:r>
            <w:r w:rsidR="001E705E">
              <w:rPr>
                <w:rStyle w:val="Hyperlink"/>
                <w:noProof/>
              </w:rPr>
              <w:t xml:space="preserve">       </w:t>
            </w:r>
            <w:r w:rsidR="00D12C5A" w:rsidRPr="00672664">
              <w:rPr>
                <w:rStyle w:val="Hyperlink"/>
                <w:noProof/>
              </w:rPr>
              <w:t>History of the Proceeding</w:t>
            </w:r>
            <w:r w:rsidR="00D12C5A">
              <w:rPr>
                <w:noProof/>
                <w:webHidden/>
              </w:rPr>
              <w:tab/>
            </w:r>
            <w:r w:rsidR="00D12C5A">
              <w:rPr>
                <w:noProof/>
                <w:webHidden/>
              </w:rPr>
              <w:fldChar w:fldCharType="begin"/>
            </w:r>
            <w:r w:rsidR="00D12C5A">
              <w:rPr>
                <w:noProof/>
                <w:webHidden/>
              </w:rPr>
              <w:instrText xml:space="preserve"> PAGEREF _Toc404013213 \h </w:instrText>
            </w:r>
            <w:r w:rsidR="00D12C5A">
              <w:rPr>
                <w:noProof/>
                <w:webHidden/>
              </w:rPr>
            </w:r>
            <w:r w:rsidR="00D12C5A">
              <w:rPr>
                <w:noProof/>
                <w:webHidden/>
              </w:rPr>
              <w:fldChar w:fldCharType="separate"/>
            </w:r>
            <w:r w:rsidR="00026CFA">
              <w:rPr>
                <w:noProof/>
                <w:webHidden/>
              </w:rPr>
              <w:t>6</w:t>
            </w:r>
            <w:r w:rsidR="00D12C5A">
              <w:rPr>
                <w:noProof/>
                <w:webHidden/>
              </w:rPr>
              <w:fldChar w:fldCharType="end"/>
            </w:r>
          </w:hyperlink>
        </w:p>
        <w:p w:rsidR="00D12C5A" w:rsidRDefault="00BF156F" w:rsidP="001E705E">
          <w:pPr>
            <w:pStyle w:val="TOC1"/>
            <w:rPr>
              <w:rFonts w:asciiTheme="minorHAnsi" w:eastAsiaTheme="minorEastAsia" w:hAnsiTheme="minorHAnsi" w:cstheme="minorBidi"/>
              <w:noProof/>
              <w:sz w:val="22"/>
              <w:szCs w:val="22"/>
            </w:rPr>
          </w:pPr>
          <w:hyperlink w:anchor="_Toc404013214" w:history="1">
            <w:r w:rsidR="00D12C5A" w:rsidRPr="00672664">
              <w:rPr>
                <w:rStyle w:val="Hyperlink"/>
                <w:noProof/>
              </w:rPr>
              <w:t>III.</w:t>
            </w:r>
            <w:r w:rsidR="001E705E">
              <w:rPr>
                <w:rStyle w:val="Hyperlink"/>
                <w:noProof/>
              </w:rPr>
              <w:t xml:space="preserve">      </w:t>
            </w:r>
            <w:r w:rsidR="00D12C5A" w:rsidRPr="00672664">
              <w:rPr>
                <w:rStyle w:val="Hyperlink"/>
                <w:noProof/>
              </w:rPr>
              <w:t>Discussion</w:t>
            </w:r>
            <w:r w:rsidR="00D12C5A">
              <w:rPr>
                <w:noProof/>
                <w:webHidden/>
              </w:rPr>
              <w:tab/>
            </w:r>
            <w:r w:rsidR="00D12C5A">
              <w:rPr>
                <w:noProof/>
                <w:webHidden/>
              </w:rPr>
              <w:fldChar w:fldCharType="begin"/>
            </w:r>
            <w:r w:rsidR="00D12C5A">
              <w:rPr>
                <w:noProof/>
                <w:webHidden/>
              </w:rPr>
              <w:instrText xml:space="preserve"> PAGEREF _Toc404013214 \h </w:instrText>
            </w:r>
            <w:r w:rsidR="00D12C5A">
              <w:rPr>
                <w:noProof/>
                <w:webHidden/>
              </w:rPr>
            </w:r>
            <w:r w:rsidR="00D12C5A">
              <w:rPr>
                <w:noProof/>
                <w:webHidden/>
              </w:rPr>
              <w:fldChar w:fldCharType="separate"/>
            </w:r>
            <w:r w:rsidR="00026CFA">
              <w:rPr>
                <w:noProof/>
                <w:webHidden/>
              </w:rPr>
              <w:t>7</w:t>
            </w:r>
            <w:r w:rsidR="00D12C5A">
              <w:rPr>
                <w:noProof/>
                <w:webHidden/>
              </w:rPr>
              <w:fldChar w:fldCharType="end"/>
            </w:r>
          </w:hyperlink>
        </w:p>
        <w:p w:rsidR="00D12C5A" w:rsidRDefault="00BF156F">
          <w:pPr>
            <w:pStyle w:val="TOC2"/>
            <w:tabs>
              <w:tab w:val="left" w:pos="1800"/>
            </w:tabs>
            <w:rPr>
              <w:rFonts w:asciiTheme="minorHAnsi" w:eastAsiaTheme="minorEastAsia" w:hAnsiTheme="minorHAnsi" w:cstheme="minorBidi"/>
              <w:noProof/>
              <w:sz w:val="22"/>
              <w:szCs w:val="22"/>
            </w:rPr>
          </w:pPr>
          <w:hyperlink w:anchor="_Toc404013215" w:history="1">
            <w:r w:rsidR="00D12C5A" w:rsidRPr="00672664">
              <w:rPr>
                <w:rStyle w:val="Hyperlink"/>
                <w:rFonts w:eastAsiaTheme="minorHAnsi"/>
                <w:noProof/>
              </w:rPr>
              <w:t>A.</w:t>
            </w:r>
            <w:r w:rsidR="00D12C5A">
              <w:rPr>
                <w:rFonts w:asciiTheme="minorHAnsi" w:eastAsiaTheme="minorEastAsia" w:hAnsiTheme="minorHAnsi" w:cstheme="minorBidi"/>
                <w:noProof/>
                <w:sz w:val="22"/>
                <w:szCs w:val="22"/>
              </w:rPr>
              <w:tab/>
            </w:r>
            <w:r w:rsidR="00D12C5A" w:rsidRPr="00672664">
              <w:rPr>
                <w:rStyle w:val="Hyperlink"/>
                <w:rFonts w:eastAsiaTheme="minorHAnsi"/>
                <w:noProof/>
              </w:rPr>
              <w:t>Are Flexible Gas-on-Gas Distribution Rate Discounts Appropriate and Should they be Continued or Modified?</w:t>
            </w:r>
            <w:r w:rsidR="00D12C5A">
              <w:rPr>
                <w:noProof/>
                <w:webHidden/>
              </w:rPr>
              <w:tab/>
            </w:r>
            <w:r w:rsidR="00D12C5A">
              <w:rPr>
                <w:noProof/>
                <w:webHidden/>
              </w:rPr>
              <w:fldChar w:fldCharType="begin"/>
            </w:r>
            <w:r w:rsidR="00D12C5A">
              <w:rPr>
                <w:noProof/>
                <w:webHidden/>
              </w:rPr>
              <w:instrText xml:space="preserve"> PAGEREF _Toc404013215 \h </w:instrText>
            </w:r>
            <w:r w:rsidR="00D12C5A">
              <w:rPr>
                <w:noProof/>
                <w:webHidden/>
              </w:rPr>
            </w:r>
            <w:r w:rsidR="00D12C5A">
              <w:rPr>
                <w:noProof/>
                <w:webHidden/>
              </w:rPr>
              <w:fldChar w:fldCharType="separate"/>
            </w:r>
            <w:r w:rsidR="00026CFA">
              <w:rPr>
                <w:noProof/>
                <w:webHidden/>
              </w:rPr>
              <w:t>8</w:t>
            </w:r>
            <w:r w:rsidR="00D12C5A">
              <w:rPr>
                <w:noProof/>
                <w:webHidden/>
              </w:rPr>
              <w:fldChar w:fldCharType="end"/>
            </w:r>
          </w:hyperlink>
        </w:p>
        <w:p w:rsidR="00D12C5A" w:rsidRDefault="00BF156F">
          <w:pPr>
            <w:pStyle w:val="TOC3"/>
            <w:tabs>
              <w:tab w:val="left" w:pos="2160"/>
            </w:tabs>
            <w:rPr>
              <w:rFonts w:asciiTheme="minorHAnsi" w:eastAsiaTheme="minorEastAsia" w:hAnsiTheme="minorHAnsi" w:cstheme="minorBidi"/>
              <w:noProof/>
              <w:sz w:val="22"/>
              <w:szCs w:val="22"/>
            </w:rPr>
          </w:pPr>
          <w:hyperlink w:anchor="_Toc404013216" w:history="1">
            <w:r w:rsidR="00D12C5A" w:rsidRPr="00672664">
              <w:rPr>
                <w:rStyle w:val="Hyperlink"/>
                <w:noProof/>
              </w:rPr>
              <w:t>1.</w:t>
            </w:r>
            <w:r w:rsidR="00D12C5A">
              <w:rPr>
                <w:rFonts w:asciiTheme="minorHAnsi" w:eastAsiaTheme="minorEastAsia" w:hAnsiTheme="minorHAnsi" w:cstheme="minorBidi"/>
                <w:noProof/>
                <w:sz w:val="22"/>
                <w:szCs w:val="22"/>
              </w:rPr>
              <w:tab/>
            </w:r>
            <w:r w:rsidR="00D12C5A" w:rsidRPr="00672664">
              <w:rPr>
                <w:rStyle w:val="Hyperlink"/>
                <w:noProof/>
              </w:rPr>
              <w:t>Positions of the Parties</w:t>
            </w:r>
            <w:r w:rsidR="00D12C5A">
              <w:rPr>
                <w:noProof/>
                <w:webHidden/>
              </w:rPr>
              <w:tab/>
            </w:r>
            <w:r w:rsidR="00D12C5A">
              <w:rPr>
                <w:noProof/>
                <w:webHidden/>
              </w:rPr>
              <w:fldChar w:fldCharType="begin"/>
            </w:r>
            <w:r w:rsidR="00D12C5A">
              <w:rPr>
                <w:noProof/>
                <w:webHidden/>
              </w:rPr>
              <w:instrText xml:space="preserve"> PAGEREF _Toc404013216 \h </w:instrText>
            </w:r>
            <w:r w:rsidR="00D12C5A">
              <w:rPr>
                <w:noProof/>
                <w:webHidden/>
              </w:rPr>
            </w:r>
            <w:r w:rsidR="00D12C5A">
              <w:rPr>
                <w:noProof/>
                <w:webHidden/>
              </w:rPr>
              <w:fldChar w:fldCharType="separate"/>
            </w:r>
            <w:r w:rsidR="00026CFA">
              <w:rPr>
                <w:noProof/>
                <w:webHidden/>
              </w:rPr>
              <w:t>8</w:t>
            </w:r>
            <w:r w:rsidR="00D12C5A">
              <w:rPr>
                <w:noProof/>
                <w:webHidden/>
              </w:rPr>
              <w:fldChar w:fldCharType="end"/>
            </w:r>
          </w:hyperlink>
        </w:p>
        <w:p w:rsidR="00D12C5A" w:rsidRDefault="00BF156F">
          <w:pPr>
            <w:pStyle w:val="TOC3"/>
            <w:tabs>
              <w:tab w:val="left" w:pos="2160"/>
            </w:tabs>
            <w:rPr>
              <w:rFonts w:asciiTheme="minorHAnsi" w:eastAsiaTheme="minorEastAsia" w:hAnsiTheme="minorHAnsi" w:cstheme="minorBidi"/>
              <w:noProof/>
              <w:sz w:val="22"/>
              <w:szCs w:val="22"/>
            </w:rPr>
          </w:pPr>
          <w:hyperlink w:anchor="_Toc404013217" w:history="1">
            <w:r w:rsidR="00D12C5A" w:rsidRPr="00672664">
              <w:rPr>
                <w:rStyle w:val="Hyperlink"/>
                <w:noProof/>
              </w:rPr>
              <w:t>2.</w:t>
            </w:r>
            <w:r w:rsidR="00D12C5A">
              <w:rPr>
                <w:rFonts w:asciiTheme="minorHAnsi" w:eastAsiaTheme="minorEastAsia" w:hAnsiTheme="minorHAnsi" w:cstheme="minorBidi"/>
                <w:noProof/>
                <w:sz w:val="22"/>
                <w:szCs w:val="22"/>
              </w:rPr>
              <w:tab/>
            </w:r>
            <w:r w:rsidR="00D12C5A" w:rsidRPr="00672664">
              <w:rPr>
                <w:rStyle w:val="Hyperlink"/>
                <w:noProof/>
              </w:rPr>
              <w:t>ALJ</w:t>
            </w:r>
            <w:r w:rsidR="001D074D">
              <w:rPr>
                <w:rStyle w:val="Hyperlink"/>
                <w:noProof/>
              </w:rPr>
              <w:t>’</w:t>
            </w:r>
            <w:r w:rsidR="00D12C5A" w:rsidRPr="00672664">
              <w:rPr>
                <w:rStyle w:val="Hyperlink"/>
                <w:noProof/>
              </w:rPr>
              <w:t>s Recommendation</w:t>
            </w:r>
            <w:r w:rsidR="00D12C5A">
              <w:rPr>
                <w:noProof/>
                <w:webHidden/>
              </w:rPr>
              <w:tab/>
            </w:r>
            <w:r w:rsidR="00D12C5A">
              <w:rPr>
                <w:noProof/>
                <w:webHidden/>
              </w:rPr>
              <w:fldChar w:fldCharType="begin"/>
            </w:r>
            <w:r w:rsidR="00D12C5A">
              <w:rPr>
                <w:noProof/>
                <w:webHidden/>
              </w:rPr>
              <w:instrText xml:space="preserve"> PAGEREF _Toc404013217 \h </w:instrText>
            </w:r>
            <w:r w:rsidR="00D12C5A">
              <w:rPr>
                <w:noProof/>
                <w:webHidden/>
              </w:rPr>
            </w:r>
            <w:r w:rsidR="00D12C5A">
              <w:rPr>
                <w:noProof/>
                <w:webHidden/>
              </w:rPr>
              <w:fldChar w:fldCharType="separate"/>
            </w:r>
            <w:r w:rsidR="00026CFA">
              <w:rPr>
                <w:noProof/>
                <w:webHidden/>
              </w:rPr>
              <w:t>16</w:t>
            </w:r>
            <w:r w:rsidR="00D12C5A">
              <w:rPr>
                <w:noProof/>
                <w:webHidden/>
              </w:rPr>
              <w:fldChar w:fldCharType="end"/>
            </w:r>
          </w:hyperlink>
        </w:p>
        <w:p w:rsidR="00D12C5A" w:rsidRDefault="00BF156F">
          <w:pPr>
            <w:pStyle w:val="TOC3"/>
            <w:tabs>
              <w:tab w:val="left" w:pos="2160"/>
            </w:tabs>
            <w:rPr>
              <w:rFonts w:asciiTheme="minorHAnsi" w:eastAsiaTheme="minorEastAsia" w:hAnsiTheme="minorHAnsi" w:cstheme="minorBidi"/>
              <w:noProof/>
              <w:sz w:val="22"/>
              <w:szCs w:val="22"/>
            </w:rPr>
          </w:pPr>
          <w:hyperlink w:anchor="_Toc404013218" w:history="1">
            <w:r w:rsidR="00D12C5A" w:rsidRPr="00672664">
              <w:rPr>
                <w:rStyle w:val="Hyperlink"/>
                <w:noProof/>
              </w:rPr>
              <w:t>3.</w:t>
            </w:r>
            <w:r w:rsidR="00D12C5A">
              <w:rPr>
                <w:rFonts w:asciiTheme="minorHAnsi" w:eastAsiaTheme="minorEastAsia" w:hAnsiTheme="minorHAnsi" w:cstheme="minorBidi"/>
                <w:noProof/>
                <w:sz w:val="22"/>
                <w:szCs w:val="22"/>
              </w:rPr>
              <w:tab/>
            </w:r>
            <w:r w:rsidR="00D12C5A" w:rsidRPr="00672664">
              <w:rPr>
                <w:rStyle w:val="Hyperlink"/>
                <w:noProof/>
              </w:rPr>
              <w:t>Exceptions</w:t>
            </w:r>
            <w:r w:rsidR="00D12C5A">
              <w:rPr>
                <w:noProof/>
                <w:webHidden/>
              </w:rPr>
              <w:tab/>
            </w:r>
            <w:r w:rsidR="00D12C5A">
              <w:rPr>
                <w:noProof/>
                <w:webHidden/>
              </w:rPr>
              <w:fldChar w:fldCharType="begin"/>
            </w:r>
            <w:r w:rsidR="00D12C5A">
              <w:rPr>
                <w:noProof/>
                <w:webHidden/>
              </w:rPr>
              <w:instrText xml:space="preserve"> PAGEREF _Toc404013218 \h </w:instrText>
            </w:r>
            <w:r w:rsidR="00D12C5A">
              <w:rPr>
                <w:noProof/>
                <w:webHidden/>
              </w:rPr>
            </w:r>
            <w:r w:rsidR="00D12C5A">
              <w:rPr>
                <w:noProof/>
                <w:webHidden/>
              </w:rPr>
              <w:fldChar w:fldCharType="separate"/>
            </w:r>
            <w:r w:rsidR="00026CFA">
              <w:rPr>
                <w:noProof/>
                <w:webHidden/>
              </w:rPr>
              <w:t>22</w:t>
            </w:r>
            <w:r w:rsidR="00D12C5A">
              <w:rPr>
                <w:noProof/>
                <w:webHidden/>
              </w:rPr>
              <w:fldChar w:fldCharType="end"/>
            </w:r>
          </w:hyperlink>
        </w:p>
        <w:p w:rsidR="00D12C5A" w:rsidRDefault="00BF156F">
          <w:pPr>
            <w:pStyle w:val="TOC2"/>
            <w:tabs>
              <w:tab w:val="left" w:pos="1800"/>
            </w:tabs>
            <w:rPr>
              <w:rFonts w:asciiTheme="minorHAnsi" w:eastAsiaTheme="minorEastAsia" w:hAnsiTheme="minorHAnsi" w:cstheme="minorBidi"/>
              <w:noProof/>
              <w:sz w:val="22"/>
              <w:szCs w:val="22"/>
            </w:rPr>
          </w:pPr>
          <w:hyperlink w:anchor="_Toc404013219" w:history="1">
            <w:r w:rsidR="00D12C5A" w:rsidRPr="00672664">
              <w:rPr>
                <w:rStyle w:val="Hyperlink"/>
                <w:noProof/>
              </w:rPr>
              <w:t>B.</w:t>
            </w:r>
            <w:r w:rsidR="00D12C5A">
              <w:rPr>
                <w:rFonts w:asciiTheme="minorHAnsi" w:eastAsiaTheme="minorEastAsia" w:hAnsiTheme="minorHAnsi" w:cstheme="minorBidi"/>
                <w:noProof/>
                <w:sz w:val="22"/>
                <w:szCs w:val="22"/>
              </w:rPr>
              <w:tab/>
            </w:r>
            <w:r w:rsidR="00D12C5A" w:rsidRPr="00672664">
              <w:rPr>
                <w:rStyle w:val="Hyperlink"/>
                <w:noProof/>
              </w:rPr>
              <w:t>How Should the Elimination or Modification of Gas-on-Gas Flexible Rates be Implemented?</w:t>
            </w:r>
            <w:r w:rsidR="00D12C5A">
              <w:rPr>
                <w:noProof/>
                <w:webHidden/>
              </w:rPr>
              <w:tab/>
            </w:r>
            <w:r w:rsidR="00D12C5A">
              <w:rPr>
                <w:noProof/>
                <w:webHidden/>
              </w:rPr>
              <w:fldChar w:fldCharType="begin"/>
            </w:r>
            <w:r w:rsidR="00D12C5A">
              <w:rPr>
                <w:noProof/>
                <w:webHidden/>
              </w:rPr>
              <w:instrText xml:space="preserve"> PAGEREF _Toc404013219 \h </w:instrText>
            </w:r>
            <w:r w:rsidR="00D12C5A">
              <w:rPr>
                <w:noProof/>
                <w:webHidden/>
              </w:rPr>
            </w:r>
            <w:r w:rsidR="00D12C5A">
              <w:rPr>
                <w:noProof/>
                <w:webHidden/>
              </w:rPr>
              <w:fldChar w:fldCharType="separate"/>
            </w:r>
            <w:r w:rsidR="00026CFA">
              <w:rPr>
                <w:noProof/>
                <w:webHidden/>
              </w:rPr>
              <w:t>28</w:t>
            </w:r>
            <w:r w:rsidR="00D12C5A">
              <w:rPr>
                <w:noProof/>
                <w:webHidden/>
              </w:rPr>
              <w:fldChar w:fldCharType="end"/>
            </w:r>
          </w:hyperlink>
        </w:p>
        <w:p w:rsidR="00D12C5A" w:rsidRDefault="00BF156F">
          <w:pPr>
            <w:pStyle w:val="TOC3"/>
            <w:tabs>
              <w:tab w:val="left" w:pos="2160"/>
            </w:tabs>
            <w:rPr>
              <w:rFonts w:asciiTheme="minorHAnsi" w:eastAsiaTheme="minorEastAsia" w:hAnsiTheme="minorHAnsi" w:cstheme="minorBidi"/>
              <w:noProof/>
              <w:sz w:val="22"/>
              <w:szCs w:val="22"/>
            </w:rPr>
          </w:pPr>
          <w:hyperlink w:anchor="_Toc404013220" w:history="1">
            <w:r w:rsidR="00D12C5A" w:rsidRPr="00672664">
              <w:rPr>
                <w:rStyle w:val="Hyperlink"/>
                <w:noProof/>
              </w:rPr>
              <w:t>1.</w:t>
            </w:r>
            <w:r w:rsidR="00D12C5A">
              <w:rPr>
                <w:rFonts w:asciiTheme="minorHAnsi" w:eastAsiaTheme="minorEastAsia" w:hAnsiTheme="minorHAnsi" w:cstheme="minorBidi"/>
                <w:noProof/>
                <w:sz w:val="22"/>
                <w:szCs w:val="22"/>
              </w:rPr>
              <w:tab/>
            </w:r>
            <w:r w:rsidR="00D12C5A" w:rsidRPr="00672664">
              <w:rPr>
                <w:rStyle w:val="Hyperlink"/>
                <w:noProof/>
              </w:rPr>
              <w:t>Positions of the Parties</w:t>
            </w:r>
            <w:r w:rsidR="00D12C5A">
              <w:rPr>
                <w:noProof/>
                <w:webHidden/>
              </w:rPr>
              <w:tab/>
            </w:r>
            <w:r w:rsidR="00D12C5A">
              <w:rPr>
                <w:noProof/>
                <w:webHidden/>
              </w:rPr>
              <w:fldChar w:fldCharType="begin"/>
            </w:r>
            <w:r w:rsidR="00D12C5A">
              <w:rPr>
                <w:noProof/>
                <w:webHidden/>
              </w:rPr>
              <w:instrText xml:space="preserve"> PAGEREF _Toc404013220 \h </w:instrText>
            </w:r>
            <w:r w:rsidR="00D12C5A">
              <w:rPr>
                <w:noProof/>
                <w:webHidden/>
              </w:rPr>
            </w:r>
            <w:r w:rsidR="00D12C5A">
              <w:rPr>
                <w:noProof/>
                <w:webHidden/>
              </w:rPr>
              <w:fldChar w:fldCharType="separate"/>
            </w:r>
            <w:r w:rsidR="00026CFA">
              <w:rPr>
                <w:noProof/>
                <w:webHidden/>
              </w:rPr>
              <w:t>28</w:t>
            </w:r>
            <w:r w:rsidR="00D12C5A">
              <w:rPr>
                <w:noProof/>
                <w:webHidden/>
              </w:rPr>
              <w:fldChar w:fldCharType="end"/>
            </w:r>
          </w:hyperlink>
        </w:p>
        <w:p w:rsidR="00D12C5A" w:rsidRDefault="00BF156F">
          <w:pPr>
            <w:pStyle w:val="TOC3"/>
            <w:tabs>
              <w:tab w:val="left" w:pos="2160"/>
            </w:tabs>
            <w:rPr>
              <w:rFonts w:asciiTheme="minorHAnsi" w:eastAsiaTheme="minorEastAsia" w:hAnsiTheme="minorHAnsi" w:cstheme="minorBidi"/>
              <w:noProof/>
              <w:sz w:val="22"/>
              <w:szCs w:val="22"/>
            </w:rPr>
          </w:pPr>
          <w:hyperlink w:anchor="_Toc404013221" w:history="1">
            <w:r w:rsidR="00D12C5A" w:rsidRPr="00672664">
              <w:rPr>
                <w:rStyle w:val="Hyperlink"/>
                <w:noProof/>
              </w:rPr>
              <w:t>2.</w:t>
            </w:r>
            <w:r w:rsidR="00D12C5A">
              <w:rPr>
                <w:rFonts w:asciiTheme="minorHAnsi" w:eastAsiaTheme="minorEastAsia" w:hAnsiTheme="minorHAnsi" w:cstheme="minorBidi"/>
                <w:noProof/>
                <w:sz w:val="22"/>
                <w:szCs w:val="22"/>
              </w:rPr>
              <w:tab/>
            </w:r>
            <w:r w:rsidR="00D12C5A" w:rsidRPr="00672664">
              <w:rPr>
                <w:rStyle w:val="Hyperlink"/>
                <w:noProof/>
              </w:rPr>
              <w:t>ALJ</w:t>
            </w:r>
            <w:r w:rsidR="001D074D">
              <w:rPr>
                <w:rStyle w:val="Hyperlink"/>
                <w:noProof/>
              </w:rPr>
              <w:t>’</w:t>
            </w:r>
            <w:r w:rsidR="00D12C5A" w:rsidRPr="00672664">
              <w:rPr>
                <w:rStyle w:val="Hyperlink"/>
                <w:noProof/>
              </w:rPr>
              <w:t>s Recommendation</w:t>
            </w:r>
            <w:r w:rsidR="00D12C5A">
              <w:rPr>
                <w:noProof/>
                <w:webHidden/>
              </w:rPr>
              <w:tab/>
            </w:r>
            <w:r w:rsidR="00D12C5A">
              <w:rPr>
                <w:noProof/>
                <w:webHidden/>
              </w:rPr>
              <w:fldChar w:fldCharType="begin"/>
            </w:r>
            <w:r w:rsidR="00D12C5A">
              <w:rPr>
                <w:noProof/>
                <w:webHidden/>
              </w:rPr>
              <w:instrText xml:space="preserve"> PAGEREF _Toc404013221 \h </w:instrText>
            </w:r>
            <w:r w:rsidR="00D12C5A">
              <w:rPr>
                <w:noProof/>
                <w:webHidden/>
              </w:rPr>
            </w:r>
            <w:r w:rsidR="00D12C5A">
              <w:rPr>
                <w:noProof/>
                <w:webHidden/>
              </w:rPr>
              <w:fldChar w:fldCharType="separate"/>
            </w:r>
            <w:r w:rsidR="00026CFA">
              <w:rPr>
                <w:noProof/>
                <w:webHidden/>
              </w:rPr>
              <w:t>37</w:t>
            </w:r>
            <w:r w:rsidR="00D12C5A">
              <w:rPr>
                <w:noProof/>
                <w:webHidden/>
              </w:rPr>
              <w:fldChar w:fldCharType="end"/>
            </w:r>
          </w:hyperlink>
        </w:p>
        <w:p w:rsidR="00D12C5A" w:rsidRDefault="00BF156F">
          <w:pPr>
            <w:pStyle w:val="TOC3"/>
            <w:tabs>
              <w:tab w:val="left" w:pos="2160"/>
            </w:tabs>
            <w:rPr>
              <w:rFonts w:asciiTheme="minorHAnsi" w:eastAsiaTheme="minorEastAsia" w:hAnsiTheme="minorHAnsi" w:cstheme="minorBidi"/>
              <w:noProof/>
              <w:sz w:val="22"/>
              <w:szCs w:val="22"/>
            </w:rPr>
          </w:pPr>
          <w:hyperlink w:anchor="_Toc404013222" w:history="1">
            <w:r w:rsidR="00D12C5A" w:rsidRPr="00672664">
              <w:rPr>
                <w:rStyle w:val="Hyperlink"/>
                <w:noProof/>
              </w:rPr>
              <w:t>3.</w:t>
            </w:r>
            <w:r w:rsidR="00D12C5A">
              <w:rPr>
                <w:rFonts w:asciiTheme="minorHAnsi" w:eastAsiaTheme="minorEastAsia" w:hAnsiTheme="minorHAnsi" w:cstheme="minorBidi"/>
                <w:noProof/>
                <w:sz w:val="22"/>
                <w:szCs w:val="22"/>
              </w:rPr>
              <w:tab/>
            </w:r>
            <w:r w:rsidR="00D12C5A" w:rsidRPr="00672664">
              <w:rPr>
                <w:rStyle w:val="Hyperlink"/>
                <w:noProof/>
              </w:rPr>
              <w:t>Exceptions</w:t>
            </w:r>
            <w:r w:rsidR="00D12C5A">
              <w:rPr>
                <w:noProof/>
                <w:webHidden/>
              </w:rPr>
              <w:tab/>
            </w:r>
            <w:r w:rsidR="00D12C5A">
              <w:rPr>
                <w:noProof/>
                <w:webHidden/>
              </w:rPr>
              <w:fldChar w:fldCharType="begin"/>
            </w:r>
            <w:r w:rsidR="00D12C5A">
              <w:rPr>
                <w:noProof/>
                <w:webHidden/>
              </w:rPr>
              <w:instrText xml:space="preserve"> PAGEREF _Toc404013222 \h </w:instrText>
            </w:r>
            <w:r w:rsidR="00D12C5A">
              <w:rPr>
                <w:noProof/>
                <w:webHidden/>
              </w:rPr>
            </w:r>
            <w:r w:rsidR="00D12C5A">
              <w:rPr>
                <w:noProof/>
                <w:webHidden/>
              </w:rPr>
              <w:fldChar w:fldCharType="separate"/>
            </w:r>
            <w:r w:rsidR="00026CFA">
              <w:rPr>
                <w:noProof/>
                <w:webHidden/>
              </w:rPr>
              <w:t>41</w:t>
            </w:r>
            <w:r w:rsidR="00D12C5A">
              <w:rPr>
                <w:noProof/>
                <w:webHidden/>
              </w:rPr>
              <w:fldChar w:fldCharType="end"/>
            </w:r>
          </w:hyperlink>
        </w:p>
        <w:p w:rsidR="00D12C5A" w:rsidRDefault="00BF156F">
          <w:pPr>
            <w:pStyle w:val="TOC2"/>
            <w:tabs>
              <w:tab w:val="left" w:pos="1800"/>
            </w:tabs>
            <w:rPr>
              <w:rFonts w:asciiTheme="minorHAnsi" w:eastAsiaTheme="minorEastAsia" w:hAnsiTheme="minorHAnsi" w:cstheme="minorBidi"/>
              <w:noProof/>
              <w:sz w:val="22"/>
              <w:szCs w:val="22"/>
            </w:rPr>
          </w:pPr>
          <w:hyperlink w:anchor="_Toc404013223" w:history="1">
            <w:r w:rsidR="00D12C5A" w:rsidRPr="00672664">
              <w:rPr>
                <w:rStyle w:val="Hyperlink"/>
                <w:noProof/>
              </w:rPr>
              <w:t>C.</w:t>
            </w:r>
            <w:r w:rsidR="00D12C5A">
              <w:rPr>
                <w:rFonts w:asciiTheme="minorHAnsi" w:eastAsiaTheme="minorEastAsia" w:hAnsiTheme="minorHAnsi" w:cstheme="minorBidi"/>
                <w:noProof/>
                <w:sz w:val="22"/>
                <w:szCs w:val="22"/>
              </w:rPr>
              <w:tab/>
            </w:r>
            <w:r w:rsidR="00D12C5A" w:rsidRPr="00672664">
              <w:rPr>
                <w:rStyle w:val="Hyperlink"/>
                <w:noProof/>
              </w:rPr>
              <w:t>Disposition</w:t>
            </w:r>
            <w:r w:rsidR="00D12C5A">
              <w:rPr>
                <w:noProof/>
                <w:webHidden/>
              </w:rPr>
              <w:tab/>
            </w:r>
            <w:r w:rsidR="00D12C5A">
              <w:rPr>
                <w:noProof/>
                <w:webHidden/>
              </w:rPr>
              <w:fldChar w:fldCharType="begin"/>
            </w:r>
            <w:r w:rsidR="00D12C5A">
              <w:rPr>
                <w:noProof/>
                <w:webHidden/>
              </w:rPr>
              <w:instrText xml:space="preserve"> PAGEREF _Toc404013223 \h </w:instrText>
            </w:r>
            <w:r w:rsidR="00D12C5A">
              <w:rPr>
                <w:noProof/>
                <w:webHidden/>
              </w:rPr>
            </w:r>
            <w:r w:rsidR="00D12C5A">
              <w:rPr>
                <w:noProof/>
                <w:webHidden/>
              </w:rPr>
              <w:fldChar w:fldCharType="separate"/>
            </w:r>
            <w:r w:rsidR="00026CFA">
              <w:rPr>
                <w:noProof/>
                <w:webHidden/>
              </w:rPr>
              <w:t>51</w:t>
            </w:r>
            <w:r w:rsidR="00D12C5A">
              <w:rPr>
                <w:noProof/>
                <w:webHidden/>
              </w:rPr>
              <w:fldChar w:fldCharType="end"/>
            </w:r>
          </w:hyperlink>
        </w:p>
        <w:p w:rsidR="00D12C5A" w:rsidRDefault="00BF156F">
          <w:pPr>
            <w:pStyle w:val="TOC3"/>
            <w:tabs>
              <w:tab w:val="left" w:pos="2160"/>
            </w:tabs>
            <w:rPr>
              <w:rFonts w:asciiTheme="minorHAnsi" w:eastAsiaTheme="minorEastAsia" w:hAnsiTheme="minorHAnsi" w:cstheme="minorBidi"/>
              <w:noProof/>
              <w:sz w:val="22"/>
              <w:szCs w:val="22"/>
            </w:rPr>
          </w:pPr>
          <w:hyperlink w:anchor="_Toc404013224" w:history="1">
            <w:r w:rsidR="00D12C5A" w:rsidRPr="00672664">
              <w:rPr>
                <w:rStyle w:val="Hyperlink"/>
                <w:noProof/>
              </w:rPr>
              <w:t>1.</w:t>
            </w:r>
            <w:r w:rsidR="00D12C5A">
              <w:rPr>
                <w:rFonts w:asciiTheme="minorHAnsi" w:eastAsiaTheme="minorEastAsia" w:hAnsiTheme="minorHAnsi" w:cstheme="minorBidi"/>
                <w:noProof/>
                <w:sz w:val="22"/>
                <w:szCs w:val="22"/>
              </w:rPr>
              <w:tab/>
            </w:r>
            <w:r w:rsidR="00D12C5A" w:rsidRPr="00672664">
              <w:rPr>
                <w:rStyle w:val="Hyperlink"/>
                <w:noProof/>
              </w:rPr>
              <w:t>Continuation of Gas-on-Gas Competition</w:t>
            </w:r>
            <w:r w:rsidR="00D12C5A">
              <w:rPr>
                <w:noProof/>
                <w:webHidden/>
              </w:rPr>
              <w:tab/>
            </w:r>
            <w:r w:rsidR="00D12C5A">
              <w:rPr>
                <w:noProof/>
                <w:webHidden/>
              </w:rPr>
              <w:fldChar w:fldCharType="begin"/>
            </w:r>
            <w:r w:rsidR="00D12C5A">
              <w:rPr>
                <w:noProof/>
                <w:webHidden/>
              </w:rPr>
              <w:instrText xml:space="preserve"> PAGEREF _Toc404013224 \h </w:instrText>
            </w:r>
            <w:r w:rsidR="00D12C5A">
              <w:rPr>
                <w:noProof/>
                <w:webHidden/>
              </w:rPr>
            </w:r>
            <w:r w:rsidR="00D12C5A">
              <w:rPr>
                <w:noProof/>
                <w:webHidden/>
              </w:rPr>
              <w:fldChar w:fldCharType="separate"/>
            </w:r>
            <w:r w:rsidR="00026CFA">
              <w:rPr>
                <w:noProof/>
                <w:webHidden/>
              </w:rPr>
              <w:t>51</w:t>
            </w:r>
            <w:r w:rsidR="00D12C5A">
              <w:rPr>
                <w:noProof/>
                <w:webHidden/>
              </w:rPr>
              <w:fldChar w:fldCharType="end"/>
            </w:r>
          </w:hyperlink>
        </w:p>
        <w:p w:rsidR="00D12C5A" w:rsidRDefault="00BF156F">
          <w:pPr>
            <w:pStyle w:val="TOC3"/>
            <w:tabs>
              <w:tab w:val="left" w:pos="2160"/>
            </w:tabs>
            <w:rPr>
              <w:rFonts w:asciiTheme="minorHAnsi" w:eastAsiaTheme="minorEastAsia" w:hAnsiTheme="minorHAnsi" w:cstheme="minorBidi"/>
              <w:noProof/>
              <w:sz w:val="22"/>
              <w:szCs w:val="22"/>
            </w:rPr>
          </w:pPr>
          <w:hyperlink w:anchor="_Toc404013225" w:history="1">
            <w:r w:rsidR="00D12C5A" w:rsidRPr="00672664">
              <w:rPr>
                <w:rStyle w:val="Hyperlink"/>
                <w:noProof/>
              </w:rPr>
              <w:t>2.</w:t>
            </w:r>
            <w:r w:rsidR="00D12C5A">
              <w:rPr>
                <w:rFonts w:asciiTheme="minorHAnsi" w:eastAsiaTheme="minorEastAsia" w:hAnsiTheme="minorHAnsi" w:cstheme="minorBidi"/>
                <w:noProof/>
                <w:sz w:val="22"/>
                <w:szCs w:val="22"/>
              </w:rPr>
              <w:tab/>
            </w:r>
            <w:r w:rsidR="00D12C5A" w:rsidRPr="00672664">
              <w:rPr>
                <w:rStyle w:val="Hyperlink"/>
                <w:noProof/>
              </w:rPr>
              <w:t>Discrimination in Rates</w:t>
            </w:r>
            <w:r w:rsidR="00D12C5A">
              <w:rPr>
                <w:noProof/>
                <w:webHidden/>
              </w:rPr>
              <w:tab/>
            </w:r>
            <w:r w:rsidR="00D12C5A">
              <w:rPr>
                <w:noProof/>
                <w:webHidden/>
              </w:rPr>
              <w:fldChar w:fldCharType="begin"/>
            </w:r>
            <w:r w:rsidR="00D12C5A">
              <w:rPr>
                <w:noProof/>
                <w:webHidden/>
              </w:rPr>
              <w:instrText xml:space="preserve"> PAGEREF _Toc404013225 \h </w:instrText>
            </w:r>
            <w:r w:rsidR="00D12C5A">
              <w:rPr>
                <w:noProof/>
                <w:webHidden/>
              </w:rPr>
            </w:r>
            <w:r w:rsidR="00D12C5A">
              <w:rPr>
                <w:noProof/>
                <w:webHidden/>
              </w:rPr>
              <w:fldChar w:fldCharType="separate"/>
            </w:r>
            <w:r w:rsidR="00026CFA">
              <w:rPr>
                <w:noProof/>
                <w:webHidden/>
              </w:rPr>
              <w:t>51</w:t>
            </w:r>
            <w:r w:rsidR="00D12C5A">
              <w:rPr>
                <w:noProof/>
                <w:webHidden/>
              </w:rPr>
              <w:fldChar w:fldCharType="end"/>
            </w:r>
          </w:hyperlink>
        </w:p>
        <w:p w:rsidR="00D12C5A" w:rsidRDefault="00BF156F">
          <w:pPr>
            <w:pStyle w:val="TOC3"/>
            <w:tabs>
              <w:tab w:val="left" w:pos="2160"/>
            </w:tabs>
            <w:rPr>
              <w:rFonts w:asciiTheme="minorHAnsi" w:eastAsiaTheme="minorEastAsia" w:hAnsiTheme="minorHAnsi" w:cstheme="minorBidi"/>
              <w:noProof/>
              <w:sz w:val="22"/>
              <w:szCs w:val="22"/>
            </w:rPr>
          </w:pPr>
          <w:hyperlink w:anchor="_Toc404013226" w:history="1">
            <w:r w:rsidR="00D12C5A" w:rsidRPr="00672664">
              <w:rPr>
                <w:rStyle w:val="Hyperlink"/>
                <w:noProof/>
              </w:rPr>
              <w:t>3.</w:t>
            </w:r>
            <w:r w:rsidR="00D12C5A">
              <w:rPr>
                <w:rFonts w:asciiTheme="minorHAnsi" w:eastAsiaTheme="minorEastAsia" w:hAnsiTheme="minorHAnsi" w:cstheme="minorBidi"/>
                <w:noProof/>
                <w:sz w:val="22"/>
                <w:szCs w:val="22"/>
              </w:rPr>
              <w:tab/>
            </w:r>
            <w:r w:rsidR="00D12C5A" w:rsidRPr="00672664">
              <w:rPr>
                <w:rStyle w:val="Hyperlink"/>
                <w:noProof/>
              </w:rPr>
              <w:t>Floor on Gas-on-Gas Discounted Rates</w:t>
            </w:r>
            <w:r w:rsidR="00D12C5A">
              <w:rPr>
                <w:noProof/>
                <w:webHidden/>
              </w:rPr>
              <w:tab/>
            </w:r>
            <w:r w:rsidR="00D12C5A">
              <w:rPr>
                <w:noProof/>
                <w:webHidden/>
              </w:rPr>
              <w:fldChar w:fldCharType="begin"/>
            </w:r>
            <w:r w:rsidR="00D12C5A">
              <w:rPr>
                <w:noProof/>
                <w:webHidden/>
              </w:rPr>
              <w:instrText xml:space="preserve"> PAGEREF _Toc404013226 \h </w:instrText>
            </w:r>
            <w:r w:rsidR="00D12C5A">
              <w:rPr>
                <w:noProof/>
                <w:webHidden/>
              </w:rPr>
            </w:r>
            <w:r w:rsidR="00D12C5A">
              <w:rPr>
                <w:noProof/>
                <w:webHidden/>
              </w:rPr>
              <w:fldChar w:fldCharType="separate"/>
            </w:r>
            <w:r w:rsidR="00026CFA">
              <w:rPr>
                <w:noProof/>
                <w:webHidden/>
              </w:rPr>
              <w:t>52</w:t>
            </w:r>
            <w:r w:rsidR="00D12C5A">
              <w:rPr>
                <w:noProof/>
                <w:webHidden/>
              </w:rPr>
              <w:fldChar w:fldCharType="end"/>
            </w:r>
          </w:hyperlink>
        </w:p>
        <w:p w:rsidR="00D12C5A" w:rsidRDefault="00BF156F">
          <w:pPr>
            <w:pStyle w:val="TOC3"/>
            <w:tabs>
              <w:tab w:val="left" w:pos="2160"/>
            </w:tabs>
            <w:rPr>
              <w:rFonts w:asciiTheme="minorHAnsi" w:eastAsiaTheme="minorEastAsia" w:hAnsiTheme="minorHAnsi" w:cstheme="minorBidi"/>
              <w:noProof/>
              <w:sz w:val="22"/>
              <w:szCs w:val="22"/>
            </w:rPr>
          </w:pPr>
          <w:hyperlink w:anchor="_Toc404013227" w:history="1">
            <w:r w:rsidR="00D12C5A" w:rsidRPr="00672664">
              <w:rPr>
                <w:rStyle w:val="Hyperlink"/>
                <w:noProof/>
              </w:rPr>
              <w:t>4.</w:t>
            </w:r>
            <w:r w:rsidR="00D12C5A">
              <w:rPr>
                <w:rFonts w:asciiTheme="minorHAnsi" w:eastAsiaTheme="minorEastAsia" w:hAnsiTheme="minorHAnsi" w:cstheme="minorBidi"/>
                <w:noProof/>
                <w:sz w:val="22"/>
                <w:szCs w:val="22"/>
              </w:rPr>
              <w:tab/>
            </w:r>
            <w:r w:rsidR="00D12C5A" w:rsidRPr="00672664">
              <w:rPr>
                <w:rStyle w:val="Hyperlink"/>
                <w:noProof/>
              </w:rPr>
              <w:t>Duplicative Distribution Facilities and  Division of Service Territories</w:t>
            </w:r>
            <w:r w:rsidR="00D12C5A">
              <w:rPr>
                <w:noProof/>
                <w:webHidden/>
              </w:rPr>
              <w:tab/>
            </w:r>
            <w:r w:rsidR="00D12C5A">
              <w:rPr>
                <w:noProof/>
                <w:webHidden/>
              </w:rPr>
              <w:fldChar w:fldCharType="begin"/>
            </w:r>
            <w:r w:rsidR="00D12C5A">
              <w:rPr>
                <w:noProof/>
                <w:webHidden/>
              </w:rPr>
              <w:instrText xml:space="preserve"> PAGEREF _Toc404013227 \h </w:instrText>
            </w:r>
            <w:r w:rsidR="00D12C5A">
              <w:rPr>
                <w:noProof/>
                <w:webHidden/>
              </w:rPr>
            </w:r>
            <w:r w:rsidR="00D12C5A">
              <w:rPr>
                <w:noProof/>
                <w:webHidden/>
              </w:rPr>
              <w:fldChar w:fldCharType="separate"/>
            </w:r>
            <w:r w:rsidR="00026CFA">
              <w:rPr>
                <w:noProof/>
                <w:webHidden/>
              </w:rPr>
              <w:t>53</w:t>
            </w:r>
            <w:r w:rsidR="00D12C5A">
              <w:rPr>
                <w:noProof/>
                <w:webHidden/>
              </w:rPr>
              <w:fldChar w:fldCharType="end"/>
            </w:r>
          </w:hyperlink>
        </w:p>
        <w:p w:rsidR="00D12C5A" w:rsidRDefault="00BF156F">
          <w:pPr>
            <w:pStyle w:val="TOC3"/>
            <w:tabs>
              <w:tab w:val="left" w:pos="2160"/>
            </w:tabs>
            <w:rPr>
              <w:rFonts w:asciiTheme="minorHAnsi" w:eastAsiaTheme="minorEastAsia" w:hAnsiTheme="minorHAnsi" w:cstheme="minorBidi"/>
              <w:noProof/>
              <w:sz w:val="22"/>
              <w:szCs w:val="22"/>
            </w:rPr>
          </w:pPr>
          <w:hyperlink w:anchor="_Toc404013228" w:history="1">
            <w:r w:rsidR="00D12C5A" w:rsidRPr="001E705E">
              <w:rPr>
                <w:rStyle w:val="Hyperlink"/>
                <w:noProof/>
              </w:rPr>
              <w:t>5</w:t>
            </w:r>
            <w:r w:rsidR="00D12C5A" w:rsidRPr="00672664">
              <w:rPr>
                <w:rStyle w:val="Hyperlink"/>
                <w:noProof/>
              </w:rPr>
              <w:t>.</w:t>
            </w:r>
            <w:r w:rsidR="00D12C5A">
              <w:rPr>
                <w:rFonts w:asciiTheme="minorHAnsi" w:eastAsiaTheme="minorEastAsia" w:hAnsiTheme="minorHAnsi" w:cstheme="minorBidi"/>
                <w:noProof/>
                <w:sz w:val="22"/>
                <w:szCs w:val="22"/>
              </w:rPr>
              <w:tab/>
            </w:r>
            <w:r w:rsidR="00D12C5A" w:rsidRPr="00672664">
              <w:rPr>
                <w:rStyle w:val="Hyperlink"/>
                <w:noProof/>
              </w:rPr>
              <w:t>New Gas-on-Gas Flex Tariff Provisions</w:t>
            </w:r>
            <w:r w:rsidR="00D12C5A">
              <w:rPr>
                <w:noProof/>
                <w:webHidden/>
              </w:rPr>
              <w:tab/>
            </w:r>
            <w:r w:rsidR="00D12C5A">
              <w:rPr>
                <w:noProof/>
                <w:webHidden/>
              </w:rPr>
              <w:fldChar w:fldCharType="begin"/>
            </w:r>
            <w:r w:rsidR="00D12C5A">
              <w:rPr>
                <w:noProof/>
                <w:webHidden/>
              </w:rPr>
              <w:instrText xml:space="preserve"> PAGEREF _Toc404013228 \h </w:instrText>
            </w:r>
            <w:r w:rsidR="00D12C5A">
              <w:rPr>
                <w:noProof/>
                <w:webHidden/>
              </w:rPr>
            </w:r>
            <w:r w:rsidR="00D12C5A">
              <w:rPr>
                <w:noProof/>
                <w:webHidden/>
              </w:rPr>
              <w:fldChar w:fldCharType="separate"/>
            </w:r>
            <w:r w:rsidR="00026CFA">
              <w:rPr>
                <w:noProof/>
                <w:webHidden/>
              </w:rPr>
              <w:t>55</w:t>
            </w:r>
            <w:r w:rsidR="00D12C5A">
              <w:rPr>
                <w:noProof/>
                <w:webHidden/>
              </w:rPr>
              <w:fldChar w:fldCharType="end"/>
            </w:r>
          </w:hyperlink>
        </w:p>
        <w:p w:rsidR="00D12C5A" w:rsidRDefault="00BF156F">
          <w:pPr>
            <w:pStyle w:val="TOC3"/>
            <w:tabs>
              <w:tab w:val="left" w:pos="2160"/>
            </w:tabs>
            <w:rPr>
              <w:rFonts w:asciiTheme="minorHAnsi" w:eastAsiaTheme="minorEastAsia" w:hAnsiTheme="minorHAnsi" w:cstheme="minorBidi"/>
              <w:noProof/>
              <w:sz w:val="22"/>
              <w:szCs w:val="22"/>
            </w:rPr>
          </w:pPr>
          <w:hyperlink w:anchor="_Toc404013229" w:history="1">
            <w:r w:rsidR="00D12C5A" w:rsidRPr="00672664">
              <w:rPr>
                <w:rStyle w:val="Hyperlink"/>
                <w:noProof/>
              </w:rPr>
              <w:t>6.</w:t>
            </w:r>
            <w:r w:rsidR="00D12C5A">
              <w:rPr>
                <w:rFonts w:asciiTheme="minorHAnsi" w:eastAsiaTheme="minorEastAsia" w:hAnsiTheme="minorHAnsi" w:cstheme="minorBidi"/>
                <w:noProof/>
                <w:sz w:val="22"/>
                <w:szCs w:val="22"/>
              </w:rPr>
              <w:tab/>
            </w:r>
            <w:r w:rsidR="00D12C5A" w:rsidRPr="00672664">
              <w:rPr>
                <w:rStyle w:val="Hyperlink"/>
                <w:noProof/>
              </w:rPr>
              <w:t>Existing Customer Contracts</w:t>
            </w:r>
            <w:r w:rsidR="00D12C5A">
              <w:rPr>
                <w:noProof/>
                <w:webHidden/>
              </w:rPr>
              <w:tab/>
            </w:r>
            <w:r w:rsidR="00D12C5A">
              <w:rPr>
                <w:noProof/>
                <w:webHidden/>
              </w:rPr>
              <w:fldChar w:fldCharType="begin"/>
            </w:r>
            <w:r w:rsidR="00D12C5A">
              <w:rPr>
                <w:noProof/>
                <w:webHidden/>
              </w:rPr>
              <w:instrText xml:space="preserve"> PAGEREF _Toc404013229 \h </w:instrText>
            </w:r>
            <w:r w:rsidR="00D12C5A">
              <w:rPr>
                <w:noProof/>
                <w:webHidden/>
              </w:rPr>
            </w:r>
            <w:r w:rsidR="00D12C5A">
              <w:rPr>
                <w:noProof/>
                <w:webHidden/>
              </w:rPr>
              <w:fldChar w:fldCharType="separate"/>
            </w:r>
            <w:r w:rsidR="00026CFA">
              <w:rPr>
                <w:noProof/>
                <w:webHidden/>
              </w:rPr>
              <w:t>57</w:t>
            </w:r>
            <w:r w:rsidR="00D12C5A">
              <w:rPr>
                <w:noProof/>
                <w:webHidden/>
              </w:rPr>
              <w:fldChar w:fldCharType="end"/>
            </w:r>
          </w:hyperlink>
        </w:p>
        <w:p w:rsidR="00D12C5A" w:rsidRDefault="00BF156F">
          <w:pPr>
            <w:pStyle w:val="TOC3"/>
            <w:tabs>
              <w:tab w:val="left" w:pos="2160"/>
            </w:tabs>
            <w:rPr>
              <w:rFonts w:asciiTheme="minorHAnsi" w:eastAsiaTheme="minorEastAsia" w:hAnsiTheme="minorHAnsi" w:cstheme="minorBidi"/>
              <w:noProof/>
              <w:sz w:val="22"/>
              <w:szCs w:val="22"/>
            </w:rPr>
          </w:pPr>
          <w:hyperlink w:anchor="_Toc404013230" w:history="1">
            <w:r w:rsidR="00D12C5A" w:rsidRPr="001E705E">
              <w:rPr>
                <w:rStyle w:val="Hyperlink"/>
                <w:noProof/>
              </w:rPr>
              <w:t>7</w:t>
            </w:r>
            <w:r w:rsidR="00D12C5A" w:rsidRPr="00672664">
              <w:rPr>
                <w:rStyle w:val="Hyperlink"/>
                <w:noProof/>
              </w:rPr>
              <w:t>.</w:t>
            </w:r>
            <w:r w:rsidR="00D12C5A">
              <w:rPr>
                <w:rFonts w:asciiTheme="minorHAnsi" w:eastAsiaTheme="minorEastAsia" w:hAnsiTheme="minorHAnsi" w:cstheme="minorBidi"/>
                <w:noProof/>
                <w:sz w:val="22"/>
                <w:szCs w:val="22"/>
              </w:rPr>
              <w:tab/>
            </w:r>
            <w:r w:rsidR="00D12C5A" w:rsidRPr="00672664">
              <w:rPr>
                <w:rStyle w:val="Hyperlink"/>
                <w:noProof/>
              </w:rPr>
              <w:t>New Base Rate Proceedings</w:t>
            </w:r>
            <w:r w:rsidR="00D12C5A">
              <w:rPr>
                <w:noProof/>
                <w:webHidden/>
              </w:rPr>
              <w:tab/>
            </w:r>
            <w:r w:rsidR="00D12C5A">
              <w:rPr>
                <w:noProof/>
                <w:webHidden/>
              </w:rPr>
              <w:fldChar w:fldCharType="begin"/>
            </w:r>
            <w:r w:rsidR="00D12C5A">
              <w:rPr>
                <w:noProof/>
                <w:webHidden/>
              </w:rPr>
              <w:instrText xml:space="preserve"> PAGEREF _Toc404013230 \h </w:instrText>
            </w:r>
            <w:r w:rsidR="00D12C5A">
              <w:rPr>
                <w:noProof/>
                <w:webHidden/>
              </w:rPr>
            </w:r>
            <w:r w:rsidR="00D12C5A">
              <w:rPr>
                <w:noProof/>
                <w:webHidden/>
              </w:rPr>
              <w:fldChar w:fldCharType="separate"/>
            </w:r>
            <w:r w:rsidR="00026CFA">
              <w:rPr>
                <w:noProof/>
                <w:webHidden/>
              </w:rPr>
              <w:t>59</w:t>
            </w:r>
            <w:r w:rsidR="00D12C5A">
              <w:rPr>
                <w:noProof/>
                <w:webHidden/>
              </w:rPr>
              <w:fldChar w:fldCharType="end"/>
            </w:r>
          </w:hyperlink>
        </w:p>
        <w:p w:rsidR="00D12C5A" w:rsidRDefault="00BF156F" w:rsidP="001E705E">
          <w:pPr>
            <w:pStyle w:val="TOC1"/>
            <w:rPr>
              <w:rFonts w:asciiTheme="minorHAnsi" w:eastAsiaTheme="minorEastAsia" w:hAnsiTheme="minorHAnsi" w:cstheme="minorBidi"/>
              <w:noProof/>
              <w:sz w:val="22"/>
              <w:szCs w:val="22"/>
            </w:rPr>
          </w:pPr>
          <w:hyperlink w:anchor="_Toc404013231" w:history="1">
            <w:r w:rsidR="00D12C5A" w:rsidRPr="00672664">
              <w:rPr>
                <w:rStyle w:val="Hyperlink"/>
                <w:noProof/>
              </w:rPr>
              <w:t>IV.</w:t>
            </w:r>
            <w:r w:rsidR="001E705E">
              <w:rPr>
                <w:rFonts w:asciiTheme="minorHAnsi" w:eastAsiaTheme="minorEastAsia" w:hAnsiTheme="minorHAnsi" w:cstheme="minorBidi"/>
                <w:noProof/>
                <w:sz w:val="22"/>
                <w:szCs w:val="22"/>
              </w:rPr>
              <w:t xml:space="preserve">       </w:t>
            </w:r>
            <w:r w:rsidR="00D12C5A" w:rsidRPr="00672664">
              <w:rPr>
                <w:rStyle w:val="Hyperlink"/>
                <w:noProof/>
              </w:rPr>
              <w:t>Conclusion</w:t>
            </w:r>
            <w:r w:rsidR="00D12C5A">
              <w:rPr>
                <w:noProof/>
                <w:webHidden/>
              </w:rPr>
              <w:tab/>
            </w:r>
            <w:r w:rsidR="00D12C5A">
              <w:rPr>
                <w:noProof/>
                <w:webHidden/>
              </w:rPr>
              <w:fldChar w:fldCharType="begin"/>
            </w:r>
            <w:r w:rsidR="00D12C5A">
              <w:rPr>
                <w:noProof/>
                <w:webHidden/>
              </w:rPr>
              <w:instrText xml:space="preserve"> PAGEREF _Toc404013231 \h </w:instrText>
            </w:r>
            <w:r w:rsidR="00D12C5A">
              <w:rPr>
                <w:noProof/>
                <w:webHidden/>
              </w:rPr>
            </w:r>
            <w:r w:rsidR="00D12C5A">
              <w:rPr>
                <w:noProof/>
                <w:webHidden/>
              </w:rPr>
              <w:fldChar w:fldCharType="separate"/>
            </w:r>
            <w:r w:rsidR="00026CFA">
              <w:rPr>
                <w:noProof/>
                <w:webHidden/>
              </w:rPr>
              <w:t>60</w:t>
            </w:r>
            <w:r w:rsidR="00D12C5A">
              <w:rPr>
                <w:noProof/>
                <w:webHidden/>
              </w:rPr>
              <w:fldChar w:fldCharType="end"/>
            </w:r>
          </w:hyperlink>
        </w:p>
        <w:p w:rsidR="00E5659C" w:rsidRDefault="00E5659C" w:rsidP="00B43911">
          <w:pPr>
            <w:widowControl/>
          </w:pPr>
          <w:r>
            <w:rPr>
              <w:b/>
              <w:bCs/>
              <w:noProof/>
            </w:rPr>
            <w:fldChar w:fldCharType="end"/>
          </w:r>
        </w:p>
      </w:sdtContent>
    </w:sdt>
    <w:p w:rsidR="00E5659C" w:rsidRDefault="00E5659C" w:rsidP="00B43911">
      <w:pPr>
        <w:widowControl/>
        <w:spacing w:line="240" w:lineRule="auto"/>
        <w:ind w:firstLine="0"/>
        <w:rPr>
          <w:b/>
          <w:szCs w:val="26"/>
        </w:rPr>
        <w:sectPr w:rsidR="00E5659C" w:rsidSect="009A5FB5">
          <w:pgSz w:w="12240" w:h="15840"/>
          <w:pgMar w:top="1440" w:right="1440" w:bottom="1440" w:left="1440" w:header="720" w:footer="720" w:gutter="0"/>
          <w:pgNumType w:start="1"/>
          <w:cols w:space="720"/>
          <w:titlePg/>
          <w:docGrid w:linePitch="360"/>
        </w:sectPr>
      </w:pPr>
    </w:p>
    <w:p w:rsidR="00F514FB" w:rsidRPr="00F514FB" w:rsidRDefault="00F514FB" w:rsidP="00B43911">
      <w:pPr>
        <w:keepNext/>
        <w:keepLines/>
        <w:widowControl/>
        <w:spacing w:line="240" w:lineRule="auto"/>
        <w:ind w:firstLine="0"/>
        <w:rPr>
          <w:b/>
          <w:szCs w:val="26"/>
        </w:rPr>
      </w:pPr>
      <w:r w:rsidRPr="00F514FB">
        <w:rPr>
          <w:b/>
          <w:szCs w:val="26"/>
        </w:rPr>
        <w:lastRenderedPageBreak/>
        <w:t>BY THE COMMISSION:</w:t>
      </w:r>
    </w:p>
    <w:p w:rsidR="00F514FB" w:rsidRPr="00F514FB" w:rsidRDefault="00F514FB" w:rsidP="00B43911">
      <w:pPr>
        <w:keepNext/>
        <w:keepLines/>
        <w:widowControl/>
        <w:rPr>
          <w:szCs w:val="26"/>
        </w:rPr>
      </w:pPr>
    </w:p>
    <w:p w:rsidR="00CA43A5" w:rsidRPr="000170AA" w:rsidRDefault="00CA43A5" w:rsidP="00B43911">
      <w:pPr>
        <w:widowControl/>
      </w:pPr>
      <w:r w:rsidRPr="00CA43A5">
        <w:rPr>
          <w:szCs w:val="26"/>
        </w:rPr>
        <w:t xml:space="preserve">Before the Pennsylvania Public Utility Commission (Commission) for consideration and disposition </w:t>
      </w:r>
      <w:r w:rsidR="00671E4C">
        <w:rPr>
          <w:color w:val="000000"/>
        </w:rPr>
        <w:t>are the Exceptions of</w:t>
      </w:r>
      <w:r w:rsidR="00F74106">
        <w:rPr>
          <w:color w:val="000000"/>
        </w:rPr>
        <w:t xml:space="preserve"> Columbia Gas of Pennsylvania (Columbia), the Industrial Energy Consumers of Pennsylvania (IECPA)</w:t>
      </w:r>
      <w:r w:rsidR="002201DD">
        <w:rPr>
          <w:color w:val="000000"/>
        </w:rPr>
        <w:t>,</w:t>
      </w:r>
      <w:r w:rsidR="00F74106">
        <w:rPr>
          <w:color w:val="000000"/>
        </w:rPr>
        <w:t xml:space="preserve"> the Office of Small Business Advocate (OSBA), the Pennsylvania State University (PSU), </w:t>
      </w:r>
      <w:r w:rsidR="00A2399A">
        <w:rPr>
          <w:color w:val="000000"/>
        </w:rPr>
        <w:t xml:space="preserve">and Peoples Natural Gas Company LLC (Peoples) </w:t>
      </w:r>
      <w:r w:rsidR="002201DD">
        <w:rPr>
          <w:color w:val="000000"/>
        </w:rPr>
        <w:t xml:space="preserve">(including its Equitable Division) </w:t>
      </w:r>
      <w:r w:rsidR="00A2399A">
        <w:rPr>
          <w:color w:val="000000"/>
        </w:rPr>
        <w:t xml:space="preserve">and </w:t>
      </w:r>
      <w:r w:rsidR="002201DD">
        <w:rPr>
          <w:color w:val="000000"/>
        </w:rPr>
        <w:t>Peoples TWP LLC (P</w:t>
      </w:r>
      <w:r w:rsidR="0016713F">
        <w:rPr>
          <w:color w:val="000000"/>
        </w:rPr>
        <w:t>T</w:t>
      </w:r>
      <w:r w:rsidR="002201DD">
        <w:rPr>
          <w:color w:val="000000"/>
        </w:rPr>
        <w:t>WP)</w:t>
      </w:r>
      <w:r w:rsidR="004F1E99">
        <w:rPr>
          <w:color w:val="000000"/>
        </w:rPr>
        <w:t xml:space="preserve"> (collectively Peoples/PTWP)</w:t>
      </w:r>
      <w:r w:rsidR="002201DD">
        <w:rPr>
          <w:rStyle w:val="FootnoteReference"/>
          <w:color w:val="000000"/>
        </w:rPr>
        <w:footnoteReference w:id="1"/>
      </w:r>
      <w:r w:rsidR="002201DD">
        <w:rPr>
          <w:color w:val="000000"/>
        </w:rPr>
        <w:t xml:space="preserve"> </w:t>
      </w:r>
      <w:r w:rsidR="00671E4C">
        <w:rPr>
          <w:color w:val="000000"/>
        </w:rPr>
        <w:t xml:space="preserve">filed on </w:t>
      </w:r>
      <w:r w:rsidR="002201DD">
        <w:rPr>
          <w:color w:val="000000"/>
        </w:rPr>
        <w:t>July 14, 2014</w:t>
      </w:r>
      <w:r w:rsidR="00671E4C">
        <w:rPr>
          <w:color w:val="000000"/>
        </w:rPr>
        <w:t xml:space="preserve">, to the </w:t>
      </w:r>
      <w:r w:rsidR="00A64CCE">
        <w:rPr>
          <w:color w:val="000000"/>
        </w:rPr>
        <w:t>Recommended</w:t>
      </w:r>
      <w:r w:rsidR="00671E4C">
        <w:rPr>
          <w:color w:val="000000"/>
        </w:rPr>
        <w:t xml:space="preserve"> Decision (</w:t>
      </w:r>
      <w:r w:rsidR="00A64CCE">
        <w:rPr>
          <w:color w:val="000000"/>
        </w:rPr>
        <w:t>R</w:t>
      </w:r>
      <w:r w:rsidR="00671E4C">
        <w:rPr>
          <w:color w:val="000000"/>
        </w:rPr>
        <w:t xml:space="preserve">.D.) of Administrative Law Judge (ALJ) </w:t>
      </w:r>
      <w:r w:rsidR="002201DD">
        <w:rPr>
          <w:color w:val="000000"/>
        </w:rPr>
        <w:t>Elizabeth H. Barnes</w:t>
      </w:r>
      <w:r w:rsidR="00671E4C">
        <w:rPr>
          <w:color w:val="000000"/>
        </w:rPr>
        <w:t xml:space="preserve">, issued on </w:t>
      </w:r>
      <w:r w:rsidR="002201DD">
        <w:rPr>
          <w:color w:val="000000"/>
        </w:rPr>
        <w:t>June 24</w:t>
      </w:r>
      <w:r w:rsidR="00671E4C">
        <w:rPr>
          <w:color w:val="000000"/>
        </w:rPr>
        <w:t>,</w:t>
      </w:r>
      <w:r w:rsidR="002201DD">
        <w:rPr>
          <w:color w:val="000000"/>
        </w:rPr>
        <w:t xml:space="preserve"> 2014,</w:t>
      </w:r>
      <w:r w:rsidR="00671E4C">
        <w:rPr>
          <w:color w:val="000000"/>
        </w:rPr>
        <w:t xml:space="preserve"> in the above-captioned proceedings.  Replies to Exceptions were filed by </w:t>
      </w:r>
      <w:r w:rsidR="00C232AD">
        <w:rPr>
          <w:color w:val="000000"/>
        </w:rPr>
        <w:t>the Commission</w:t>
      </w:r>
      <w:r w:rsidR="001D074D">
        <w:rPr>
          <w:color w:val="000000"/>
        </w:rPr>
        <w:t>’</w:t>
      </w:r>
      <w:r w:rsidR="00C232AD">
        <w:rPr>
          <w:color w:val="000000"/>
        </w:rPr>
        <w:t>s Bureau of Investigation and Enforcement (</w:t>
      </w:r>
      <w:r w:rsidR="003742E1">
        <w:rPr>
          <w:color w:val="000000"/>
        </w:rPr>
        <w:t>I&amp;E</w:t>
      </w:r>
      <w:r w:rsidR="00C232AD">
        <w:rPr>
          <w:color w:val="000000"/>
        </w:rPr>
        <w:t xml:space="preserve">), </w:t>
      </w:r>
      <w:r w:rsidR="00530DEC">
        <w:rPr>
          <w:color w:val="000000"/>
        </w:rPr>
        <w:t xml:space="preserve">IECPA, National Fuel Gas Distribution </w:t>
      </w:r>
      <w:r w:rsidR="009C3528">
        <w:rPr>
          <w:color w:val="000000"/>
        </w:rPr>
        <w:t xml:space="preserve">Corporation </w:t>
      </w:r>
      <w:r w:rsidR="00530DEC">
        <w:rPr>
          <w:color w:val="000000"/>
        </w:rPr>
        <w:t xml:space="preserve">(NFG), the </w:t>
      </w:r>
      <w:r w:rsidR="00C232AD">
        <w:rPr>
          <w:color w:val="000000"/>
        </w:rPr>
        <w:t>Office of Consumer Advocate (</w:t>
      </w:r>
      <w:r w:rsidR="00530DEC">
        <w:rPr>
          <w:color w:val="000000"/>
        </w:rPr>
        <w:t>OCA</w:t>
      </w:r>
      <w:r w:rsidR="00C232AD">
        <w:rPr>
          <w:color w:val="000000"/>
        </w:rPr>
        <w:t>)</w:t>
      </w:r>
      <w:r w:rsidR="00530DEC">
        <w:rPr>
          <w:color w:val="000000"/>
        </w:rPr>
        <w:t>, the OSBA, Peoples</w:t>
      </w:r>
      <w:r w:rsidR="004F1E99">
        <w:rPr>
          <w:color w:val="000000"/>
        </w:rPr>
        <w:t>/PTWP</w:t>
      </w:r>
      <w:r w:rsidR="00530DEC">
        <w:rPr>
          <w:color w:val="000000"/>
        </w:rPr>
        <w:t xml:space="preserve">, and PSU </w:t>
      </w:r>
      <w:r w:rsidR="00671E4C">
        <w:rPr>
          <w:color w:val="000000"/>
        </w:rPr>
        <w:t xml:space="preserve">on </w:t>
      </w:r>
      <w:r w:rsidR="00530DEC">
        <w:rPr>
          <w:color w:val="000000"/>
        </w:rPr>
        <w:t xml:space="preserve">July 24, 2014. </w:t>
      </w:r>
      <w:r w:rsidR="00671E4C">
        <w:rPr>
          <w:color w:val="000000"/>
        </w:rPr>
        <w:t xml:space="preserve"> </w:t>
      </w:r>
      <w:r w:rsidR="00000A1D">
        <w:rPr>
          <w:szCs w:val="26"/>
        </w:rPr>
        <w:t>For the reasons stated</w:t>
      </w:r>
      <w:r w:rsidR="00000A1D" w:rsidRPr="00000A1D">
        <w:rPr>
          <w:i/>
          <w:szCs w:val="26"/>
        </w:rPr>
        <w:t>, infra</w:t>
      </w:r>
      <w:r w:rsidR="00000A1D">
        <w:rPr>
          <w:szCs w:val="26"/>
        </w:rPr>
        <w:t>, we shall</w:t>
      </w:r>
      <w:r w:rsidR="00000A1D" w:rsidRPr="00000A1D">
        <w:rPr>
          <w:i/>
          <w:szCs w:val="26"/>
        </w:rPr>
        <w:t>, inter alia</w:t>
      </w:r>
      <w:r w:rsidR="00000A1D">
        <w:rPr>
          <w:szCs w:val="26"/>
        </w:rPr>
        <w:t xml:space="preserve">, permit </w:t>
      </w:r>
      <w:r w:rsidR="00D12C5A">
        <w:rPr>
          <w:szCs w:val="26"/>
        </w:rPr>
        <w:t>gas-on-gas</w:t>
      </w:r>
      <w:r w:rsidR="00000A1D">
        <w:rPr>
          <w:szCs w:val="26"/>
        </w:rPr>
        <w:t xml:space="preserve"> competition to continue under specific conditions and solicit comments on </w:t>
      </w:r>
      <w:r w:rsidR="00253A25">
        <w:rPr>
          <w:szCs w:val="26"/>
        </w:rPr>
        <w:t xml:space="preserve">appropriate modifications to gas-on-gas flexible rate tariffs. </w:t>
      </w:r>
    </w:p>
    <w:p w:rsidR="00B20268" w:rsidRDefault="00B20268">
      <w:pPr>
        <w:widowControl/>
        <w:spacing w:after="200" w:line="276" w:lineRule="auto"/>
        <w:ind w:firstLine="0"/>
        <w:rPr>
          <w:szCs w:val="26"/>
        </w:rPr>
      </w:pPr>
      <w:r>
        <w:rPr>
          <w:szCs w:val="26"/>
        </w:rPr>
        <w:br w:type="page"/>
      </w:r>
    </w:p>
    <w:p w:rsidR="00D4576E" w:rsidRDefault="00D4576E" w:rsidP="00414C07">
      <w:pPr>
        <w:pStyle w:val="Heading1"/>
        <w:widowControl/>
        <w:jc w:val="center"/>
      </w:pPr>
      <w:bookmarkStart w:id="0" w:name="_Toc404013212"/>
      <w:bookmarkStart w:id="1" w:name="OLE_LINK1"/>
      <w:bookmarkStart w:id="2" w:name="OLE_LINK2"/>
      <w:r w:rsidRPr="00CA43A5">
        <w:lastRenderedPageBreak/>
        <w:t>Background</w:t>
      </w:r>
      <w:bookmarkEnd w:id="0"/>
    </w:p>
    <w:p w:rsidR="00D4576E" w:rsidRDefault="00D4576E" w:rsidP="00B43911">
      <w:pPr>
        <w:keepNext/>
        <w:keepLines/>
        <w:widowControl/>
        <w:ind w:firstLine="0"/>
        <w:jc w:val="center"/>
        <w:rPr>
          <w:b/>
          <w:szCs w:val="26"/>
        </w:rPr>
      </w:pPr>
    </w:p>
    <w:p w:rsidR="00D4576E" w:rsidRDefault="00D4576E" w:rsidP="00B43911">
      <w:pPr>
        <w:widowControl/>
        <w:rPr>
          <w:szCs w:val="23"/>
        </w:rPr>
      </w:pPr>
      <w:r>
        <w:t xml:space="preserve">As </w:t>
      </w:r>
      <w:r w:rsidR="00032BE0">
        <w:t xml:space="preserve">explained </w:t>
      </w:r>
      <w:r>
        <w:t xml:space="preserve">by the ALJ, </w:t>
      </w:r>
      <w:r w:rsidR="00FF61DC" w:rsidRPr="00F74464">
        <w:t>Columbia</w:t>
      </w:r>
      <w:r w:rsidR="00FF61DC">
        <w:t xml:space="preserve">, </w:t>
      </w:r>
      <w:r w:rsidRPr="00F74464">
        <w:t xml:space="preserve">Equitable, Peoples, and </w:t>
      </w:r>
      <w:r w:rsidR="00FF61DC">
        <w:t xml:space="preserve">Peoples TWP </w:t>
      </w:r>
      <w:r w:rsidRPr="00F74464">
        <w:t>are four natural gas distribution companies (NGDCs)</w:t>
      </w:r>
      <w:r>
        <w:t>, which distribute</w:t>
      </w:r>
      <w:r w:rsidRPr="00F74464">
        <w:t xml:space="preserve"> natural gas </w:t>
      </w:r>
      <w:r>
        <w:t>in</w:t>
      </w:r>
      <w:r w:rsidRPr="00F74464">
        <w:t xml:space="preserve"> overlapping service territories in western Pennsylvania</w:t>
      </w:r>
      <w:r w:rsidR="00B33626">
        <w:t xml:space="preserve"> </w:t>
      </w:r>
      <w:r w:rsidR="00B33626" w:rsidRPr="00F74464">
        <w:t>(collectively, Flex Rate NGDCs)</w:t>
      </w:r>
      <w:r w:rsidRPr="00F74464">
        <w:t xml:space="preserve">. </w:t>
      </w:r>
      <w:r>
        <w:t xml:space="preserve"> </w:t>
      </w:r>
      <w:r w:rsidRPr="00F74464">
        <w:t xml:space="preserve">The overlapping service territories endure as remnants of original incorporation of the predecessors of </w:t>
      </w:r>
      <w:r w:rsidR="00AC6CA9">
        <w:t xml:space="preserve">the </w:t>
      </w:r>
      <w:r w:rsidRPr="00F74464">
        <w:t>Flex Rate NGDCs</w:t>
      </w:r>
      <w:r w:rsidRPr="00F74464">
        <w:rPr>
          <w:szCs w:val="23"/>
        </w:rPr>
        <w:t xml:space="preserve"> pursuant to the Pennsylvania Natural Gas Companies Act of May 2</w:t>
      </w:r>
      <w:r>
        <w:rPr>
          <w:szCs w:val="23"/>
        </w:rPr>
        <w:t>9, 1885 (</w:t>
      </w:r>
      <w:r w:rsidRPr="00F74464">
        <w:rPr>
          <w:szCs w:val="23"/>
        </w:rPr>
        <w:t>1885 Act)</w:t>
      </w:r>
      <w:r w:rsidR="00FC27FE">
        <w:rPr>
          <w:szCs w:val="23"/>
        </w:rPr>
        <w:t>,</w:t>
      </w:r>
      <w:r w:rsidRPr="00F74464">
        <w:rPr>
          <w:szCs w:val="23"/>
        </w:rPr>
        <w:t xml:space="preserve"> and amendments and charters filed pursuant to the 1885 Act, prior to the </w:t>
      </w:r>
      <w:r w:rsidRPr="00F74464">
        <w:t xml:space="preserve">formation of the </w:t>
      </w:r>
      <w:r w:rsidRPr="00F74464">
        <w:rPr>
          <w:szCs w:val="23"/>
        </w:rPr>
        <w:t xml:space="preserve">Public Service Commission in 1913, the predecessor </w:t>
      </w:r>
      <w:r w:rsidR="00BB39D2">
        <w:rPr>
          <w:szCs w:val="23"/>
        </w:rPr>
        <w:t xml:space="preserve">agency </w:t>
      </w:r>
      <w:r w:rsidRPr="00F74464">
        <w:rPr>
          <w:szCs w:val="23"/>
        </w:rPr>
        <w:t xml:space="preserve">to the </w:t>
      </w:r>
      <w:r>
        <w:rPr>
          <w:szCs w:val="23"/>
        </w:rPr>
        <w:t>Commission</w:t>
      </w:r>
      <w:r w:rsidRPr="00F74464">
        <w:rPr>
          <w:szCs w:val="23"/>
        </w:rPr>
        <w:t xml:space="preserve">. </w:t>
      </w:r>
      <w:r>
        <w:rPr>
          <w:szCs w:val="23"/>
        </w:rPr>
        <w:t xml:space="preserve"> </w:t>
      </w:r>
      <w:r w:rsidRPr="00F74464">
        <w:rPr>
          <w:szCs w:val="23"/>
        </w:rPr>
        <w:t>The Flex Rate NGDCs</w:t>
      </w:r>
      <w:r w:rsidR="001D074D">
        <w:rPr>
          <w:szCs w:val="23"/>
        </w:rPr>
        <w:t>’</w:t>
      </w:r>
      <w:r w:rsidRPr="00F74464">
        <w:rPr>
          <w:szCs w:val="23"/>
        </w:rPr>
        <w:t xml:space="preserve"> predecessor</w:t>
      </w:r>
      <w:r w:rsidR="00BB39D2">
        <w:rPr>
          <w:szCs w:val="23"/>
        </w:rPr>
        <w:t xml:space="preserve"> companies</w:t>
      </w:r>
      <w:r w:rsidRPr="00F74464">
        <w:rPr>
          <w:szCs w:val="23"/>
        </w:rPr>
        <w:t xml:space="preserve"> began to provide local distribution in the overlapping areas in the late 1800s </w:t>
      </w:r>
      <w:r w:rsidR="00FC27FE">
        <w:rPr>
          <w:szCs w:val="23"/>
        </w:rPr>
        <w:t xml:space="preserve">to </w:t>
      </w:r>
      <w:r>
        <w:rPr>
          <w:szCs w:val="23"/>
        </w:rPr>
        <w:t>early </w:t>
      </w:r>
      <w:r w:rsidRPr="00F74464">
        <w:rPr>
          <w:szCs w:val="23"/>
        </w:rPr>
        <w:t xml:space="preserve">1900s, and the </w:t>
      </w:r>
      <w:r w:rsidRPr="00F74464">
        <w:t>Flex Rate NGDCs</w:t>
      </w:r>
      <w:r w:rsidRPr="00F74464">
        <w:rPr>
          <w:szCs w:val="23"/>
        </w:rPr>
        <w:t xml:space="preserve"> continue to do so today.</w:t>
      </w:r>
      <w:r w:rsidR="00FF61DC">
        <w:rPr>
          <w:szCs w:val="23"/>
        </w:rPr>
        <w:t xml:space="preserve">  </w:t>
      </w:r>
      <w:proofErr w:type="gramStart"/>
      <w:r w:rsidR="00FF61DC">
        <w:rPr>
          <w:szCs w:val="23"/>
        </w:rPr>
        <w:t>R.D. at 2.</w:t>
      </w:r>
      <w:proofErr w:type="gramEnd"/>
    </w:p>
    <w:p w:rsidR="00FF61DC" w:rsidRPr="00F74464" w:rsidRDefault="00FF61DC" w:rsidP="00B43911">
      <w:pPr>
        <w:widowControl/>
        <w:rPr>
          <w:szCs w:val="23"/>
        </w:rPr>
      </w:pPr>
    </w:p>
    <w:p w:rsidR="00032BE0" w:rsidRDefault="00FF61DC" w:rsidP="00B43911">
      <w:pPr>
        <w:widowControl/>
        <w:rPr>
          <w:szCs w:val="23"/>
        </w:rPr>
      </w:pPr>
      <w:r w:rsidRPr="00FF61DC">
        <w:t>OCA witness</w:t>
      </w:r>
      <w:r>
        <w:t xml:space="preserve"> </w:t>
      </w:r>
      <w:r w:rsidR="00DA666E">
        <w:t xml:space="preserve">Glen A. </w:t>
      </w:r>
      <w:r w:rsidR="00D63CE1">
        <w:t>Watkins testified that</w:t>
      </w:r>
      <w:r w:rsidR="00E8276B">
        <w:t xml:space="preserve"> in many instances, the Flex Rate NGDCs are in such close proximity to various commercial and industrial customers that it is feasible for the customer to be served by more than one NGDC. </w:t>
      </w:r>
      <w:r w:rsidR="00714396">
        <w:t xml:space="preserve"> </w:t>
      </w:r>
      <w:proofErr w:type="gramStart"/>
      <w:r w:rsidR="00032BE0">
        <w:t>OCA St</w:t>
      </w:r>
      <w:r w:rsidR="00695858">
        <w:t>.</w:t>
      </w:r>
      <w:r w:rsidR="004F1E99">
        <w:t xml:space="preserve"> </w:t>
      </w:r>
      <w:r w:rsidR="00032BE0">
        <w:t>1 at 3.</w:t>
      </w:r>
      <w:proofErr w:type="gramEnd"/>
      <w:r w:rsidR="00032BE0">
        <w:t xml:space="preserve">  </w:t>
      </w:r>
      <w:r w:rsidR="00032BE0" w:rsidRPr="00F74464">
        <w:rPr>
          <w:szCs w:val="23"/>
        </w:rPr>
        <w:t xml:space="preserve">The practice of providing natural gas distribution to overlapping service territories is commonly referred to as </w:t>
      </w:r>
      <w:r w:rsidR="001D074D">
        <w:rPr>
          <w:szCs w:val="23"/>
        </w:rPr>
        <w:t>“</w:t>
      </w:r>
      <w:r w:rsidR="00032BE0" w:rsidRPr="00F74464">
        <w:rPr>
          <w:szCs w:val="23"/>
        </w:rPr>
        <w:t>gas-on-gas competition.</w:t>
      </w:r>
      <w:r w:rsidR="001D074D">
        <w:rPr>
          <w:szCs w:val="23"/>
        </w:rPr>
        <w:t>”</w:t>
      </w:r>
      <w:r w:rsidR="00032BE0">
        <w:rPr>
          <w:szCs w:val="23"/>
        </w:rPr>
        <w:t xml:space="preserve">  </w:t>
      </w:r>
      <w:proofErr w:type="gramStart"/>
      <w:r w:rsidR="00032BE0">
        <w:rPr>
          <w:szCs w:val="23"/>
        </w:rPr>
        <w:t>R.D. at 2.</w:t>
      </w:r>
      <w:proofErr w:type="gramEnd"/>
      <w:r w:rsidR="00032BE0" w:rsidRPr="00F74464">
        <w:rPr>
          <w:szCs w:val="23"/>
        </w:rPr>
        <w:t xml:space="preserve"> </w:t>
      </w:r>
      <w:r w:rsidR="00032BE0">
        <w:rPr>
          <w:szCs w:val="23"/>
        </w:rPr>
        <w:t xml:space="preserve"> The ALJ explained that t</w:t>
      </w:r>
      <w:r w:rsidR="00032BE0" w:rsidRPr="00F74464">
        <w:rPr>
          <w:szCs w:val="23"/>
        </w:rPr>
        <w:t xml:space="preserve">he Commission approves the maximum rates, fees and other charges that </w:t>
      </w:r>
      <w:r w:rsidR="00BB39D2">
        <w:rPr>
          <w:szCs w:val="23"/>
        </w:rPr>
        <w:t>t</w:t>
      </w:r>
      <w:r w:rsidR="00253A25">
        <w:rPr>
          <w:szCs w:val="23"/>
        </w:rPr>
        <w:t xml:space="preserve">he Flex Rate </w:t>
      </w:r>
      <w:r w:rsidR="00032BE0" w:rsidRPr="00F74464">
        <w:rPr>
          <w:szCs w:val="23"/>
        </w:rPr>
        <w:t xml:space="preserve">NGDCs charge for natural gas distribution. </w:t>
      </w:r>
      <w:r w:rsidR="00032BE0">
        <w:rPr>
          <w:szCs w:val="23"/>
        </w:rPr>
        <w:t xml:space="preserve"> </w:t>
      </w:r>
      <w:r w:rsidR="00032BE0" w:rsidRPr="00F74464">
        <w:rPr>
          <w:szCs w:val="23"/>
        </w:rPr>
        <w:t xml:space="preserve">The </w:t>
      </w:r>
      <w:r w:rsidR="00032BE0">
        <w:rPr>
          <w:szCs w:val="23"/>
        </w:rPr>
        <w:t xml:space="preserve">ALJ </w:t>
      </w:r>
      <w:r w:rsidR="00FC27FE">
        <w:rPr>
          <w:szCs w:val="23"/>
        </w:rPr>
        <w:t xml:space="preserve">further explained </w:t>
      </w:r>
      <w:r w:rsidR="00032BE0">
        <w:rPr>
          <w:szCs w:val="23"/>
        </w:rPr>
        <w:t xml:space="preserve">that the </w:t>
      </w:r>
      <w:r w:rsidR="00032BE0" w:rsidRPr="00F74464">
        <w:rPr>
          <w:szCs w:val="23"/>
        </w:rPr>
        <w:t>practice of gas-on-gas competition allows</w:t>
      </w:r>
      <w:r w:rsidR="00253A25">
        <w:rPr>
          <w:szCs w:val="23"/>
        </w:rPr>
        <w:t xml:space="preserve"> the Flex Rate </w:t>
      </w:r>
      <w:r w:rsidR="00032BE0" w:rsidRPr="00F74464">
        <w:rPr>
          <w:szCs w:val="23"/>
        </w:rPr>
        <w:t>NGDCs to negotiate distribution rates with individual nonresidential customers</w:t>
      </w:r>
      <w:r w:rsidR="00627072">
        <w:rPr>
          <w:szCs w:val="23"/>
        </w:rPr>
        <w:t xml:space="preserve"> (flex customers) </w:t>
      </w:r>
      <w:r w:rsidR="00032BE0" w:rsidRPr="00F74464">
        <w:rPr>
          <w:szCs w:val="23"/>
        </w:rPr>
        <w:t xml:space="preserve">that are below the approved maximum tariff rate established by the Commission. </w:t>
      </w:r>
      <w:r w:rsidR="00032BE0">
        <w:rPr>
          <w:szCs w:val="23"/>
        </w:rPr>
        <w:t xml:space="preserve"> </w:t>
      </w:r>
      <w:r w:rsidR="00351E8A">
        <w:rPr>
          <w:szCs w:val="23"/>
        </w:rPr>
        <w:t xml:space="preserve">The ALJ stated that </w:t>
      </w:r>
      <w:r w:rsidR="00032BE0" w:rsidRPr="00F74464">
        <w:rPr>
          <w:szCs w:val="23"/>
        </w:rPr>
        <w:t xml:space="preserve">Flex Rate NGDCs are incentivized, with Commission approval, to compete for </w:t>
      </w:r>
      <w:r w:rsidR="00627072">
        <w:rPr>
          <w:szCs w:val="23"/>
        </w:rPr>
        <w:t xml:space="preserve">flex customers </w:t>
      </w:r>
      <w:r w:rsidR="00032BE0" w:rsidRPr="00F74464">
        <w:rPr>
          <w:szCs w:val="23"/>
        </w:rPr>
        <w:t xml:space="preserve">by offering </w:t>
      </w:r>
      <w:r w:rsidR="00627072">
        <w:rPr>
          <w:szCs w:val="23"/>
        </w:rPr>
        <w:t xml:space="preserve">them </w:t>
      </w:r>
      <w:r w:rsidR="00032BE0" w:rsidRPr="00F74464">
        <w:rPr>
          <w:szCs w:val="23"/>
        </w:rPr>
        <w:t>natural gas distribution at prices less than the approved maximum tariff rate.</w:t>
      </w:r>
      <w:r w:rsidR="00351E8A">
        <w:rPr>
          <w:szCs w:val="23"/>
        </w:rPr>
        <w:t xml:space="preserve">  The ALJ noted that </w:t>
      </w:r>
      <w:r w:rsidR="00032BE0" w:rsidRPr="00F74464">
        <w:rPr>
          <w:szCs w:val="23"/>
        </w:rPr>
        <w:t>Flex Rate NGDCs also compete in terms of quality of service and by offering other incentives.</w:t>
      </w:r>
      <w:r w:rsidR="00351E8A">
        <w:rPr>
          <w:szCs w:val="23"/>
        </w:rPr>
        <w:t xml:space="preserve">  </w:t>
      </w:r>
      <w:proofErr w:type="gramStart"/>
      <w:r w:rsidR="00351E8A">
        <w:rPr>
          <w:szCs w:val="23"/>
        </w:rPr>
        <w:t xml:space="preserve">R.D. at </w:t>
      </w:r>
      <w:r w:rsidR="00666026">
        <w:rPr>
          <w:szCs w:val="23"/>
        </w:rPr>
        <w:t>2.</w:t>
      </w:r>
      <w:proofErr w:type="gramEnd"/>
    </w:p>
    <w:p w:rsidR="004F1E99" w:rsidRDefault="004F1E99" w:rsidP="00B43911">
      <w:pPr>
        <w:widowControl/>
        <w:rPr>
          <w:szCs w:val="23"/>
        </w:rPr>
      </w:pPr>
    </w:p>
    <w:p w:rsidR="004F1E99" w:rsidRDefault="004F1E99" w:rsidP="00B43911">
      <w:pPr>
        <w:widowControl/>
        <w:rPr>
          <w:szCs w:val="23"/>
        </w:rPr>
      </w:pPr>
      <w:r>
        <w:rPr>
          <w:szCs w:val="23"/>
        </w:rPr>
        <w:lastRenderedPageBreak/>
        <w:t xml:space="preserve">Peoples/PTWP witness Gregorini </w:t>
      </w:r>
      <w:r w:rsidR="003E0999">
        <w:rPr>
          <w:szCs w:val="23"/>
        </w:rPr>
        <w:t xml:space="preserve">explained that delivery rate discounts are offered to customers on a case-by-case basis.  He stated that the goal is to maximize the delivery rate charged to the customer without risking the net benefits a customer provides to the </w:t>
      </w:r>
      <w:r w:rsidR="00492567">
        <w:rPr>
          <w:szCs w:val="23"/>
        </w:rPr>
        <w:t>NGDC.</w:t>
      </w:r>
      <w:r w:rsidR="003E0999">
        <w:rPr>
          <w:szCs w:val="23"/>
        </w:rPr>
        <w:t xml:space="preserve">  He noted that since there is no published floor o</w:t>
      </w:r>
      <w:r w:rsidR="00253A25">
        <w:rPr>
          <w:szCs w:val="23"/>
        </w:rPr>
        <w:t>n</w:t>
      </w:r>
      <w:r w:rsidR="003E0999">
        <w:rPr>
          <w:szCs w:val="23"/>
        </w:rPr>
        <w:t xml:space="preserve"> </w:t>
      </w:r>
      <w:r w:rsidR="00253A25">
        <w:rPr>
          <w:szCs w:val="23"/>
        </w:rPr>
        <w:t xml:space="preserve">the </w:t>
      </w:r>
      <w:r w:rsidR="003E0999">
        <w:rPr>
          <w:szCs w:val="23"/>
        </w:rPr>
        <w:t xml:space="preserve">flex rate </w:t>
      </w:r>
      <w:r w:rsidR="00492567">
        <w:rPr>
          <w:szCs w:val="23"/>
        </w:rPr>
        <w:t xml:space="preserve">of a competing NGDC, a NGDC </w:t>
      </w:r>
      <w:r w:rsidR="003E0999">
        <w:rPr>
          <w:szCs w:val="23"/>
        </w:rPr>
        <w:t>does not always</w:t>
      </w:r>
      <w:r w:rsidR="00492567">
        <w:rPr>
          <w:szCs w:val="23"/>
        </w:rPr>
        <w:t xml:space="preserve"> know the discounted rate that a competing NGDC is willing to offer</w:t>
      </w:r>
      <w:r w:rsidR="007F62B3">
        <w:rPr>
          <w:szCs w:val="23"/>
        </w:rPr>
        <w:t>.  Peoples/PTWP St. 1 at 9-10.</w:t>
      </w:r>
    </w:p>
    <w:p w:rsidR="00666026" w:rsidRPr="00F74464" w:rsidRDefault="00666026" w:rsidP="00B43911">
      <w:pPr>
        <w:widowControl/>
        <w:rPr>
          <w:szCs w:val="23"/>
        </w:rPr>
      </w:pPr>
    </w:p>
    <w:p w:rsidR="00627072" w:rsidRDefault="00714396" w:rsidP="00B43911">
      <w:pPr>
        <w:widowControl/>
      </w:pPr>
      <w:r>
        <w:rPr>
          <w:szCs w:val="26"/>
        </w:rPr>
        <w:t xml:space="preserve">Mr. Watkins </w:t>
      </w:r>
      <w:r w:rsidR="00034F1D">
        <w:rPr>
          <w:szCs w:val="26"/>
        </w:rPr>
        <w:t xml:space="preserve">testified </w:t>
      </w:r>
      <w:r>
        <w:rPr>
          <w:szCs w:val="26"/>
        </w:rPr>
        <w:t>that</w:t>
      </w:r>
      <w:r w:rsidR="00627072" w:rsidRPr="00627072">
        <w:t xml:space="preserve"> </w:t>
      </w:r>
      <w:r w:rsidR="00F3486A">
        <w:t>r</w:t>
      </w:r>
      <w:r w:rsidR="00627072" w:rsidRPr="00F74464">
        <w:t xml:space="preserve">evenue shortfalls result from </w:t>
      </w:r>
      <w:r w:rsidR="00253A25">
        <w:t xml:space="preserve">the </w:t>
      </w:r>
      <w:r w:rsidR="00627072" w:rsidRPr="00F74464">
        <w:t>Flex Rate NGDCs providing service</w:t>
      </w:r>
      <w:r w:rsidR="00FC27FE">
        <w:t xml:space="preserve">, which </w:t>
      </w:r>
      <w:r w:rsidR="00FC27FE" w:rsidRPr="00F74464">
        <w:t>is discounted relative to the full tariff rate</w:t>
      </w:r>
      <w:r w:rsidR="00FC27FE">
        <w:t>,</w:t>
      </w:r>
      <w:r w:rsidR="00627072" w:rsidRPr="00F74464">
        <w:t xml:space="preserve"> </w:t>
      </w:r>
      <w:r w:rsidR="00F3486A">
        <w:t>to</w:t>
      </w:r>
      <w:r w:rsidR="00627072" w:rsidRPr="00F74464">
        <w:t xml:space="preserve"> flex customers. </w:t>
      </w:r>
      <w:r w:rsidR="00627072">
        <w:t xml:space="preserve"> </w:t>
      </w:r>
      <w:r w:rsidR="00F3486A">
        <w:t>He stated that</w:t>
      </w:r>
      <w:r w:rsidR="00FC27FE">
        <w:t>, historically,</w:t>
      </w:r>
      <w:r w:rsidR="00F3486A">
        <w:t xml:space="preserve"> each NGDC has been allowed to recover the revenue shortfalls from </w:t>
      </w:r>
      <w:r w:rsidR="00FC27FE">
        <w:t xml:space="preserve">those </w:t>
      </w:r>
      <w:r w:rsidR="00F3486A">
        <w:t xml:space="preserve">captive customers </w:t>
      </w:r>
      <w:r w:rsidR="00FC27FE">
        <w:t xml:space="preserve">who </w:t>
      </w:r>
      <w:r w:rsidR="00362A4B">
        <w:t xml:space="preserve">are not offered discounts </w:t>
      </w:r>
      <w:r w:rsidR="00F3486A">
        <w:t xml:space="preserve">through the ratemaking process. </w:t>
      </w:r>
      <w:proofErr w:type="gramStart"/>
      <w:r w:rsidR="00362A4B">
        <w:t>OCA St. 1 at 3.</w:t>
      </w:r>
      <w:proofErr w:type="gramEnd"/>
      <w:r w:rsidR="00362A4B">
        <w:t xml:space="preserve"> </w:t>
      </w:r>
      <w:r w:rsidR="00DA666E">
        <w:t xml:space="preserve"> From data supplied through interrogatories, OSBA witness Robert B. Knecht testified that the four F</w:t>
      </w:r>
      <w:r w:rsidR="009F49B3">
        <w:t>lex</w:t>
      </w:r>
      <w:r w:rsidR="00DA666E">
        <w:t xml:space="preserve"> Rate NGDCs </w:t>
      </w:r>
      <w:r w:rsidR="009252F7">
        <w:t>provide discounts to 401 customers utilizing 15.8 Bcf per year of gas</w:t>
      </w:r>
      <w:r w:rsidR="00FC27FE">
        <w:t>, result</w:t>
      </w:r>
      <w:r w:rsidR="00414C07">
        <w:t>ing</w:t>
      </w:r>
      <w:r w:rsidR="00FC27FE">
        <w:t xml:space="preserve"> in a </w:t>
      </w:r>
      <w:r w:rsidR="009252F7">
        <w:t>revenue shortfall of $19.0 million.</w:t>
      </w:r>
      <w:r w:rsidR="009252F7">
        <w:rPr>
          <w:rStyle w:val="FootnoteReference"/>
        </w:rPr>
        <w:footnoteReference w:id="2"/>
      </w:r>
      <w:r w:rsidR="009252F7">
        <w:t xml:space="preserve"> </w:t>
      </w:r>
      <w:r w:rsidR="00C232AD">
        <w:t xml:space="preserve"> </w:t>
      </w:r>
      <w:r w:rsidR="009252F7">
        <w:t xml:space="preserve">OSBA St. 1 at 5.  </w:t>
      </w:r>
    </w:p>
    <w:p w:rsidR="00530DEC" w:rsidRDefault="00530DEC" w:rsidP="00B43911">
      <w:pPr>
        <w:widowControl/>
      </w:pPr>
    </w:p>
    <w:p w:rsidR="00E75047" w:rsidRDefault="00E75047" w:rsidP="00B43911">
      <w:pPr>
        <w:widowControl/>
      </w:pPr>
      <w:r>
        <w:t xml:space="preserve">Mr. Knecht pointed out that much of the gas-on-gas competition takes place between companies that </w:t>
      </w:r>
      <w:r w:rsidR="003E1F53">
        <w:t>have merged or are proposing to merge.</w:t>
      </w:r>
      <w:r w:rsidR="003E1F53">
        <w:rPr>
          <w:rStyle w:val="FootnoteReference"/>
        </w:rPr>
        <w:footnoteReference w:id="3"/>
      </w:r>
      <w:r w:rsidR="003E1F53">
        <w:t xml:space="preserve">  Mr. Knecht observed that Peoples and Peoples TWP are affiliates and </w:t>
      </w:r>
      <w:r w:rsidR="00B735FA">
        <w:t xml:space="preserve">the </w:t>
      </w:r>
      <w:r w:rsidR="003E1F53">
        <w:t xml:space="preserve">merger of Equitable with Peoples </w:t>
      </w:r>
      <w:r w:rsidR="00B735FA">
        <w:t xml:space="preserve">was pending (and subsequently has been consummated). </w:t>
      </w:r>
      <w:r w:rsidR="003E1F53">
        <w:t xml:space="preserve"> </w:t>
      </w:r>
      <w:r w:rsidR="00B735FA">
        <w:t>Mr. Knecht aver</w:t>
      </w:r>
      <w:r w:rsidR="00253A25">
        <w:t>red</w:t>
      </w:r>
      <w:r w:rsidR="00B735FA">
        <w:t xml:space="preserve"> that if gas-</w:t>
      </w:r>
      <w:r w:rsidR="00B735FA">
        <w:lastRenderedPageBreak/>
        <w:t xml:space="preserve">on-gas discounting among these three affiliates were eliminated, flex rates for gas-on-gas competition would be limited to </w:t>
      </w:r>
      <w:r w:rsidR="001D074D">
        <w:t>“</w:t>
      </w:r>
      <w:r w:rsidR="00B735FA">
        <w:t>74 customers, 4.9</w:t>
      </w:r>
      <w:r w:rsidR="00340C53">
        <w:t xml:space="preserve"> </w:t>
      </w:r>
      <w:r w:rsidR="00B735FA">
        <w:t>Bcf per year and $4.3 million.</w:t>
      </w:r>
      <w:r w:rsidR="001D074D">
        <w:t>”</w:t>
      </w:r>
      <w:r w:rsidR="00340C53">
        <w:t xml:space="preserve"> OSBA St. </w:t>
      </w:r>
      <w:r w:rsidR="003742E1">
        <w:t>1</w:t>
      </w:r>
      <w:r w:rsidR="00340C53">
        <w:t xml:space="preserve"> at</w:t>
      </w:r>
      <w:r w:rsidR="009A17A9">
        <w:t xml:space="preserve"> 6.  However, he explained that </w:t>
      </w:r>
      <w:r w:rsidR="00340C53">
        <w:t>as a condition of the mergers, the NGDCs have agreed to extend the flex rate discounts at least through December 31, 2016, for the Peoples/Peoples TWP merger and at least through December 31, 2018, for the merger of Equitable with Peoples</w:t>
      </w:r>
      <w:r w:rsidR="00340C53" w:rsidRPr="00FB3E18">
        <w:rPr>
          <w:i/>
        </w:rPr>
        <w:t xml:space="preserve">.  </w:t>
      </w:r>
      <w:r w:rsidR="00FB3E18" w:rsidRPr="00FB3E18">
        <w:rPr>
          <w:i/>
        </w:rPr>
        <w:t>Id</w:t>
      </w:r>
      <w:r w:rsidR="00AC6CA9">
        <w:rPr>
          <w:i/>
        </w:rPr>
        <w:t>.</w:t>
      </w:r>
      <w:r>
        <w:t xml:space="preserve"> </w:t>
      </w:r>
    </w:p>
    <w:p w:rsidR="00051322" w:rsidRDefault="00051322" w:rsidP="00B43911">
      <w:pPr>
        <w:widowControl/>
      </w:pPr>
    </w:p>
    <w:p w:rsidR="00051322" w:rsidRDefault="00051322" w:rsidP="00B43911">
      <w:pPr>
        <w:widowControl/>
        <w:rPr>
          <w:rFonts w:eastAsiaTheme="minorHAnsi"/>
        </w:rPr>
      </w:pPr>
      <w:r>
        <w:rPr>
          <w:rFonts w:eastAsiaTheme="minorHAnsi"/>
        </w:rPr>
        <w:t xml:space="preserve">In several recent NGDC proceedings, the statutory parties and the NGDCs have agreed that gas-on-gas competition issues should be uniformly resolved on a state-wide basis through a generic investigation or rulemaking.  </w:t>
      </w:r>
      <w:proofErr w:type="gramStart"/>
      <w:r>
        <w:rPr>
          <w:rFonts w:eastAsiaTheme="minorHAnsi"/>
        </w:rPr>
        <w:t>The Settlement of Peoples</w:t>
      </w:r>
      <w:r w:rsidR="001D074D">
        <w:rPr>
          <w:rFonts w:eastAsiaTheme="minorHAnsi"/>
        </w:rPr>
        <w:t>’</w:t>
      </w:r>
      <w:r>
        <w:rPr>
          <w:rFonts w:eastAsiaTheme="minorHAnsi"/>
        </w:rPr>
        <w:t xml:space="preserve"> base rate proceeding at Docket No.</w:t>
      </w:r>
      <w:proofErr w:type="gramEnd"/>
      <w:r>
        <w:rPr>
          <w:rFonts w:eastAsiaTheme="minorHAnsi"/>
        </w:rPr>
        <w:t xml:space="preserve"> R-2010-201702 (Peoples Settlement) provides as follows:</w:t>
      </w:r>
    </w:p>
    <w:p w:rsidR="00051322" w:rsidRDefault="00051322" w:rsidP="00B43911">
      <w:pPr>
        <w:widowControl/>
        <w:spacing w:line="240" w:lineRule="auto"/>
        <w:rPr>
          <w:rFonts w:eastAsiaTheme="minorHAnsi"/>
        </w:rPr>
      </w:pPr>
    </w:p>
    <w:p w:rsidR="00051322" w:rsidRDefault="009763AD" w:rsidP="00B43911">
      <w:pPr>
        <w:widowControl/>
        <w:spacing w:line="240" w:lineRule="auto"/>
        <w:ind w:left="1440" w:right="1440" w:firstLine="720"/>
        <w:rPr>
          <w:rFonts w:eastAsiaTheme="minorHAnsi"/>
        </w:rPr>
      </w:pPr>
      <w:r>
        <w:rPr>
          <w:rFonts w:eastAsiaTheme="minorHAnsi"/>
        </w:rPr>
        <w:t>[I&amp;E]</w:t>
      </w:r>
      <w:r w:rsidR="00051322">
        <w:rPr>
          <w:rFonts w:eastAsiaTheme="minorHAnsi"/>
        </w:rPr>
        <w:t>, OCA, OSBA, and Peoples agree to request, by separate filing made within 60 days of the Commission</w:t>
      </w:r>
      <w:r w:rsidR="001D074D">
        <w:rPr>
          <w:rFonts w:eastAsiaTheme="minorHAnsi"/>
        </w:rPr>
        <w:t>’</w:t>
      </w:r>
      <w:r w:rsidR="00051322">
        <w:rPr>
          <w:rFonts w:eastAsiaTheme="minorHAnsi"/>
        </w:rPr>
        <w:t xml:space="preserve">s approval of this Settlement, that the Commission (a) initiate within six months of such request a generic investigation or rulemaking to address whether NGDC to NGDC competition should be permitted to continue and, if permitted to continue, under what circumstances it will be considered appropriate, and (b) proceed expeditiously to conclude such investigation or rulemaking.  Other parties reserve the right to challenge the necessity for any such investigation or rulemaking. </w:t>
      </w:r>
    </w:p>
    <w:p w:rsidR="00051322" w:rsidRDefault="00051322" w:rsidP="00B43911">
      <w:pPr>
        <w:widowControl/>
        <w:ind w:left="1440" w:right="1440" w:firstLine="720"/>
        <w:rPr>
          <w:rFonts w:eastAsiaTheme="minorHAnsi"/>
        </w:rPr>
      </w:pPr>
    </w:p>
    <w:p w:rsidR="00051322" w:rsidRDefault="00051322" w:rsidP="00B43911">
      <w:pPr>
        <w:widowControl/>
        <w:ind w:firstLine="0"/>
        <w:rPr>
          <w:rFonts w:eastAsiaTheme="minorHAnsi"/>
        </w:rPr>
      </w:pPr>
      <w:proofErr w:type="gramStart"/>
      <w:r>
        <w:rPr>
          <w:rFonts w:eastAsiaTheme="minorHAnsi"/>
        </w:rPr>
        <w:t>Peoples Settlement at 7.</w:t>
      </w:r>
      <w:proofErr w:type="gramEnd"/>
      <w:r>
        <w:rPr>
          <w:rFonts w:eastAsiaTheme="minorHAnsi"/>
        </w:rPr>
        <w:t xml:space="preserve">  The Peoples Settlement was approved by Order of the Commission entered June 9, 2011.</w:t>
      </w:r>
    </w:p>
    <w:p w:rsidR="00051322" w:rsidRDefault="00051322" w:rsidP="00B43911">
      <w:pPr>
        <w:widowControl/>
        <w:ind w:firstLine="0"/>
        <w:rPr>
          <w:rFonts w:eastAsiaTheme="minorHAnsi"/>
        </w:rPr>
      </w:pPr>
    </w:p>
    <w:p w:rsidR="00051322" w:rsidRDefault="00051322" w:rsidP="00B43911">
      <w:pPr>
        <w:widowControl/>
        <w:rPr>
          <w:rFonts w:eastAsiaTheme="minorHAnsi"/>
        </w:rPr>
      </w:pPr>
      <w:r>
        <w:rPr>
          <w:rFonts w:eastAsiaTheme="minorHAnsi"/>
        </w:rPr>
        <w:t>Various parties also agreed to request a generic investigation concerning gas-on-gas competition in the Settlements of: (a) Equitable</w:t>
      </w:r>
      <w:r w:rsidR="001D074D">
        <w:rPr>
          <w:rFonts w:eastAsiaTheme="minorHAnsi"/>
        </w:rPr>
        <w:t>’</w:t>
      </w:r>
      <w:r>
        <w:rPr>
          <w:rFonts w:eastAsiaTheme="minorHAnsi"/>
        </w:rPr>
        <w:t xml:space="preserve">s base rate proceeding at Docket No. </w:t>
      </w:r>
      <w:proofErr w:type="gramStart"/>
      <w:r>
        <w:rPr>
          <w:rFonts w:eastAsiaTheme="minorHAnsi"/>
        </w:rPr>
        <w:t>R-2008-2029325; (b) Columbia</w:t>
      </w:r>
      <w:r w:rsidR="001D074D">
        <w:rPr>
          <w:rFonts w:eastAsiaTheme="minorHAnsi"/>
        </w:rPr>
        <w:t>’</w:t>
      </w:r>
      <w:r>
        <w:rPr>
          <w:rFonts w:eastAsiaTheme="minorHAnsi"/>
        </w:rPr>
        <w:t>s base rate proceeding at Docket No.</w:t>
      </w:r>
      <w:proofErr w:type="gramEnd"/>
      <w:r>
        <w:rPr>
          <w:rFonts w:eastAsiaTheme="minorHAnsi"/>
        </w:rPr>
        <w:t xml:space="preserve"> R</w:t>
      </w:r>
      <w:r w:rsidR="00414C07">
        <w:rPr>
          <w:rFonts w:eastAsiaTheme="minorHAnsi"/>
        </w:rPr>
        <w:noBreakHyphen/>
      </w:r>
      <w:r>
        <w:rPr>
          <w:rFonts w:eastAsiaTheme="minorHAnsi"/>
        </w:rPr>
        <w:t xml:space="preserve">2010-2215623; and (c) the Application proceeding at Docket No. A-2010-2210326, </w:t>
      </w:r>
      <w:r>
        <w:rPr>
          <w:rFonts w:eastAsiaTheme="minorHAnsi"/>
        </w:rPr>
        <w:lastRenderedPageBreak/>
        <w:t>involving the acquisition of T. W. Phillips Gas and Oil Co. by LDC Holdings II LLC, an indirect subsidiary of Steel River Infrastructure Fund North America.</w:t>
      </w:r>
    </w:p>
    <w:p w:rsidR="00B20268" w:rsidRDefault="00B20268">
      <w:pPr>
        <w:widowControl/>
        <w:spacing w:after="200" w:line="276" w:lineRule="auto"/>
        <w:ind w:firstLine="0"/>
      </w:pPr>
      <w:r>
        <w:br w:type="page"/>
      </w:r>
    </w:p>
    <w:p w:rsidR="00CA43A5" w:rsidRDefault="00CA43A5" w:rsidP="000170AA">
      <w:pPr>
        <w:pStyle w:val="Heading1"/>
        <w:widowControl/>
        <w:jc w:val="center"/>
      </w:pPr>
      <w:bookmarkStart w:id="3" w:name="_Toc404013213"/>
      <w:r w:rsidRPr="00CA43A5">
        <w:lastRenderedPageBreak/>
        <w:t>History of the Proceeding</w:t>
      </w:r>
      <w:bookmarkEnd w:id="3"/>
    </w:p>
    <w:p w:rsidR="00D97765" w:rsidRPr="00CA43A5" w:rsidRDefault="00D97765" w:rsidP="000170AA">
      <w:pPr>
        <w:keepNext/>
        <w:keepLines/>
        <w:widowControl/>
        <w:ind w:firstLine="0"/>
        <w:jc w:val="center"/>
        <w:rPr>
          <w:b/>
          <w:szCs w:val="26"/>
        </w:rPr>
      </w:pPr>
    </w:p>
    <w:bookmarkEnd w:id="1"/>
    <w:bookmarkEnd w:id="2"/>
    <w:p w:rsidR="00EC009C" w:rsidRDefault="000B3DC1" w:rsidP="00B43911">
      <w:pPr>
        <w:widowControl/>
        <w:rPr>
          <w:rFonts w:eastAsiaTheme="minorHAnsi"/>
        </w:rPr>
      </w:pPr>
      <w:r>
        <w:rPr>
          <w:rFonts w:eastAsiaTheme="minorHAnsi"/>
        </w:rPr>
        <w:t xml:space="preserve">On December 8, 2011, </w:t>
      </w:r>
      <w:r w:rsidR="009763AD">
        <w:t>I&amp;E</w:t>
      </w:r>
      <w:r>
        <w:t>, the OCA, the OSBA, Peoples and PTWP (together Joint Petitioners) jointly filed a Petition (Petition) in which they requested the Commission institute an investigation or rulemaking proceeding to address distribution base rate discounting among NGDCs with overlapping service territories.</w:t>
      </w:r>
    </w:p>
    <w:p w:rsidR="00EC009C" w:rsidRDefault="00EC009C" w:rsidP="00B43911">
      <w:pPr>
        <w:widowControl/>
        <w:rPr>
          <w:rFonts w:eastAsiaTheme="minorHAnsi"/>
        </w:rPr>
      </w:pPr>
    </w:p>
    <w:p w:rsidR="00823112" w:rsidRPr="00F74464" w:rsidRDefault="00823112" w:rsidP="00B43911">
      <w:pPr>
        <w:widowControl/>
      </w:pPr>
      <w:r>
        <w:t>On December 28, 2011, IECPA filed an Answer to the Petition wherein it did not oppose an investigation or rulemaking r</w:t>
      </w:r>
      <w:r w:rsidR="003742E1">
        <w:t>egarding gas-on-gas competition</w:t>
      </w:r>
      <w:r>
        <w:t xml:space="preserve"> and asserted that current public policy supports the continued use of customer-specific discount rates based on overlapping NGDC service territories.  </w:t>
      </w:r>
      <w:r w:rsidRPr="00F74464">
        <w:t xml:space="preserve">Columbia filed a </w:t>
      </w:r>
      <w:r w:rsidR="0016713F">
        <w:t>P</w:t>
      </w:r>
      <w:r w:rsidRPr="00F74464">
        <w:t xml:space="preserve">etition to </w:t>
      </w:r>
      <w:r w:rsidR="0016713F">
        <w:t>I</w:t>
      </w:r>
      <w:r w:rsidRPr="00F74464">
        <w:t>ntervene on March 19, 2012.</w:t>
      </w:r>
    </w:p>
    <w:p w:rsidR="00823112" w:rsidRDefault="00823112" w:rsidP="00B43911">
      <w:pPr>
        <w:widowControl/>
        <w:rPr>
          <w:rFonts w:eastAsiaTheme="minorHAnsi"/>
        </w:rPr>
      </w:pPr>
    </w:p>
    <w:p w:rsidR="00823112" w:rsidRPr="00F74464" w:rsidRDefault="00823112" w:rsidP="00B43911">
      <w:pPr>
        <w:widowControl/>
      </w:pPr>
      <w:r w:rsidRPr="00F74464">
        <w:t xml:space="preserve">On July 25, 2012, the Commission issued a Secretarial Letter </w:t>
      </w:r>
      <w:r>
        <w:t>at Docket No. P</w:t>
      </w:r>
      <w:r w:rsidR="00A51CF6">
        <w:noBreakHyphen/>
      </w:r>
      <w:r>
        <w:t>2011</w:t>
      </w:r>
      <w:r w:rsidR="00A51CF6">
        <w:noBreakHyphen/>
      </w:r>
      <w:r>
        <w:t xml:space="preserve">2277868 </w:t>
      </w:r>
      <w:r w:rsidRPr="00F74464">
        <w:t>directing the Office of Administrative Law Judge</w:t>
      </w:r>
      <w:r>
        <w:t xml:space="preserve"> (OALJ)</w:t>
      </w:r>
      <w:r w:rsidRPr="00F74464">
        <w:t xml:space="preserve"> to initiate a generic proceeding to address </w:t>
      </w:r>
      <w:r w:rsidR="001D074D">
        <w:t>“</w:t>
      </w:r>
      <w:r w:rsidRPr="00F74464">
        <w:t>the issues related to an NGDC</w:t>
      </w:r>
      <w:r w:rsidR="001D074D">
        <w:t>’</w:t>
      </w:r>
      <w:r w:rsidRPr="00F74464">
        <w:t>s flexing of distribution rates to meet the lower rates from other NGDCs and the treatment of flexed revenues for ratemaking purposes in future ratemaking proceedings.</w:t>
      </w:r>
      <w:r w:rsidR="001D074D">
        <w:t>”</w:t>
      </w:r>
      <w:r>
        <w:t xml:space="preserve">  </w:t>
      </w:r>
      <w:proofErr w:type="gramStart"/>
      <w:r w:rsidR="000A0BDB">
        <w:t xml:space="preserve">Secretarial Letter </w:t>
      </w:r>
      <w:r>
        <w:t>at 1.</w:t>
      </w:r>
      <w:proofErr w:type="gramEnd"/>
      <w:r>
        <w:t xml:space="preserve">  </w:t>
      </w:r>
      <w:r w:rsidRPr="00F74464">
        <w:t>The Commission invited other parties to file interventions in order to participate in the proceeding.</w:t>
      </w:r>
    </w:p>
    <w:p w:rsidR="00823112" w:rsidRPr="00F74464" w:rsidRDefault="00823112" w:rsidP="00B43911">
      <w:pPr>
        <w:widowControl/>
      </w:pPr>
    </w:p>
    <w:p w:rsidR="001C0BC6" w:rsidRDefault="000A0BDB" w:rsidP="00B43911">
      <w:pPr>
        <w:widowControl/>
      </w:pPr>
      <w:r>
        <w:t>P</w:t>
      </w:r>
      <w:r w:rsidR="00823112">
        <w:t>etitions to Intervene</w:t>
      </w:r>
      <w:r w:rsidR="00823112" w:rsidRPr="00F74464">
        <w:t xml:space="preserve"> were filed by UGI Utilities, Inc. – Gas Division, UGI Penn Natural Gas, Inc. and UGI Central Penn Gas, Inc. (collectively UGI Distribution Companies) on August 9, 2012</w:t>
      </w:r>
      <w:r w:rsidR="00823112">
        <w:t>;</w:t>
      </w:r>
      <w:r w:rsidR="00823112" w:rsidRPr="00F74464">
        <w:t xml:space="preserve"> National Fuel Gas Distribution on August 15, 2012; PSU on Aug</w:t>
      </w:r>
      <w:r w:rsidR="00823112">
        <w:t xml:space="preserve">ust 17, </w:t>
      </w:r>
      <w:r w:rsidR="00823112" w:rsidRPr="00F74464">
        <w:t>2012; PECO Energy Company on Augus</w:t>
      </w:r>
      <w:r w:rsidR="00823112">
        <w:t>t 22, 2012; Equitable on August</w:t>
      </w:r>
      <w:r>
        <w:t xml:space="preserve"> 23, </w:t>
      </w:r>
      <w:r w:rsidR="00823112" w:rsidRPr="00F74464">
        <w:t>2012; IECPA on August 28, 2012</w:t>
      </w:r>
      <w:r w:rsidR="001C0BC6">
        <w:t xml:space="preserve">; </w:t>
      </w:r>
      <w:r w:rsidR="001C0BC6" w:rsidRPr="00F74464">
        <w:t xml:space="preserve"> Pennsylvania Independent Oil &amp; Gas Producer</w:t>
      </w:r>
      <w:r w:rsidR="001D074D">
        <w:t>’</w:t>
      </w:r>
      <w:r w:rsidR="001C0BC6" w:rsidRPr="00F74464">
        <w:t>s Association on November 3</w:t>
      </w:r>
      <w:r w:rsidR="001C0BC6">
        <w:t xml:space="preserve">0, 2012; and </w:t>
      </w:r>
      <w:r w:rsidR="001C0BC6" w:rsidRPr="00F74464">
        <w:t xml:space="preserve">Duquesne Light Company </w:t>
      </w:r>
      <w:r w:rsidR="001C0BC6">
        <w:t xml:space="preserve">on January 4, </w:t>
      </w:r>
      <w:r w:rsidR="001C0BC6" w:rsidRPr="00F74464">
        <w:t>2013.</w:t>
      </w:r>
    </w:p>
    <w:p w:rsidR="00F50A47" w:rsidRDefault="00F50A47" w:rsidP="00B43911">
      <w:pPr>
        <w:widowControl/>
      </w:pPr>
    </w:p>
    <w:p w:rsidR="00F50A47" w:rsidRPr="00F74464" w:rsidRDefault="00F50A47" w:rsidP="00B43911">
      <w:pPr>
        <w:widowControl/>
      </w:pPr>
      <w:r>
        <w:lastRenderedPageBreak/>
        <w:t xml:space="preserve">On August 9, 2012, the Commission issued a Notice of the Prehearing Conference which was held as scheduled on August 31, 2012.  </w:t>
      </w:r>
      <w:r w:rsidR="004952DA">
        <w:t xml:space="preserve">Following a formal proceeding, which included, </w:t>
      </w:r>
      <w:r w:rsidR="004952DA" w:rsidRPr="004952DA">
        <w:rPr>
          <w:i/>
        </w:rPr>
        <w:t>inter alia</w:t>
      </w:r>
      <w:r w:rsidR="004952DA">
        <w:t xml:space="preserve">: </w:t>
      </w:r>
      <w:r w:rsidR="00087769">
        <w:t xml:space="preserve">comments; </w:t>
      </w:r>
      <w:r w:rsidR="004952DA">
        <w:t>direct, rebuttal and surrebuttal testimony and exhibits; an evident</w:t>
      </w:r>
      <w:r w:rsidR="009C3528">
        <w:t>iary</w:t>
      </w:r>
      <w:r w:rsidR="004952DA">
        <w:t xml:space="preserve"> hearing; and briefs and reply briefs, the record was closed on March 12, 2014.</w:t>
      </w:r>
      <w:r w:rsidR="004952DA">
        <w:rPr>
          <w:rStyle w:val="FootnoteReference"/>
        </w:rPr>
        <w:footnoteReference w:id="4"/>
      </w:r>
      <w:r w:rsidR="004952DA">
        <w:t xml:space="preserve">  </w:t>
      </w:r>
      <w:r w:rsidR="00087769">
        <w:t xml:space="preserve">As discussed, </w:t>
      </w:r>
      <w:r w:rsidR="00087769" w:rsidRPr="00087769">
        <w:rPr>
          <w:i/>
        </w:rPr>
        <w:t>supra</w:t>
      </w:r>
      <w:r w:rsidR="00087769">
        <w:t xml:space="preserve">, the </w:t>
      </w:r>
      <w:r w:rsidR="004952DA">
        <w:t xml:space="preserve">Commission </w:t>
      </w:r>
      <w:r w:rsidR="00087769">
        <w:t xml:space="preserve">issued the Recommended Decision of ALJ Barnes on June 24, 2014.  </w:t>
      </w:r>
      <w:r w:rsidR="00087769">
        <w:rPr>
          <w:color w:val="000000"/>
        </w:rPr>
        <w:t xml:space="preserve">Exceptions to the Recommended Decision were filed by Columbia, IECPA, the OSBA, PSU, </w:t>
      </w:r>
      <w:r w:rsidR="00554728">
        <w:rPr>
          <w:color w:val="000000"/>
        </w:rPr>
        <w:t xml:space="preserve">and </w:t>
      </w:r>
      <w:r w:rsidR="00087769">
        <w:rPr>
          <w:color w:val="000000"/>
        </w:rPr>
        <w:t>Peoples</w:t>
      </w:r>
      <w:r w:rsidR="003F1669">
        <w:rPr>
          <w:color w:val="000000"/>
        </w:rPr>
        <w:t>/PTWP</w:t>
      </w:r>
      <w:r w:rsidR="00C232AD">
        <w:rPr>
          <w:color w:val="000000"/>
        </w:rPr>
        <w:t xml:space="preserve"> </w:t>
      </w:r>
      <w:r w:rsidR="00087769">
        <w:rPr>
          <w:color w:val="000000"/>
        </w:rPr>
        <w:t>on July 14, 2014</w:t>
      </w:r>
      <w:r w:rsidR="00C232AD">
        <w:rPr>
          <w:color w:val="000000"/>
        </w:rPr>
        <w:t>.</w:t>
      </w:r>
      <w:r w:rsidR="00087769">
        <w:rPr>
          <w:color w:val="000000"/>
        </w:rPr>
        <w:t xml:space="preserve">  Replies to Exceptions were filed by </w:t>
      </w:r>
      <w:proofErr w:type="gramStart"/>
      <w:r w:rsidR="009763AD">
        <w:rPr>
          <w:color w:val="000000"/>
        </w:rPr>
        <w:t>I&amp;E</w:t>
      </w:r>
      <w:proofErr w:type="gramEnd"/>
      <w:r w:rsidR="00C232AD">
        <w:rPr>
          <w:color w:val="000000"/>
        </w:rPr>
        <w:t xml:space="preserve">, </w:t>
      </w:r>
      <w:r w:rsidR="00087769">
        <w:rPr>
          <w:color w:val="000000"/>
        </w:rPr>
        <w:t>IECPA, NFG, the OCA, the OSBA, Peoples</w:t>
      </w:r>
      <w:r w:rsidR="003F1669">
        <w:rPr>
          <w:color w:val="000000"/>
        </w:rPr>
        <w:t>/PTWP</w:t>
      </w:r>
      <w:r w:rsidR="00FC5FE4">
        <w:rPr>
          <w:color w:val="000000"/>
        </w:rPr>
        <w:t>, and PSU on July 24, 2014.</w:t>
      </w:r>
    </w:p>
    <w:p w:rsidR="001C0BC6" w:rsidRPr="00F74464" w:rsidRDefault="001C0BC6" w:rsidP="00B43911">
      <w:pPr>
        <w:pStyle w:val="Default"/>
        <w:spacing w:line="360" w:lineRule="auto"/>
      </w:pPr>
    </w:p>
    <w:p w:rsidR="00CA43A5" w:rsidRPr="00CA43A5" w:rsidRDefault="00CA43A5" w:rsidP="00954A97">
      <w:pPr>
        <w:pStyle w:val="Heading1"/>
        <w:widowControl/>
        <w:ind w:left="0" w:firstLine="0"/>
        <w:jc w:val="center"/>
      </w:pPr>
      <w:bookmarkStart w:id="4" w:name="_Toc404013214"/>
      <w:r w:rsidRPr="00CA43A5">
        <w:t>Discussion</w:t>
      </w:r>
      <w:bookmarkEnd w:id="4"/>
    </w:p>
    <w:p w:rsidR="0043592C" w:rsidRPr="009E54E7" w:rsidRDefault="0043592C" w:rsidP="00954A97">
      <w:pPr>
        <w:keepLines/>
        <w:widowControl/>
        <w:rPr>
          <w:szCs w:val="26"/>
          <w:u w:val="single"/>
        </w:rPr>
      </w:pPr>
    </w:p>
    <w:p w:rsidR="003F1669" w:rsidRDefault="003F1669" w:rsidP="00954A97">
      <w:pPr>
        <w:widowControl/>
        <w:rPr>
          <w:rFonts w:eastAsiaTheme="minorHAnsi"/>
          <w:szCs w:val="24"/>
        </w:rPr>
      </w:pPr>
      <w:r w:rsidRPr="003F1669">
        <w:rPr>
          <w:rFonts w:eastAsiaTheme="minorHAnsi"/>
          <w:szCs w:val="24"/>
        </w:rPr>
        <w:t>As a preliminary matter, we note that any issue</w:t>
      </w:r>
      <w:r>
        <w:rPr>
          <w:rFonts w:eastAsiaTheme="minorHAnsi"/>
          <w:szCs w:val="24"/>
        </w:rPr>
        <w:t xml:space="preserve"> or Exception </w:t>
      </w:r>
      <w:r w:rsidRPr="003F1669">
        <w:rPr>
          <w:rFonts w:eastAsiaTheme="minorHAnsi"/>
          <w:szCs w:val="24"/>
        </w:rPr>
        <w:t xml:space="preserve">that we do not specifically delineate shall be deemed to have been duly considered and denied without further discussion.  The Commission is not required to consider expressly or at length each contention or argument raised by the parties.  </w:t>
      </w:r>
      <w:proofErr w:type="gramStart"/>
      <w:r w:rsidRPr="00737FDC">
        <w:rPr>
          <w:rFonts w:eastAsiaTheme="minorHAnsi"/>
          <w:i/>
          <w:szCs w:val="24"/>
        </w:rPr>
        <w:t>Consolidated Rail Corp. v. Pa. PUC,</w:t>
      </w:r>
      <w:r w:rsidRPr="003F1669">
        <w:rPr>
          <w:rFonts w:eastAsiaTheme="minorHAnsi"/>
          <w:szCs w:val="24"/>
        </w:rPr>
        <w:t xml:space="preserve"> 625 A.2d 741 (Pa. Cmwlth. 1993); </w:t>
      </w:r>
      <w:r w:rsidRPr="00084C33">
        <w:rPr>
          <w:rFonts w:eastAsiaTheme="minorHAnsi"/>
          <w:i/>
          <w:szCs w:val="24"/>
        </w:rPr>
        <w:t>also see, generally</w:t>
      </w:r>
      <w:r w:rsidRPr="003F1669">
        <w:rPr>
          <w:rFonts w:eastAsiaTheme="minorHAnsi"/>
          <w:szCs w:val="24"/>
        </w:rPr>
        <w:t xml:space="preserve">, </w:t>
      </w:r>
      <w:r w:rsidRPr="00737FDC">
        <w:rPr>
          <w:rFonts w:eastAsiaTheme="minorHAnsi"/>
          <w:i/>
          <w:szCs w:val="24"/>
        </w:rPr>
        <w:t>University of Pennsylvania v. Pa. PUC</w:t>
      </w:r>
      <w:r w:rsidRPr="003F1669">
        <w:rPr>
          <w:rFonts w:eastAsiaTheme="minorHAnsi"/>
          <w:szCs w:val="24"/>
        </w:rPr>
        <w:t>, 485 A.2d 1217 (Pa. Cmwlth. 1984).</w:t>
      </w:r>
      <w:proofErr w:type="gramEnd"/>
    </w:p>
    <w:p w:rsidR="0066386E" w:rsidRDefault="0066386E" w:rsidP="00954A97">
      <w:pPr>
        <w:widowControl/>
        <w:rPr>
          <w:rFonts w:eastAsiaTheme="minorHAnsi"/>
          <w:szCs w:val="24"/>
        </w:rPr>
      </w:pPr>
    </w:p>
    <w:p w:rsidR="000002F0" w:rsidRDefault="00737FDC" w:rsidP="00954A97">
      <w:pPr>
        <w:widowControl/>
        <w:spacing w:before="240"/>
        <w:rPr>
          <w:rFonts w:eastAsiaTheme="minorHAnsi"/>
          <w:szCs w:val="24"/>
        </w:rPr>
      </w:pPr>
      <w:r>
        <w:rPr>
          <w:rFonts w:eastAsiaTheme="minorHAnsi"/>
          <w:szCs w:val="24"/>
        </w:rPr>
        <w:t xml:space="preserve">We shall review the record in this proceeding </w:t>
      </w:r>
      <w:r w:rsidR="00846DC7">
        <w:rPr>
          <w:rFonts w:eastAsiaTheme="minorHAnsi"/>
          <w:szCs w:val="24"/>
        </w:rPr>
        <w:t xml:space="preserve">in two parts.  First, we </w:t>
      </w:r>
      <w:r w:rsidR="000170AA">
        <w:rPr>
          <w:rFonts w:eastAsiaTheme="minorHAnsi"/>
          <w:szCs w:val="24"/>
        </w:rPr>
        <w:t xml:space="preserve">will </w:t>
      </w:r>
      <w:r w:rsidR="00846DC7">
        <w:rPr>
          <w:rFonts w:eastAsiaTheme="minorHAnsi"/>
          <w:szCs w:val="24"/>
        </w:rPr>
        <w:t xml:space="preserve">review </w:t>
      </w:r>
      <w:r>
        <w:rPr>
          <w:rFonts w:eastAsiaTheme="minorHAnsi"/>
          <w:szCs w:val="24"/>
        </w:rPr>
        <w:t>the threshold issues of whether gas-on-gas rate discounts are appropriate and whether they should be continued</w:t>
      </w:r>
      <w:r w:rsidR="00606867">
        <w:rPr>
          <w:rFonts w:eastAsiaTheme="minorHAnsi"/>
          <w:szCs w:val="24"/>
        </w:rPr>
        <w:t xml:space="preserve"> or modified</w:t>
      </w:r>
      <w:r w:rsidR="00846DC7">
        <w:rPr>
          <w:rFonts w:eastAsiaTheme="minorHAnsi"/>
          <w:szCs w:val="24"/>
        </w:rPr>
        <w:t xml:space="preserve">. </w:t>
      </w:r>
      <w:r w:rsidR="001D39F0">
        <w:rPr>
          <w:rFonts w:eastAsiaTheme="minorHAnsi"/>
          <w:szCs w:val="24"/>
        </w:rPr>
        <w:t xml:space="preserve"> </w:t>
      </w:r>
      <w:r w:rsidR="00846DC7">
        <w:rPr>
          <w:rFonts w:eastAsiaTheme="minorHAnsi"/>
          <w:szCs w:val="24"/>
        </w:rPr>
        <w:t xml:space="preserve">Then we will review </w:t>
      </w:r>
      <w:r w:rsidR="000002F0">
        <w:rPr>
          <w:rFonts w:eastAsiaTheme="minorHAnsi"/>
          <w:szCs w:val="24"/>
        </w:rPr>
        <w:t>the Parties</w:t>
      </w:r>
      <w:r w:rsidR="001D074D">
        <w:rPr>
          <w:rFonts w:eastAsiaTheme="minorHAnsi"/>
          <w:szCs w:val="24"/>
        </w:rPr>
        <w:t>’</w:t>
      </w:r>
      <w:r w:rsidR="000002F0">
        <w:rPr>
          <w:rFonts w:eastAsiaTheme="minorHAnsi"/>
          <w:szCs w:val="24"/>
        </w:rPr>
        <w:t xml:space="preserve"> positions and the ALJ</w:t>
      </w:r>
      <w:r w:rsidR="001D074D">
        <w:rPr>
          <w:rFonts w:eastAsiaTheme="minorHAnsi"/>
          <w:szCs w:val="24"/>
        </w:rPr>
        <w:t>’</w:t>
      </w:r>
      <w:r w:rsidR="000002F0">
        <w:rPr>
          <w:rFonts w:eastAsiaTheme="minorHAnsi"/>
          <w:szCs w:val="24"/>
        </w:rPr>
        <w:t>s recommendations related to the process of maintaining, modifying or eliminating gas-on-gas incentive rates.</w:t>
      </w:r>
      <w:r w:rsidR="00846DC7">
        <w:rPr>
          <w:rFonts w:eastAsiaTheme="minorHAnsi"/>
          <w:szCs w:val="24"/>
        </w:rPr>
        <w:t xml:space="preserve">  Because our disposition of the threshold issue</w:t>
      </w:r>
      <w:r w:rsidR="00FC5FE4">
        <w:rPr>
          <w:rFonts w:eastAsiaTheme="minorHAnsi"/>
          <w:szCs w:val="24"/>
        </w:rPr>
        <w:t>s</w:t>
      </w:r>
      <w:r w:rsidR="00846DC7">
        <w:rPr>
          <w:rFonts w:eastAsiaTheme="minorHAnsi"/>
          <w:szCs w:val="24"/>
        </w:rPr>
        <w:t xml:space="preserve"> is dependent on the future implementation of gas-on-gas flex rates, we </w:t>
      </w:r>
      <w:r w:rsidR="00846DC7">
        <w:rPr>
          <w:rFonts w:eastAsiaTheme="minorHAnsi"/>
          <w:szCs w:val="24"/>
        </w:rPr>
        <w:lastRenderedPageBreak/>
        <w:t xml:space="preserve">shall present a consolidated disposition </w:t>
      </w:r>
      <w:r w:rsidR="00606867">
        <w:rPr>
          <w:rFonts w:eastAsiaTheme="minorHAnsi"/>
          <w:szCs w:val="24"/>
        </w:rPr>
        <w:t>following our review of the issues and recommendations.</w:t>
      </w:r>
    </w:p>
    <w:p w:rsidR="000002F0" w:rsidRDefault="000002F0" w:rsidP="00954A97">
      <w:pPr>
        <w:widowControl/>
        <w:rPr>
          <w:rFonts w:eastAsiaTheme="minorHAnsi"/>
          <w:szCs w:val="24"/>
        </w:rPr>
      </w:pPr>
    </w:p>
    <w:p w:rsidR="002A04F8" w:rsidRDefault="00CF5033" w:rsidP="00B43911">
      <w:pPr>
        <w:pStyle w:val="Heading2"/>
        <w:widowControl/>
        <w:rPr>
          <w:rFonts w:eastAsiaTheme="minorHAnsi"/>
        </w:rPr>
      </w:pPr>
      <w:bookmarkStart w:id="5" w:name="_Toc404013215"/>
      <w:r>
        <w:rPr>
          <w:rFonts w:eastAsiaTheme="minorHAnsi"/>
        </w:rPr>
        <w:t xml:space="preserve">Are </w:t>
      </w:r>
      <w:r w:rsidR="002A04F8">
        <w:rPr>
          <w:rFonts w:eastAsiaTheme="minorHAnsi"/>
        </w:rPr>
        <w:t xml:space="preserve">Flexible Gas-on-Gas Distribution Rate Discounts </w:t>
      </w:r>
      <w:r>
        <w:rPr>
          <w:rFonts w:eastAsiaTheme="minorHAnsi"/>
        </w:rPr>
        <w:t xml:space="preserve">Appropriate and </w:t>
      </w:r>
      <w:proofErr w:type="gramStart"/>
      <w:r>
        <w:rPr>
          <w:rFonts w:eastAsiaTheme="minorHAnsi"/>
        </w:rPr>
        <w:t>Should</w:t>
      </w:r>
      <w:proofErr w:type="gramEnd"/>
      <w:r>
        <w:rPr>
          <w:rFonts w:eastAsiaTheme="minorHAnsi"/>
        </w:rPr>
        <w:t xml:space="preserve"> </w:t>
      </w:r>
      <w:r w:rsidR="001D39F0">
        <w:rPr>
          <w:rFonts w:eastAsiaTheme="minorHAnsi"/>
        </w:rPr>
        <w:t>t</w:t>
      </w:r>
      <w:r>
        <w:rPr>
          <w:rFonts w:eastAsiaTheme="minorHAnsi"/>
        </w:rPr>
        <w:t>hey be Continued</w:t>
      </w:r>
      <w:r w:rsidR="001D39F0">
        <w:rPr>
          <w:rFonts w:eastAsiaTheme="minorHAnsi"/>
        </w:rPr>
        <w:t xml:space="preserve"> or Modified</w:t>
      </w:r>
      <w:r w:rsidR="002A04F8">
        <w:rPr>
          <w:rFonts w:eastAsiaTheme="minorHAnsi"/>
        </w:rPr>
        <w:t>?</w:t>
      </w:r>
      <w:bookmarkEnd w:id="5"/>
    </w:p>
    <w:p w:rsidR="002A04F8" w:rsidRPr="002A04F8" w:rsidRDefault="002A04F8" w:rsidP="00B43911">
      <w:pPr>
        <w:widowControl/>
        <w:rPr>
          <w:rFonts w:eastAsiaTheme="minorHAnsi"/>
        </w:rPr>
      </w:pPr>
    </w:p>
    <w:p w:rsidR="002875A7" w:rsidRDefault="00006F35" w:rsidP="00954A97">
      <w:pPr>
        <w:pStyle w:val="Heading3"/>
        <w:widowControl/>
      </w:pPr>
      <w:bookmarkStart w:id="6" w:name="_Toc404013216"/>
      <w:r w:rsidRPr="002875A7">
        <w:t>Positions of the Parties</w:t>
      </w:r>
      <w:bookmarkEnd w:id="6"/>
    </w:p>
    <w:p w:rsidR="002A04F8" w:rsidRPr="002A04F8" w:rsidRDefault="002A04F8" w:rsidP="00954A97">
      <w:pPr>
        <w:keepNext/>
        <w:keepLines/>
        <w:widowControl/>
        <w:ind w:left="2160" w:hanging="720"/>
      </w:pPr>
    </w:p>
    <w:p w:rsidR="00197C48" w:rsidRDefault="00197C48" w:rsidP="00B43911">
      <w:pPr>
        <w:widowControl/>
      </w:pPr>
      <w:r>
        <w:t xml:space="preserve">The OCA explained that when each of the rates of the NGDCs offering gas-on-gas discounts </w:t>
      </w:r>
      <w:r w:rsidR="007C668B">
        <w:t>are/</w:t>
      </w:r>
      <w:r>
        <w:t xml:space="preserve">were established, a total jurisdictional revenue requirement </w:t>
      </w:r>
      <w:r w:rsidR="007C668B">
        <w:t xml:space="preserve">for the company </w:t>
      </w:r>
      <w:r>
        <w:t>was established</w:t>
      </w:r>
      <w:r w:rsidR="000D5557">
        <w:t xml:space="preserve"> and the revenue requirement was allocated to individual customer classes and rate schedules.  The OCA submitted that when the total revenue requirement </w:t>
      </w:r>
      <w:r w:rsidR="00E746F9">
        <w:t>wa</w:t>
      </w:r>
      <w:r w:rsidR="000D5557">
        <w:t xml:space="preserve">s allocated to the </w:t>
      </w:r>
      <w:r w:rsidR="00C4796B">
        <w:t xml:space="preserve">specific </w:t>
      </w:r>
      <w:r w:rsidR="000D5557">
        <w:t xml:space="preserve">customer classes, it </w:t>
      </w:r>
      <w:r w:rsidR="00BB27E1">
        <w:t>was</w:t>
      </w:r>
      <w:r w:rsidR="000D5557">
        <w:t xml:space="preserve"> recognized that those commercial and industrial customers</w:t>
      </w:r>
      <w:r w:rsidR="00E27A2E">
        <w:t xml:space="preserve"> that receive</w:t>
      </w:r>
      <w:r w:rsidR="00BB27E1">
        <w:t>d</w:t>
      </w:r>
      <w:r w:rsidR="00E27A2E">
        <w:t xml:space="preserve"> rate discounts </w:t>
      </w:r>
      <w:r w:rsidR="00315F71">
        <w:t>should pay</w:t>
      </w:r>
      <w:r w:rsidR="00E27A2E">
        <w:t xml:space="preserve"> no more than their current discoun</w:t>
      </w:r>
      <w:r w:rsidR="009B24D1">
        <w:t>ted rates.  The OCA stated that</w:t>
      </w:r>
      <w:r w:rsidR="00E27A2E">
        <w:t xml:space="preserve"> </w:t>
      </w:r>
      <w:r w:rsidR="00B82A49">
        <w:t xml:space="preserve">the discounted rates resulted in </w:t>
      </w:r>
      <w:r w:rsidR="00E27A2E">
        <w:t xml:space="preserve">revenue shortfalls </w:t>
      </w:r>
      <w:r w:rsidR="00B82A49">
        <w:t xml:space="preserve">that are </w:t>
      </w:r>
      <w:r w:rsidR="00E27A2E">
        <w:t xml:space="preserve">assigned to all remaining customers that are captive to the individual NGDC. </w:t>
      </w:r>
      <w:r w:rsidR="00C4796B">
        <w:t xml:space="preserve"> </w:t>
      </w:r>
      <w:r w:rsidR="00DA7CC2">
        <w:t>Therefore, the OCA opined</w:t>
      </w:r>
      <w:r w:rsidR="00104750">
        <w:t xml:space="preserve"> that </w:t>
      </w:r>
      <w:r w:rsidR="00DA7CC2">
        <w:t xml:space="preserve">the distribution rates of captive customers are higher than they reasonably should be </w:t>
      </w:r>
      <w:r w:rsidR="00B82A49">
        <w:t xml:space="preserve">because they have to recover </w:t>
      </w:r>
      <w:r w:rsidR="00DA7CC2">
        <w:t>the revenue deficiency created by discounted rate customers.  OCA M.B. at 1</w:t>
      </w:r>
      <w:r w:rsidR="00C4796B">
        <w:t>0</w:t>
      </w:r>
      <w:r w:rsidR="00DA7CC2">
        <w:t>-1</w:t>
      </w:r>
      <w:r w:rsidR="00C4796B">
        <w:t>1</w:t>
      </w:r>
      <w:r w:rsidR="00DA7CC2">
        <w:t xml:space="preserve"> (citing OCA St. 1 at 10-11).  The OCA concluded that the current practice of gas-on-gas competition results in unreasonable </w:t>
      </w:r>
      <w:proofErr w:type="gramStart"/>
      <w:r w:rsidR="00DA7CC2">
        <w:t>rates being</w:t>
      </w:r>
      <w:proofErr w:type="gramEnd"/>
      <w:r w:rsidR="00DA7CC2">
        <w:t xml:space="preserve"> paid by captive customers and inadequate rates being paid by a select few large commercial and industrial customers. </w:t>
      </w:r>
      <w:r w:rsidR="00104750">
        <w:t xml:space="preserve"> </w:t>
      </w:r>
      <w:proofErr w:type="gramStart"/>
      <w:r w:rsidR="000226AB">
        <w:t>OCA M.B. at</w:t>
      </w:r>
      <w:r w:rsidR="00BB27E1">
        <w:t> </w:t>
      </w:r>
      <w:r w:rsidR="00047A30">
        <w:t>15.</w:t>
      </w:r>
      <w:proofErr w:type="gramEnd"/>
    </w:p>
    <w:p w:rsidR="001514D5" w:rsidRDefault="001514D5" w:rsidP="00B43911">
      <w:pPr>
        <w:widowControl/>
      </w:pPr>
    </w:p>
    <w:p w:rsidR="001514D5" w:rsidRDefault="001514D5" w:rsidP="00B43911">
      <w:pPr>
        <w:widowControl/>
      </w:pPr>
      <w:r>
        <w:t>I&amp;E argue</w:t>
      </w:r>
      <w:r w:rsidR="00C267FC">
        <w:t>d</w:t>
      </w:r>
      <w:r>
        <w:t xml:space="preserve"> that ratepayer-funded gas-on-gas competition also harms </w:t>
      </w:r>
      <w:r w:rsidR="004D6774">
        <w:t>NGDCs because it encourages them to siphon customers away from another NGDC.  I&amp;E explain</w:t>
      </w:r>
      <w:r w:rsidR="00C267FC">
        <w:t>ed</w:t>
      </w:r>
      <w:r w:rsidR="004D6774">
        <w:t xml:space="preserve"> that when a flex customer switches NGDCs, the customer is no longer contributing to the fixed costs of the original NGDC</w:t>
      </w:r>
      <w:r w:rsidR="00C267FC">
        <w:t xml:space="preserve">. </w:t>
      </w:r>
      <w:r w:rsidR="00047A30">
        <w:t xml:space="preserve"> </w:t>
      </w:r>
      <w:r w:rsidR="00C267FC">
        <w:t xml:space="preserve">Because the </w:t>
      </w:r>
      <w:r w:rsidR="004D6774">
        <w:t>customer</w:t>
      </w:r>
      <w:r w:rsidR="001D074D">
        <w:t>’</w:t>
      </w:r>
      <w:r w:rsidR="004D6774">
        <w:t xml:space="preserve">s new NGDC </w:t>
      </w:r>
      <w:r w:rsidR="00C267FC">
        <w:t xml:space="preserve">offered lower rates, I&amp;E submitted that it </w:t>
      </w:r>
      <w:r w:rsidR="004D6774">
        <w:t xml:space="preserve">is receiving a smaller contribution to its fixed </w:t>
      </w:r>
      <w:r w:rsidR="00C267FC">
        <w:t xml:space="preserve">costs than the original NGDC. </w:t>
      </w:r>
      <w:r w:rsidR="004D6774">
        <w:t xml:space="preserve"> </w:t>
      </w:r>
      <w:r w:rsidR="00C267FC">
        <w:t xml:space="preserve">I&amp;E averred that, as a result, the original NGDC </w:t>
      </w:r>
      <w:r w:rsidR="00C267FC">
        <w:lastRenderedPageBreak/>
        <w:t xml:space="preserve">absorbs the loss, tries to siphon the customer back by discounting rates further, or files a base rate case to raise all rates to recover the revenue shortfall as a result of its customer switching to another NGDC.  I&amp;E M.B. at 14-15. </w:t>
      </w:r>
    </w:p>
    <w:p w:rsidR="00C267FC" w:rsidRDefault="00C267FC" w:rsidP="00B43911">
      <w:pPr>
        <w:widowControl/>
      </w:pPr>
    </w:p>
    <w:p w:rsidR="00C267FC" w:rsidRDefault="00C267FC" w:rsidP="00B43911">
      <w:pPr>
        <w:widowControl/>
      </w:pPr>
      <w:r>
        <w:t xml:space="preserve">The OCA explained that NGDCs in western Pennsylvania </w:t>
      </w:r>
      <w:r w:rsidR="00121BF5">
        <w:t xml:space="preserve">currently </w:t>
      </w:r>
      <w:r>
        <w:t xml:space="preserve">are planning for and replacing gas distribution infrastructure in their service territories that are at or beyond retirement age.  The OCA stated that the NGDCs are making investments in main replacements that are not only required to meet the needs of captive ratepayers, but </w:t>
      </w:r>
      <w:r w:rsidR="00121BF5">
        <w:t xml:space="preserve">also </w:t>
      </w:r>
      <w:r>
        <w:t xml:space="preserve">the current and future demands of gas-on-gas rate discounted customers.  The OCA argued that some of these replacement facilities </w:t>
      </w:r>
      <w:r w:rsidR="00433B89">
        <w:t xml:space="preserve">will therefore </w:t>
      </w:r>
      <w:r>
        <w:t>be duplicative</w:t>
      </w:r>
      <w:r w:rsidR="00433B89">
        <w:t xml:space="preserve"> and </w:t>
      </w:r>
      <w:r w:rsidR="001D074D">
        <w:t>“</w:t>
      </w:r>
      <w:r>
        <w:t>the level of unjustness and overpayment for delivery service by captive ratepayers will only worsen if the current practices continue.</w:t>
      </w:r>
      <w:r w:rsidR="001D074D">
        <w:t>”</w:t>
      </w:r>
      <w:r>
        <w:t xml:space="preserve"> OCA M.B. at 17 (citing OCA St. 1 at 15).</w:t>
      </w:r>
    </w:p>
    <w:p w:rsidR="00C267FC" w:rsidRDefault="00C267FC" w:rsidP="00B43911">
      <w:pPr>
        <w:widowControl/>
      </w:pPr>
    </w:p>
    <w:p w:rsidR="001C41B7" w:rsidRDefault="009C3D58" w:rsidP="00B43911">
      <w:pPr>
        <w:widowControl/>
      </w:pPr>
      <w:r>
        <w:t xml:space="preserve">The OSBA opined that gas-on-gas </w:t>
      </w:r>
      <w:r w:rsidR="001D074D">
        <w:t>“</w:t>
      </w:r>
      <w:r>
        <w:t>competition</w:t>
      </w:r>
      <w:r w:rsidR="001D074D">
        <w:t>”</w:t>
      </w:r>
      <w:r>
        <w:t xml:space="preserve"> does not afford the ratepayers the four benefits of competition: productive efficiency</w:t>
      </w:r>
      <w:r w:rsidR="00290C46">
        <w:t>;</w:t>
      </w:r>
      <w:r>
        <w:t xml:space="preserve"> dynamic efficiency</w:t>
      </w:r>
      <w:r w:rsidR="00290C46">
        <w:t>;</w:t>
      </w:r>
      <w:r>
        <w:t xml:space="preserve"> allocative efficiency and equity. </w:t>
      </w:r>
      <w:r w:rsidR="00104750">
        <w:t xml:space="preserve"> </w:t>
      </w:r>
      <w:r>
        <w:t xml:space="preserve">The OSBA explained that productive efficiency occurs when producers strive to produce their goods or service at as low a cost as possible which, </w:t>
      </w:r>
      <w:r w:rsidRPr="00DD4DB1">
        <w:rPr>
          <w:i/>
        </w:rPr>
        <w:t>inter alia</w:t>
      </w:r>
      <w:r>
        <w:t xml:space="preserve">, keeps market prices down.  Similarly, dynamic efficiency provides an incentive for both product and process innovation which reduces prices to consumers over the </w:t>
      </w:r>
      <w:r w:rsidR="00CA4523">
        <w:t>long run.</w:t>
      </w:r>
    </w:p>
    <w:p w:rsidR="001C41B7" w:rsidRDefault="001C41B7" w:rsidP="00B43911">
      <w:pPr>
        <w:widowControl/>
      </w:pPr>
    </w:p>
    <w:p w:rsidR="00104750" w:rsidRDefault="009C3D58" w:rsidP="00B43911">
      <w:pPr>
        <w:widowControl/>
      </w:pPr>
      <w:r>
        <w:t xml:space="preserve">The OSBA avers that productive and dynamic efficiencies do not apply to gas-on-gas discounting because NGDCs can pass the lost revenue onto other ratepayers and there is no incentive to lower costs.  </w:t>
      </w:r>
      <w:proofErr w:type="gramStart"/>
      <w:r w:rsidR="00AF14D7">
        <w:t>OSBA M.B. at 10.</w:t>
      </w:r>
      <w:proofErr w:type="gramEnd"/>
      <w:r w:rsidR="00AF14D7">
        <w:t xml:space="preserve"> </w:t>
      </w:r>
    </w:p>
    <w:p w:rsidR="00104750" w:rsidRDefault="00104750" w:rsidP="00B43911">
      <w:pPr>
        <w:widowControl/>
      </w:pPr>
    </w:p>
    <w:p w:rsidR="00104750" w:rsidRDefault="009C3D58" w:rsidP="00B43911">
      <w:pPr>
        <w:widowControl/>
      </w:pPr>
      <w:r>
        <w:t xml:space="preserve">Under allocative efficiency, the OSBA submits that prices in a competitive market are generally set at the marginal costs of the high cost producer which provides accurate market price signals when consumers are determining how much of a good or </w:t>
      </w:r>
      <w:r>
        <w:lastRenderedPageBreak/>
        <w:t xml:space="preserve">service to purchase.  The OSBA notes that </w:t>
      </w:r>
      <w:r w:rsidR="00CA4523">
        <w:t xml:space="preserve">the </w:t>
      </w:r>
      <w:r>
        <w:t xml:space="preserve">price signals </w:t>
      </w:r>
      <w:r w:rsidR="00CA4523">
        <w:t xml:space="preserve">under gas-on-gas “competition” </w:t>
      </w:r>
      <w:r>
        <w:t xml:space="preserve">are distorted because of the discounts applied to flex rate customers and the costs of the subsidies recovered from non-flex rate customers.  </w:t>
      </w:r>
      <w:proofErr w:type="gramStart"/>
      <w:r w:rsidR="00AF14D7">
        <w:t>OSBA M.B. at 11.</w:t>
      </w:r>
      <w:proofErr w:type="gramEnd"/>
    </w:p>
    <w:p w:rsidR="00AF14D7" w:rsidRDefault="00AF14D7" w:rsidP="00B43911">
      <w:pPr>
        <w:widowControl/>
      </w:pPr>
    </w:p>
    <w:p w:rsidR="009C3D58" w:rsidRDefault="00CA4523" w:rsidP="00B43911">
      <w:pPr>
        <w:widowControl/>
      </w:pPr>
      <w:r>
        <w:t>With regard to equity benefits, t</w:t>
      </w:r>
      <w:r w:rsidR="009C3D58">
        <w:t>he OSBA avers that in a competitive market</w:t>
      </w:r>
      <w:r w:rsidR="00290C46">
        <w:t>,</w:t>
      </w:r>
      <w:r w:rsidR="009C3D58">
        <w:t xml:space="preserve"> equity occurs when customers who purchase the same good pay the same market price for that good with differentiations based only on the differences in the cost of providing service.  The OSBA argues that gas-on-gas discounting is anything but equitable because customers with exactly the same cost to serve can have substantially different rates.  </w:t>
      </w:r>
      <w:proofErr w:type="gramStart"/>
      <w:r w:rsidR="009C3D58">
        <w:t>OSBA M.B. at 1</w:t>
      </w:r>
      <w:r w:rsidR="00AF14D7">
        <w:t>2.</w:t>
      </w:r>
      <w:proofErr w:type="gramEnd"/>
    </w:p>
    <w:p w:rsidR="009C3D58" w:rsidRDefault="009C3D58" w:rsidP="00B43911">
      <w:pPr>
        <w:widowControl/>
        <w:ind w:firstLine="0"/>
      </w:pPr>
    </w:p>
    <w:p w:rsidR="004E15F4" w:rsidRDefault="003720A7" w:rsidP="00B43911">
      <w:pPr>
        <w:widowControl/>
      </w:pPr>
      <w:r>
        <w:t>The OCA</w:t>
      </w:r>
      <w:r w:rsidR="00C267FC">
        <w:t>,</w:t>
      </w:r>
      <w:r w:rsidR="006050F5">
        <w:t xml:space="preserve"> the OSBA and I&amp;E</w:t>
      </w:r>
      <w:r>
        <w:t xml:space="preserve"> opined that the current practice of gas-on-gas competition not only violates basic principles of fairness, but also may be inconsistent with the Public Utility Code </w:t>
      </w:r>
      <w:r w:rsidR="00BA016F">
        <w:t xml:space="preserve">(Code) </w:t>
      </w:r>
      <w:r>
        <w:t>and the long history of appellate case law on undue price discrimination.  The OCA</w:t>
      </w:r>
      <w:r w:rsidR="00B16E0C">
        <w:t>, the OSBA</w:t>
      </w:r>
      <w:r>
        <w:t xml:space="preserve"> </w:t>
      </w:r>
      <w:r w:rsidR="006050F5">
        <w:t xml:space="preserve">and I&amp;E </w:t>
      </w:r>
      <w:r>
        <w:t>pointed to Section 1304 of the Code</w:t>
      </w:r>
      <w:r w:rsidR="00BA016F">
        <w:t xml:space="preserve">, 66 Pa. C.S. § 1304, </w:t>
      </w:r>
      <w:r>
        <w:t xml:space="preserve">which states in pertinent part: </w:t>
      </w:r>
    </w:p>
    <w:p w:rsidR="00F63CE6" w:rsidRDefault="00F63CE6" w:rsidP="00B43911">
      <w:pPr>
        <w:widowControl/>
      </w:pPr>
    </w:p>
    <w:p w:rsidR="003720A7" w:rsidRDefault="00BA016F" w:rsidP="00B43911">
      <w:pPr>
        <w:widowControl/>
        <w:spacing w:line="240" w:lineRule="auto"/>
        <w:ind w:left="1440" w:right="1440" w:firstLine="288"/>
      </w:pPr>
      <w:r>
        <w:tab/>
      </w:r>
      <w:r w:rsidR="00F63CE6" w:rsidRPr="00F63CE6">
        <w:t>No public utility shall, as to rates, make or grant any unreasonable preference or advantage to any person, corporation, or municipal corporation, or subject any person, corporation, or municipal corporation to any unreasonable prejudice or disadvantage.</w:t>
      </w:r>
      <w:r w:rsidR="00F63CE6">
        <w:t xml:space="preserve">  No public utility shall establish or maintain any unreasonable difference as to rates, either as between localities or as between rate classes. </w:t>
      </w:r>
    </w:p>
    <w:p w:rsidR="00F63CE6" w:rsidRDefault="00F63CE6" w:rsidP="00B43911">
      <w:pPr>
        <w:widowControl/>
        <w:ind w:left="1440" w:right="1440" w:firstLine="288"/>
      </w:pPr>
    </w:p>
    <w:p w:rsidR="00F769C7" w:rsidRDefault="006050F5" w:rsidP="00B43911">
      <w:pPr>
        <w:widowControl/>
        <w:ind w:firstLine="0"/>
      </w:pPr>
      <w:proofErr w:type="gramStart"/>
      <w:r>
        <w:t xml:space="preserve">OCA M.B. at 13, OSBA M.B. at 16, I&amp;E M.B. at 7 </w:t>
      </w:r>
      <w:r w:rsidR="00F769C7">
        <w:t>(</w:t>
      </w:r>
      <w:r>
        <w:t xml:space="preserve">all three </w:t>
      </w:r>
      <w:r w:rsidR="00F769C7">
        <w:t xml:space="preserve">citing </w:t>
      </w:r>
      <w:r w:rsidR="00F63CE6">
        <w:t xml:space="preserve">66 </w:t>
      </w:r>
      <w:r w:rsidR="00FA6569">
        <w:t>Pa</w:t>
      </w:r>
      <w:r w:rsidR="00F63CE6">
        <w:t>. C.S. § 1304</w:t>
      </w:r>
      <w:r w:rsidR="00F769C7">
        <w:t>)</w:t>
      </w:r>
      <w:r w:rsidR="0001119F">
        <w:t>.</w:t>
      </w:r>
      <w:proofErr w:type="gramEnd"/>
    </w:p>
    <w:p w:rsidR="00F769C7" w:rsidRDefault="00F769C7" w:rsidP="00B43911">
      <w:pPr>
        <w:widowControl/>
        <w:ind w:firstLine="0"/>
      </w:pPr>
    </w:p>
    <w:p w:rsidR="00233AD4" w:rsidRDefault="0001119F" w:rsidP="00B43911">
      <w:pPr>
        <w:keepNext/>
        <w:widowControl/>
      </w:pPr>
      <w:r>
        <w:t xml:space="preserve">The OCA </w:t>
      </w:r>
      <w:r w:rsidR="00FA6569">
        <w:t xml:space="preserve">averred </w:t>
      </w:r>
      <w:r w:rsidR="00E034AA">
        <w:t>that</w:t>
      </w:r>
      <w:r>
        <w:t xml:space="preserve"> although not all differences in rates are discriminatory and</w:t>
      </w:r>
      <w:r w:rsidR="00AC5EF9">
        <w:t xml:space="preserve"> </w:t>
      </w:r>
      <w:r>
        <w:t>therefore unlawful, unreasonable differences are prohibited</w:t>
      </w:r>
      <w:r w:rsidR="00FA6569">
        <w:t xml:space="preserve">.  </w:t>
      </w:r>
      <w:proofErr w:type="gramStart"/>
      <w:r w:rsidR="004839F4">
        <w:t>OCA M.B. at</w:t>
      </w:r>
      <w:r w:rsidR="00E034AA">
        <w:t> </w:t>
      </w:r>
      <w:r w:rsidR="004839F4">
        <w:t>13.</w:t>
      </w:r>
      <w:proofErr w:type="gramEnd"/>
      <w:r w:rsidR="004839F4">
        <w:t xml:space="preserve">  </w:t>
      </w:r>
      <w:r w:rsidR="00F769C7">
        <w:t xml:space="preserve">The OCA explained </w:t>
      </w:r>
      <w:r w:rsidR="00A9607A">
        <w:t xml:space="preserve">by permitting </w:t>
      </w:r>
      <w:r w:rsidR="00F769C7">
        <w:t xml:space="preserve">gas-on-gas discounts, non-discount commercial </w:t>
      </w:r>
      <w:r w:rsidR="00A9607A">
        <w:t xml:space="preserve">gas </w:t>
      </w:r>
      <w:r w:rsidR="00F769C7">
        <w:t xml:space="preserve">customers are at a disadvantage </w:t>
      </w:r>
      <w:r w:rsidR="00A9607A">
        <w:t xml:space="preserve">compared to those customers </w:t>
      </w:r>
      <w:r w:rsidR="00F769C7">
        <w:t xml:space="preserve">that do </w:t>
      </w:r>
      <w:r w:rsidR="00F769C7">
        <w:lastRenderedPageBreak/>
        <w:t>receive a gas-on-gas discount</w:t>
      </w:r>
      <w:r w:rsidR="00A9607A">
        <w:t xml:space="preserve"> and in addition, </w:t>
      </w:r>
      <w:r w:rsidR="00F769C7">
        <w:t xml:space="preserve">the non-discounted commercial </w:t>
      </w:r>
      <w:r w:rsidR="00A9607A">
        <w:t xml:space="preserve">gas </w:t>
      </w:r>
      <w:r w:rsidR="00F769C7">
        <w:t>customer</w:t>
      </w:r>
      <w:r w:rsidR="003C138E">
        <w:t>s</w:t>
      </w:r>
      <w:r w:rsidR="00F769C7">
        <w:t xml:space="preserve"> subsidize the discount</w:t>
      </w:r>
      <w:r w:rsidR="00A9607A">
        <w:t>s</w:t>
      </w:r>
      <w:r w:rsidR="00F769C7">
        <w:t xml:space="preserve"> just as residential customers do.  </w:t>
      </w:r>
      <w:r w:rsidR="000B5A39">
        <w:t xml:space="preserve">The OCA </w:t>
      </w:r>
      <w:r w:rsidR="00F769C7">
        <w:t xml:space="preserve">argued that this type of </w:t>
      </w:r>
      <w:r w:rsidR="001D074D">
        <w:t>“</w:t>
      </w:r>
      <w:r w:rsidR="00F769C7">
        <w:t>advantage to one and resulting injury to another</w:t>
      </w:r>
      <w:r w:rsidR="001D074D">
        <w:t>”</w:t>
      </w:r>
      <w:r w:rsidR="004839F4">
        <w:t xml:space="preserve"> has been identified by the Commonwealth Court as prohibited undue price discrimination. </w:t>
      </w:r>
      <w:r w:rsidR="00F769C7">
        <w:t xml:space="preserve"> </w:t>
      </w:r>
      <w:proofErr w:type="gramStart"/>
      <w:r w:rsidR="004839F4" w:rsidRPr="004839F4">
        <w:rPr>
          <w:i/>
        </w:rPr>
        <w:t>Id.</w:t>
      </w:r>
      <w:r w:rsidR="004839F4">
        <w:t xml:space="preserve"> at 16.</w:t>
      </w:r>
      <w:proofErr w:type="gramEnd"/>
      <w:r w:rsidR="004839F4">
        <w:t xml:space="preserve"> </w:t>
      </w:r>
      <w:r w:rsidR="000B5A39">
        <w:t xml:space="preserve"> </w:t>
      </w:r>
      <w:r w:rsidR="00233AD4">
        <w:t>The OCA cited an explanation by the Commonwealth Court which stated:</w:t>
      </w:r>
    </w:p>
    <w:p w:rsidR="00233AD4" w:rsidRDefault="00233AD4" w:rsidP="00B43911">
      <w:pPr>
        <w:widowControl/>
        <w:spacing w:line="240" w:lineRule="auto"/>
        <w:ind w:firstLine="0"/>
      </w:pPr>
    </w:p>
    <w:p w:rsidR="00233AD4" w:rsidRDefault="00233AD4" w:rsidP="00B43911">
      <w:pPr>
        <w:widowControl/>
        <w:spacing w:line="240" w:lineRule="auto"/>
        <w:ind w:left="1440" w:right="1440" w:firstLine="0"/>
      </w:pPr>
      <w:r>
        <w:t xml:space="preserve">Before a rate can be declared unduly preferential and therefore unlawful, it is essential that there not only be an advantage to one, but a resulting injury to another.  Such an injury may arise from collection from </w:t>
      </w:r>
      <w:r w:rsidR="00D40484">
        <w:t>o</w:t>
      </w:r>
      <w:r>
        <w:t>ne more than a reasonable rate to him in order to make up for inadequate rates charged to another, or because of a lower rate to one of two patrons who are competitors in business.  There must be an advantage to</w:t>
      </w:r>
      <w:r w:rsidR="00AA40F4">
        <w:t xml:space="preserve"> one at the expense of another.</w:t>
      </w:r>
    </w:p>
    <w:p w:rsidR="00233AD4" w:rsidRDefault="00233AD4" w:rsidP="00B43911">
      <w:pPr>
        <w:widowControl/>
        <w:spacing w:line="240" w:lineRule="auto"/>
        <w:ind w:left="1440" w:right="1440" w:firstLine="0"/>
      </w:pPr>
    </w:p>
    <w:p w:rsidR="00502159" w:rsidRDefault="00502159" w:rsidP="00B43911">
      <w:pPr>
        <w:widowControl/>
        <w:spacing w:line="240" w:lineRule="auto"/>
        <w:ind w:left="1440" w:right="1440" w:firstLine="0"/>
      </w:pPr>
    </w:p>
    <w:p w:rsidR="00233AD4" w:rsidRDefault="004839F4" w:rsidP="00B43911">
      <w:pPr>
        <w:widowControl/>
        <w:ind w:firstLine="0"/>
      </w:pPr>
      <w:r w:rsidRPr="004839F4">
        <w:t>OCA M.B. at 13</w:t>
      </w:r>
      <w:r w:rsidRPr="00AF14D7">
        <w:t xml:space="preserve"> (citing</w:t>
      </w:r>
      <w:r>
        <w:rPr>
          <w:i/>
        </w:rPr>
        <w:t xml:space="preserve"> </w:t>
      </w:r>
      <w:r w:rsidR="00543FF3" w:rsidRPr="00543FF3">
        <w:rPr>
          <w:i/>
        </w:rPr>
        <w:t>Phila. Elec</w:t>
      </w:r>
      <w:r w:rsidR="00543FF3">
        <w:rPr>
          <w:i/>
        </w:rPr>
        <w:t>.</w:t>
      </w:r>
      <w:r w:rsidR="00543FF3" w:rsidRPr="00543FF3">
        <w:rPr>
          <w:i/>
        </w:rPr>
        <w:t xml:space="preserve"> Co. v. Pa. P.U.C.,</w:t>
      </w:r>
      <w:r w:rsidR="00543FF3">
        <w:t xml:space="preserve"> 470 A.2d 654,</w:t>
      </w:r>
      <w:r w:rsidR="009C3528">
        <w:t xml:space="preserve"> </w:t>
      </w:r>
      <w:r w:rsidR="00543FF3">
        <w:t>657 (Pa. C</w:t>
      </w:r>
      <w:r w:rsidR="009C3528">
        <w:t>mwlth</w:t>
      </w:r>
      <w:r w:rsidR="00543FF3">
        <w:t>. 1984 (</w:t>
      </w:r>
      <w:r w:rsidR="00543FF3" w:rsidRPr="00084C33">
        <w:t>citing</w:t>
      </w:r>
      <w:r w:rsidR="00543FF3" w:rsidRPr="00EE06D3">
        <w:t xml:space="preserve"> </w:t>
      </w:r>
      <w:r w:rsidR="00543FF3" w:rsidRPr="00543FF3">
        <w:rPr>
          <w:i/>
        </w:rPr>
        <w:t>Alpha Portland Cement Co. v. Public Service Comm</w:t>
      </w:r>
      <w:r w:rsidR="001D074D">
        <w:rPr>
          <w:i/>
        </w:rPr>
        <w:t>’</w:t>
      </w:r>
      <w:r w:rsidR="00543FF3" w:rsidRPr="00543FF3">
        <w:rPr>
          <w:i/>
        </w:rPr>
        <w:t>n</w:t>
      </w:r>
      <w:r w:rsidR="00543FF3">
        <w:rPr>
          <w:i/>
        </w:rPr>
        <w:t>,</w:t>
      </w:r>
      <w:r w:rsidR="00543FF3">
        <w:t xml:space="preserve"> 84 Pa. Super. 225 (1925)</w:t>
      </w:r>
      <w:r w:rsidR="003C138E">
        <w:t>)</w:t>
      </w:r>
      <w:r w:rsidR="00543FF3">
        <w:t>.</w:t>
      </w:r>
    </w:p>
    <w:p w:rsidR="005F47BA" w:rsidRDefault="005F47BA" w:rsidP="00B43911">
      <w:pPr>
        <w:widowControl/>
        <w:ind w:firstLine="0"/>
      </w:pPr>
    </w:p>
    <w:p w:rsidR="00F9643C" w:rsidRDefault="005F47BA" w:rsidP="00AC5EF9">
      <w:pPr>
        <w:widowControl/>
      </w:pPr>
      <w:r>
        <w:t xml:space="preserve">The OSBA cited a </w:t>
      </w:r>
      <w:r w:rsidR="00F9643C">
        <w:t xml:space="preserve">Commonwealth Court decision where the Court held </w:t>
      </w:r>
      <w:r w:rsidR="001D074D">
        <w:t>“</w:t>
      </w:r>
      <w:r w:rsidR="00F9643C">
        <w:t>that rates and rate structures [must] be set for service primarily on a cost of service study.</w:t>
      </w:r>
      <w:r w:rsidR="001D074D">
        <w:t>”</w:t>
      </w:r>
      <w:r w:rsidR="00F9643C">
        <w:t xml:space="preserve">  OSBA M.B. at 15 (citing </w:t>
      </w:r>
      <w:r w:rsidR="00F9643C" w:rsidRPr="00F9643C">
        <w:rPr>
          <w:i/>
        </w:rPr>
        <w:t>Lloyd v. Pennsylvania Public Utility Commission</w:t>
      </w:r>
      <w:r w:rsidR="00F9643C">
        <w:t xml:space="preserve">, 904 A.2d 1010, 1020 (Pa. Cmwlth. 2006), </w:t>
      </w:r>
      <w:r w:rsidR="00F9643C" w:rsidRPr="00F9643C">
        <w:rPr>
          <w:i/>
        </w:rPr>
        <w:t>appeals denied</w:t>
      </w:r>
      <w:r w:rsidR="00F9643C">
        <w:t>, 916 A.2d 1104 (Pa. 2007)</w:t>
      </w:r>
      <w:r w:rsidR="00456782">
        <w:t xml:space="preserve"> (</w:t>
      </w:r>
      <w:r w:rsidR="00456782">
        <w:rPr>
          <w:i/>
        </w:rPr>
        <w:t>Ll</w:t>
      </w:r>
      <w:r w:rsidR="00456782" w:rsidRPr="00456782">
        <w:rPr>
          <w:i/>
        </w:rPr>
        <w:t>o</w:t>
      </w:r>
      <w:r w:rsidR="00456782">
        <w:rPr>
          <w:i/>
        </w:rPr>
        <w:t>y</w:t>
      </w:r>
      <w:r w:rsidR="00456782" w:rsidRPr="00456782">
        <w:rPr>
          <w:i/>
        </w:rPr>
        <w:t>d</w:t>
      </w:r>
      <w:r w:rsidR="00456782">
        <w:t>)</w:t>
      </w:r>
      <w:r w:rsidR="009C3528">
        <w:t>)</w:t>
      </w:r>
      <w:r w:rsidR="00F9643C">
        <w:t xml:space="preserve">.  </w:t>
      </w:r>
      <w:r w:rsidR="00456782">
        <w:t>The OSBA explained that</w:t>
      </w:r>
      <w:r w:rsidR="00EF5030">
        <w:t>,</w:t>
      </w:r>
      <w:r w:rsidR="00456782">
        <w:t xml:space="preserve"> although the Court indicated that the Commission may consider other factors, the Court characterized cost of service as</w:t>
      </w:r>
      <w:r w:rsidR="009C3528">
        <w:t xml:space="preserve"> the</w:t>
      </w:r>
      <w:r w:rsidR="00456782">
        <w:t xml:space="preserve"> </w:t>
      </w:r>
      <w:r w:rsidR="001D074D">
        <w:t>“</w:t>
      </w:r>
      <w:r w:rsidR="00456782">
        <w:t>polestar</w:t>
      </w:r>
      <w:r w:rsidR="001D074D">
        <w:t>”</w:t>
      </w:r>
      <w:r w:rsidR="00456782">
        <w:t xml:space="preserve"> of ratemaking concerns.  </w:t>
      </w:r>
      <w:r w:rsidR="001514D5" w:rsidRPr="001514D5">
        <w:rPr>
          <w:i/>
        </w:rPr>
        <w:t>Id.</w:t>
      </w:r>
      <w:r w:rsidR="001514D5">
        <w:t xml:space="preserve">  </w:t>
      </w:r>
      <w:r w:rsidR="00456782">
        <w:t xml:space="preserve">The OSBA stated that the Court further held that other ratemaking concerns, in that case gradualism, could not trump cost of providing service.  </w:t>
      </w:r>
      <w:r w:rsidR="00456782" w:rsidRPr="00456782">
        <w:rPr>
          <w:i/>
        </w:rPr>
        <w:t>Id.</w:t>
      </w:r>
      <w:r w:rsidR="00456782">
        <w:t xml:space="preserve">  </w:t>
      </w:r>
      <w:r w:rsidR="00EF5030">
        <w:t>The OSBA opined that gas-on-gas competition effectively ignores the cost of providing service to a customer and instead permits NGDCs to set rates solely on whether a customer</w:t>
      </w:r>
      <w:r w:rsidR="001D074D">
        <w:t>’</w:t>
      </w:r>
      <w:r w:rsidR="00EF5030">
        <w:t>s location permits it to be served by another NGDC.  OSBA M.B. at 15-16.</w:t>
      </w:r>
    </w:p>
    <w:p w:rsidR="00AC5EF9" w:rsidRDefault="00AC5EF9" w:rsidP="00AC5EF9">
      <w:pPr>
        <w:widowControl/>
      </w:pPr>
    </w:p>
    <w:p w:rsidR="00F63CE6" w:rsidRPr="00021D70" w:rsidRDefault="00BF063C" w:rsidP="00B43911">
      <w:pPr>
        <w:widowControl/>
        <w:rPr>
          <w:i/>
        </w:rPr>
      </w:pPr>
      <w:r>
        <w:lastRenderedPageBreak/>
        <w:t>IEPCA and PSU supported the continuation of gas-on-gas competition</w:t>
      </w:r>
      <w:r w:rsidR="00EC125E">
        <w:t xml:space="preserve"> as they have for almost thirty years. </w:t>
      </w:r>
      <w:r>
        <w:t xml:space="preserve"> IECPA </w:t>
      </w:r>
      <w:r w:rsidR="00EC125E">
        <w:t xml:space="preserve">and PSU </w:t>
      </w:r>
      <w:r>
        <w:t xml:space="preserve">argued that </w:t>
      </w:r>
      <w:r w:rsidR="00D6628B">
        <w:t xml:space="preserve">NGDCs benefit from this arrangement because they can attract and retain large volume customers to reduce their overall costs.  IECPA </w:t>
      </w:r>
      <w:r w:rsidR="00251494">
        <w:t xml:space="preserve">and PSU </w:t>
      </w:r>
      <w:r w:rsidR="00D6628B">
        <w:t>stated that the NGDCs</w:t>
      </w:r>
      <w:r w:rsidR="001D074D">
        <w:t>’</w:t>
      </w:r>
      <w:r w:rsidR="00D6628B">
        <w:t xml:space="preserve"> other customers benefit because without the additional large commercial and industrial (C&amp;I) customer</w:t>
      </w:r>
      <w:r w:rsidR="00AF14D7">
        <w:t>s</w:t>
      </w:r>
      <w:r w:rsidR="00D6628B">
        <w:t xml:space="preserve">, other customers would be responsible for remitting higher distribution costs.  </w:t>
      </w:r>
      <w:proofErr w:type="gramStart"/>
      <w:r w:rsidR="00D6628B">
        <w:t>IECPA M.B. at 6</w:t>
      </w:r>
      <w:r w:rsidR="00EC125E">
        <w:t>, PSU M.B. at 8</w:t>
      </w:r>
      <w:r w:rsidR="00D6628B">
        <w:t>.</w:t>
      </w:r>
      <w:proofErr w:type="gramEnd"/>
      <w:r w:rsidR="00D6628B">
        <w:t xml:space="preserve">  IECPA submitted that</w:t>
      </w:r>
      <w:r w:rsidR="00AF14D7">
        <w:t xml:space="preserve"> </w:t>
      </w:r>
      <w:r w:rsidR="00D6628B">
        <w:t xml:space="preserve">if gas-on-gas competition </w:t>
      </w:r>
      <w:r w:rsidR="00A05F1F">
        <w:t xml:space="preserve">is eliminated and customers must choose between NGDCs, then one NGDC may benefit from the additional load at the expense of another NGDC.  </w:t>
      </w:r>
      <w:r w:rsidR="00021D70">
        <w:t xml:space="preserve">IECPA explained that the </w:t>
      </w:r>
      <w:r w:rsidR="001D074D">
        <w:t>“</w:t>
      </w:r>
      <w:r w:rsidR="00021D70">
        <w:t>loser</w:t>
      </w:r>
      <w:r w:rsidR="001D074D">
        <w:t>”</w:t>
      </w:r>
      <w:r w:rsidR="00021D70">
        <w:t xml:space="preserve"> NGDC could lose a sizable amount of volume load, causing the rates for the remaining customers of the </w:t>
      </w:r>
      <w:r w:rsidR="001D074D">
        <w:t>“</w:t>
      </w:r>
      <w:r w:rsidR="00021D70">
        <w:t>loser</w:t>
      </w:r>
      <w:r w:rsidR="001D074D">
        <w:t>”</w:t>
      </w:r>
      <w:r w:rsidR="00021D70">
        <w:t xml:space="preserve"> NGDC to increase.  </w:t>
      </w:r>
      <w:proofErr w:type="gramStart"/>
      <w:r w:rsidR="00021D70" w:rsidRPr="00021D70">
        <w:rPr>
          <w:i/>
        </w:rPr>
        <w:t>Id.</w:t>
      </w:r>
      <w:r w:rsidR="00021D70">
        <w:t xml:space="preserve"> at 8.</w:t>
      </w:r>
      <w:proofErr w:type="gramEnd"/>
      <w:r w:rsidR="00021D70">
        <w:t xml:space="preserve">  IECPA opined that allowing NGDCs to continue providing competitive rates to gas-on-gas customers will ensure that NGDCs have a means for retaining customers to cont</w:t>
      </w:r>
      <w:r w:rsidR="00251494">
        <w:t>ribute</w:t>
      </w:r>
      <w:r w:rsidR="00021D70">
        <w:t xml:space="preserve"> to the costs of their system when necessary.  </w:t>
      </w:r>
      <w:r w:rsidR="00021D70" w:rsidRPr="00021D70">
        <w:rPr>
          <w:i/>
        </w:rPr>
        <w:t xml:space="preserve">Id. </w:t>
      </w:r>
    </w:p>
    <w:p w:rsidR="00CA43A5" w:rsidRDefault="00CA43A5" w:rsidP="00B43911">
      <w:pPr>
        <w:widowControl/>
        <w:rPr>
          <w:szCs w:val="26"/>
        </w:rPr>
      </w:pPr>
    </w:p>
    <w:p w:rsidR="00F63CC7" w:rsidRPr="00D5102D" w:rsidRDefault="00F63CC7" w:rsidP="00B43911">
      <w:pPr>
        <w:widowControl/>
        <w:rPr>
          <w:i/>
          <w:szCs w:val="26"/>
        </w:rPr>
      </w:pPr>
      <w:r>
        <w:rPr>
          <w:szCs w:val="26"/>
        </w:rPr>
        <w:t xml:space="preserve">IECPA argued that gas-on-gas competition is </w:t>
      </w:r>
      <w:r w:rsidR="00D5102D">
        <w:rPr>
          <w:szCs w:val="26"/>
        </w:rPr>
        <w:t>consistent</w:t>
      </w:r>
      <w:r>
        <w:rPr>
          <w:szCs w:val="26"/>
        </w:rPr>
        <w:t xml:space="preserve"> with ratemaking principl</w:t>
      </w:r>
      <w:r w:rsidR="00F47C5E">
        <w:rPr>
          <w:szCs w:val="26"/>
        </w:rPr>
        <w:t>e</w:t>
      </w:r>
      <w:r>
        <w:rPr>
          <w:szCs w:val="26"/>
        </w:rPr>
        <w:t>s.  IECPA explained that rates may be established based on a number of principl</w:t>
      </w:r>
      <w:r w:rsidR="00D5102D">
        <w:rPr>
          <w:szCs w:val="26"/>
        </w:rPr>
        <w:t>e</w:t>
      </w:r>
      <w:r>
        <w:rPr>
          <w:szCs w:val="26"/>
        </w:rPr>
        <w:t xml:space="preserve">s, including cost of service, value of service, gradualism and ability to pay.  </w:t>
      </w:r>
      <w:r w:rsidR="00D5102D">
        <w:rPr>
          <w:szCs w:val="26"/>
        </w:rPr>
        <w:t>IECPA opined that any of the forgoing principles may motivate the adoption of a certain rate by an NGDC and value of service, in particular, is arguably the main principl</w:t>
      </w:r>
      <w:r w:rsidR="00F47C5E">
        <w:rPr>
          <w:szCs w:val="26"/>
        </w:rPr>
        <w:t>e</w:t>
      </w:r>
      <w:r w:rsidR="00D5102D">
        <w:rPr>
          <w:szCs w:val="26"/>
        </w:rPr>
        <w:t xml:space="preserve"> that justifies rate discounting due to gas-on-gas competition.  IECPA M.B. at 12 (citing IECPA St. 1 at 9).  IECPA also explained that when establishing a rate based on value of service, NGDCs will identify the value a customer contributes to their system and determine the highest rate that may be charged to the customer without losing the customer and its revenue.  IECPA averred that the Commission has employed value of service principles for setting rates for a number of years.  </w:t>
      </w:r>
      <w:r w:rsidR="00A26C8C">
        <w:rPr>
          <w:szCs w:val="26"/>
        </w:rPr>
        <w:t>IECPA M.B. at 12 (citing IECPA St. 1 at 4-5).</w:t>
      </w:r>
    </w:p>
    <w:p w:rsidR="00F63CC7" w:rsidRDefault="00F63CC7" w:rsidP="00B43911">
      <w:pPr>
        <w:widowControl/>
        <w:rPr>
          <w:szCs w:val="26"/>
        </w:rPr>
      </w:pPr>
    </w:p>
    <w:p w:rsidR="00A26C8C" w:rsidRDefault="002A2260" w:rsidP="00B43911">
      <w:pPr>
        <w:widowControl/>
        <w:rPr>
          <w:szCs w:val="26"/>
        </w:rPr>
      </w:pPr>
      <w:r>
        <w:rPr>
          <w:szCs w:val="26"/>
        </w:rPr>
        <w:lastRenderedPageBreak/>
        <w:t xml:space="preserve">In response to the arguments by I&amp;E, the OCA and the OSBA, that smaller customer classes, </w:t>
      </w:r>
      <w:r w:rsidRPr="002A2260">
        <w:rPr>
          <w:i/>
          <w:szCs w:val="26"/>
        </w:rPr>
        <w:t>i.e.</w:t>
      </w:r>
      <w:r>
        <w:rPr>
          <w:szCs w:val="26"/>
        </w:rPr>
        <w:t xml:space="preserve"> residential and small commercial, are required to remit higher costs resulting in undue price discrimination, IECPA submitted that the costs remitted by smaller customer classes are, in general, just and reasonable, even with the existence of gas-on-gas rates.  IECPA pointed to the cost of service study submitted in the most recent Peoples base rate case where </w:t>
      </w:r>
      <w:r w:rsidR="007344DD">
        <w:rPr>
          <w:szCs w:val="26"/>
        </w:rPr>
        <w:t xml:space="preserve">residential and small customers were paying rate of return percentages of 5.25% and 5.10%, respectively.  IECPA noted that, by contrast, the overall system rate of return was 6.07% and medium and large C&amp;I customers were paying rate of return percentages of 8.68% and 9.93%, respectively.  IECPA argued that the cost of service study indicates that the rates for large C&amp;I customers do not violate cost of service principles despite the inclusion of customers within these rate </w:t>
      </w:r>
      <w:r w:rsidR="00622F45">
        <w:rPr>
          <w:szCs w:val="26"/>
        </w:rPr>
        <w:t>classes</w:t>
      </w:r>
      <w:r w:rsidR="007344DD">
        <w:rPr>
          <w:szCs w:val="26"/>
        </w:rPr>
        <w:t xml:space="preserve"> that receive gas-on-gas discounts.  IECPA M.B. at 14 (citing IECPA St. 1S at 12). </w:t>
      </w:r>
    </w:p>
    <w:p w:rsidR="00704A8E" w:rsidRDefault="00704A8E" w:rsidP="00B43911">
      <w:pPr>
        <w:widowControl/>
        <w:rPr>
          <w:szCs w:val="26"/>
        </w:rPr>
      </w:pPr>
    </w:p>
    <w:p w:rsidR="00704A8E" w:rsidRPr="005D1141" w:rsidRDefault="005D1141" w:rsidP="00B43911">
      <w:pPr>
        <w:widowControl/>
        <w:rPr>
          <w:szCs w:val="26"/>
        </w:rPr>
      </w:pPr>
      <w:r w:rsidRPr="005D1141">
        <w:rPr>
          <w:szCs w:val="26"/>
        </w:rPr>
        <w:t xml:space="preserve">I&amp;E </w:t>
      </w:r>
      <w:r>
        <w:rPr>
          <w:szCs w:val="26"/>
        </w:rPr>
        <w:t>aver</w:t>
      </w:r>
      <w:r w:rsidR="009E1AEE">
        <w:rPr>
          <w:szCs w:val="26"/>
        </w:rPr>
        <w:t>red</w:t>
      </w:r>
      <w:r>
        <w:rPr>
          <w:szCs w:val="26"/>
        </w:rPr>
        <w:t xml:space="preserve"> that IECPA</w:t>
      </w:r>
      <w:r w:rsidR="001D074D">
        <w:rPr>
          <w:szCs w:val="26"/>
        </w:rPr>
        <w:t>’</w:t>
      </w:r>
      <w:r>
        <w:rPr>
          <w:szCs w:val="26"/>
        </w:rPr>
        <w:t>s use of the blended cost of service study in the most recent Peoples</w:t>
      </w:r>
      <w:r w:rsidR="001D074D">
        <w:rPr>
          <w:szCs w:val="26"/>
        </w:rPr>
        <w:t>’</w:t>
      </w:r>
      <w:r>
        <w:rPr>
          <w:szCs w:val="26"/>
        </w:rPr>
        <w:t xml:space="preserve"> base rate case to illustrate that gas-on-gas discounting adheres to cost of service principl</w:t>
      </w:r>
      <w:r w:rsidR="009C3528">
        <w:rPr>
          <w:szCs w:val="26"/>
        </w:rPr>
        <w:t>e</w:t>
      </w:r>
      <w:r>
        <w:rPr>
          <w:szCs w:val="26"/>
        </w:rPr>
        <w:t>s was improper.  I&amp;E explained that a review of the testimony in that case indicates that parties challenged the allocations in Peoples</w:t>
      </w:r>
      <w:r w:rsidR="001D074D">
        <w:rPr>
          <w:szCs w:val="26"/>
        </w:rPr>
        <w:t>’</w:t>
      </w:r>
      <w:r w:rsidR="00D773DE">
        <w:rPr>
          <w:szCs w:val="26"/>
        </w:rPr>
        <w:t xml:space="preserve"> cost-</w:t>
      </w:r>
      <w:r>
        <w:rPr>
          <w:szCs w:val="26"/>
        </w:rPr>
        <w:t>of</w:t>
      </w:r>
      <w:r w:rsidR="00D773DE">
        <w:rPr>
          <w:szCs w:val="26"/>
        </w:rPr>
        <w:t>-</w:t>
      </w:r>
      <w:r>
        <w:rPr>
          <w:szCs w:val="26"/>
        </w:rPr>
        <w:t xml:space="preserve">service studies because they did not reasonably reveal an accurate indication of class-allocated cost responsibilities.  I&amp;E noted that the OCA conducted its own </w:t>
      </w:r>
      <w:r w:rsidR="00D773DE">
        <w:rPr>
          <w:szCs w:val="26"/>
        </w:rPr>
        <w:t>p</w:t>
      </w:r>
      <w:r>
        <w:rPr>
          <w:szCs w:val="26"/>
        </w:rPr>
        <w:t xml:space="preserve">eak and </w:t>
      </w:r>
      <w:r w:rsidR="00D773DE">
        <w:rPr>
          <w:szCs w:val="26"/>
        </w:rPr>
        <w:t>a</w:t>
      </w:r>
      <w:r>
        <w:rPr>
          <w:szCs w:val="26"/>
        </w:rPr>
        <w:t>verage cost of service study and demonstrated that residential</w:t>
      </w:r>
      <w:r w:rsidR="009E1AEE">
        <w:rPr>
          <w:szCs w:val="26"/>
        </w:rPr>
        <w:t xml:space="preserve"> </w:t>
      </w:r>
      <w:r w:rsidR="00315F71">
        <w:rPr>
          <w:szCs w:val="26"/>
        </w:rPr>
        <w:t>customers pay</w:t>
      </w:r>
      <w:r>
        <w:rPr>
          <w:szCs w:val="26"/>
        </w:rPr>
        <w:t xml:space="preserve"> at or above the system average while small general service </w:t>
      </w:r>
      <w:r w:rsidR="00A33DF5">
        <w:rPr>
          <w:szCs w:val="26"/>
        </w:rPr>
        <w:t>customers pay below the system average.  I&amp;E submit</w:t>
      </w:r>
      <w:r w:rsidR="00D773DE">
        <w:rPr>
          <w:szCs w:val="26"/>
        </w:rPr>
        <w:t>ted</w:t>
      </w:r>
      <w:r w:rsidR="00A33DF5">
        <w:rPr>
          <w:szCs w:val="26"/>
        </w:rPr>
        <w:t xml:space="preserve"> that Peoples accepted the majority of the OCA</w:t>
      </w:r>
      <w:r w:rsidR="001D074D">
        <w:rPr>
          <w:szCs w:val="26"/>
        </w:rPr>
        <w:t>’</w:t>
      </w:r>
      <w:r w:rsidR="00A33DF5">
        <w:rPr>
          <w:szCs w:val="26"/>
        </w:rPr>
        <w:t xml:space="preserve">s cost-of-service modifications in its rebuttal testimony.  </w:t>
      </w:r>
      <w:proofErr w:type="gramStart"/>
      <w:r w:rsidR="00A33DF5">
        <w:rPr>
          <w:szCs w:val="26"/>
        </w:rPr>
        <w:t xml:space="preserve">I&amp;E R.B. at 8 (citing </w:t>
      </w:r>
      <w:r w:rsidR="00A33DF5" w:rsidRPr="00D773DE">
        <w:rPr>
          <w:i/>
          <w:szCs w:val="26"/>
        </w:rPr>
        <w:t>Pa.</w:t>
      </w:r>
      <w:r w:rsidR="00D773DE" w:rsidRPr="00D773DE">
        <w:rPr>
          <w:i/>
          <w:szCs w:val="26"/>
        </w:rPr>
        <w:t xml:space="preserve"> PUC v. Peoples Natural Gas Company</w:t>
      </w:r>
      <w:r w:rsidR="00D773DE" w:rsidRPr="00084C33">
        <w:rPr>
          <w:i/>
          <w:szCs w:val="26"/>
        </w:rPr>
        <w:t>, LLC</w:t>
      </w:r>
      <w:r w:rsidR="009C3528">
        <w:rPr>
          <w:szCs w:val="26"/>
        </w:rPr>
        <w:t>,</w:t>
      </w:r>
      <w:r w:rsidR="00D773DE">
        <w:rPr>
          <w:szCs w:val="26"/>
        </w:rPr>
        <w:t xml:space="preserve"> Docket No.</w:t>
      </w:r>
      <w:proofErr w:type="gramEnd"/>
      <w:r w:rsidR="00D773DE">
        <w:rPr>
          <w:szCs w:val="26"/>
        </w:rPr>
        <w:t xml:space="preserve"> R-2012-2285985 </w:t>
      </w:r>
      <w:r w:rsidR="009C3528">
        <w:rPr>
          <w:szCs w:val="26"/>
        </w:rPr>
        <w:t>(</w:t>
      </w:r>
      <w:r w:rsidR="00D773DE">
        <w:rPr>
          <w:szCs w:val="26"/>
        </w:rPr>
        <w:t xml:space="preserve">Recommended Decision </w:t>
      </w:r>
      <w:r w:rsidR="009C3528">
        <w:rPr>
          <w:szCs w:val="26"/>
        </w:rPr>
        <w:t xml:space="preserve">issued </w:t>
      </w:r>
      <w:r w:rsidR="00E62299">
        <w:rPr>
          <w:szCs w:val="26"/>
        </w:rPr>
        <w:t>September 6,</w:t>
      </w:r>
      <w:r w:rsidR="009C3528">
        <w:rPr>
          <w:szCs w:val="26"/>
        </w:rPr>
        <w:t xml:space="preserve"> </w:t>
      </w:r>
      <w:r w:rsidR="00E62299">
        <w:rPr>
          <w:szCs w:val="26"/>
        </w:rPr>
        <w:t>2012</w:t>
      </w:r>
      <w:r w:rsidR="009C3528">
        <w:rPr>
          <w:szCs w:val="26"/>
        </w:rPr>
        <w:t>)</w:t>
      </w:r>
      <w:r w:rsidR="00E62299">
        <w:rPr>
          <w:szCs w:val="26"/>
        </w:rPr>
        <w:t xml:space="preserve"> </w:t>
      </w:r>
      <w:r w:rsidR="00D773DE">
        <w:rPr>
          <w:szCs w:val="26"/>
        </w:rPr>
        <w:t>at 33-34).</w:t>
      </w:r>
    </w:p>
    <w:p w:rsidR="00A26C8C" w:rsidRDefault="00704A8E" w:rsidP="00B43911">
      <w:pPr>
        <w:widowControl/>
        <w:rPr>
          <w:szCs w:val="26"/>
        </w:rPr>
      </w:pPr>
      <w:r>
        <w:rPr>
          <w:szCs w:val="26"/>
        </w:rPr>
        <w:t xml:space="preserve"> </w:t>
      </w:r>
    </w:p>
    <w:p w:rsidR="00107855" w:rsidRDefault="00021D70" w:rsidP="00B43911">
      <w:pPr>
        <w:widowControl/>
        <w:rPr>
          <w:szCs w:val="26"/>
        </w:rPr>
      </w:pPr>
      <w:r>
        <w:rPr>
          <w:szCs w:val="26"/>
        </w:rPr>
        <w:t xml:space="preserve">IECPA explained that western Pennsylvania has and continues to </w:t>
      </w:r>
      <w:r w:rsidR="006E2DD1">
        <w:rPr>
          <w:szCs w:val="26"/>
        </w:rPr>
        <w:t>experience</w:t>
      </w:r>
      <w:r>
        <w:rPr>
          <w:szCs w:val="26"/>
        </w:rPr>
        <w:t xml:space="preserve"> </w:t>
      </w:r>
      <w:r w:rsidR="006E2DD1">
        <w:rPr>
          <w:szCs w:val="26"/>
        </w:rPr>
        <w:t xml:space="preserve">challenging economic circumstances for its larger businesses and industries.  IECPA stated that these economic conditions have forced large C&amp;I customers to reduce </w:t>
      </w:r>
      <w:r w:rsidR="006E2DD1">
        <w:rPr>
          <w:szCs w:val="26"/>
        </w:rPr>
        <w:lastRenderedPageBreak/>
        <w:t xml:space="preserve">operating costs to the largest extent possible in order to stave off layoffs and bankruptcy.  IECPA averred that, in addition to preserving utility revenues, natural gas discounting is of significant importance to NGDCs and customers alike.  </w:t>
      </w:r>
      <w:proofErr w:type="gramStart"/>
      <w:r w:rsidR="006E2DD1">
        <w:rPr>
          <w:szCs w:val="26"/>
        </w:rPr>
        <w:t>IECPA M.B. at 7.</w:t>
      </w:r>
      <w:proofErr w:type="gramEnd"/>
      <w:r w:rsidR="006E2DD1">
        <w:rPr>
          <w:szCs w:val="26"/>
        </w:rPr>
        <w:t xml:space="preserve"> </w:t>
      </w:r>
      <w:r w:rsidR="00107855">
        <w:rPr>
          <w:szCs w:val="26"/>
        </w:rPr>
        <w:t xml:space="preserve"> </w:t>
      </w:r>
    </w:p>
    <w:p w:rsidR="00107855" w:rsidRDefault="00107855" w:rsidP="00B43911">
      <w:pPr>
        <w:widowControl/>
        <w:rPr>
          <w:szCs w:val="26"/>
        </w:rPr>
      </w:pPr>
    </w:p>
    <w:p w:rsidR="00107855" w:rsidRDefault="00107855" w:rsidP="00B43911">
      <w:pPr>
        <w:widowControl/>
        <w:rPr>
          <w:szCs w:val="26"/>
        </w:rPr>
      </w:pPr>
      <w:r>
        <w:rPr>
          <w:szCs w:val="26"/>
        </w:rPr>
        <w:t>Similarly, PSU argued that if flex rates are discontinued, some customers may scale back their operations, may cut employees, may seek bypassing opportunities, or may relocate all or portions of their facility work to another lower-cost region.  PSU opined that from a greater public interest and economic perspective, anythin</w:t>
      </w:r>
      <w:r w:rsidR="00636F1E">
        <w:rPr>
          <w:szCs w:val="26"/>
        </w:rPr>
        <w:t>g</w:t>
      </w:r>
      <w:r>
        <w:rPr>
          <w:szCs w:val="26"/>
        </w:rPr>
        <w:t xml:space="preserve"> a utility can do through flex rates to retain businesses or attract new businesses </w:t>
      </w:r>
      <w:r w:rsidR="00636F1E">
        <w:rPr>
          <w:szCs w:val="26"/>
        </w:rPr>
        <w:t>provides obvious benefits to our Commonwealth citizens generally by providing jobs, valuable income to local municipalities, and the Commonwealth via taxes that fund government and public works.  PSU warned that if flex rates are discontinued, there will be many potential adverse local and state economic implications that Pennsylvania</w:t>
      </w:r>
      <w:r w:rsidR="001D074D">
        <w:rPr>
          <w:szCs w:val="26"/>
        </w:rPr>
        <w:t>’</w:t>
      </w:r>
      <w:r w:rsidR="00636F1E">
        <w:rPr>
          <w:szCs w:val="26"/>
        </w:rPr>
        <w:t>s economy does not need.</w:t>
      </w:r>
      <w:r w:rsidR="00251494">
        <w:rPr>
          <w:szCs w:val="26"/>
        </w:rPr>
        <w:t xml:space="preserve">  PSU </w:t>
      </w:r>
      <w:r w:rsidR="00EE06D3">
        <w:rPr>
          <w:szCs w:val="26"/>
        </w:rPr>
        <w:t>M.B.</w:t>
      </w:r>
      <w:r w:rsidR="00251494">
        <w:rPr>
          <w:szCs w:val="26"/>
        </w:rPr>
        <w:t xml:space="preserve"> at 5 (citing PSU St. 1 at 8-10). </w:t>
      </w:r>
    </w:p>
    <w:p w:rsidR="00107855" w:rsidRDefault="00107855" w:rsidP="00B43911">
      <w:pPr>
        <w:widowControl/>
        <w:rPr>
          <w:szCs w:val="26"/>
        </w:rPr>
      </w:pPr>
    </w:p>
    <w:p w:rsidR="00021D70" w:rsidRDefault="00B064F9" w:rsidP="00B43911">
      <w:pPr>
        <w:widowControl/>
        <w:rPr>
          <w:szCs w:val="26"/>
        </w:rPr>
      </w:pPr>
      <w:r>
        <w:rPr>
          <w:szCs w:val="26"/>
        </w:rPr>
        <w:t xml:space="preserve">IECPA argued that current public utility law and regulations promote gas-on-gas competition.  </w:t>
      </w:r>
      <w:r w:rsidR="00366A9D">
        <w:rPr>
          <w:szCs w:val="26"/>
        </w:rPr>
        <w:t xml:space="preserve">IECPA stated that the Commission Regulations for </w:t>
      </w:r>
      <w:r w:rsidR="00A20CFB">
        <w:rPr>
          <w:szCs w:val="26"/>
        </w:rPr>
        <w:t xml:space="preserve">natural gas </w:t>
      </w:r>
      <w:r w:rsidR="00366A9D">
        <w:rPr>
          <w:szCs w:val="26"/>
        </w:rPr>
        <w:t xml:space="preserve">transportation service provide for flexible rates for large </w:t>
      </w:r>
      <w:proofErr w:type="gramStart"/>
      <w:r w:rsidR="00366A9D">
        <w:rPr>
          <w:szCs w:val="26"/>
        </w:rPr>
        <w:t>C&amp;I</w:t>
      </w:r>
      <w:proofErr w:type="gramEnd"/>
      <w:r w:rsidR="00366A9D">
        <w:rPr>
          <w:szCs w:val="26"/>
        </w:rPr>
        <w:t xml:space="preserve"> customers.  IECPA noted that these </w:t>
      </w:r>
      <w:r w:rsidR="00B117A7">
        <w:rPr>
          <w:szCs w:val="26"/>
        </w:rPr>
        <w:t>R</w:t>
      </w:r>
      <w:r w:rsidR="00366A9D">
        <w:rPr>
          <w:szCs w:val="26"/>
        </w:rPr>
        <w:t>egulations state that a NGDC</w:t>
      </w:r>
      <w:r w:rsidR="00A20CFB">
        <w:rPr>
          <w:szCs w:val="26"/>
        </w:rPr>
        <w:t>’</w:t>
      </w:r>
      <w:r w:rsidR="00366A9D">
        <w:rPr>
          <w:szCs w:val="26"/>
        </w:rPr>
        <w:t xml:space="preserve">s tariff must include </w:t>
      </w:r>
      <w:r w:rsidR="001D074D">
        <w:rPr>
          <w:szCs w:val="26"/>
        </w:rPr>
        <w:t>“</w:t>
      </w:r>
      <w:r w:rsidR="00366A9D">
        <w:rPr>
          <w:szCs w:val="26"/>
        </w:rPr>
        <w:t>a range of rates for transportation service</w:t>
      </w:r>
      <w:r w:rsidR="001D074D">
        <w:rPr>
          <w:szCs w:val="26"/>
        </w:rPr>
        <w:t>”</w:t>
      </w:r>
      <w:r w:rsidR="00366A9D">
        <w:rPr>
          <w:szCs w:val="26"/>
        </w:rPr>
        <w:t xml:space="preserve"> and establish a </w:t>
      </w:r>
      <w:r w:rsidR="001D074D">
        <w:rPr>
          <w:szCs w:val="26"/>
        </w:rPr>
        <w:t>“</w:t>
      </w:r>
      <w:r w:rsidR="00366A9D">
        <w:rPr>
          <w:szCs w:val="26"/>
        </w:rPr>
        <w:t>maximum rate allowed for transportation service.</w:t>
      </w:r>
      <w:r w:rsidR="001D074D">
        <w:rPr>
          <w:szCs w:val="26"/>
        </w:rPr>
        <w:t>”</w:t>
      </w:r>
      <w:r w:rsidR="00366A9D">
        <w:rPr>
          <w:szCs w:val="26"/>
        </w:rPr>
        <w:t xml:space="preserve">  IECPA M.B. at 10 (citing 52 Pa. Code § 60.2(2)-(3)).  </w:t>
      </w:r>
      <w:r w:rsidR="00581271">
        <w:rPr>
          <w:szCs w:val="26"/>
        </w:rPr>
        <w:t>IECPA point</w:t>
      </w:r>
      <w:r w:rsidR="00B117A7">
        <w:rPr>
          <w:szCs w:val="26"/>
        </w:rPr>
        <w:t>ed out that the transportation R</w:t>
      </w:r>
      <w:r w:rsidR="00581271">
        <w:rPr>
          <w:szCs w:val="26"/>
        </w:rPr>
        <w:t xml:space="preserve">egulations also </w:t>
      </w:r>
      <w:proofErr w:type="gramStart"/>
      <w:r w:rsidR="00581271">
        <w:rPr>
          <w:szCs w:val="26"/>
        </w:rPr>
        <w:t>require</w:t>
      </w:r>
      <w:proofErr w:type="gramEnd"/>
      <w:r w:rsidR="00581271">
        <w:rPr>
          <w:szCs w:val="26"/>
        </w:rPr>
        <w:t xml:space="preserve"> NGDCs to </w:t>
      </w:r>
      <w:r w:rsidR="001D074D">
        <w:rPr>
          <w:szCs w:val="26"/>
        </w:rPr>
        <w:t>“</w:t>
      </w:r>
      <w:r w:rsidR="00581271">
        <w:rPr>
          <w:szCs w:val="26"/>
        </w:rPr>
        <w:t>maximize system throughput.</w:t>
      </w:r>
      <w:r w:rsidR="001D074D">
        <w:rPr>
          <w:szCs w:val="26"/>
        </w:rPr>
        <w:t>”</w:t>
      </w:r>
      <w:r w:rsidR="00581271">
        <w:rPr>
          <w:szCs w:val="26"/>
        </w:rPr>
        <w:t xml:space="preserve">  IECPA M.B. at 10 (citing 52 Pa. Code § 60.2(7)).  IECP</w:t>
      </w:r>
      <w:r w:rsidR="00F96D36">
        <w:rPr>
          <w:szCs w:val="26"/>
        </w:rPr>
        <w:t>A opined that the Commission</w:t>
      </w:r>
      <w:r w:rsidR="001D074D">
        <w:rPr>
          <w:szCs w:val="26"/>
        </w:rPr>
        <w:t>’</w:t>
      </w:r>
      <w:r w:rsidR="00F96D36">
        <w:rPr>
          <w:szCs w:val="26"/>
        </w:rPr>
        <w:t>s R</w:t>
      </w:r>
      <w:r w:rsidR="00581271">
        <w:rPr>
          <w:szCs w:val="26"/>
        </w:rPr>
        <w:t xml:space="preserve">egulations are an acknowledgement that rates may be offered below the maximum rate allowed and that NGDCs are required to pursue every opportunity to increase system load.  </w:t>
      </w:r>
      <w:proofErr w:type="gramStart"/>
      <w:r w:rsidR="00581271">
        <w:rPr>
          <w:szCs w:val="26"/>
        </w:rPr>
        <w:t>IECPA M.B. at 10.</w:t>
      </w:r>
      <w:proofErr w:type="gramEnd"/>
      <w:r w:rsidR="00581271">
        <w:rPr>
          <w:szCs w:val="26"/>
        </w:rPr>
        <w:t xml:space="preserve"> </w:t>
      </w:r>
    </w:p>
    <w:p w:rsidR="00581271" w:rsidRDefault="00581271" w:rsidP="00B43911">
      <w:pPr>
        <w:widowControl/>
        <w:rPr>
          <w:szCs w:val="26"/>
        </w:rPr>
      </w:pPr>
    </w:p>
    <w:p w:rsidR="00581271" w:rsidRDefault="00581271" w:rsidP="00B43911">
      <w:pPr>
        <w:widowControl/>
        <w:rPr>
          <w:szCs w:val="26"/>
        </w:rPr>
      </w:pPr>
      <w:r>
        <w:rPr>
          <w:szCs w:val="26"/>
        </w:rPr>
        <w:t>IECPA averred that the Commission</w:t>
      </w:r>
      <w:r w:rsidR="001D074D">
        <w:rPr>
          <w:szCs w:val="26"/>
        </w:rPr>
        <w:t>’</w:t>
      </w:r>
      <w:r>
        <w:rPr>
          <w:szCs w:val="26"/>
        </w:rPr>
        <w:t>s Regulations were further legitimized by the Natural Gas Choice and Competition Act (Competition Act)</w:t>
      </w:r>
      <w:r w:rsidR="001B511E">
        <w:rPr>
          <w:szCs w:val="26"/>
        </w:rPr>
        <w:t xml:space="preserve">, 66 Pa. C.S. §§ 2201, </w:t>
      </w:r>
      <w:r w:rsidR="001B511E" w:rsidRPr="001B511E">
        <w:rPr>
          <w:i/>
          <w:szCs w:val="26"/>
        </w:rPr>
        <w:lastRenderedPageBreak/>
        <w:t>et seq</w:t>
      </w:r>
      <w:r w:rsidR="001B511E">
        <w:rPr>
          <w:szCs w:val="26"/>
        </w:rPr>
        <w:t>., which provided new requirements for natural gas competition in Pennsylvania.  IECPA noted that</w:t>
      </w:r>
      <w:r>
        <w:rPr>
          <w:szCs w:val="26"/>
        </w:rPr>
        <w:t xml:space="preserve"> </w:t>
      </w:r>
      <w:r w:rsidR="001B511E">
        <w:rPr>
          <w:szCs w:val="26"/>
        </w:rPr>
        <w:t xml:space="preserve">the Competition Act states </w:t>
      </w:r>
      <w:r w:rsidR="001D074D">
        <w:rPr>
          <w:szCs w:val="26"/>
        </w:rPr>
        <w:t>“</w:t>
      </w:r>
      <w:r w:rsidR="001B511E">
        <w:rPr>
          <w:szCs w:val="26"/>
        </w:rPr>
        <w:t>[t]he natural gas distribution company may continue to provide natural gas service to its customers under all tariff rate schedules and riders incorporated into its tariff, and policies and programs, existing on the effective date of this chapter.</w:t>
      </w:r>
      <w:r w:rsidR="001D074D">
        <w:rPr>
          <w:szCs w:val="26"/>
        </w:rPr>
        <w:t>”</w:t>
      </w:r>
      <w:r w:rsidR="001B511E">
        <w:rPr>
          <w:szCs w:val="26"/>
        </w:rPr>
        <w:t xml:space="preserve">  IECPA M.B. at 11 (citing 66 Pa. C.S. §</w:t>
      </w:r>
      <w:r w:rsidR="009E1AEE">
        <w:rPr>
          <w:szCs w:val="26"/>
        </w:rPr>
        <w:t xml:space="preserve"> 2203(14)).  IECPA argued that </w:t>
      </w:r>
      <w:r w:rsidR="001B511E">
        <w:rPr>
          <w:szCs w:val="26"/>
        </w:rPr>
        <w:t>rather than override any aspect of the Commission</w:t>
      </w:r>
      <w:r w:rsidR="001D074D">
        <w:rPr>
          <w:szCs w:val="26"/>
        </w:rPr>
        <w:t>’</w:t>
      </w:r>
      <w:r w:rsidR="001B511E">
        <w:rPr>
          <w:szCs w:val="26"/>
        </w:rPr>
        <w:t xml:space="preserve">s Regulations related to natural gas discounting, the </w:t>
      </w:r>
      <w:r w:rsidR="00A20CFB">
        <w:rPr>
          <w:szCs w:val="26"/>
        </w:rPr>
        <w:t>L</w:t>
      </w:r>
      <w:r w:rsidR="001B511E">
        <w:rPr>
          <w:szCs w:val="26"/>
        </w:rPr>
        <w:t xml:space="preserve">egislature endorsed all current practices of NGDCs at the time the Competition Act was passed.  </w:t>
      </w:r>
      <w:proofErr w:type="gramStart"/>
      <w:r w:rsidR="001B511E">
        <w:rPr>
          <w:szCs w:val="26"/>
        </w:rPr>
        <w:t>IECPA M.B. at 11.</w:t>
      </w:r>
      <w:proofErr w:type="gramEnd"/>
    </w:p>
    <w:p w:rsidR="001B511E" w:rsidRDefault="001B511E" w:rsidP="00B43911">
      <w:pPr>
        <w:widowControl/>
        <w:rPr>
          <w:szCs w:val="26"/>
        </w:rPr>
      </w:pPr>
    </w:p>
    <w:p w:rsidR="00F63CC7" w:rsidRDefault="00F63CC7" w:rsidP="00B43911">
      <w:pPr>
        <w:widowControl/>
        <w:rPr>
          <w:szCs w:val="26"/>
        </w:rPr>
      </w:pPr>
      <w:r>
        <w:rPr>
          <w:szCs w:val="26"/>
        </w:rPr>
        <w:t>IECPA observed that since the passage of the Competition Act</w:t>
      </w:r>
      <w:r w:rsidR="00617557">
        <w:rPr>
          <w:szCs w:val="26"/>
        </w:rPr>
        <w:t>,</w:t>
      </w:r>
      <w:r>
        <w:rPr>
          <w:szCs w:val="26"/>
        </w:rPr>
        <w:t xml:space="preserve"> neither the </w:t>
      </w:r>
      <w:r w:rsidR="00A20CFB">
        <w:rPr>
          <w:szCs w:val="26"/>
        </w:rPr>
        <w:t>L</w:t>
      </w:r>
      <w:r>
        <w:rPr>
          <w:szCs w:val="26"/>
        </w:rPr>
        <w:t xml:space="preserve">egislature </w:t>
      </w:r>
      <w:r w:rsidR="009E1AEE">
        <w:rPr>
          <w:szCs w:val="26"/>
        </w:rPr>
        <w:t>n</w:t>
      </w:r>
      <w:r>
        <w:rPr>
          <w:szCs w:val="26"/>
        </w:rPr>
        <w:t>o</w:t>
      </w:r>
      <w:r w:rsidR="009E1AEE">
        <w:rPr>
          <w:szCs w:val="26"/>
        </w:rPr>
        <w:t>r</w:t>
      </w:r>
      <w:r>
        <w:rPr>
          <w:szCs w:val="26"/>
        </w:rPr>
        <w:t xml:space="preserve"> the Commission has seen the need to review gas-on-gas competition with respect to multiple NGDCs.  IECPA submitted that although gas-on-gas rate discounting has been addressed in individual NGDC base rate cases, many of these cases have been resolved via Commission approval without addressing the merits of gas-on-gas competition.  </w:t>
      </w:r>
      <w:proofErr w:type="gramStart"/>
      <w:r>
        <w:rPr>
          <w:szCs w:val="26"/>
        </w:rPr>
        <w:t>IECPA M.B. at 11.</w:t>
      </w:r>
      <w:proofErr w:type="gramEnd"/>
      <w:r>
        <w:rPr>
          <w:szCs w:val="26"/>
        </w:rPr>
        <w:t xml:space="preserve"> </w:t>
      </w:r>
    </w:p>
    <w:p w:rsidR="001B511E" w:rsidRDefault="001B511E" w:rsidP="00B43911">
      <w:pPr>
        <w:widowControl/>
        <w:rPr>
          <w:szCs w:val="26"/>
        </w:rPr>
      </w:pPr>
    </w:p>
    <w:p w:rsidR="00B064F9" w:rsidRDefault="00074BCC" w:rsidP="00B43911">
      <w:pPr>
        <w:widowControl/>
        <w:rPr>
          <w:szCs w:val="26"/>
        </w:rPr>
      </w:pPr>
      <w:r>
        <w:rPr>
          <w:szCs w:val="26"/>
        </w:rPr>
        <w:t xml:space="preserve">NFG explained that it has not engaged in any gas-on-gas competition for a number of years and it takes no position on whether the practice should continue. However, NFG recommended that if gas-on-gas rates continue, the competing NGDCs should be required to prove that the rates they are offering to a specific customer </w:t>
      </w:r>
      <w:r w:rsidR="009E1AEE">
        <w:rPr>
          <w:szCs w:val="26"/>
        </w:rPr>
        <w:t>are</w:t>
      </w:r>
      <w:r>
        <w:rPr>
          <w:szCs w:val="26"/>
        </w:rPr>
        <w:t xml:space="preserve"> cost-based and recov</w:t>
      </w:r>
      <w:r w:rsidR="009E1AEE">
        <w:rPr>
          <w:szCs w:val="26"/>
        </w:rPr>
        <w:t>er</w:t>
      </w:r>
      <w:r>
        <w:rPr>
          <w:szCs w:val="26"/>
        </w:rPr>
        <w:t xml:space="preserve"> the costs of facilities used in providing service to the customer.  NFG explained that under this scenario, it would be presumed that the NGDC with the lowest cost of service should win the contest to provide service to the competitive customer.  NFG </w:t>
      </w:r>
      <w:r w:rsidR="00EE06D3">
        <w:rPr>
          <w:szCs w:val="26"/>
        </w:rPr>
        <w:t>M.B.</w:t>
      </w:r>
      <w:r>
        <w:rPr>
          <w:szCs w:val="26"/>
        </w:rPr>
        <w:t xml:space="preserve"> at 3 (citing NFG St. 1 at 3-4).</w:t>
      </w:r>
    </w:p>
    <w:p w:rsidR="00B064F9" w:rsidRDefault="00B064F9" w:rsidP="00B43911">
      <w:pPr>
        <w:widowControl/>
        <w:rPr>
          <w:szCs w:val="26"/>
        </w:rPr>
      </w:pPr>
    </w:p>
    <w:p w:rsidR="00471AEA" w:rsidRPr="000D2E9F" w:rsidRDefault="006D16AD" w:rsidP="00B43911">
      <w:pPr>
        <w:widowControl/>
        <w:rPr>
          <w:rFonts w:eastAsiaTheme="minorHAnsi"/>
        </w:rPr>
      </w:pPr>
      <w:r>
        <w:rPr>
          <w:rFonts w:eastAsiaTheme="minorHAnsi"/>
        </w:rPr>
        <w:t>Peoples/PTWP</w:t>
      </w:r>
      <w:r w:rsidR="00680220" w:rsidRPr="000D2E9F">
        <w:rPr>
          <w:rFonts w:eastAsiaTheme="minorHAnsi"/>
        </w:rPr>
        <w:t xml:space="preserve"> recommended that g</w:t>
      </w:r>
      <w:r w:rsidR="005A394D" w:rsidRPr="000D2E9F">
        <w:rPr>
          <w:rFonts w:eastAsiaTheme="minorHAnsi"/>
        </w:rPr>
        <w:t>as-on-gas competition should be permitted to continue but in a</w:t>
      </w:r>
      <w:r w:rsidR="00680220" w:rsidRPr="000D2E9F">
        <w:rPr>
          <w:rFonts w:eastAsiaTheme="minorHAnsi"/>
        </w:rPr>
        <w:t xml:space="preserve"> </w:t>
      </w:r>
      <w:r w:rsidR="005A394D" w:rsidRPr="000D2E9F">
        <w:rPr>
          <w:rFonts w:eastAsiaTheme="minorHAnsi"/>
        </w:rPr>
        <w:t xml:space="preserve">modified form. </w:t>
      </w:r>
      <w:r w:rsidR="00680220" w:rsidRPr="000D2E9F">
        <w:rPr>
          <w:rFonts w:eastAsiaTheme="minorHAnsi"/>
        </w:rPr>
        <w:t xml:space="preserve"> </w:t>
      </w:r>
      <w:r w:rsidR="00BC5F29" w:rsidRPr="000D2E9F">
        <w:rPr>
          <w:rFonts w:eastAsiaTheme="minorHAnsi"/>
        </w:rPr>
        <w:t xml:space="preserve">As discussed, </w:t>
      </w:r>
      <w:r w:rsidR="00BC5F29" w:rsidRPr="000D2E9F">
        <w:rPr>
          <w:rFonts w:eastAsiaTheme="minorHAnsi"/>
          <w:i/>
        </w:rPr>
        <w:t>infra</w:t>
      </w:r>
      <w:r w:rsidR="00BC5F29" w:rsidRPr="000D2E9F">
        <w:rPr>
          <w:rFonts w:eastAsiaTheme="minorHAnsi"/>
        </w:rPr>
        <w:t xml:space="preserve">, </w:t>
      </w:r>
      <w:r>
        <w:rPr>
          <w:rFonts w:eastAsiaTheme="minorHAnsi"/>
        </w:rPr>
        <w:t>Peoples/PTWP</w:t>
      </w:r>
      <w:r w:rsidR="00680220" w:rsidRPr="000D2E9F">
        <w:rPr>
          <w:rFonts w:eastAsiaTheme="minorHAnsi"/>
        </w:rPr>
        <w:t xml:space="preserve"> </w:t>
      </w:r>
      <w:r w:rsidR="00BC5F29" w:rsidRPr="000D2E9F">
        <w:rPr>
          <w:rFonts w:eastAsiaTheme="minorHAnsi"/>
        </w:rPr>
        <w:t xml:space="preserve">proposed, </w:t>
      </w:r>
      <w:r w:rsidR="00BC5F29" w:rsidRPr="000D2E9F">
        <w:rPr>
          <w:rFonts w:eastAsiaTheme="minorHAnsi"/>
          <w:i/>
        </w:rPr>
        <w:t>inter alia</w:t>
      </w:r>
      <w:r w:rsidR="00BC5F29" w:rsidRPr="000D2E9F">
        <w:rPr>
          <w:rFonts w:eastAsiaTheme="minorHAnsi"/>
        </w:rPr>
        <w:t xml:space="preserve">, that NGDCs compete on cost-based tariffed rates as well as a non-rate basis, such as service quality, tariffed terms and conditions of service, and access to </w:t>
      </w:r>
      <w:r w:rsidR="00BC5F29" w:rsidRPr="000D2E9F">
        <w:rPr>
          <w:rFonts w:eastAsiaTheme="minorHAnsi"/>
        </w:rPr>
        <w:lastRenderedPageBreak/>
        <w:t xml:space="preserve">gas supplies.  </w:t>
      </w:r>
      <w:r>
        <w:rPr>
          <w:rFonts w:eastAsiaTheme="minorHAnsi"/>
        </w:rPr>
        <w:t>Peoples/PTWP</w:t>
      </w:r>
      <w:r w:rsidR="000D2E9F" w:rsidRPr="000D2E9F">
        <w:rPr>
          <w:rFonts w:eastAsiaTheme="minorHAnsi"/>
        </w:rPr>
        <w:t xml:space="preserve"> averred </w:t>
      </w:r>
      <w:r w:rsidR="00BC5F29" w:rsidRPr="000D2E9F">
        <w:rPr>
          <w:rFonts w:eastAsiaTheme="minorHAnsi"/>
        </w:rPr>
        <w:t xml:space="preserve">that </w:t>
      </w:r>
      <w:r w:rsidR="000D2E9F" w:rsidRPr="000D2E9F">
        <w:rPr>
          <w:rFonts w:eastAsiaTheme="minorHAnsi"/>
        </w:rPr>
        <w:t>a</w:t>
      </w:r>
      <w:r w:rsidR="00BC5F29" w:rsidRPr="000D2E9F">
        <w:rPr>
          <w:rFonts w:eastAsiaTheme="minorHAnsi"/>
        </w:rPr>
        <w:t xml:space="preserve"> </w:t>
      </w:r>
      <w:r w:rsidR="005A394D" w:rsidRPr="000D2E9F">
        <w:rPr>
          <w:rFonts w:eastAsiaTheme="minorHAnsi"/>
        </w:rPr>
        <w:t>modified form of competition is in the public interest because competition, in</w:t>
      </w:r>
      <w:r w:rsidR="00680220" w:rsidRPr="000D2E9F">
        <w:rPr>
          <w:rFonts w:eastAsiaTheme="minorHAnsi"/>
        </w:rPr>
        <w:t xml:space="preserve"> </w:t>
      </w:r>
      <w:r w:rsidR="005A394D" w:rsidRPr="000D2E9F">
        <w:rPr>
          <w:rFonts w:eastAsiaTheme="minorHAnsi"/>
        </w:rPr>
        <w:t xml:space="preserve">general, provides consumer benefits through improved service and lower prices. </w:t>
      </w:r>
      <w:r w:rsidR="00680220" w:rsidRPr="000D2E9F">
        <w:rPr>
          <w:rFonts w:eastAsiaTheme="minorHAnsi"/>
        </w:rPr>
        <w:t xml:space="preserve"> </w:t>
      </w:r>
      <w:r>
        <w:rPr>
          <w:rFonts w:eastAsiaTheme="minorHAnsi"/>
        </w:rPr>
        <w:t>Peoples/PTWP</w:t>
      </w:r>
      <w:r w:rsidR="00471AEA" w:rsidRPr="000D2E9F">
        <w:rPr>
          <w:rFonts w:eastAsiaTheme="minorHAnsi"/>
        </w:rPr>
        <w:t xml:space="preserve"> submitted that c</w:t>
      </w:r>
      <w:r w:rsidR="005A394D" w:rsidRPr="000D2E9F">
        <w:rPr>
          <w:rFonts w:eastAsiaTheme="minorHAnsi"/>
        </w:rPr>
        <w:t xml:space="preserve">ontinued </w:t>
      </w:r>
      <w:r w:rsidR="00471AEA" w:rsidRPr="000D2E9F">
        <w:rPr>
          <w:rFonts w:eastAsiaTheme="minorHAnsi"/>
        </w:rPr>
        <w:t xml:space="preserve">competition will also protect </w:t>
      </w:r>
      <w:r w:rsidR="00680220" w:rsidRPr="000D2E9F">
        <w:rPr>
          <w:rFonts w:eastAsiaTheme="minorHAnsi"/>
        </w:rPr>
        <w:t>t</w:t>
      </w:r>
      <w:r w:rsidR="005A394D" w:rsidRPr="000D2E9F">
        <w:rPr>
          <w:rFonts w:eastAsiaTheme="minorHAnsi"/>
        </w:rPr>
        <w:t>he extensive investment made over decades by the NGDCs in reliance upon Commission policy that permitted gas-on-gas competition and will avoid</w:t>
      </w:r>
      <w:r w:rsidR="00680220" w:rsidRPr="000D2E9F">
        <w:rPr>
          <w:rFonts w:eastAsiaTheme="minorHAnsi"/>
        </w:rPr>
        <w:t xml:space="preserve"> </w:t>
      </w:r>
      <w:r w:rsidR="005A394D" w:rsidRPr="000D2E9F">
        <w:rPr>
          <w:rFonts w:eastAsiaTheme="minorHAnsi"/>
        </w:rPr>
        <w:t xml:space="preserve">contentious issues regarding recovery of stranded costs, regulatory takings, and nullification of existing gas-on-gas discount agreements. </w:t>
      </w:r>
      <w:r w:rsidR="00680220" w:rsidRPr="000D2E9F">
        <w:rPr>
          <w:rFonts w:eastAsiaTheme="minorHAnsi"/>
        </w:rPr>
        <w:t xml:space="preserve"> </w:t>
      </w:r>
      <w:r>
        <w:rPr>
          <w:rFonts w:eastAsiaTheme="minorHAnsi"/>
        </w:rPr>
        <w:t>Peoples/PTWP</w:t>
      </w:r>
      <w:r w:rsidR="00471AEA" w:rsidRPr="000D2E9F">
        <w:rPr>
          <w:rFonts w:eastAsiaTheme="minorHAnsi"/>
        </w:rPr>
        <w:t xml:space="preserve"> M.B. at 15-16. </w:t>
      </w:r>
    </w:p>
    <w:p w:rsidR="00471AEA" w:rsidRDefault="00471AEA" w:rsidP="00B43911">
      <w:pPr>
        <w:widowControl/>
        <w:rPr>
          <w:rFonts w:eastAsiaTheme="minorHAnsi"/>
        </w:rPr>
      </w:pPr>
    </w:p>
    <w:p w:rsidR="00365B4C" w:rsidRDefault="00365B4C" w:rsidP="00B43911">
      <w:pPr>
        <w:widowControl/>
        <w:rPr>
          <w:rFonts w:eastAsiaTheme="minorHAnsi"/>
        </w:rPr>
      </w:pPr>
      <w:r>
        <w:rPr>
          <w:rFonts w:eastAsiaTheme="minorHAnsi"/>
        </w:rPr>
        <w:t>Columbia did not take a position with respect to the ultimate fate of the current practice of NG</w:t>
      </w:r>
      <w:r w:rsidR="00EE06D3">
        <w:rPr>
          <w:rFonts w:eastAsiaTheme="minorHAnsi"/>
        </w:rPr>
        <w:t>D</w:t>
      </w:r>
      <w:r>
        <w:rPr>
          <w:rFonts w:eastAsiaTheme="minorHAnsi"/>
        </w:rPr>
        <w:t xml:space="preserve">C rate discounting </w:t>
      </w:r>
      <w:r w:rsidR="002B7C79">
        <w:rPr>
          <w:rFonts w:eastAsiaTheme="minorHAnsi"/>
        </w:rPr>
        <w:t xml:space="preserve">solely to meet a competitive threat of another NGDC.  </w:t>
      </w:r>
      <w:r w:rsidR="002077D5">
        <w:rPr>
          <w:rFonts w:eastAsiaTheme="minorHAnsi"/>
        </w:rPr>
        <w:t xml:space="preserve">However, </w:t>
      </w:r>
      <w:r w:rsidR="00D02FA2">
        <w:rPr>
          <w:rFonts w:eastAsiaTheme="minorHAnsi"/>
        </w:rPr>
        <w:t xml:space="preserve">Columbia </w:t>
      </w:r>
      <w:r w:rsidR="002077D5">
        <w:rPr>
          <w:rFonts w:eastAsiaTheme="minorHAnsi"/>
        </w:rPr>
        <w:t xml:space="preserve">is of the opinion that </w:t>
      </w:r>
      <w:r w:rsidR="00D02FA2">
        <w:rPr>
          <w:rFonts w:eastAsiaTheme="minorHAnsi"/>
        </w:rPr>
        <w:t xml:space="preserve">if the Commission should change the </w:t>
      </w:r>
      <w:r w:rsidR="00D02FA2" w:rsidRPr="009C4768">
        <w:rPr>
          <w:rFonts w:eastAsiaTheme="minorHAnsi"/>
          <w:i/>
        </w:rPr>
        <w:t>status quo</w:t>
      </w:r>
      <w:r w:rsidR="00D02FA2">
        <w:rPr>
          <w:rFonts w:eastAsiaTheme="minorHAnsi"/>
        </w:rPr>
        <w:t xml:space="preserve"> regarding gas-on-gas competition, Peoples/PTWP</w:t>
      </w:r>
      <w:r w:rsidR="001D074D">
        <w:rPr>
          <w:rFonts w:eastAsiaTheme="minorHAnsi"/>
        </w:rPr>
        <w:t>’</w:t>
      </w:r>
      <w:r w:rsidR="00D02FA2">
        <w:rPr>
          <w:rFonts w:eastAsiaTheme="minorHAnsi"/>
        </w:rPr>
        <w:t xml:space="preserve">s proposal has provided the most practical </w:t>
      </w:r>
      <w:r w:rsidR="002077D5">
        <w:rPr>
          <w:rFonts w:eastAsiaTheme="minorHAnsi"/>
        </w:rPr>
        <w:t>proposal</w:t>
      </w:r>
      <w:r w:rsidR="00D02FA2">
        <w:rPr>
          <w:rFonts w:eastAsiaTheme="minorHAnsi"/>
        </w:rPr>
        <w:t xml:space="preserve">.  </w:t>
      </w:r>
      <w:r w:rsidR="002B7C79">
        <w:rPr>
          <w:rFonts w:eastAsiaTheme="minorHAnsi"/>
        </w:rPr>
        <w:t xml:space="preserve">Columbia explained, </w:t>
      </w:r>
      <w:r w:rsidR="002B7C79" w:rsidRPr="002B7C79">
        <w:rPr>
          <w:rFonts w:eastAsiaTheme="minorHAnsi"/>
          <w:i/>
        </w:rPr>
        <w:t>inter alia</w:t>
      </w:r>
      <w:r w:rsidR="002B7C79">
        <w:rPr>
          <w:rFonts w:eastAsiaTheme="minorHAnsi"/>
        </w:rPr>
        <w:t xml:space="preserve">, that </w:t>
      </w:r>
      <w:r w:rsidR="006D16AD">
        <w:rPr>
          <w:rFonts w:eastAsiaTheme="minorHAnsi"/>
        </w:rPr>
        <w:t>Peoples/PTWP</w:t>
      </w:r>
      <w:r w:rsidR="001D074D">
        <w:rPr>
          <w:rFonts w:eastAsiaTheme="minorHAnsi"/>
        </w:rPr>
        <w:t>’</w:t>
      </w:r>
      <w:r w:rsidR="00617557">
        <w:rPr>
          <w:rFonts w:eastAsiaTheme="minorHAnsi"/>
        </w:rPr>
        <w:t>s</w:t>
      </w:r>
      <w:r w:rsidR="002B7C79">
        <w:rPr>
          <w:rFonts w:eastAsiaTheme="minorHAnsi"/>
        </w:rPr>
        <w:t xml:space="preserve"> proposal </w:t>
      </w:r>
      <w:r w:rsidR="002077D5">
        <w:rPr>
          <w:rFonts w:eastAsiaTheme="minorHAnsi"/>
        </w:rPr>
        <w:t xml:space="preserve">would </w:t>
      </w:r>
      <w:r w:rsidR="002B7C79">
        <w:rPr>
          <w:rFonts w:eastAsiaTheme="minorHAnsi"/>
        </w:rPr>
        <w:t xml:space="preserve">preserve the benefits of gas-on-gas competition while eliminating the associated revenue shortfall.  </w:t>
      </w:r>
      <w:proofErr w:type="gramStart"/>
      <w:r w:rsidR="002B7C79">
        <w:rPr>
          <w:rFonts w:eastAsiaTheme="minorHAnsi"/>
        </w:rPr>
        <w:t>Columbia M.B. at 9.</w:t>
      </w:r>
      <w:proofErr w:type="gramEnd"/>
      <w:r w:rsidR="002B7C79">
        <w:rPr>
          <w:rFonts w:eastAsiaTheme="minorHAnsi"/>
        </w:rPr>
        <w:t xml:space="preserve"> </w:t>
      </w:r>
    </w:p>
    <w:p w:rsidR="004A2B6C" w:rsidRDefault="004A2B6C" w:rsidP="00B43911">
      <w:pPr>
        <w:widowControl/>
        <w:rPr>
          <w:rFonts w:eastAsiaTheme="minorHAnsi"/>
        </w:rPr>
      </w:pPr>
    </w:p>
    <w:p w:rsidR="00A02552" w:rsidRDefault="00A02552" w:rsidP="00B43911">
      <w:pPr>
        <w:pStyle w:val="Heading3"/>
        <w:keepLines w:val="0"/>
        <w:widowControl/>
      </w:pPr>
      <w:bookmarkStart w:id="7" w:name="_Toc404013217"/>
      <w:r>
        <w:t>ALJ</w:t>
      </w:r>
      <w:r w:rsidR="001D074D">
        <w:t>’</w:t>
      </w:r>
      <w:r>
        <w:t>s Recommendation</w:t>
      </w:r>
      <w:bookmarkEnd w:id="7"/>
    </w:p>
    <w:p w:rsidR="00037B4B" w:rsidRDefault="00037B4B" w:rsidP="00B43911">
      <w:pPr>
        <w:keepNext/>
        <w:widowControl/>
        <w:rPr>
          <w:b/>
          <w:szCs w:val="26"/>
        </w:rPr>
      </w:pPr>
    </w:p>
    <w:p w:rsidR="00606867" w:rsidRDefault="00037B4B" w:rsidP="00B43911">
      <w:pPr>
        <w:widowControl/>
      </w:pPr>
      <w:r>
        <w:t xml:space="preserve">The ALJ found, </w:t>
      </w:r>
      <w:r w:rsidRPr="00037B4B">
        <w:rPr>
          <w:i/>
        </w:rPr>
        <w:t>inter alia</w:t>
      </w:r>
      <w:r>
        <w:t xml:space="preserve">, that </w:t>
      </w:r>
      <w:r w:rsidR="001D074D">
        <w:t>“</w:t>
      </w:r>
      <w:r w:rsidRPr="005C5352">
        <w:t xml:space="preserve">the evidence in the </w:t>
      </w:r>
      <w:r>
        <w:t xml:space="preserve">instant </w:t>
      </w:r>
      <w:r w:rsidRPr="005C5352">
        <w:t>Investigation supports a finding that gas-on-gas rate discounting appears to be discriminatorily beneficial to a select group of large industrial customers fortunate enough to be located in an overlapping service territory</w:t>
      </w:r>
      <w:r w:rsidRPr="008A296A">
        <w:t xml:space="preserve"> and is financially burdensome to other captive customers.</w:t>
      </w:r>
      <w:r w:rsidR="001D074D">
        <w:t>”</w:t>
      </w:r>
      <w:r w:rsidR="006750C0">
        <w:t xml:space="preserve">  </w:t>
      </w:r>
      <w:proofErr w:type="gramStart"/>
      <w:r w:rsidR="00D02FA2">
        <w:t>R.D. at 30.</w:t>
      </w:r>
      <w:proofErr w:type="gramEnd"/>
      <w:r w:rsidR="00D02FA2" w:rsidRPr="008A296A">
        <w:t xml:space="preserve">  </w:t>
      </w:r>
      <w:r w:rsidR="00D02FA2">
        <w:t xml:space="preserve">Therefore, she </w:t>
      </w:r>
      <w:r w:rsidR="00D02FA2" w:rsidRPr="008A296A">
        <w:t>recommend</w:t>
      </w:r>
      <w:r w:rsidR="00D02FA2">
        <w:t>ed</w:t>
      </w:r>
      <w:r w:rsidR="00D02FA2" w:rsidRPr="008A296A">
        <w:t xml:space="preserve"> </w:t>
      </w:r>
      <w:r w:rsidR="00222C79">
        <w:t xml:space="preserve">that </w:t>
      </w:r>
      <w:r w:rsidR="00D02FA2" w:rsidRPr="008A296A">
        <w:t xml:space="preserve">the Commission take action to end the current practice of gas-on-gas discounting through a reasonable phase-out plan, </w:t>
      </w:r>
      <w:r w:rsidR="00D02FA2">
        <w:t>discussed</w:t>
      </w:r>
      <w:r w:rsidR="00A20CFB">
        <w:t xml:space="preserve"> further herein</w:t>
      </w:r>
      <w:r w:rsidR="00D02FA2">
        <w:t xml:space="preserve">.  </w:t>
      </w:r>
      <w:r w:rsidR="006750C0" w:rsidRPr="006750C0">
        <w:rPr>
          <w:i/>
        </w:rPr>
        <w:t>Id</w:t>
      </w:r>
      <w:r w:rsidR="006750C0">
        <w:t xml:space="preserve">. </w:t>
      </w:r>
      <w:r w:rsidR="00C04BBF">
        <w:t xml:space="preserve"> If the Commission prefers to continue gas-on-gas competition, </w:t>
      </w:r>
      <w:r w:rsidR="00491160">
        <w:t>she recommended</w:t>
      </w:r>
      <w:r w:rsidR="00EC4E1F">
        <w:t xml:space="preserve">, </w:t>
      </w:r>
      <w:r w:rsidR="00EC4E1F" w:rsidRPr="00EC4E1F">
        <w:rPr>
          <w:i/>
        </w:rPr>
        <w:t>inter alia</w:t>
      </w:r>
      <w:r w:rsidR="00EC4E1F">
        <w:t>,</w:t>
      </w:r>
      <w:r w:rsidR="00491160">
        <w:t xml:space="preserve"> the adoption of </w:t>
      </w:r>
      <w:r w:rsidR="006D16AD">
        <w:t>Peoples/PTWP</w:t>
      </w:r>
      <w:r w:rsidR="001D074D">
        <w:t>’</w:t>
      </w:r>
      <w:r w:rsidR="006750C0">
        <w:t>s</w:t>
      </w:r>
      <w:r w:rsidR="00491160">
        <w:t xml:space="preserve"> proposal.  </w:t>
      </w:r>
      <w:proofErr w:type="gramStart"/>
      <w:r w:rsidR="006750C0" w:rsidRPr="006750C0">
        <w:rPr>
          <w:i/>
        </w:rPr>
        <w:t>Id</w:t>
      </w:r>
      <w:r w:rsidR="006750C0">
        <w:t>. at</w:t>
      </w:r>
      <w:r w:rsidR="006A1C55">
        <w:t> </w:t>
      </w:r>
      <w:r w:rsidR="00491160">
        <w:t>36.</w:t>
      </w:r>
      <w:proofErr w:type="gramEnd"/>
      <w:r w:rsidR="00491160">
        <w:t xml:space="preserve"> </w:t>
      </w:r>
    </w:p>
    <w:p w:rsidR="00606867" w:rsidRDefault="00606867" w:rsidP="00B43911">
      <w:pPr>
        <w:widowControl/>
      </w:pPr>
    </w:p>
    <w:p w:rsidR="00EC4E1F" w:rsidRDefault="000B2917" w:rsidP="00B43911">
      <w:pPr>
        <w:widowControl/>
      </w:pPr>
      <w:r>
        <w:lastRenderedPageBreak/>
        <w:t>The ALJ noted that i</w:t>
      </w:r>
      <w:r w:rsidR="00EC4E1F">
        <w:t>n the Peoples and Equitable 2005 purchased gas cost (PGC) proceedings</w:t>
      </w:r>
      <w:r w:rsidR="006750C0">
        <w:t>,</w:t>
      </w:r>
      <w:r w:rsidR="00EC4E1F">
        <w:t xml:space="preserve"> the Commission found that it may be reasonable to shift discounts to captive PGC customers in certain circumstances, such as direct </w:t>
      </w:r>
      <w:r w:rsidR="006A1C55">
        <w:t xml:space="preserve">bypass and alternative fuels.  </w:t>
      </w:r>
      <w:r>
        <w:t>However, the ALJ observed that, in</w:t>
      </w:r>
      <w:r w:rsidR="00EC4E1F">
        <w:t xml:space="preserve"> those proceedings, the Commission expressly found that it was not appropriate to engage in such cost shifting due to gas-on-gas competition:</w:t>
      </w:r>
    </w:p>
    <w:p w:rsidR="00EC4E1F" w:rsidRDefault="00EC4E1F" w:rsidP="00B43911">
      <w:pPr>
        <w:keepNext/>
        <w:keepLines/>
        <w:widowControl/>
      </w:pPr>
    </w:p>
    <w:p w:rsidR="00EC4E1F" w:rsidRDefault="00EC4E1F" w:rsidP="00B43911">
      <w:pPr>
        <w:widowControl/>
        <w:spacing w:line="240" w:lineRule="auto"/>
        <w:ind w:left="1440" w:right="1440" w:firstLine="0"/>
      </w:pPr>
      <w:r>
        <w:t>It is unreasonable to allow a gas utility to transfer the costs of discounts in retainage and other gas delivery requirements to captive PGC customers where these costs were incurred in order to entice a customer from a jurisdictional NGDC or as a reaction to defend against another jurisdictional gas utility.</w:t>
      </w:r>
    </w:p>
    <w:p w:rsidR="006A1C55" w:rsidRDefault="006A1C55" w:rsidP="00B43911">
      <w:pPr>
        <w:widowControl/>
        <w:spacing w:line="240" w:lineRule="auto"/>
        <w:ind w:left="1440" w:right="1440" w:firstLine="0"/>
      </w:pPr>
    </w:p>
    <w:p w:rsidR="00EC4E1F" w:rsidRDefault="00EC4E1F" w:rsidP="00B43911">
      <w:pPr>
        <w:widowControl/>
      </w:pPr>
    </w:p>
    <w:p w:rsidR="00EC4E1F" w:rsidRDefault="000B2917" w:rsidP="00B43911">
      <w:pPr>
        <w:pStyle w:val="FootnoteText"/>
        <w:widowControl/>
        <w:ind w:firstLine="0"/>
      </w:pPr>
      <w:proofErr w:type="gramStart"/>
      <w:r w:rsidRPr="000B2917">
        <w:t>R.D. at 24-25</w:t>
      </w:r>
      <w:r>
        <w:rPr>
          <w:i/>
        </w:rPr>
        <w:t xml:space="preserve"> (</w:t>
      </w:r>
      <w:r w:rsidRPr="00084C33">
        <w:t xml:space="preserve">citing </w:t>
      </w:r>
      <w:r w:rsidRPr="002E0838">
        <w:rPr>
          <w:i/>
        </w:rPr>
        <w:t>Pa. Pub.</w:t>
      </w:r>
      <w:proofErr w:type="gramEnd"/>
      <w:r w:rsidRPr="002E0838">
        <w:rPr>
          <w:i/>
        </w:rPr>
        <w:t xml:space="preserve"> </w:t>
      </w:r>
      <w:proofErr w:type="gramStart"/>
      <w:r w:rsidRPr="002E0838">
        <w:rPr>
          <w:i/>
        </w:rPr>
        <w:t>Util. Comm</w:t>
      </w:r>
      <w:r w:rsidR="001D074D">
        <w:rPr>
          <w:i/>
        </w:rPr>
        <w:t>’</w:t>
      </w:r>
      <w:r w:rsidRPr="002E0838">
        <w:rPr>
          <w:i/>
        </w:rPr>
        <w:t>n v. Equitable Gas Company, a division of Equitable Resources, Inc.</w:t>
      </w:r>
      <w:r>
        <w:t>, Docket No.</w:t>
      </w:r>
      <w:proofErr w:type="gramEnd"/>
      <w:r>
        <w:t xml:space="preserve"> R</w:t>
      </w:r>
      <w:r>
        <w:noBreakHyphen/>
      </w:r>
      <w:r w:rsidRPr="002E0838">
        <w:t>00050272 (Order entered September 28, 2005)</w:t>
      </w:r>
      <w:r>
        <w:t xml:space="preserve"> (</w:t>
      </w:r>
      <w:r w:rsidRPr="000B2917">
        <w:rPr>
          <w:i/>
        </w:rPr>
        <w:t>Equitable 2005 PGC Order</w:t>
      </w:r>
      <w:r>
        <w:t xml:space="preserve">) at 43 and </w:t>
      </w:r>
      <w:r w:rsidRPr="002E0838">
        <w:rPr>
          <w:i/>
        </w:rPr>
        <w:t xml:space="preserve">Pa. Pub. </w:t>
      </w:r>
      <w:proofErr w:type="gramStart"/>
      <w:r w:rsidRPr="002E0838">
        <w:rPr>
          <w:i/>
        </w:rPr>
        <w:t>Util. Comm</w:t>
      </w:r>
      <w:r w:rsidR="001D074D">
        <w:rPr>
          <w:i/>
        </w:rPr>
        <w:t>’</w:t>
      </w:r>
      <w:r w:rsidRPr="002E0838">
        <w:rPr>
          <w:i/>
        </w:rPr>
        <w:t>n v.</w:t>
      </w:r>
      <w:proofErr w:type="gramEnd"/>
      <w:r w:rsidRPr="002E0838">
        <w:rPr>
          <w:i/>
        </w:rPr>
        <w:t xml:space="preserve"> The Peoples Natural Gas Company, t/a Dominion Peoples,</w:t>
      </w:r>
      <w:r w:rsidRPr="002E0838">
        <w:t xml:space="preserve"> Docket No. </w:t>
      </w:r>
      <w:proofErr w:type="gramStart"/>
      <w:r w:rsidRPr="002E0838">
        <w:t>R-00050267 (Order entered September</w:t>
      </w:r>
      <w:r w:rsidR="00471ABD">
        <w:t> </w:t>
      </w:r>
      <w:r w:rsidRPr="002E0838">
        <w:t>30, 2005)</w:t>
      </w:r>
      <w:r>
        <w:t xml:space="preserve"> (</w:t>
      </w:r>
      <w:r w:rsidRPr="000B2917">
        <w:rPr>
          <w:i/>
        </w:rPr>
        <w:t>Peoples 2005 PGC Order</w:t>
      </w:r>
      <w:r>
        <w:t>) at 33</w:t>
      </w:r>
      <w:r w:rsidR="00A20CFB">
        <w:t>)</w:t>
      </w:r>
      <w:r>
        <w:t>.</w:t>
      </w:r>
      <w:proofErr w:type="gramEnd"/>
      <w:r>
        <w:t xml:space="preserve">  </w:t>
      </w:r>
      <w:r w:rsidR="00EC4E1F">
        <w:t xml:space="preserve">Therefore, </w:t>
      </w:r>
      <w:r w:rsidR="00786B11">
        <w:t>the ALJ explained that th</w:t>
      </w:r>
      <w:r w:rsidR="00EC4E1F">
        <w:t>e fact that NGDCs set maximum rates and can discount those rates in certain circumstances does not support IECPA</w:t>
      </w:r>
      <w:r w:rsidR="001D074D">
        <w:t>’</w:t>
      </w:r>
      <w:r w:rsidR="00EC4E1F">
        <w:t>s contention that gas-on-gas competition is one of those approved circumstances.</w:t>
      </w:r>
      <w:r w:rsidR="00786B11">
        <w:t xml:space="preserve">  </w:t>
      </w:r>
      <w:proofErr w:type="gramStart"/>
      <w:r w:rsidR="00786B11">
        <w:t>R.D. at 25.</w:t>
      </w:r>
      <w:proofErr w:type="gramEnd"/>
      <w:r w:rsidR="00786B11">
        <w:t xml:space="preserve">  </w:t>
      </w:r>
    </w:p>
    <w:p w:rsidR="00786B11" w:rsidRDefault="00786B11" w:rsidP="00B43911">
      <w:pPr>
        <w:pStyle w:val="FootnoteText"/>
        <w:widowControl/>
        <w:ind w:firstLine="0"/>
      </w:pPr>
    </w:p>
    <w:p w:rsidR="00786B11" w:rsidRDefault="00786B11" w:rsidP="00B43911">
      <w:pPr>
        <w:widowControl/>
      </w:pPr>
      <w:r>
        <w:t xml:space="preserve">The ALJ pointed out that, </w:t>
      </w:r>
      <w:r w:rsidR="00EC4E1F">
        <w:t xml:space="preserve">in the </w:t>
      </w:r>
      <w:r w:rsidR="00EC4E1F" w:rsidRPr="00786B11">
        <w:rPr>
          <w:i/>
        </w:rPr>
        <w:t>Equitable and Peoples 2005 PGC Orders</w:t>
      </w:r>
      <w:r w:rsidR="00EC4E1F">
        <w:t>, the Commission determined that discounts arising from gas-on-gas competition could not be recovered from captive customers, but articulated other circumstances where such discounting and cost shifting could be appropriate:</w:t>
      </w:r>
    </w:p>
    <w:p w:rsidR="00786B11" w:rsidRDefault="00786B11" w:rsidP="00B43911">
      <w:pPr>
        <w:pStyle w:val="FootnoteText"/>
        <w:widowControl/>
        <w:ind w:firstLine="0"/>
      </w:pPr>
    </w:p>
    <w:p w:rsidR="00EC4E1F" w:rsidRDefault="00EC4E1F" w:rsidP="00B43911">
      <w:pPr>
        <w:pStyle w:val="FootnoteText"/>
        <w:widowControl/>
        <w:spacing w:line="240" w:lineRule="auto"/>
        <w:ind w:left="1440" w:right="1440" w:firstLine="0"/>
      </w:pPr>
      <w:r>
        <w:t xml:space="preserve">Notwithstanding that we conclude that it is unreasonable to allow a utility to transfer the costs of discounts in waived retainage to PGC customers under the circumstances of gas on gas competition discussed, above, we believe that there are </w:t>
      </w:r>
      <w:r>
        <w:lastRenderedPageBreak/>
        <w:t xml:space="preserve">circumstances in which it may be reasonable to require captive PGC customers to bear the costs of discounted or waived gas delivery related charges incurred to retain throughput.  The circumstances may include instances in which a customer may obtain service by direct bypass, receive service through facilities which could not produce the system average retainage (company use/unaccounted for gas) percentage, a competitive offer from a non-jurisdictional entity, economic development and job retention and instances where there is a bona fide competitive offer from an alternative energy source. </w:t>
      </w:r>
    </w:p>
    <w:p w:rsidR="00786B11" w:rsidRDefault="00786B11" w:rsidP="00B43911">
      <w:pPr>
        <w:pStyle w:val="FootnoteText"/>
        <w:widowControl/>
        <w:ind w:left="1440" w:right="1440" w:firstLine="0"/>
      </w:pPr>
    </w:p>
    <w:p w:rsidR="00EC4E1F" w:rsidRDefault="00786B11" w:rsidP="00B43911">
      <w:pPr>
        <w:pStyle w:val="FootnoteText"/>
        <w:widowControl/>
        <w:ind w:firstLine="0"/>
      </w:pPr>
      <w:r>
        <w:t xml:space="preserve">R.D. at 25 (citing </w:t>
      </w:r>
      <w:r w:rsidRPr="00786B11">
        <w:rPr>
          <w:i/>
        </w:rPr>
        <w:t>Equitable 2005 PGC Order</w:t>
      </w:r>
      <w:r>
        <w:t xml:space="preserve"> at 44 and </w:t>
      </w:r>
      <w:r w:rsidRPr="00786B11">
        <w:rPr>
          <w:i/>
        </w:rPr>
        <w:t>Peoples 2005 PGC Order</w:t>
      </w:r>
      <w:r>
        <w:t xml:space="preserve"> at 33). </w:t>
      </w:r>
      <w:r w:rsidR="00D41F5C">
        <w:t xml:space="preserve">The ALJ opined that </w:t>
      </w:r>
      <w:r w:rsidR="00EC4E1F">
        <w:t>the Commission clearly and appropriately determined that it was improper for two regulated NGDCs to engage in such discounting, but recognized that such discounting was appropriate to keep a customer from leaving a regulated NGDC</w:t>
      </w:r>
      <w:r w:rsidR="001D074D">
        <w:t>’</w:t>
      </w:r>
      <w:r w:rsidR="00EC4E1F">
        <w:t xml:space="preserve">s system for an unregulated entity.  </w:t>
      </w:r>
      <w:r w:rsidR="00D41F5C">
        <w:t>The ALJ stated that t</w:t>
      </w:r>
      <w:r w:rsidR="00EC4E1F">
        <w:t>his distinction is important because if a customer leaves a jurisdictional NGDC for an unregulated competitor, the NGDC and its regulated customers will lose the flex customer</w:t>
      </w:r>
      <w:r w:rsidR="001D074D">
        <w:t>’</w:t>
      </w:r>
      <w:r w:rsidR="00EC4E1F">
        <w:t xml:space="preserve">s contribution to fixed costs entirely.  </w:t>
      </w:r>
      <w:r w:rsidR="00D41F5C">
        <w:t>The ALJ explained that t</w:t>
      </w:r>
      <w:r w:rsidR="00EC4E1F">
        <w:t xml:space="preserve">he opposite occurs in gas-on-gas competition because the flex customer will remain with a jurisdictional NGDC and will contribute to the fixed costs of a regulated distribution system; however, that contribution is significantly reduced because gas-on-gas competition allows the customer to pit two regulated NGDCs against each other in order to receive the largest discount.  </w:t>
      </w:r>
      <w:r w:rsidR="00D41F5C">
        <w:t>The ALJ concluded that</w:t>
      </w:r>
      <w:r w:rsidR="00EC4E1F">
        <w:t xml:space="preserve"> contrary to IECPA</w:t>
      </w:r>
      <w:r w:rsidR="001D074D">
        <w:t>’</w:t>
      </w:r>
      <w:r w:rsidR="00EC4E1F">
        <w:t xml:space="preserve">s position, the Commission has articulated that gas-on-gas discounting is not </w:t>
      </w:r>
      <w:r w:rsidR="001D074D">
        <w:t>“</w:t>
      </w:r>
      <w:r w:rsidR="00EC4E1F">
        <w:t>equivalent</w:t>
      </w:r>
      <w:r w:rsidR="001D074D">
        <w:t>”</w:t>
      </w:r>
      <w:r w:rsidR="00EC4E1F">
        <w:t xml:space="preserve"> to discounting for bypass or alternative fuels and has correctly determined that revenue recovery from captive customers for gas-on-gas competition is not in the public interest.</w:t>
      </w:r>
      <w:r w:rsidR="009140D0">
        <w:t xml:space="preserve">  </w:t>
      </w:r>
      <w:proofErr w:type="gramStart"/>
      <w:r w:rsidR="009140D0">
        <w:t>R.D. at 26.</w:t>
      </w:r>
      <w:proofErr w:type="gramEnd"/>
    </w:p>
    <w:p w:rsidR="00185C7F" w:rsidRDefault="00185C7F" w:rsidP="00B43911">
      <w:pPr>
        <w:pStyle w:val="FootnoteText"/>
        <w:widowControl/>
        <w:ind w:firstLine="0"/>
      </w:pPr>
    </w:p>
    <w:p w:rsidR="00185C7F" w:rsidRDefault="00185C7F" w:rsidP="00B43911">
      <w:pPr>
        <w:widowControl/>
      </w:pPr>
      <w:r>
        <w:t>The ALJ observed that the Commission addressed the issue of gas-on-gas distribution competition in the merger/acquisition between Peoples and Equitable, whereby the Commission reviewed all arguments for and against the continuation of gas-</w:t>
      </w:r>
      <w:r>
        <w:lastRenderedPageBreak/>
        <w:t xml:space="preserve">on-gas rate discounting.  The ALJ stated that the Commission considered the testimony of Equitable witness Dr. Hieronymus and found that gas-on-gas rate discounting is </w:t>
      </w:r>
      <w:r w:rsidR="001D074D">
        <w:t>“</w:t>
      </w:r>
      <w:r>
        <w:t>poor public policy</w:t>
      </w:r>
      <w:r w:rsidR="001D074D">
        <w:t>”</w:t>
      </w:r>
      <w:r>
        <w:t xml:space="preserve">, </w:t>
      </w:r>
      <w:r w:rsidR="001D074D">
        <w:t>“</w:t>
      </w:r>
      <w:r>
        <w:t>wholly uneconomic</w:t>
      </w:r>
      <w:r w:rsidR="001D074D">
        <w:t>”</w:t>
      </w:r>
      <w:r>
        <w:t xml:space="preserve"> and </w:t>
      </w:r>
      <w:r w:rsidR="001D074D">
        <w:t>“</w:t>
      </w:r>
      <w:r>
        <w:t>a dead weight loss</w:t>
      </w:r>
      <w:r w:rsidR="0064569F">
        <w:t>.</w:t>
      </w:r>
      <w:r w:rsidR="001D074D">
        <w:t>”</w:t>
      </w:r>
      <w:r w:rsidR="000B3A49">
        <w:t xml:space="preserve">  R.D. at 26-27 (citing </w:t>
      </w:r>
    </w:p>
    <w:p w:rsidR="00185C7F" w:rsidRDefault="00185C7F" w:rsidP="00B43911">
      <w:pPr>
        <w:widowControl/>
        <w:autoSpaceDE w:val="0"/>
        <w:autoSpaceDN w:val="0"/>
        <w:adjustRightInd w:val="0"/>
        <w:ind w:firstLine="0"/>
      </w:pPr>
      <w:r w:rsidRPr="000B3A49">
        <w:rPr>
          <w:i/>
        </w:rPr>
        <w:t>Equitable Resources, Inc</w:t>
      </w:r>
      <w:r>
        <w:rPr>
          <w:u w:val="single"/>
        </w:rPr>
        <w:t>.</w:t>
      </w:r>
      <w:r>
        <w:t xml:space="preserve">, 2007 </w:t>
      </w:r>
      <w:r w:rsidRPr="00623E95">
        <w:rPr>
          <w:bCs/>
        </w:rPr>
        <w:t>P</w:t>
      </w:r>
      <w:r w:rsidR="0064569F">
        <w:rPr>
          <w:bCs/>
        </w:rPr>
        <w:t>a.</w:t>
      </w:r>
      <w:r>
        <w:rPr>
          <w:bCs/>
        </w:rPr>
        <w:t xml:space="preserve"> </w:t>
      </w:r>
      <w:r w:rsidRPr="00623E95">
        <w:rPr>
          <w:bCs/>
        </w:rPr>
        <w:t>PUC LEXIS 32</w:t>
      </w:r>
      <w:r w:rsidR="0064569F">
        <w:rPr>
          <w:bCs/>
        </w:rPr>
        <w:t>, 102</w:t>
      </w:r>
      <w:r>
        <w:rPr>
          <w:bCs/>
        </w:rPr>
        <w:t xml:space="preserve"> (Apr</w:t>
      </w:r>
      <w:r w:rsidR="0064569F">
        <w:rPr>
          <w:bCs/>
        </w:rPr>
        <w:t>il</w:t>
      </w:r>
      <w:r>
        <w:rPr>
          <w:bCs/>
        </w:rPr>
        <w:t xml:space="preserve"> 13, 2007)</w:t>
      </w:r>
      <w:r w:rsidR="0064569F">
        <w:rPr>
          <w:bCs/>
        </w:rPr>
        <w:t>)</w:t>
      </w:r>
      <w:r w:rsidR="000B3A49">
        <w:rPr>
          <w:bCs/>
        </w:rPr>
        <w:t xml:space="preserve">. </w:t>
      </w:r>
    </w:p>
    <w:p w:rsidR="00185C7F" w:rsidRDefault="00185C7F" w:rsidP="00B43911">
      <w:pPr>
        <w:widowControl/>
        <w:autoSpaceDE w:val="0"/>
        <w:autoSpaceDN w:val="0"/>
        <w:adjustRightInd w:val="0"/>
        <w:ind w:right="720"/>
        <w:jc w:val="both"/>
      </w:pPr>
    </w:p>
    <w:p w:rsidR="00491160" w:rsidRDefault="00F96D36" w:rsidP="00B43911">
      <w:pPr>
        <w:widowControl/>
      </w:pPr>
      <w:r>
        <w:t>The ALJ stated that she was not persuaded by IECPA</w:t>
      </w:r>
      <w:r w:rsidR="001D074D">
        <w:t>’</w:t>
      </w:r>
      <w:r>
        <w:t>s assertions that Chapter 60 of the Commission</w:t>
      </w:r>
      <w:r w:rsidR="001D074D">
        <w:t>’</w:t>
      </w:r>
      <w:r>
        <w:t xml:space="preserve">s Regulations </w:t>
      </w:r>
      <w:r w:rsidR="00315F71">
        <w:t>supports</w:t>
      </w:r>
      <w:r>
        <w:t xml:space="preserve"> the current practice of gas-on-gas discounting.  </w:t>
      </w:r>
      <w:proofErr w:type="gramStart"/>
      <w:r w:rsidR="0006069C">
        <w:t>R.D. at 27.</w:t>
      </w:r>
      <w:proofErr w:type="gramEnd"/>
      <w:r w:rsidR="0006069C">
        <w:t xml:space="preserve">  </w:t>
      </w:r>
      <w:r>
        <w:t xml:space="preserve">The ALJ presented </w:t>
      </w:r>
      <w:r w:rsidR="00346D12">
        <w:t>Section 60.1</w:t>
      </w:r>
      <w:r w:rsidR="004760EA">
        <w:t xml:space="preserve"> of the Commission</w:t>
      </w:r>
      <w:r w:rsidR="001D074D">
        <w:t>’</w:t>
      </w:r>
      <w:r w:rsidR="004760EA">
        <w:t xml:space="preserve">s Regulations </w:t>
      </w:r>
      <w:r>
        <w:t>which provides:</w:t>
      </w:r>
    </w:p>
    <w:p w:rsidR="00346D12" w:rsidRDefault="00346D12" w:rsidP="00B43911">
      <w:pPr>
        <w:widowControl/>
        <w:autoSpaceDE w:val="0"/>
        <w:autoSpaceDN w:val="0"/>
        <w:adjustRightInd w:val="0"/>
        <w:ind w:firstLine="720"/>
      </w:pPr>
    </w:p>
    <w:p w:rsidR="00346D12" w:rsidRPr="00084C33" w:rsidRDefault="00346D12" w:rsidP="00B43911">
      <w:pPr>
        <w:pStyle w:val="Heading4"/>
        <w:widowControl/>
        <w:spacing w:before="0" w:line="240" w:lineRule="auto"/>
        <w:ind w:left="720" w:right="720" w:firstLine="720"/>
        <w:jc w:val="both"/>
        <w:rPr>
          <w:rFonts w:ascii="Times New Roman" w:hAnsi="Times New Roman" w:cs="Times New Roman"/>
          <w:i w:val="0"/>
          <w:iCs w:val="0"/>
          <w:color w:val="auto"/>
        </w:rPr>
      </w:pPr>
      <w:r w:rsidRPr="00084C33">
        <w:rPr>
          <w:rFonts w:ascii="Times New Roman" w:hAnsi="Times New Roman" w:cs="Times New Roman"/>
          <w:i w:val="0"/>
          <w:color w:val="auto"/>
        </w:rPr>
        <w:t>§ 60.1. </w:t>
      </w:r>
      <w:proofErr w:type="gramStart"/>
      <w:r w:rsidRPr="00084C33">
        <w:rPr>
          <w:rFonts w:ascii="Times New Roman" w:hAnsi="Times New Roman" w:cs="Times New Roman"/>
          <w:i w:val="0"/>
          <w:color w:val="auto"/>
        </w:rPr>
        <w:t>General.</w:t>
      </w:r>
      <w:proofErr w:type="gramEnd"/>
    </w:p>
    <w:p w:rsidR="00346D12" w:rsidRPr="000B38BF" w:rsidRDefault="00346D12" w:rsidP="00B43911">
      <w:pPr>
        <w:widowControl/>
        <w:spacing w:line="240" w:lineRule="auto"/>
        <w:jc w:val="both"/>
      </w:pPr>
    </w:p>
    <w:p w:rsidR="00346D12" w:rsidRDefault="009140D0" w:rsidP="00B43911">
      <w:pPr>
        <w:widowControl/>
        <w:spacing w:line="240" w:lineRule="auto"/>
        <w:ind w:left="1440" w:right="1440" w:firstLine="288"/>
      </w:pPr>
      <w:r>
        <w:tab/>
      </w:r>
      <w:r w:rsidR="00346D12" w:rsidRPr="00310B05">
        <w:t xml:space="preserve">The transportation of natural gas by jurisdictional gas utilities is in the public interest. </w:t>
      </w:r>
      <w:r w:rsidR="00346D12">
        <w:t xml:space="preserve"> </w:t>
      </w:r>
      <w:r w:rsidR="00346D12" w:rsidRPr="00310B05">
        <w:t xml:space="preserve">Transportation service should be provided under terms, conditions and rates which </w:t>
      </w:r>
      <w:r w:rsidR="00346D12" w:rsidRPr="00310B05">
        <w:rPr>
          <w:i/>
        </w:rPr>
        <w:t>minimize the shifting of costs to retail customers</w:t>
      </w:r>
      <w:r w:rsidR="00346D12" w:rsidRPr="00310B05">
        <w:t xml:space="preserve"> and provide the natural gas utility with an </w:t>
      </w:r>
      <w:r w:rsidR="00346D12" w:rsidRPr="00310B05">
        <w:rPr>
          <w:i/>
        </w:rPr>
        <w:t>opportunity to recover the fixed costs incurred to serve the transportation service customers.</w:t>
      </w:r>
      <w:r w:rsidR="00346D12" w:rsidRPr="00310B05">
        <w:t xml:space="preserve"> </w:t>
      </w:r>
      <w:r w:rsidR="00346D12">
        <w:t xml:space="preserve"> </w:t>
      </w:r>
      <w:r w:rsidR="00346D12" w:rsidRPr="00310B05">
        <w:t>The development of Pennsylvania natural gas should be promoted, because it will achieve benefits that accrue to gas utilities and their customers.</w:t>
      </w:r>
    </w:p>
    <w:p w:rsidR="00AC1D68" w:rsidRDefault="00AC1D68" w:rsidP="00B43911">
      <w:pPr>
        <w:widowControl/>
        <w:spacing w:line="240" w:lineRule="auto"/>
        <w:ind w:left="1440" w:right="1440" w:firstLine="288"/>
      </w:pPr>
    </w:p>
    <w:p w:rsidR="00AC1D68" w:rsidRDefault="00AC1D68" w:rsidP="00B43911">
      <w:pPr>
        <w:widowControl/>
        <w:spacing w:line="240" w:lineRule="auto"/>
        <w:ind w:left="1440" w:right="1440" w:firstLine="288"/>
      </w:pPr>
    </w:p>
    <w:p w:rsidR="00346D12" w:rsidRDefault="004760EA" w:rsidP="00B43911">
      <w:pPr>
        <w:widowControl/>
        <w:ind w:firstLine="0"/>
      </w:pPr>
      <w:proofErr w:type="gramStart"/>
      <w:r>
        <w:t>52 Pa. Code § 60.1 (emphasis supplied).</w:t>
      </w:r>
      <w:proofErr w:type="gramEnd"/>
      <w:r>
        <w:t xml:space="preserve">  </w:t>
      </w:r>
      <w:r w:rsidR="00346D12">
        <w:t>The ALJ submitted that S</w:t>
      </w:r>
      <w:r w:rsidR="00756902">
        <w:t>ection 60.1</w:t>
      </w:r>
      <w:r w:rsidR="00756902">
        <w:rPr>
          <w:rStyle w:val="FootnoteReference"/>
        </w:rPr>
        <w:footnoteReference w:id="5"/>
      </w:r>
      <w:r w:rsidR="00346D12">
        <w:t xml:space="preserve"> requires that cost shifting to retail (captive) customers should be minimized, as NGDCs should seek to recover their fixed costs from transportation customers.  The ALJ opined that the current practice of gas-on-gas discounting, whereby millions of dollars of costs are shifted to captive customers annually and </w:t>
      </w:r>
      <w:r w:rsidR="001D074D">
        <w:t>“</w:t>
      </w:r>
      <w:r w:rsidR="00346D12">
        <w:t>discount</w:t>
      </w:r>
      <w:r w:rsidR="001D074D">
        <w:t>”</w:t>
      </w:r>
      <w:r w:rsidR="00346D12">
        <w:t xml:space="preserve"> customers pay only a minimal contribution to fixed costs, appears to be inconsistent with the plain language and intent of Section 60.</w:t>
      </w:r>
      <w:r w:rsidR="00756902">
        <w:t>1</w:t>
      </w:r>
      <w:r w:rsidR="00346D12">
        <w:t xml:space="preserve">.  </w:t>
      </w:r>
      <w:proofErr w:type="gramStart"/>
      <w:r w:rsidR="00346D12">
        <w:t>R.D. at 24, 27.</w:t>
      </w:r>
      <w:proofErr w:type="gramEnd"/>
      <w:r w:rsidR="00346D12">
        <w:t xml:space="preserve">  </w:t>
      </w:r>
    </w:p>
    <w:p w:rsidR="00141639" w:rsidRDefault="00141639" w:rsidP="00B43911">
      <w:pPr>
        <w:widowControl/>
        <w:ind w:right="720" w:firstLine="0"/>
        <w:jc w:val="both"/>
      </w:pPr>
    </w:p>
    <w:p w:rsidR="00346D12" w:rsidRDefault="004760EA" w:rsidP="00B43911">
      <w:pPr>
        <w:widowControl/>
      </w:pPr>
      <w:r>
        <w:lastRenderedPageBreak/>
        <w:t>In addressing IECPA</w:t>
      </w:r>
      <w:r w:rsidR="001D074D">
        <w:t>’</w:t>
      </w:r>
      <w:r>
        <w:t>s position regarding Chapter 60, the ALJ also presented Section 60.3(a) of the Commission</w:t>
      </w:r>
      <w:r w:rsidR="001D074D">
        <w:t>’</w:t>
      </w:r>
      <w:r>
        <w:t>s Regulations which provide</w:t>
      </w:r>
      <w:r w:rsidR="008875B6">
        <w:t>s</w:t>
      </w:r>
      <w:r>
        <w:t xml:space="preserve">: </w:t>
      </w:r>
    </w:p>
    <w:p w:rsidR="004760EA" w:rsidRDefault="004760EA" w:rsidP="00B43911">
      <w:pPr>
        <w:widowControl/>
        <w:autoSpaceDE w:val="0"/>
        <w:autoSpaceDN w:val="0"/>
        <w:adjustRightInd w:val="0"/>
        <w:ind w:firstLine="720"/>
      </w:pPr>
    </w:p>
    <w:p w:rsidR="004760EA" w:rsidRPr="00C167E4" w:rsidRDefault="004760EA" w:rsidP="00805F69">
      <w:pPr>
        <w:pStyle w:val="Heading4"/>
        <w:widowControl/>
        <w:spacing w:before="0" w:line="240" w:lineRule="auto"/>
        <w:ind w:left="720" w:right="720" w:firstLine="720"/>
        <w:jc w:val="both"/>
        <w:rPr>
          <w:rFonts w:ascii="Times New Roman" w:hAnsi="Times New Roman" w:cs="Times New Roman"/>
          <w:i w:val="0"/>
          <w:color w:val="auto"/>
        </w:rPr>
      </w:pPr>
      <w:r w:rsidRPr="00C167E4">
        <w:rPr>
          <w:rFonts w:ascii="Times New Roman" w:hAnsi="Times New Roman" w:cs="Times New Roman"/>
          <w:i w:val="0"/>
          <w:color w:val="auto"/>
        </w:rPr>
        <w:t>§ 60.3. </w:t>
      </w:r>
      <w:proofErr w:type="gramStart"/>
      <w:r w:rsidRPr="00C167E4">
        <w:rPr>
          <w:rFonts w:ascii="Times New Roman" w:hAnsi="Times New Roman" w:cs="Times New Roman"/>
          <w:i w:val="0"/>
          <w:color w:val="auto"/>
        </w:rPr>
        <w:t>Eligibility for natural gas transportation service.</w:t>
      </w:r>
      <w:proofErr w:type="gramEnd"/>
    </w:p>
    <w:p w:rsidR="004760EA" w:rsidRPr="00BF712A" w:rsidRDefault="004760EA" w:rsidP="00805F69">
      <w:pPr>
        <w:keepNext/>
        <w:keepLines/>
        <w:widowControl/>
        <w:spacing w:line="240" w:lineRule="auto"/>
        <w:jc w:val="both"/>
      </w:pPr>
    </w:p>
    <w:p w:rsidR="004760EA" w:rsidRDefault="0095548D" w:rsidP="00B43911">
      <w:pPr>
        <w:pStyle w:val="NormalWeb"/>
        <w:spacing w:before="0" w:beforeAutospacing="0" w:after="0" w:afterAutospacing="0"/>
        <w:ind w:left="1440" w:right="1440"/>
        <w:rPr>
          <w:sz w:val="26"/>
          <w:szCs w:val="26"/>
        </w:rPr>
      </w:pPr>
      <w:r>
        <w:rPr>
          <w:sz w:val="26"/>
          <w:szCs w:val="26"/>
        </w:rPr>
        <w:tab/>
      </w:r>
      <w:r w:rsidR="004760EA" w:rsidRPr="008875B6">
        <w:rPr>
          <w:sz w:val="26"/>
          <w:szCs w:val="26"/>
        </w:rPr>
        <w:t>(a)  Transportation service shall be provided without discrimination as to type and location of customer.  A natural gas utility shall state in its tariff the minimum volume of transported natural gas that entitles a customer to transportation service.  These volumes shall be set at a level which maximizes the number of customers that can receive transportation service while permitting the natural gas utility to effectively and efficiently manage its natural gas distribution system.  The minimum volume of transported natural gas that entitles a customer to transportation service may not be greater than 5,000 Mcf (thousand cubic feet) per customer or buyer group per year.</w:t>
      </w:r>
    </w:p>
    <w:p w:rsidR="0095548D" w:rsidRDefault="0095548D" w:rsidP="00B43911">
      <w:pPr>
        <w:pStyle w:val="NormalWeb"/>
        <w:spacing w:before="0" w:beforeAutospacing="0" w:after="0" w:afterAutospacing="0"/>
        <w:ind w:left="1440" w:right="1440"/>
        <w:rPr>
          <w:sz w:val="26"/>
          <w:szCs w:val="26"/>
        </w:rPr>
      </w:pPr>
    </w:p>
    <w:p w:rsidR="0095548D" w:rsidRPr="008875B6" w:rsidRDefault="0095548D" w:rsidP="00B43911">
      <w:pPr>
        <w:pStyle w:val="NormalWeb"/>
        <w:spacing w:before="0" w:beforeAutospacing="0" w:after="0" w:afterAutospacing="0"/>
        <w:ind w:left="1440" w:right="1440"/>
        <w:rPr>
          <w:sz w:val="26"/>
          <w:szCs w:val="26"/>
        </w:rPr>
      </w:pPr>
    </w:p>
    <w:p w:rsidR="004760EA" w:rsidRDefault="004760EA" w:rsidP="00B43911">
      <w:pPr>
        <w:widowControl/>
        <w:ind w:firstLine="0"/>
      </w:pPr>
      <w:proofErr w:type="gramStart"/>
      <w:r>
        <w:t>52 Pa. Code § 60.3(a).</w:t>
      </w:r>
      <w:proofErr w:type="gramEnd"/>
      <w:r w:rsidR="008875B6">
        <w:t xml:space="preserve">  The ALJ stated that the Commission Regulations provide for open access, non-discriminatory treatment and a goal of maximizing the number of customers who can participate.  The ALJ observed that, conversely, the current practice of gas-on-gas rate discounting appears to be discriminatory and limited in participation to a select few </w:t>
      </w:r>
      <w:proofErr w:type="gramStart"/>
      <w:r w:rsidR="008875B6">
        <w:t>C&amp;I</w:t>
      </w:r>
      <w:proofErr w:type="gramEnd"/>
      <w:r w:rsidR="008875B6">
        <w:t xml:space="preserve"> customers who happen to be located in the right overlapping service location.  </w:t>
      </w:r>
      <w:proofErr w:type="gramStart"/>
      <w:r w:rsidR="008875B6">
        <w:t>R.D. at 27.</w:t>
      </w:r>
      <w:proofErr w:type="gramEnd"/>
    </w:p>
    <w:p w:rsidR="008875B6" w:rsidRDefault="008875B6" w:rsidP="00B43911">
      <w:pPr>
        <w:widowControl/>
      </w:pPr>
    </w:p>
    <w:p w:rsidR="001A6498" w:rsidRDefault="001A6498" w:rsidP="00B43911">
      <w:pPr>
        <w:widowControl/>
      </w:pPr>
      <w:r>
        <w:t>The ALJ drew a distinction between flex rates for du</w:t>
      </w:r>
      <w:r w:rsidR="005949E8">
        <w:t>a</w:t>
      </w:r>
      <w:r>
        <w:t>l fuel, bypass or economic d</w:t>
      </w:r>
      <w:r w:rsidR="005230F4">
        <w:t>evelopment purposes and</w:t>
      </w:r>
      <w:r>
        <w:t xml:space="preserve"> gas-on-gas flex rates.  </w:t>
      </w:r>
      <w:r w:rsidR="00CD4641">
        <w:t>The ALJ cited the testimony of OSBA witness Robert Knecht who stated as follows:</w:t>
      </w:r>
    </w:p>
    <w:p w:rsidR="00CD4641" w:rsidRDefault="00CD4641" w:rsidP="00B43911">
      <w:pPr>
        <w:widowControl/>
      </w:pPr>
    </w:p>
    <w:p w:rsidR="00CD4641" w:rsidRDefault="00CD4641" w:rsidP="003B341B">
      <w:pPr>
        <w:widowControl/>
        <w:autoSpaceDE w:val="0"/>
        <w:autoSpaceDN w:val="0"/>
        <w:adjustRightInd w:val="0"/>
        <w:spacing w:line="240" w:lineRule="auto"/>
        <w:ind w:left="1440" w:right="1440" w:firstLine="0"/>
        <w:rPr>
          <w:snapToGrid w:val="0"/>
        </w:rPr>
      </w:pPr>
      <w:r>
        <w:rPr>
          <w:snapToGrid w:val="0"/>
        </w:rPr>
        <w:t xml:space="preserve">Gas-on-gas price discrimination is fundamentally different from the other forms of rate discounting cited by Ms. Burgraff because (a) the practice results in inefficient duplication of facilities, and (b) it does not preserve load that would otherwise be lost to Pennsylvania NGDCs.  The fundamental difference between gas-on-gas discounting and </w:t>
      </w:r>
      <w:r>
        <w:rPr>
          <w:snapToGrid w:val="0"/>
        </w:rPr>
        <w:lastRenderedPageBreak/>
        <w:t>other discounting is that the other discounting techniques will retain margin revenues that would otherwise be lost to Pennsylvania customers, whereas gas-on-gas discounting reduces Pennsylvania NGDC margin revenues.</w:t>
      </w:r>
    </w:p>
    <w:p w:rsidR="00CD4641" w:rsidRDefault="00CD4641" w:rsidP="00B43911">
      <w:pPr>
        <w:widowControl/>
        <w:autoSpaceDE w:val="0"/>
        <w:autoSpaceDN w:val="0"/>
        <w:adjustRightInd w:val="0"/>
        <w:ind w:right="720"/>
        <w:jc w:val="both"/>
        <w:rPr>
          <w:snapToGrid w:val="0"/>
        </w:rPr>
      </w:pPr>
    </w:p>
    <w:p w:rsidR="00CD4641" w:rsidRDefault="00CD4641" w:rsidP="00B43911">
      <w:pPr>
        <w:widowControl/>
        <w:autoSpaceDE w:val="0"/>
        <w:autoSpaceDN w:val="0"/>
        <w:adjustRightInd w:val="0"/>
        <w:ind w:firstLine="0"/>
        <w:rPr>
          <w:snapToGrid w:val="0"/>
        </w:rPr>
      </w:pPr>
      <w:proofErr w:type="gramStart"/>
      <w:r>
        <w:rPr>
          <w:snapToGrid w:val="0"/>
        </w:rPr>
        <w:t>R.D. at 29 (citing OSBA St. 3 at 7).</w:t>
      </w:r>
      <w:proofErr w:type="gramEnd"/>
      <w:r>
        <w:rPr>
          <w:snapToGrid w:val="0"/>
        </w:rPr>
        <w:t xml:space="preserve">  </w:t>
      </w:r>
      <w:r w:rsidR="00D02FA2">
        <w:rPr>
          <w:snapToGrid w:val="0"/>
        </w:rPr>
        <w:t xml:space="preserve">The ALJ also noted that Mr. Knecht pointed out that gas-on-gas rate discounting works to perpetuate the existence of inefficient, duplicative distribution facilities.  </w:t>
      </w:r>
      <w:proofErr w:type="gramStart"/>
      <w:r w:rsidR="003671E6">
        <w:t>R.D. at 29 (citing OCA St. 1 at 16-17).</w:t>
      </w:r>
      <w:proofErr w:type="gramEnd"/>
      <w:r>
        <w:rPr>
          <w:snapToGrid w:val="0"/>
        </w:rPr>
        <w:t xml:space="preserve">  The ALJ opined that such a practice is not in the public interest and</w:t>
      </w:r>
      <w:r w:rsidR="005230F4">
        <w:rPr>
          <w:snapToGrid w:val="0"/>
        </w:rPr>
        <w:t xml:space="preserve"> indicated</w:t>
      </w:r>
      <w:r>
        <w:rPr>
          <w:snapToGrid w:val="0"/>
        </w:rPr>
        <w:t xml:space="preserve"> that she was further persuaded by the testimony of OCA witness Watkins who stated as follows:</w:t>
      </w:r>
    </w:p>
    <w:p w:rsidR="00CD4641" w:rsidRDefault="00CD4641" w:rsidP="00B43911">
      <w:pPr>
        <w:widowControl/>
        <w:autoSpaceDE w:val="0"/>
        <w:autoSpaceDN w:val="0"/>
        <w:adjustRightInd w:val="0"/>
        <w:rPr>
          <w:snapToGrid w:val="0"/>
        </w:rPr>
      </w:pPr>
    </w:p>
    <w:p w:rsidR="00CD4641" w:rsidRDefault="00CD4641" w:rsidP="00B43911">
      <w:pPr>
        <w:widowControl/>
        <w:autoSpaceDE w:val="0"/>
        <w:autoSpaceDN w:val="0"/>
        <w:adjustRightInd w:val="0"/>
        <w:spacing w:line="240" w:lineRule="auto"/>
        <w:ind w:left="1440" w:right="1440" w:firstLine="0"/>
      </w:pPr>
      <w:r>
        <w:t>It is well known that distribution utilities are considered natural monopolies and it has been the long-standing belief and practice of regulators that duplicative utility distribution facilities are not in the public interest such that regulation of monopoly providers will serve as a surrogate for effective competition and are deemed the most efficient utilization of society</w:t>
      </w:r>
      <w:r w:rsidR="001D074D">
        <w:t>’</w:t>
      </w:r>
      <w:r>
        <w:t>s resources.  As such, the additional costs posed by duplicative facilities are considered a societal cost, or negative benefit.</w:t>
      </w:r>
    </w:p>
    <w:p w:rsidR="00954A97" w:rsidRDefault="00954A97" w:rsidP="00B43911">
      <w:pPr>
        <w:widowControl/>
        <w:autoSpaceDE w:val="0"/>
        <w:autoSpaceDN w:val="0"/>
        <w:adjustRightInd w:val="0"/>
        <w:spacing w:line="240" w:lineRule="auto"/>
        <w:ind w:left="1440" w:right="1440" w:firstLine="0"/>
      </w:pPr>
    </w:p>
    <w:p w:rsidR="00CD4641" w:rsidRDefault="00CD4641" w:rsidP="00B43911">
      <w:pPr>
        <w:widowControl/>
        <w:autoSpaceDE w:val="0"/>
        <w:autoSpaceDN w:val="0"/>
        <w:adjustRightInd w:val="0"/>
        <w:ind w:right="720"/>
        <w:jc w:val="both"/>
      </w:pPr>
    </w:p>
    <w:p w:rsidR="00CD4641" w:rsidRDefault="003671E6" w:rsidP="00B43911">
      <w:pPr>
        <w:widowControl/>
        <w:ind w:firstLine="0"/>
      </w:pPr>
      <w:r w:rsidRPr="003671E6">
        <w:rPr>
          <w:i/>
        </w:rPr>
        <w:t>Id.</w:t>
      </w:r>
      <w:r>
        <w:t xml:space="preserve">  </w:t>
      </w:r>
      <w:r w:rsidR="00CD4641">
        <w:t>The ALJ conclude</w:t>
      </w:r>
      <w:r w:rsidR="00ED7CE5">
        <w:t>d</w:t>
      </w:r>
      <w:r w:rsidR="00CD4641">
        <w:t xml:space="preserve"> that flex rates for dual fuel, bypass or economic development purposes can be used to further important public policy goals and the continuance of these practices is in the</w:t>
      </w:r>
      <w:r w:rsidR="00A116A5">
        <w:t xml:space="preserve"> public interest.  However</w:t>
      </w:r>
      <w:r w:rsidR="00CD4641">
        <w:t>, the ALJ found that gas-on</w:t>
      </w:r>
      <w:r w:rsidR="00A116A5">
        <w:t xml:space="preserve">-gas rate discounting </w:t>
      </w:r>
      <w:r w:rsidR="00CD4641">
        <w:t xml:space="preserve">appears to be discriminatory and unfair to rate classes.  </w:t>
      </w:r>
      <w:proofErr w:type="gramStart"/>
      <w:r w:rsidR="00CD4641">
        <w:t>R.D. at 29.</w:t>
      </w:r>
      <w:proofErr w:type="gramEnd"/>
      <w:r w:rsidR="00CD4641">
        <w:t xml:space="preserve"> </w:t>
      </w:r>
    </w:p>
    <w:p w:rsidR="00E625F0" w:rsidRDefault="00E625F0" w:rsidP="00B43911">
      <w:pPr>
        <w:widowControl/>
        <w:autoSpaceDE w:val="0"/>
        <w:autoSpaceDN w:val="0"/>
        <w:adjustRightInd w:val="0"/>
        <w:ind w:right="720" w:firstLine="0"/>
        <w:jc w:val="both"/>
      </w:pPr>
    </w:p>
    <w:p w:rsidR="00E625F0" w:rsidRDefault="00B11E02" w:rsidP="00B43911">
      <w:pPr>
        <w:widowControl/>
      </w:pPr>
      <w:r>
        <w:t xml:space="preserve">The ALJ </w:t>
      </w:r>
      <w:r w:rsidR="005949E8">
        <w:t>recommended t</w:t>
      </w:r>
      <w:r>
        <w:t xml:space="preserve">hat if the Commission prefers to continue the practice of gas-on-gas competition, that the practice be substantially modified as </w:t>
      </w:r>
      <w:r>
        <w:lastRenderedPageBreak/>
        <w:t xml:space="preserve">proposed by </w:t>
      </w:r>
      <w:r w:rsidR="006D16AD">
        <w:t>Peoples/PTWP</w:t>
      </w:r>
      <w:r>
        <w:t xml:space="preserve">.  </w:t>
      </w:r>
      <w:proofErr w:type="gramStart"/>
      <w:r>
        <w:t>R.D. at 31.</w:t>
      </w:r>
      <w:proofErr w:type="gramEnd"/>
      <w:r>
        <w:rPr>
          <w:rStyle w:val="FootnoteReference"/>
        </w:rPr>
        <w:footnoteReference w:id="6"/>
      </w:r>
      <w:r>
        <w:t xml:space="preserve">  As discussed, </w:t>
      </w:r>
      <w:r w:rsidR="003671E6">
        <w:rPr>
          <w:i/>
        </w:rPr>
        <w:t>infr</w:t>
      </w:r>
      <w:r w:rsidRPr="00B11E02">
        <w:rPr>
          <w:i/>
        </w:rPr>
        <w:t>a</w:t>
      </w:r>
      <w:r>
        <w:t xml:space="preserve">, </w:t>
      </w:r>
      <w:r w:rsidR="006D16AD">
        <w:t>Peoples/PTWP</w:t>
      </w:r>
      <w:r>
        <w:t xml:space="preserve"> recommended, </w:t>
      </w:r>
      <w:r w:rsidRPr="00B11E02">
        <w:rPr>
          <w:i/>
        </w:rPr>
        <w:t>inter alia</w:t>
      </w:r>
      <w:r>
        <w:t>, that a floor be established for gas-on-gas competition based on the lowest tariffed distribution rates of the NGDC(s) competing for a customer</w:t>
      </w:r>
      <w:r w:rsidR="001D074D">
        <w:t>’</w:t>
      </w:r>
      <w:r>
        <w:t>s load.</w:t>
      </w:r>
    </w:p>
    <w:p w:rsidR="00CD4641" w:rsidRDefault="00CD4641" w:rsidP="00B43911">
      <w:pPr>
        <w:widowControl/>
      </w:pPr>
    </w:p>
    <w:p w:rsidR="00CD4641" w:rsidRPr="003671E6" w:rsidRDefault="00DB7457" w:rsidP="00954A97">
      <w:pPr>
        <w:pStyle w:val="Heading3"/>
        <w:widowControl/>
      </w:pPr>
      <w:bookmarkStart w:id="8" w:name="_Toc404013218"/>
      <w:r w:rsidRPr="003671E6">
        <w:t>Exceptions</w:t>
      </w:r>
      <w:bookmarkEnd w:id="8"/>
    </w:p>
    <w:p w:rsidR="008875B6" w:rsidRDefault="008875B6" w:rsidP="00954A97">
      <w:pPr>
        <w:keepNext/>
        <w:keepLines/>
        <w:widowControl/>
      </w:pPr>
    </w:p>
    <w:p w:rsidR="00B4626A" w:rsidRDefault="00D44215" w:rsidP="00B43911">
      <w:pPr>
        <w:widowControl/>
      </w:pPr>
      <w:r>
        <w:t xml:space="preserve">In its first Exception, IECPA argues that the </w:t>
      </w:r>
      <w:r w:rsidR="00C0168E">
        <w:t xml:space="preserve">ALJ erred in her </w:t>
      </w:r>
      <w:r w:rsidR="004B16B7">
        <w:t xml:space="preserve">Recommended Decision in concluding that gas-on-gas competition offends public utility law and precedent.  For the reasons already discussed, </w:t>
      </w:r>
      <w:r w:rsidR="004B16B7" w:rsidRPr="004B16B7">
        <w:rPr>
          <w:i/>
        </w:rPr>
        <w:t>supra</w:t>
      </w:r>
      <w:r w:rsidR="004B16B7">
        <w:t>, IECPA avers that gas-on-gas competition is consistent with the law and precedent</w:t>
      </w:r>
      <w:r w:rsidR="00ED7CE5">
        <w:t>,</w:t>
      </w:r>
      <w:r w:rsidR="004B16B7">
        <w:t xml:space="preserve"> and presents numerous benefits to customers</w:t>
      </w:r>
      <w:r w:rsidR="00805F69">
        <w:t xml:space="preserve"> and NGDCs. IECPA Exc. at 4-12.</w:t>
      </w:r>
    </w:p>
    <w:p w:rsidR="00B4626A" w:rsidRDefault="00B4626A" w:rsidP="00B43911">
      <w:pPr>
        <w:widowControl/>
      </w:pPr>
    </w:p>
    <w:p w:rsidR="0006069C" w:rsidRDefault="00B4626A" w:rsidP="00B43911">
      <w:pPr>
        <w:widowControl/>
      </w:pPr>
      <w:r>
        <w:t xml:space="preserve">In its second Exception, IECPA </w:t>
      </w:r>
      <w:r w:rsidR="00C0168E">
        <w:t>opines</w:t>
      </w:r>
      <w:r>
        <w:t xml:space="preserve"> that the </w:t>
      </w:r>
      <w:r w:rsidR="00C0168E">
        <w:t>ALJ</w:t>
      </w:r>
      <w:r>
        <w:t xml:space="preserve"> erred in differentiating gas-on-gas competition from other forms of rate discounting and that the ALJ</w:t>
      </w:r>
      <w:r w:rsidR="001D074D">
        <w:t>’</w:t>
      </w:r>
      <w:r>
        <w:t xml:space="preserve">s reasoning failed to support this difference. </w:t>
      </w:r>
      <w:r w:rsidR="004B16B7">
        <w:t xml:space="preserve"> </w:t>
      </w:r>
      <w:r>
        <w:t xml:space="preserve">IECPA Exc. at 12-13.  IECPA points out that the Recommended </w:t>
      </w:r>
      <w:proofErr w:type="gramStart"/>
      <w:r>
        <w:t>Decision states that while customers receiving discounted rates in other scenarios threaten to stop</w:t>
      </w:r>
      <w:r w:rsidR="00337F4C">
        <w:t xml:space="preserve"> </w:t>
      </w:r>
      <w:r>
        <w:t>contributing to an NGDC</w:t>
      </w:r>
      <w:r w:rsidR="001D074D">
        <w:t>’</w:t>
      </w:r>
      <w:r>
        <w:t>s</w:t>
      </w:r>
      <w:proofErr w:type="gramEnd"/>
      <w:r>
        <w:t xml:space="preserve"> fixed costs altogether, </w:t>
      </w:r>
      <w:r w:rsidR="00337F4C">
        <w:t>gas-on-gas customers will continue to contribute to an NGDC</w:t>
      </w:r>
      <w:r w:rsidR="001D074D">
        <w:t>’</w:t>
      </w:r>
      <w:r w:rsidR="00337F4C">
        <w:t xml:space="preserve">s fixed costs, but at a reduced rate.  IECPA Exc. at 12 (citing R.D. at 26). </w:t>
      </w:r>
      <w:r>
        <w:t xml:space="preserve"> </w:t>
      </w:r>
      <w:r w:rsidR="00337F4C">
        <w:t xml:space="preserve">IECPA submits that the ALJ fails to recognize that an identical situation would occur with respect to both discounted rates due to competition with an unregulated entity, such as a bypass option, and competition with another NGDC.  </w:t>
      </w:r>
      <w:r w:rsidR="00337F4C" w:rsidRPr="00C0168E">
        <w:t xml:space="preserve">IECPA explains that if the customer with a supply alternative believes the discount offered by its NGDC is insufficient, </w:t>
      </w:r>
      <w:r w:rsidR="00C75E7F" w:rsidRPr="00C0168E">
        <w:t xml:space="preserve">the customer will </w:t>
      </w:r>
      <w:r w:rsidR="00C75E7F">
        <w:t xml:space="preserve">leave the NGDC and no longer contribute to the fixed costs of the NGDC.  IECPA avers that if the customer were given a discounted incentive rate to stay with the NGDC, the amount the customer </w:t>
      </w:r>
      <w:r w:rsidR="00C75E7F">
        <w:lastRenderedPageBreak/>
        <w:t xml:space="preserve">would contribute to the fixed costs of the NGDC would not be smaller as a result of gas-on-gas competition as opposed to competition with an unregulated entity.  </w:t>
      </w:r>
      <w:r w:rsidR="00EC23F5">
        <w:t xml:space="preserve">IECPA also explains that the contribution to fixed costs would </w:t>
      </w:r>
      <w:r w:rsidR="00645236">
        <w:t xml:space="preserve">be </w:t>
      </w:r>
      <w:r w:rsidR="00EC23F5">
        <w:t xml:space="preserve">based on the price of the competitive option, such as the costs the customer would otherwise incur to receive bypass service.  IECPA proffers that if a customer were located near an interstate pipeline, the costs of bypass would be </w:t>
      </w:r>
      <w:r w:rsidR="001D074D">
        <w:t>“</w:t>
      </w:r>
      <w:r w:rsidR="00EC23F5">
        <w:t>incredibly</w:t>
      </w:r>
      <w:r w:rsidR="001D074D">
        <w:t>”</w:t>
      </w:r>
      <w:r w:rsidR="00EC23F5">
        <w:t xml:space="preserve"> low which would require an NGDC to offer a significantly discounted rate in order to retain the customer on its system.  IECPA Exc. at 13.  IECPA </w:t>
      </w:r>
      <w:r w:rsidR="00C0168E">
        <w:t xml:space="preserve">contends </w:t>
      </w:r>
      <w:r w:rsidR="00EC23F5">
        <w:t xml:space="preserve">that the Recommended Decision provided no support </w:t>
      </w:r>
      <w:r w:rsidR="003269CC">
        <w:t xml:space="preserve">for the </w:t>
      </w:r>
      <w:r w:rsidR="00C0168E">
        <w:t xml:space="preserve">proposition </w:t>
      </w:r>
      <w:r w:rsidR="003269CC">
        <w:t>that discounted rates due to gas-on-gas competition offer lower contributions to NGDCs</w:t>
      </w:r>
      <w:r w:rsidR="001D074D">
        <w:t>’</w:t>
      </w:r>
      <w:r w:rsidR="003269CC">
        <w:t xml:space="preserve"> fixed costs as opposed to other discounted rates.  </w:t>
      </w:r>
      <w:r w:rsidR="003269CC" w:rsidRPr="003269CC">
        <w:rPr>
          <w:i/>
        </w:rPr>
        <w:t>Id.</w:t>
      </w:r>
    </w:p>
    <w:p w:rsidR="004760EA" w:rsidRDefault="004760EA" w:rsidP="00B43911">
      <w:pPr>
        <w:widowControl/>
      </w:pPr>
    </w:p>
    <w:p w:rsidR="00037B4B" w:rsidRDefault="002D2204" w:rsidP="00B43911">
      <w:pPr>
        <w:widowControl/>
      </w:pPr>
      <w:r>
        <w:t>IECPA also except</w:t>
      </w:r>
      <w:r w:rsidR="00ED7CE5">
        <w:t>s</w:t>
      </w:r>
      <w:r>
        <w:t xml:space="preserve"> to the ALJ</w:t>
      </w:r>
      <w:r w:rsidR="001D074D">
        <w:t>’</w:t>
      </w:r>
      <w:r>
        <w:t>s finding that rate discounting due to gas-on-gas competition differs from other forms of rate discounting because gas-on-gas discounting: (1) discriminates against other ra</w:t>
      </w:r>
      <w:r w:rsidR="00ED7CE5">
        <w:t>t</w:t>
      </w:r>
      <w:r>
        <w:t xml:space="preserve">e classes; (2) results in an efficient duplication of NGDC facilities; and (3) does not preserve load that otherwise would be lost to Pennsylvania NGDCs.  IECPA Exc. at 14. </w:t>
      </w:r>
    </w:p>
    <w:p w:rsidR="002D2204" w:rsidRDefault="002D2204" w:rsidP="00B43911">
      <w:pPr>
        <w:widowControl/>
      </w:pPr>
    </w:p>
    <w:p w:rsidR="007A28EE" w:rsidRDefault="002D2204" w:rsidP="00B43911">
      <w:pPr>
        <w:widowControl/>
      </w:pPr>
      <w:r>
        <w:t xml:space="preserve">IECPA avers that gas-on-gas discounting does not result in unduly discriminatory rates for smaller customer classes, but instead, as discussed, </w:t>
      </w:r>
      <w:r w:rsidRPr="002D2204">
        <w:rPr>
          <w:i/>
        </w:rPr>
        <w:t>supra</w:t>
      </w:r>
      <w:r>
        <w:t>, is justified under cost of service and value of service principl</w:t>
      </w:r>
      <w:r w:rsidR="00F47C5E">
        <w:t>e</w:t>
      </w:r>
      <w:r>
        <w:t xml:space="preserve">s.  IECPA points out that all forms of rate discounting </w:t>
      </w:r>
      <w:r w:rsidR="007A28EE">
        <w:t>result in large C&amp;I customers contributing to a smaller amount of NGDCs</w:t>
      </w:r>
      <w:r w:rsidR="001D074D">
        <w:t>’</w:t>
      </w:r>
      <w:r w:rsidR="007A28EE">
        <w:t xml:space="preserve"> fixed costs.  IECPA opines that if this lesser contribution to fixed costs does not qualify as discriminatory with respect to the other forms of rate discounting, then it likewise should not </w:t>
      </w:r>
      <w:r w:rsidR="00217516">
        <w:t xml:space="preserve">so qualify </w:t>
      </w:r>
      <w:r w:rsidR="007A28EE">
        <w:t xml:space="preserve">with respect to gas-on-gas competition.  IECPA Exc. at 14. </w:t>
      </w:r>
    </w:p>
    <w:p w:rsidR="007A28EE" w:rsidRDefault="007A28EE" w:rsidP="00B43911">
      <w:pPr>
        <w:widowControl/>
      </w:pPr>
    </w:p>
    <w:p w:rsidR="007A28EE" w:rsidRDefault="007A28EE" w:rsidP="00B43911">
      <w:pPr>
        <w:widowControl/>
      </w:pPr>
      <w:r>
        <w:t xml:space="preserve">IECPA submits that discounting due to gas-on-gas competition in no way perpetuates inefficient duplication of NGDC facilities.  IECPA notes that the close proximity and overlap of NGDC facilities is based on the original construction of the NGDC systems, which occurred long before rate discounting for gas-on-gas competition </w:t>
      </w:r>
      <w:r>
        <w:lastRenderedPageBreak/>
        <w:t>was even envisioned.  IECPA concludes that the continuation of gas-on-gas competition would in no way impact this already existing overlap of NGDC facilities</w:t>
      </w:r>
      <w:r w:rsidR="00BB5800">
        <w:t xml:space="preserve"> in western Pennsylvania</w:t>
      </w:r>
      <w:r w:rsidR="00F00FAB">
        <w:t>.  IECPA Exc. at 14.</w:t>
      </w:r>
    </w:p>
    <w:p w:rsidR="002D2204" w:rsidRDefault="002D2204" w:rsidP="00B43911">
      <w:pPr>
        <w:widowControl/>
      </w:pPr>
    </w:p>
    <w:p w:rsidR="00E07978" w:rsidRDefault="00BB5800" w:rsidP="00B43911">
      <w:pPr>
        <w:widowControl/>
      </w:pPr>
      <w:r>
        <w:t>IECPA argues that discounted rates due to gas-on-gas competition preserve an NGDC</w:t>
      </w:r>
      <w:r w:rsidR="001D074D">
        <w:t>’</w:t>
      </w:r>
      <w:r>
        <w:t xml:space="preserve">s load </w:t>
      </w:r>
      <w:r w:rsidR="00E2498A">
        <w:t xml:space="preserve">for </w:t>
      </w:r>
      <w:r>
        <w:t>the same purpose as other discounted rates</w:t>
      </w:r>
      <w:r w:rsidR="00471ABD">
        <w:t xml:space="preserve">, </w:t>
      </w:r>
      <w:r w:rsidR="00471ABD" w:rsidRPr="00471ABD">
        <w:rPr>
          <w:i/>
        </w:rPr>
        <w:t>i.e.</w:t>
      </w:r>
      <w:r w:rsidR="00471ABD">
        <w:t xml:space="preserve">, </w:t>
      </w:r>
      <w:r>
        <w:t>to preserve load on a NGDC</w:t>
      </w:r>
      <w:r w:rsidR="001D074D">
        <w:t>’</w:t>
      </w:r>
      <w:r>
        <w:t xml:space="preserve">s system.  </w:t>
      </w:r>
      <w:r w:rsidR="00E07978">
        <w:t xml:space="preserve">IECPA submits that although gas-on-gas discounting is the only form of discounting </w:t>
      </w:r>
      <w:proofErr w:type="gramStart"/>
      <w:r w:rsidR="00E07978">
        <w:t>that results</w:t>
      </w:r>
      <w:proofErr w:type="gramEnd"/>
      <w:r w:rsidR="00E07978">
        <w:t xml:space="preserve"> in one NGDC losing load to another NGDC, the cause for the rate discounting is no different than other circumstances.  IECPA explains that the large C&amp;I customer will choose gas service from one NGDC or another, just as in the case of a bypass alternative, the large C&amp;I customer will be choosing between the NGDC and a bypass alternative.  IE</w:t>
      </w:r>
      <w:r w:rsidR="007B0514">
        <w:t>C</w:t>
      </w:r>
      <w:r w:rsidR="00E07978">
        <w:t xml:space="preserve">PA Exc. at 14-15. </w:t>
      </w:r>
    </w:p>
    <w:p w:rsidR="00181075" w:rsidRDefault="00181075" w:rsidP="00B43911">
      <w:pPr>
        <w:widowControl/>
      </w:pPr>
    </w:p>
    <w:p w:rsidR="00181075" w:rsidRPr="00AD7138" w:rsidRDefault="00181075" w:rsidP="00B43911">
      <w:pPr>
        <w:widowControl/>
        <w:rPr>
          <w:b/>
          <w:szCs w:val="26"/>
        </w:rPr>
      </w:pPr>
      <w:r w:rsidRPr="00204508">
        <w:rPr>
          <w:rFonts w:eastAsiaTheme="minorHAnsi"/>
          <w:szCs w:val="26"/>
        </w:rPr>
        <w:t>In its Reply Exceptions, PSU disagrees with IECPA</w:t>
      </w:r>
      <w:r w:rsidR="001D074D">
        <w:rPr>
          <w:rFonts w:eastAsiaTheme="minorHAnsi"/>
          <w:szCs w:val="26"/>
        </w:rPr>
        <w:t>’</w:t>
      </w:r>
      <w:r w:rsidRPr="00204508">
        <w:rPr>
          <w:rFonts w:eastAsiaTheme="minorHAnsi"/>
          <w:szCs w:val="26"/>
        </w:rPr>
        <w:t>s arguments that gas-on-gas flex discounting is no different than other forms of flex discounting</w:t>
      </w:r>
      <w:r w:rsidR="0018140A" w:rsidRPr="00204508">
        <w:rPr>
          <w:rFonts w:eastAsiaTheme="minorHAnsi"/>
          <w:szCs w:val="26"/>
        </w:rPr>
        <w:t xml:space="preserve"> for three reasons. </w:t>
      </w:r>
      <w:r w:rsidR="00E64D5F">
        <w:rPr>
          <w:rFonts w:eastAsiaTheme="minorHAnsi"/>
          <w:szCs w:val="26"/>
        </w:rPr>
        <w:t xml:space="preserve"> </w:t>
      </w:r>
      <w:r w:rsidR="0018140A" w:rsidRPr="00204508">
        <w:rPr>
          <w:rFonts w:eastAsiaTheme="minorHAnsi"/>
          <w:szCs w:val="26"/>
        </w:rPr>
        <w:t>First, PSU states that unlike bypass and dual fuel flex arrangements, gas-on-gas discounting does not avoid loss of load entirely because the customer is retained by one of the NGDC systems.  Second, PSU submits that bypass and alternative fuel flex arrangements can be used to avoid the construction of duplicative facilities, while gas-on-gas competition is possible only where duplicative facilities already exist.  Third, PSU notes that</w:t>
      </w:r>
      <w:r w:rsidR="00AD7138">
        <w:rPr>
          <w:rFonts w:eastAsiaTheme="minorHAnsi"/>
          <w:szCs w:val="26"/>
        </w:rPr>
        <w:t xml:space="preserve"> </w:t>
      </w:r>
      <w:r w:rsidR="0018140A" w:rsidRPr="00204508">
        <w:rPr>
          <w:rFonts w:eastAsiaTheme="minorHAnsi"/>
          <w:szCs w:val="26"/>
        </w:rPr>
        <w:t>unlike economic development flex arrangements, which may be utilized throughout an NGDC</w:t>
      </w:r>
      <w:r w:rsidR="001D074D">
        <w:rPr>
          <w:rFonts w:eastAsiaTheme="minorHAnsi"/>
          <w:szCs w:val="26"/>
        </w:rPr>
        <w:t>’</w:t>
      </w:r>
      <w:r w:rsidR="0018140A" w:rsidRPr="00204508">
        <w:rPr>
          <w:rFonts w:eastAsiaTheme="minorHAnsi"/>
          <w:szCs w:val="26"/>
        </w:rPr>
        <w:t xml:space="preserve">s service territory, gas-on-gas flex arrangements are available only where service is available from more than one NGDC.  PSU explains </w:t>
      </w:r>
      <w:r w:rsidR="002823F4" w:rsidRPr="00204508">
        <w:rPr>
          <w:rFonts w:eastAsiaTheme="minorHAnsi"/>
          <w:szCs w:val="26"/>
        </w:rPr>
        <w:t xml:space="preserve">that the availability of </w:t>
      </w:r>
      <w:r w:rsidR="0018140A" w:rsidRPr="00204508">
        <w:rPr>
          <w:rFonts w:eastAsiaTheme="minorHAnsi"/>
          <w:szCs w:val="26"/>
        </w:rPr>
        <w:t>gas-on-gas flex discounting is entirely the</w:t>
      </w:r>
      <w:r w:rsidR="002823F4" w:rsidRPr="00204508">
        <w:rPr>
          <w:rFonts w:eastAsiaTheme="minorHAnsi"/>
          <w:szCs w:val="26"/>
        </w:rPr>
        <w:t xml:space="preserve"> </w:t>
      </w:r>
      <w:r w:rsidR="0018140A" w:rsidRPr="00204508">
        <w:rPr>
          <w:rFonts w:eastAsiaTheme="minorHAnsi"/>
          <w:szCs w:val="26"/>
        </w:rPr>
        <w:t>result of historic</w:t>
      </w:r>
      <w:r w:rsidR="002823F4" w:rsidRPr="00204508">
        <w:rPr>
          <w:rFonts w:eastAsiaTheme="minorHAnsi"/>
          <w:szCs w:val="26"/>
        </w:rPr>
        <w:t xml:space="preserve"> overlapping service territories while </w:t>
      </w:r>
      <w:r w:rsidR="0018140A" w:rsidRPr="00204508">
        <w:rPr>
          <w:rFonts w:eastAsiaTheme="minorHAnsi"/>
          <w:szCs w:val="26"/>
        </w:rPr>
        <w:t>the availability of other forms of flex discounting is,</w:t>
      </w:r>
      <w:r w:rsidR="002823F4" w:rsidRPr="00204508">
        <w:rPr>
          <w:rFonts w:eastAsiaTheme="minorHAnsi"/>
          <w:szCs w:val="26"/>
        </w:rPr>
        <w:t xml:space="preserve"> </w:t>
      </w:r>
      <w:r w:rsidR="0018140A" w:rsidRPr="00204508">
        <w:rPr>
          <w:rFonts w:eastAsiaTheme="minorHAnsi"/>
          <w:szCs w:val="26"/>
        </w:rPr>
        <w:t>by definition, the result of current economic conditions.</w:t>
      </w:r>
      <w:r w:rsidRPr="00204508">
        <w:rPr>
          <w:rFonts w:eastAsiaTheme="minorHAnsi"/>
          <w:szCs w:val="26"/>
        </w:rPr>
        <w:t xml:space="preserve"> </w:t>
      </w:r>
      <w:r w:rsidR="002823F4" w:rsidRPr="00204508">
        <w:rPr>
          <w:rFonts w:eastAsiaTheme="minorHAnsi"/>
          <w:szCs w:val="26"/>
        </w:rPr>
        <w:t xml:space="preserve"> PSU R. Exc. 5-6. </w:t>
      </w:r>
    </w:p>
    <w:p w:rsidR="00A1344A" w:rsidRDefault="00A1344A" w:rsidP="00B43911">
      <w:pPr>
        <w:widowControl/>
      </w:pPr>
    </w:p>
    <w:p w:rsidR="00E143A0" w:rsidRDefault="00F7484A" w:rsidP="00B43911">
      <w:pPr>
        <w:widowControl/>
        <w:rPr>
          <w:rFonts w:eastAsiaTheme="minorHAnsi"/>
        </w:rPr>
      </w:pPr>
      <w:r>
        <w:rPr>
          <w:rFonts w:eastAsiaTheme="minorHAnsi"/>
        </w:rPr>
        <w:t xml:space="preserve">In its Reply Exceptions, </w:t>
      </w:r>
      <w:r w:rsidR="00204508">
        <w:rPr>
          <w:rFonts w:eastAsiaTheme="minorHAnsi"/>
        </w:rPr>
        <w:t>NFG also draws a distinction between utility discounting of rates to meet gas</w:t>
      </w:r>
      <w:r>
        <w:rPr>
          <w:rFonts w:eastAsiaTheme="minorHAnsi"/>
        </w:rPr>
        <w:t>-</w:t>
      </w:r>
      <w:r w:rsidR="00204508">
        <w:rPr>
          <w:rFonts w:eastAsiaTheme="minorHAnsi"/>
        </w:rPr>
        <w:t>on</w:t>
      </w:r>
      <w:r>
        <w:rPr>
          <w:rFonts w:eastAsiaTheme="minorHAnsi"/>
        </w:rPr>
        <w:t>-</w:t>
      </w:r>
      <w:r w:rsidR="00204508">
        <w:rPr>
          <w:rFonts w:eastAsiaTheme="minorHAnsi"/>
        </w:rPr>
        <w:t xml:space="preserve">gas competition and discounting to meet pipeline or </w:t>
      </w:r>
      <w:r w:rsidR="00204508">
        <w:rPr>
          <w:rFonts w:eastAsiaTheme="minorHAnsi"/>
        </w:rPr>
        <w:lastRenderedPageBreak/>
        <w:t xml:space="preserve">gas producer bypass, or bypass from alternative fuels.  </w:t>
      </w:r>
      <w:r w:rsidR="00E143A0">
        <w:rPr>
          <w:rFonts w:eastAsiaTheme="minorHAnsi"/>
        </w:rPr>
        <w:t>NFG avers that t</w:t>
      </w:r>
      <w:r w:rsidR="00204508">
        <w:rPr>
          <w:rFonts w:eastAsiaTheme="minorHAnsi"/>
        </w:rPr>
        <w:t>he Commission does not regulate those other business</w:t>
      </w:r>
      <w:r>
        <w:rPr>
          <w:rFonts w:eastAsiaTheme="minorHAnsi"/>
        </w:rPr>
        <w:t>es</w:t>
      </w:r>
      <w:r w:rsidR="00204508">
        <w:rPr>
          <w:rFonts w:eastAsiaTheme="minorHAnsi"/>
        </w:rPr>
        <w:t xml:space="preserve"> and has no interest in whether their</w:t>
      </w:r>
      <w:r w:rsidR="00E143A0">
        <w:rPr>
          <w:rFonts w:eastAsiaTheme="minorHAnsi"/>
        </w:rPr>
        <w:t xml:space="preserve"> </w:t>
      </w:r>
      <w:r w:rsidR="00204508">
        <w:rPr>
          <w:rFonts w:eastAsiaTheme="minorHAnsi"/>
        </w:rPr>
        <w:t>cus</w:t>
      </w:r>
      <w:r w:rsidR="00E143A0">
        <w:rPr>
          <w:rFonts w:eastAsiaTheme="minorHAnsi"/>
        </w:rPr>
        <w:t>t</w:t>
      </w:r>
      <w:r w:rsidR="00204508">
        <w:rPr>
          <w:rFonts w:eastAsiaTheme="minorHAnsi"/>
        </w:rPr>
        <w:t xml:space="preserve">omers are subsidizing reduced rates to meet competition from NGDCs. </w:t>
      </w:r>
      <w:r w:rsidR="00E143A0">
        <w:rPr>
          <w:rFonts w:eastAsiaTheme="minorHAnsi"/>
        </w:rPr>
        <w:t xml:space="preserve"> Alternatively, NFG opines that </w:t>
      </w:r>
      <w:r w:rsidR="00204508">
        <w:rPr>
          <w:rFonts w:eastAsiaTheme="minorHAnsi"/>
        </w:rPr>
        <w:t xml:space="preserve">the Commission does regulate all NGDCs in Pennsylvania and has a keen interest in </w:t>
      </w:r>
      <w:r>
        <w:rPr>
          <w:rFonts w:eastAsiaTheme="minorHAnsi"/>
        </w:rPr>
        <w:t xml:space="preserve">ensuring </w:t>
      </w:r>
      <w:r w:rsidR="00204508">
        <w:rPr>
          <w:rFonts w:eastAsiaTheme="minorHAnsi"/>
        </w:rPr>
        <w:t>that</w:t>
      </w:r>
      <w:r w:rsidR="00E143A0">
        <w:rPr>
          <w:rFonts w:eastAsiaTheme="minorHAnsi"/>
        </w:rPr>
        <w:t xml:space="preserve"> </w:t>
      </w:r>
      <w:r w:rsidR="00204508">
        <w:rPr>
          <w:rFonts w:eastAsiaTheme="minorHAnsi"/>
        </w:rPr>
        <w:t>rates are not reduced to meet a false competition</w:t>
      </w:r>
      <w:r w:rsidR="00E143A0">
        <w:rPr>
          <w:rFonts w:eastAsiaTheme="minorHAnsi"/>
        </w:rPr>
        <w:t xml:space="preserve">. </w:t>
      </w:r>
      <w:r w:rsidR="00A342AF">
        <w:rPr>
          <w:rFonts w:eastAsiaTheme="minorHAnsi"/>
        </w:rPr>
        <w:t xml:space="preserve"> </w:t>
      </w:r>
      <w:r w:rsidR="00E143A0">
        <w:rPr>
          <w:rFonts w:eastAsiaTheme="minorHAnsi"/>
        </w:rPr>
        <w:t xml:space="preserve">NFG argues that IECPA and PSU fail to realize that some form of limits </w:t>
      </w:r>
      <w:r w:rsidR="00204508">
        <w:rPr>
          <w:rFonts w:eastAsiaTheme="minorHAnsi"/>
        </w:rPr>
        <w:t xml:space="preserve">must be placed on gas-on-gas competition in the future, </w:t>
      </w:r>
      <w:r w:rsidR="001D074D">
        <w:rPr>
          <w:rFonts w:eastAsiaTheme="minorHAnsi"/>
        </w:rPr>
        <w:t>“</w:t>
      </w:r>
      <w:r w:rsidR="00204508">
        <w:rPr>
          <w:rFonts w:eastAsiaTheme="minorHAnsi"/>
        </w:rPr>
        <w:t xml:space="preserve">lest the </w:t>
      </w:r>
      <w:r w:rsidR="001D074D">
        <w:rPr>
          <w:rFonts w:eastAsiaTheme="minorHAnsi"/>
        </w:rPr>
        <w:t>‘</w:t>
      </w:r>
      <w:r w:rsidR="00204508">
        <w:rPr>
          <w:rFonts w:eastAsiaTheme="minorHAnsi"/>
        </w:rPr>
        <w:t>race to the bottom</w:t>
      </w:r>
      <w:r w:rsidR="001D074D">
        <w:rPr>
          <w:rFonts w:eastAsiaTheme="minorHAnsi"/>
        </w:rPr>
        <w:t>’</w:t>
      </w:r>
      <w:r w:rsidR="00204508">
        <w:rPr>
          <w:rFonts w:eastAsiaTheme="minorHAnsi"/>
        </w:rPr>
        <w:t xml:space="preserve"> that</w:t>
      </w:r>
      <w:r w:rsidR="00E143A0">
        <w:rPr>
          <w:rFonts w:eastAsiaTheme="minorHAnsi"/>
        </w:rPr>
        <w:t xml:space="preserve"> </w:t>
      </w:r>
      <w:r w:rsidR="00204508">
        <w:rPr>
          <w:rFonts w:eastAsiaTheme="minorHAnsi"/>
        </w:rPr>
        <w:t>such competition creates artificially lowers rates for a select few customers while improperly</w:t>
      </w:r>
      <w:r w:rsidR="00E143A0">
        <w:rPr>
          <w:rFonts w:eastAsiaTheme="minorHAnsi"/>
        </w:rPr>
        <w:t xml:space="preserve"> </w:t>
      </w:r>
      <w:r w:rsidR="00204508">
        <w:rPr>
          <w:rFonts w:eastAsiaTheme="minorHAnsi"/>
        </w:rPr>
        <w:t>increasing rates for the rest.</w:t>
      </w:r>
      <w:r w:rsidR="001D074D">
        <w:rPr>
          <w:rFonts w:eastAsiaTheme="minorHAnsi"/>
        </w:rPr>
        <w:t>”</w:t>
      </w:r>
      <w:r w:rsidR="00E143A0">
        <w:rPr>
          <w:rFonts w:eastAsiaTheme="minorHAnsi"/>
        </w:rPr>
        <w:t xml:space="preserve">  </w:t>
      </w:r>
      <w:proofErr w:type="gramStart"/>
      <w:r w:rsidR="00E143A0">
        <w:rPr>
          <w:rFonts w:eastAsiaTheme="minorHAnsi"/>
        </w:rPr>
        <w:t>NFG R. Exc. at 4.</w:t>
      </w:r>
      <w:proofErr w:type="gramEnd"/>
      <w:r w:rsidR="00E143A0">
        <w:rPr>
          <w:rFonts w:eastAsiaTheme="minorHAnsi"/>
        </w:rPr>
        <w:t xml:space="preserve"> </w:t>
      </w:r>
      <w:r w:rsidR="00204508">
        <w:rPr>
          <w:rFonts w:eastAsiaTheme="minorHAnsi"/>
        </w:rPr>
        <w:t xml:space="preserve"> </w:t>
      </w:r>
    </w:p>
    <w:p w:rsidR="00E143A0" w:rsidRDefault="00E143A0" w:rsidP="00B43911">
      <w:pPr>
        <w:widowControl/>
        <w:rPr>
          <w:rFonts w:eastAsiaTheme="minorHAnsi"/>
        </w:rPr>
      </w:pPr>
    </w:p>
    <w:p w:rsidR="00027552" w:rsidRDefault="00027552" w:rsidP="00B43911">
      <w:pPr>
        <w:widowControl/>
        <w:rPr>
          <w:rFonts w:eastAsiaTheme="minorHAnsi"/>
        </w:rPr>
      </w:pPr>
      <w:r>
        <w:rPr>
          <w:rFonts w:eastAsiaTheme="minorHAnsi"/>
        </w:rPr>
        <w:t xml:space="preserve">The OCA provides additional distinctions between </w:t>
      </w:r>
      <w:r w:rsidR="00E260F4">
        <w:rPr>
          <w:rFonts w:eastAsiaTheme="minorHAnsi"/>
        </w:rPr>
        <w:t>gas-on-gas discounting and other forms of rate discounting</w:t>
      </w:r>
      <w:r w:rsidR="00F7484A">
        <w:rPr>
          <w:rFonts w:eastAsiaTheme="minorHAnsi"/>
        </w:rPr>
        <w:t xml:space="preserve"> in its Reply Exceptions</w:t>
      </w:r>
      <w:r w:rsidR="00E260F4">
        <w:rPr>
          <w:rFonts w:eastAsiaTheme="minorHAnsi"/>
        </w:rPr>
        <w:t xml:space="preserve">.  </w:t>
      </w:r>
      <w:r w:rsidR="001B3B94">
        <w:rPr>
          <w:rFonts w:eastAsiaTheme="minorHAnsi"/>
        </w:rPr>
        <w:t xml:space="preserve">The OCA avers, </w:t>
      </w:r>
      <w:r w:rsidR="001B3B94" w:rsidRPr="001B3B94">
        <w:rPr>
          <w:rFonts w:eastAsiaTheme="minorHAnsi"/>
          <w:i/>
        </w:rPr>
        <w:t>inter alia</w:t>
      </w:r>
      <w:r w:rsidR="001B3B94">
        <w:rPr>
          <w:rFonts w:eastAsiaTheme="minorHAnsi"/>
        </w:rPr>
        <w:t>, that gas-on-gas flex customers still require the use of a NGDC</w:t>
      </w:r>
      <w:r w:rsidR="001D074D">
        <w:rPr>
          <w:rFonts w:eastAsiaTheme="minorHAnsi"/>
        </w:rPr>
        <w:t>’</w:t>
      </w:r>
      <w:r w:rsidR="001B3B94">
        <w:rPr>
          <w:rFonts w:eastAsiaTheme="minorHAnsi"/>
        </w:rPr>
        <w:t>s system while other forms of rate discounting, such as alternat</w:t>
      </w:r>
      <w:r w:rsidR="00EE0B8F">
        <w:rPr>
          <w:rFonts w:eastAsiaTheme="minorHAnsi"/>
        </w:rPr>
        <w:t>iv</w:t>
      </w:r>
      <w:r w:rsidR="001B3B94">
        <w:rPr>
          <w:rFonts w:eastAsiaTheme="minorHAnsi"/>
        </w:rPr>
        <w:t xml:space="preserve">e fuels and by-pass, do not.  Therefore, the OCA argues that unlike gas-on-gas discounting, these other forms of rate discounting preserves the load that would be lost to Pennsylvania NGDCs.  The OCA also points out </w:t>
      </w:r>
      <w:proofErr w:type="gramStart"/>
      <w:r w:rsidR="00217516">
        <w:rPr>
          <w:rFonts w:eastAsiaTheme="minorHAnsi"/>
        </w:rPr>
        <w:t xml:space="preserve">that </w:t>
      </w:r>
      <w:r w:rsidR="001B3B94">
        <w:rPr>
          <w:rFonts w:eastAsiaTheme="minorHAnsi"/>
        </w:rPr>
        <w:t>customers</w:t>
      </w:r>
      <w:proofErr w:type="gramEnd"/>
      <w:r w:rsidR="001B3B94">
        <w:rPr>
          <w:rFonts w:eastAsiaTheme="minorHAnsi"/>
        </w:rPr>
        <w:t xml:space="preserve"> </w:t>
      </w:r>
      <w:r w:rsidR="00217516">
        <w:rPr>
          <w:rFonts w:eastAsiaTheme="minorHAnsi"/>
        </w:rPr>
        <w:t>who</w:t>
      </w:r>
      <w:r w:rsidR="001B3B94">
        <w:rPr>
          <w:rFonts w:eastAsiaTheme="minorHAnsi"/>
        </w:rPr>
        <w:t xml:space="preserve"> negotiate reduced rates because of pipeline bypass or alternative fuels</w:t>
      </w:r>
      <w:r w:rsidR="00E64D5F">
        <w:rPr>
          <w:rFonts w:eastAsiaTheme="minorHAnsi"/>
        </w:rPr>
        <w:t>,</w:t>
      </w:r>
      <w:r w:rsidR="001B3B94">
        <w:rPr>
          <w:rFonts w:eastAsiaTheme="minorHAnsi"/>
        </w:rPr>
        <w:t xml:space="preserve"> have or would need to make an investment in additional infrastructure.  OCA R. Exc. at 9-11.</w:t>
      </w:r>
    </w:p>
    <w:p w:rsidR="00027552" w:rsidRDefault="00027552" w:rsidP="00B43911">
      <w:pPr>
        <w:widowControl/>
        <w:rPr>
          <w:rFonts w:eastAsiaTheme="minorHAnsi"/>
        </w:rPr>
      </w:pPr>
    </w:p>
    <w:p w:rsidR="000026AC" w:rsidRPr="00E64D5F" w:rsidRDefault="00E143A0" w:rsidP="00B43911">
      <w:pPr>
        <w:widowControl/>
        <w:rPr>
          <w:rFonts w:eastAsiaTheme="minorHAnsi"/>
          <w:i/>
        </w:rPr>
      </w:pPr>
      <w:r>
        <w:t>I</w:t>
      </w:r>
      <w:r w:rsidR="002823F4">
        <w:t xml:space="preserve">n its Exceptions, </w:t>
      </w:r>
      <w:r w:rsidR="00A1344A">
        <w:t xml:space="preserve">PSU </w:t>
      </w:r>
      <w:r w:rsidR="00C4026A">
        <w:t xml:space="preserve">submits </w:t>
      </w:r>
      <w:r w:rsidR="002476E9">
        <w:t xml:space="preserve">that </w:t>
      </w:r>
      <w:r w:rsidR="002476E9">
        <w:rPr>
          <w:rFonts w:eastAsiaTheme="minorHAnsi"/>
        </w:rPr>
        <w:t xml:space="preserve">the ALJ did not actually find that the record established that gas-on-gas discounting grants an </w:t>
      </w:r>
      <w:r w:rsidR="001D074D">
        <w:rPr>
          <w:rFonts w:eastAsiaTheme="minorHAnsi"/>
        </w:rPr>
        <w:t>“</w:t>
      </w:r>
      <w:r w:rsidR="002476E9">
        <w:rPr>
          <w:rFonts w:eastAsiaTheme="minorHAnsi"/>
        </w:rPr>
        <w:t>unreasonable preference or advantage</w:t>
      </w:r>
      <w:r w:rsidR="001D074D">
        <w:rPr>
          <w:rFonts w:eastAsiaTheme="minorHAnsi"/>
        </w:rPr>
        <w:t>”</w:t>
      </w:r>
      <w:r w:rsidR="002476E9">
        <w:rPr>
          <w:rFonts w:eastAsiaTheme="minorHAnsi"/>
        </w:rPr>
        <w:t xml:space="preserve"> to any customers or that it results in an </w:t>
      </w:r>
      <w:r w:rsidR="001D074D">
        <w:rPr>
          <w:rFonts w:eastAsiaTheme="minorHAnsi"/>
        </w:rPr>
        <w:t>“</w:t>
      </w:r>
      <w:r w:rsidR="002476E9">
        <w:rPr>
          <w:rFonts w:eastAsiaTheme="minorHAnsi"/>
        </w:rPr>
        <w:t>unreasonable difference as to rates.</w:t>
      </w:r>
      <w:r w:rsidR="001D074D">
        <w:rPr>
          <w:rFonts w:eastAsiaTheme="minorHAnsi"/>
        </w:rPr>
        <w:t>”</w:t>
      </w:r>
      <w:r w:rsidR="002476E9">
        <w:rPr>
          <w:rFonts w:eastAsiaTheme="minorHAnsi"/>
        </w:rPr>
        <w:t xml:space="preserve">  PSU Exc. at 10.  PSU submits that to the contrary, the ALJ merely observed that </w:t>
      </w:r>
      <w:r w:rsidR="001D074D">
        <w:rPr>
          <w:rFonts w:eastAsiaTheme="minorHAnsi"/>
        </w:rPr>
        <w:t>“</w:t>
      </w:r>
      <w:r w:rsidR="002476E9">
        <w:rPr>
          <w:rFonts w:eastAsiaTheme="minorHAnsi"/>
        </w:rPr>
        <w:t xml:space="preserve">the </w:t>
      </w:r>
      <w:r w:rsidR="00315F71">
        <w:rPr>
          <w:rFonts w:eastAsiaTheme="minorHAnsi"/>
        </w:rPr>
        <w:t xml:space="preserve">evidence </w:t>
      </w:r>
      <w:r w:rsidR="002476E9">
        <w:rPr>
          <w:rFonts w:eastAsiaTheme="minorHAnsi"/>
        </w:rPr>
        <w:t xml:space="preserve">supports a finding that gas-on-gas rate discounting appears to be discriminatorily beneficial to a select group of large industrial </w:t>
      </w:r>
      <w:proofErr w:type="gramStart"/>
      <w:r w:rsidR="002476E9">
        <w:rPr>
          <w:rFonts w:eastAsiaTheme="minorHAnsi"/>
        </w:rPr>
        <w:t>customers</w:t>
      </w:r>
      <w:proofErr w:type="gramEnd"/>
      <w:r w:rsidR="002476E9">
        <w:rPr>
          <w:rFonts w:eastAsiaTheme="minorHAnsi"/>
        </w:rPr>
        <w:t xml:space="preserve"> fortunate enough to be located in an overlapping service territory.</w:t>
      </w:r>
      <w:r w:rsidR="001D074D">
        <w:rPr>
          <w:rFonts w:eastAsiaTheme="minorHAnsi"/>
        </w:rPr>
        <w:t>”</w:t>
      </w:r>
      <w:r w:rsidR="002476E9">
        <w:rPr>
          <w:rFonts w:eastAsiaTheme="minorHAnsi"/>
        </w:rPr>
        <w:t xml:space="preserve">  PSU Exc. at 10 (citing R.D. at</w:t>
      </w:r>
      <w:r w:rsidR="00C4026A">
        <w:rPr>
          <w:rFonts w:eastAsiaTheme="minorHAnsi"/>
        </w:rPr>
        <w:t> </w:t>
      </w:r>
      <w:r w:rsidR="002476E9">
        <w:rPr>
          <w:rFonts w:eastAsiaTheme="minorHAnsi"/>
        </w:rPr>
        <w:t xml:space="preserve">30).  PSU avers that a finding of the </w:t>
      </w:r>
      <w:r w:rsidR="001D074D">
        <w:rPr>
          <w:rFonts w:eastAsiaTheme="minorHAnsi"/>
        </w:rPr>
        <w:t>“</w:t>
      </w:r>
      <w:r w:rsidR="002476E9">
        <w:rPr>
          <w:rFonts w:eastAsiaTheme="minorHAnsi"/>
        </w:rPr>
        <w:t>appearance</w:t>
      </w:r>
      <w:r w:rsidR="001D074D">
        <w:rPr>
          <w:rFonts w:eastAsiaTheme="minorHAnsi"/>
        </w:rPr>
        <w:t>”</w:t>
      </w:r>
      <w:r w:rsidR="002476E9">
        <w:rPr>
          <w:rFonts w:eastAsiaTheme="minorHAnsi"/>
        </w:rPr>
        <w:t xml:space="preserve"> of discrimination is not the same as a finding that discrimination actually exists.  </w:t>
      </w:r>
      <w:r w:rsidR="00E64D5F" w:rsidRPr="00E64D5F">
        <w:rPr>
          <w:rFonts w:eastAsiaTheme="minorHAnsi"/>
          <w:i/>
        </w:rPr>
        <w:t>Id</w:t>
      </w:r>
      <w:r w:rsidR="00E64D5F">
        <w:rPr>
          <w:rFonts w:eastAsiaTheme="minorHAnsi"/>
        </w:rPr>
        <w:t xml:space="preserve">.  </w:t>
      </w:r>
      <w:r w:rsidR="000026AC">
        <w:rPr>
          <w:rFonts w:eastAsiaTheme="minorHAnsi"/>
        </w:rPr>
        <w:t xml:space="preserve">PSU argues that </w:t>
      </w:r>
      <w:r w:rsidR="002476E9">
        <w:rPr>
          <w:rFonts w:eastAsiaTheme="minorHAnsi"/>
        </w:rPr>
        <w:t xml:space="preserve">Section 1304 of the </w:t>
      </w:r>
      <w:r w:rsidR="002476E9">
        <w:rPr>
          <w:rFonts w:eastAsiaTheme="minorHAnsi"/>
        </w:rPr>
        <w:lastRenderedPageBreak/>
        <w:t xml:space="preserve">Code allows for preferences or advantages as to rates so long as they are not </w:t>
      </w:r>
      <w:r w:rsidR="001D074D">
        <w:rPr>
          <w:rFonts w:eastAsiaTheme="minorHAnsi"/>
        </w:rPr>
        <w:t>“</w:t>
      </w:r>
      <w:r w:rsidR="002476E9">
        <w:rPr>
          <w:rFonts w:eastAsiaTheme="minorHAnsi"/>
        </w:rPr>
        <w:t>unreasonable.</w:t>
      </w:r>
      <w:r w:rsidR="001D074D">
        <w:rPr>
          <w:rFonts w:eastAsiaTheme="minorHAnsi"/>
        </w:rPr>
        <w:t>”</w:t>
      </w:r>
      <w:r w:rsidR="00E64D5F">
        <w:rPr>
          <w:rFonts w:eastAsiaTheme="minorHAnsi"/>
        </w:rPr>
        <w:t xml:space="preserve"> PSU Exc. at 10.  </w:t>
      </w:r>
      <w:r w:rsidR="000026AC">
        <w:rPr>
          <w:rFonts w:eastAsiaTheme="minorHAnsi"/>
        </w:rPr>
        <w:t>PSU explains that h</w:t>
      </w:r>
      <w:r w:rsidR="002476E9">
        <w:rPr>
          <w:rFonts w:eastAsiaTheme="minorHAnsi"/>
        </w:rPr>
        <w:t>ere there is a factual basis for different treatment</w:t>
      </w:r>
      <w:r w:rsidR="00C4026A">
        <w:rPr>
          <w:rFonts w:eastAsiaTheme="minorHAnsi"/>
        </w:rPr>
        <w:t xml:space="preserve">, </w:t>
      </w:r>
      <w:r w:rsidR="00C4026A" w:rsidRPr="00C4026A">
        <w:rPr>
          <w:rFonts w:eastAsiaTheme="minorHAnsi"/>
          <w:i/>
        </w:rPr>
        <w:t>i.e.</w:t>
      </w:r>
      <w:r w:rsidR="00C4026A">
        <w:rPr>
          <w:rFonts w:eastAsiaTheme="minorHAnsi"/>
        </w:rPr>
        <w:t xml:space="preserve">, </w:t>
      </w:r>
      <w:r w:rsidR="000026AC">
        <w:rPr>
          <w:rFonts w:eastAsiaTheme="minorHAnsi"/>
        </w:rPr>
        <w:t>l</w:t>
      </w:r>
      <w:r w:rsidR="002476E9">
        <w:rPr>
          <w:rFonts w:eastAsiaTheme="minorHAnsi"/>
        </w:rPr>
        <w:t>arge customers with competitive options must be offered discounted rates in order to retain</w:t>
      </w:r>
      <w:r w:rsidR="000026AC">
        <w:rPr>
          <w:rFonts w:eastAsiaTheme="minorHAnsi"/>
        </w:rPr>
        <w:t xml:space="preserve"> </w:t>
      </w:r>
      <w:r w:rsidR="002476E9">
        <w:rPr>
          <w:rFonts w:eastAsiaTheme="minorHAnsi"/>
        </w:rPr>
        <w:t>the overall system benefits derived from keeping that customer</w:t>
      </w:r>
      <w:r w:rsidR="001D074D">
        <w:rPr>
          <w:rFonts w:eastAsiaTheme="minorHAnsi"/>
        </w:rPr>
        <w:t>’</w:t>
      </w:r>
      <w:r w:rsidR="002476E9">
        <w:rPr>
          <w:rFonts w:eastAsiaTheme="minorHAnsi"/>
        </w:rPr>
        <w:t>s load on the system</w:t>
      </w:r>
      <w:r w:rsidR="000026AC">
        <w:rPr>
          <w:rFonts w:eastAsiaTheme="minorHAnsi"/>
        </w:rPr>
        <w:t xml:space="preserve">.  </w:t>
      </w:r>
      <w:r w:rsidR="00E64D5F" w:rsidRPr="00E64D5F">
        <w:rPr>
          <w:rFonts w:eastAsiaTheme="minorHAnsi"/>
          <w:i/>
        </w:rPr>
        <w:t xml:space="preserve">Id. </w:t>
      </w:r>
    </w:p>
    <w:p w:rsidR="00E64D5F" w:rsidRDefault="00E64D5F" w:rsidP="00B43911">
      <w:pPr>
        <w:widowControl/>
        <w:rPr>
          <w:rFonts w:eastAsiaTheme="minorHAnsi"/>
        </w:rPr>
      </w:pPr>
    </w:p>
    <w:p w:rsidR="000026AC" w:rsidRDefault="000026AC" w:rsidP="00B43911">
      <w:pPr>
        <w:widowControl/>
        <w:rPr>
          <w:rFonts w:eastAsiaTheme="minorHAnsi"/>
        </w:rPr>
      </w:pPr>
      <w:r>
        <w:rPr>
          <w:rFonts w:eastAsiaTheme="minorHAnsi"/>
        </w:rPr>
        <w:t xml:space="preserve">PSU opines that the ALJ appears to have been troubled by the fact that the customers that enjoy the benefits of gas-on-gas competition are able to do so merely because they are </w:t>
      </w:r>
      <w:r w:rsidR="001D074D">
        <w:rPr>
          <w:rFonts w:eastAsiaTheme="minorHAnsi"/>
        </w:rPr>
        <w:t>“</w:t>
      </w:r>
      <w:r>
        <w:rPr>
          <w:rFonts w:eastAsiaTheme="minorHAnsi"/>
        </w:rPr>
        <w:t>fortunate enough to be located in an overlapping service territory.</w:t>
      </w:r>
      <w:r w:rsidR="001D074D">
        <w:rPr>
          <w:rFonts w:eastAsiaTheme="minorHAnsi"/>
        </w:rPr>
        <w:t>”</w:t>
      </w:r>
      <w:r>
        <w:rPr>
          <w:rFonts w:eastAsiaTheme="minorHAnsi"/>
        </w:rPr>
        <w:t xml:space="preserve"> PSU Exc. at 10</w:t>
      </w:r>
      <w:r w:rsidRPr="000026AC">
        <w:rPr>
          <w:rFonts w:eastAsiaTheme="minorHAnsi"/>
        </w:rPr>
        <w:t xml:space="preserve"> </w:t>
      </w:r>
      <w:r>
        <w:rPr>
          <w:rFonts w:eastAsiaTheme="minorHAnsi"/>
        </w:rPr>
        <w:t xml:space="preserve">(citing R.D. at 30).  </w:t>
      </w:r>
      <w:r w:rsidR="00B77AEF">
        <w:rPr>
          <w:rFonts w:eastAsiaTheme="minorHAnsi"/>
        </w:rPr>
        <w:t xml:space="preserve">PSU states that </w:t>
      </w:r>
      <w:r w:rsidR="001D074D">
        <w:rPr>
          <w:rFonts w:eastAsiaTheme="minorHAnsi"/>
        </w:rPr>
        <w:t>“</w:t>
      </w:r>
      <w:r w:rsidR="00B77AEF">
        <w:rPr>
          <w:rFonts w:eastAsiaTheme="minorHAnsi"/>
        </w:rPr>
        <w:t>b</w:t>
      </w:r>
      <w:r>
        <w:rPr>
          <w:rFonts w:eastAsiaTheme="minorHAnsi"/>
        </w:rPr>
        <w:t>eing fortunate</w:t>
      </w:r>
      <w:r w:rsidR="001D074D">
        <w:rPr>
          <w:rFonts w:eastAsiaTheme="minorHAnsi"/>
        </w:rPr>
        <w:t>”</w:t>
      </w:r>
      <w:r>
        <w:rPr>
          <w:rFonts w:eastAsiaTheme="minorHAnsi"/>
        </w:rPr>
        <w:t xml:space="preserve"> does not equal discrimination</w:t>
      </w:r>
      <w:r w:rsidRPr="000026AC">
        <w:rPr>
          <w:rFonts w:eastAsiaTheme="minorHAnsi"/>
        </w:rPr>
        <w:t xml:space="preserve"> </w:t>
      </w:r>
      <w:r>
        <w:rPr>
          <w:rFonts w:eastAsiaTheme="minorHAnsi"/>
        </w:rPr>
        <w:t>under the Code</w:t>
      </w:r>
      <w:r w:rsidR="00B77AEF">
        <w:rPr>
          <w:rFonts w:eastAsiaTheme="minorHAnsi"/>
        </w:rPr>
        <w:t>.  R</w:t>
      </w:r>
      <w:r>
        <w:rPr>
          <w:rFonts w:eastAsiaTheme="minorHAnsi"/>
        </w:rPr>
        <w:t xml:space="preserve">ather, </w:t>
      </w:r>
      <w:r w:rsidR="00B77AEF">
        <w:rPr>
          <w:rFonts w:eastAsiaTheme="minorHAnsi"/>
        </w:rPr>
        <w:t xml:space="preserve">PSU submits that </w:t>
      </w:r>
      <w:r>
        <w:rPr>
          <w:rFonts w:eastAsiaTheme="minorHAnsi"/>
        </w:rPr>
        <w:t xml:space="preserve">the correct view is whether the two customers are factually different and those differences reasonably allow different treatment. </w:t>
      </w:r>
      <w:r w:rsidR="00B77AEF">
        <w:rPr>
          <w:rFonts w:eastAsiaTheme="minorHAnsi"/>
        </w:rPr>
        <w:t xml:space="preserve"> PSU explains that</w:t>
      </w:r>
      <w:r>
        <w:rPr>
          <w:rFonts w:eastAsiaTheme="minorHAnsi"/>
        </w:rPr>
        <w:t xml:space="preserve"> </w:t>
      </w:r>
      <w:r w:rsidR="00016334">
        <w:rPr>
          <w:rFonts w:eastAsiaTheme="minorHAnsi"/>
        </w:rPr>
        <w:t xml:space="preserve">it </w:t>
      </w:r>
      <w:r>
        <w:rPr>
          <w:rFonts w:eastAsiaTheme="minorHAnsi"/>
        </w:rPr>
        <w:t>is basic business that someone who has</w:t>
      </w:r>
      <w:r w:rsidR="00B77AEF">
        <w:rPr>
          <w:rFonts w:eastAsiaTheme="minorHAnsi"/>
        </w:rPr>
        <w:t xml:space="preserve"> </w:t>
      </w:r>
      <w:r>
        <w:rPr>
          <w:rFonts w:eastAsiaTheme="minorHAnsi"/>
        </w:rPr>
        <w:t>two sources for a desired commodity or service may be able to purchase it at a lower price due to</w:t>
      </w:r>
      <w:r w:rsidR="00B77AEF">
        <w:rPr>
          <w:rFonts w:eastAsiaTheme="minorHAnsi"/>
        </w:rPr>
        <w:t xml:space="preserve"> </w:t>
      </w:r>
      <w:r>
        <w:rPr>
          <w:rFonts w:eastAsiaTheme="minorHAnsi"/>
        </w:rPr>
        <w:t xml:space="preserve">competition than someone who only has one source. </w:t>
      </w:r>
      <w:r w:rsidR="00B77AEF">
        <w:rPr>
          <w:rFonts w:eastAsiaTheme="minorHAnsi"/>
        </w:rPr>
        <w:t xml:space="preserve"> PSU argues that the </w:t>
      </w:r>
      <w:r>
        <w:rPr>
          <w:rFonts w:eastAsiaTheme="minorHAnsi"/>
        </w:rPr>
        <w:t>Recommended Decision</w:t>
      </w:r>
      <w:r w:rsidR="00B77AEF">
        <w:rPr>
          <w:rFonts w:eastAsiaTheme="minorHAnsi"/>
        </w:rPr>
        <w:t xml:space="preserve"> </w:t>
      </w:r>
      <w:r>
        <w:rPr>
          <w:rFonts w:eastAsiaTheme="minorHAnsi"/>
        </w:rPr>
        <w:t xml:space="preserve">actually discriminates against those customers </w:t>
      </w:r>
      <w:r w:rsidR="00016334">
        <w:rPr>
          <w:rFonts w:eastAsiaTheme="minorHAnsi"/>
        </w:rPr>
        <w:t>who are located in gas-on-gas service areas because it would</w:t>
      </w:r>
      <w:r>
        <w:rPr>
          <w:rFonts w:eastAsiaTheme="minorHAnsi"/>
        </w:rPr>
        <w:t xml:space="preserve"> treat them</w:t>
      </w:r>
      <w:r w:rsidR="00B77AEF">
        <w:rPr>
          <w:rFonts w:eastAsiaTheme="minorHAnsi"/>
        </w:rPr>
        <w:t xml:space="preserve"> </w:t>
      </w:r>
      <w:r>
        <w:rPr>
          <w:rFonts w:eastAsiaTheme="minorHAnsi"/>
        </w:rPr>
        <w:t>regressively and contrary to economic reality as if they had only one</w:t>
      </w:r>
      <w:r w:rsidR="00BA7B47">
        <w:rPr>
          <w:rFonts w:eastAsiaTheme="minorHAnsi"/>
        </w:rPr>
        <w:t xml:space="preserve"> </w:t>
      </w:r>
      <w:r w:rsidR="00016334">
        <w:rPr>
          <w:rFonts w:eastAsiaTheme="minorHAnsi"/>
        </w:rPr>
        <w:t>NGDC</w:t>
      </w:r>
      <w:r w:rsidR="00BA7B47">
        <w:rPr>
          <w:rFonts w:eastAsiaTheme="minorHAnsi"/>
        </w:rPr>
        <w:t xml:space="preserve"> in their service area</w:t>
      </w:r>
      <w:r>
        <w:rPr>
          <w:rFonts w:eastAsiaTheme="minorHAnsi"/>
        </w:rPr>
        <w:t xml:space="preserve">. </w:t>
      </w:r>
      <w:r w:rsidR="00972954">
        <w:rPr>
          <w:rFonts w:eastAsiaTheme="minorHAnsi"/>
        </w:rPr>
        <w:t xml:space="preserve"> PSU Exc. at 10-11.</w:t>
      </w:r>
    </w:p>
    <w:p w:rsidR="008A0E9F" w:rsidRDefault="008A0E9F" w:rsidP="00B43911">
      <w:pPr>
        <w:widowControl/>
        <w:rPr>
          <w:rFonts w:eastAsiaTheme="minorHAnsi"/>
        </w:rPr>
      </w:pPr>
    </w:p>
    <w:p w:rsidR="008A0E9F" w:rsidRDefault="008A0E9F" w:rsidP="00B43911">
      <w:pPr>
        <w:widowControl/>
        <w:rPr>
          <w:rFonts w:eastAsiaTheme="minorHAnsi"/>
        </w:rPr>
      </w:pPr>
      <w:r>
        <w:rPr>
          <w:rFonts w:eastAsiaTheme="minorHAnsi"/>
        </w:rPr>
        <w:t xml:space="preserve">PSU </w:t>
      </w:r>
      <w:r w:rsidR="00BA7B47">
        <w:rPr>
          <w:rFonts w:eastAsiaTheme="minorHAnsi"/>
        </w:rPr>
        <w:t>argues that t</w:t>
      </w:r>
      <w:r>
        <w:rPr>
          <w:rFonts w:eastAsiaTheme="minorHAnsi"/>
        </w:rPr>
        <w:t>he ALJ</w:t>
      </w:r>
      <w:r w:rsidR="001D074D">
        <w:rPr>
          <w:rFonts w:eastAsiaTheme="minorHAnsi"/>
        </w:rPr>
        <w:t>’</w:t>
      </w:r>
      <w:r w:rsidR="00BA7B47">
        <w:rPr>
          <w:rFonts w:eastAsiaTheme="minorHAnsi"/>
        </w:rPr>
        <w:t>s</w:t>
      </w:r>
      <w:r>
        <w:rPr>
          <w:rFonts w:eastAsiaTheme="minorHAnsi"/>
        </w:rPr>
        <w:t xml:space="preserve"> assertion that gas-on-gas competition is </w:t>
      </w:r>
      <w:r w:rsidR="001D074D">
        <w:rPr>
          <w:rFonts w:eastAsiaTheme="minorHAnsi"/>
        </w:rPr>
        <w:t>“</w:t>
      </w:r>
      <w:r>
        <w:rPr>
          <w:rFonts w:eastAsiaTheme="minorHAnsi"/>
        </w:rPr>
        <w:t>financially burdensome to other captive customers</w:t>
      </w:r>
      <w:r w:rsidR="001D074D">
        <w:rPr>
          <w:rFonts w:eastAsiaTheme="minorHAnsi"/>
        </w:rPr>
        <w:t>”</w:t>
      </w:r>
      <w:r w:rsidR="00BA7B47">
        <w:rPr>
          <w:rStyle w:val="FootnoteReference"/>
          <w:rFonts w:eastAsiaTheme="minorHAnsi"/>
        </w:rPr>
        <w:footnoteReference w:id="7"/>
      </w:r>
      <w:r>
        <w:rPr>
          <w:rFonts w:eastAsiaTheme="minorHAnsi"/>
        </w:rPr>
        <w:t xml:space="preserve"> </w:t>
      </w:r>
      <w:r w:rsidR="00BA7B47">
        <w:rPr>
          <w:rFonts w:eastAsiaTheme="minorHAnsi"/>
        </w:rPr>
        <w:t xml:space="preserve">must </w:t>
      </w:r>
      <w:r>
        <w:rPr>
          <w:rFonts w:eastAsiaTheme="minorHAnsi"/>
        </w:rPr>
        <w:t>be rejected for two reasons</w:t>
      </w:r>
      <w:r w:rsidR="00BA7B47">
        <w:rPr>
          <w:rFonts w:eastAsiaTheme="minorHAnsi"/>
        </w:rPr>
        <w:t>:</w:t>
      </w:r>
      <w:r>
        <w:rPr>
          <w:rFonts w:eastAsiaTheme="minorHAnsi"/>
        </w:rPr>
        <w:t xml:space="preserve">  </w:t>
      </w:r>
      <w:r w:rsidR="00BA7B47">
        <w:rPr>
          <w:rFonts w:eastAsiaTheme="minorHAnsi"/>
        </w:rPr>
        <w:t>(1) t</w:t>
      </w:r>
      <w:r>
        <w:rPr>
          <w:rFonts w:eastAsiaTheme="minorHAnsi"/>
        </w:rPr>
        <w:t>he ALJ</w:t>
      </w:r>
      <w:r w:rsidR="001D074D">
        <w:rPr>
          <w:rFonts w:eastAsiaTheme="minorHAnsi"/>
        </w:rPr>
        <w:t>’</w:t>
      </w:r>
      <w:r>
        <w:rPr>
          <w:rFonts w:eastAsiaTheme="minorHAnsi"/>
        </w:rPr>
        <w:t>s finding ignores the fact that all customers benefit from retaining or adding customers to a NGDC</w:t>
      </w:r>
      <w:r w:rsidR="001D074D">
        <w:rPr>
          <w:rFonts w:eastAsiaTheme="minorHAnsi"/>
        </w:rPr>
        <w:t>’</w:t>
      </w:r>
      <w:r>
        <w:rPr>
          <w:rFonts w:eastAsiaTheme="minorHAnsi"/>
        </w:rPr>
        <w:t>s system, and the ALJ fails to consider those benefits in making the generalized statement</w:t>
      </w:r>
      <w:r w:rsidR="00BA7B47">
        <w:rPr>
          <w:rFonts w:eastAsiaTheme="minorHAnsi"/>
        </w:rPr>
        <w:t>; and (2) the ALJ</w:t>
      </w:r>
      <w:r w:rsidR="001D074D">
        <w:rPr>
          <w:rFonts w:eastAsiaTheme="minorHAnsi"/>
        </w:rPr>
        <w:t>’</w:t>
      </w:r>
      <w:r w:rsidR="00BA7B47">
        <w:rPr>
          <w:rFonts w:eastAsiaTheme="minorHAnsi"/>
        </w:rPr>
        <w:t xml:space="preserve">s assumption of inelastic demand is unsupported and fundamentally flawed in that </w:t>
      </w:r>
      <w:r>
        <w:rPr>
          <w:rFonts w:eastAsiaTheme="minorHAnsi"/>
        </w:rPr>
        <w:t>the ALJ incorrectly assume</w:t>
      </w:r>
      <w:r w:rsidR="007E5892">
        <w:rPr>
          <w:rFonts w:eastAsiaTheme="minorHAnsi"/>
        </w:rPr>
        <w:t>d</w:t>
      </w:r>
      <w:r>
        <w:rPr>
          <w:rFonts w:eastAsiaTheme="minorHAnsi"/>
        </w:rPr>
        <w:t xml:space="preserve"> that customers receiving gas-on-gas discounts today </w:t>
      </w:r>
      <w:r w:rsidR="00C402AC">
        <w:rPr>
          <w:rFonts w:eastAsiaTheme="minorHAnsi"/>
        </w:rPr>
        <w:t xml:space="preserve">will maintain their gas consumption and simply pay higher tariffed rates if competition is eliminated.  PSU Exc. at 11-12. </w:t>
      </w:r>
    </w:p>
    <w:p w:rsidR="00C402AC" w:rsidRDefault="00C402AC" w:rsidP="00B43911">
      <w:pPr>
        <w:widowControl/>
        <w:rPr>
          <w:rFonts w:eastAsiaTheme="minorHAnsi"/>
        </w:rPr>
      </w:pPr>
    </w:p>
    <w:p w:rsidR="00C402AC" w:rsidRDefault="00DD262E" w:rsidP="00B43911">
      <w:pPr>
        <w:widowControl/>
        <w:rPr>
          <w:rFonts w:eastAsiaTheme="minorHAnsi"/>
        </w:rPr>
      </w:pPr>
      <w:r w:rsidRPr="00DD262E">
        <w:t xml:space="preserve">In its Exceptions, </w:t>
      </w:r>
      <w:r w:rsidR="006D16AD">
        <w:t>Peoples/PTWP</w:t>
      </w:r>
      <w:r w:rsidRPr="00DD262E">
        <w:t xml:space="preserve"> </w:t>
      </w:r>
      <w:r w:rsidR="007E5892">
        <w:t>submit</w:t>
      </w:r>
      <w:r>
        <w:t xml:space="preserve"> that in recommending the complete elimination of gas-on-gas competition, the </w:t>
      </w:r>
      <w:r w:rsidR="007E5892">
        <w:t>ALJ</w:t>
      </w:r>
      <w:r w:rsidR="001D074D">
        <w:t>’</w:t>
      </w:r>
      <w:r w:rsidR="007E5892">
        <w:t xml:space="preserve">s </w:t>
      </w:r>
      <w:r>
        <w:t>Recommended Decision fails to assign appropriate weight to the fact that NGDCs have made substantial investments in developing their systems in reliance upon Commission policy which has not only permitted, but at times, also encouraged competition.</w:t>
      </w:r>
      <w:r w:rsidR="00A132F3">
        <w:rPr>
          <w:rStyle w:val="FootnoteReference"/>
        </w:rPr>
        <w:footnoteReference w:id="8"/>
      </w:r>
      <w:r>
        <w:t xml:space="preserve">  </w:t>
      </w:r>
      <w:r w:rsidR="006D16AD">
        <w:t>Peoples/PTWP</w:t>
      </w:r>
      <w:r w:rsidR="003A05B2">
        <w:t xml:space="preserve"> Exc. at 4-5.  </w:t>
      </w:r>
      <w:r w:rsidR="006D16AD">
        <w:t>Peoples/PTWP</w:t>
      </w:r>
      <w:r w:rsidR="003A05B2">
        <w:t xml:space="preserve"> </w:t>
      </w:r>
      <w:proofErr w:type="gramStart"/>
      <w:r w:rsidR="003A05B2">
        <w:t>submit</w:t>
      </w:r>
      <w:proofErr w:type="gramEnd"/>
      <w:r w:rsidR="003A05B2">
        <w:t xml:space="preserve"> that the ALJ</w:t>
      </w:r>
      <w:r w:rsidR="001D074D">
        <w:t>’</w:t>
      </w:r>
      <w:r w:rsidR="003A05B2">
        <w:t>s recommendation also fails to appreciate the practical and legal problems associated with the complete elimination of gas-on-gas competition by December 31, 201</w:t>
      </w:r>
      <w:r w:rsidR="00A907E3">
        <w:t>8</w:t>
      </w:r>
      <w:r w:rsidR="003A05B2">
        <w:t>.  Consistent</w:t>
      </w:r>
      <w:r w:rsidR="006736C8">
        <w:t xml:space="preserve"> with its Main Brief</w:t>
      </w:r>
      <w:r w:rsidR="003A05B2">
        <w:t xml:space="preserve">, </w:t>
      </w:r>
      <w:r w:rsidR="006D16AD">
        <w:rPr>
          <w:rFonts w:eastAsiaTheme="minorHAnsi"/>
        </w:rPr>
        <w:t>Peoples/PTWP</w:t>
      </w:r>
      <w:r w:rsidR="006736C8">
        <w:rPr>
          <w:rFonts w:eastAsiaTheme="minorHAnsi"/>
        </w:rPr>
        <w:t xml:space="preserve"> </w:t>
      </w:r>
      <w:r w:rsidR="003A05B2">
        <w:rPr>
          <w:rFonts w:eastAsiaTheme="minorHAnsi"/>
        </w:rPr>
        <w:t xml:space="preserve">opine </w:t>
      </w:r>
      <w:r w:rsidR="006736C8">
        <w:rPr>
          <w:rFonts w:eastAsiaTheme="minorHAnsi"/>
        </w:rPr>
        <w:t>that continued competition will avoid contentious issues regarding</w:t>
      </w:r>
      <w:r w:rsidR="00AD20E6">
        <w:rPr>
          <w:rFonts w:eastAsiaTheme="minorHAnsi"/>
        </w:rPr>
        <w:t xml:space="preserve">, </w:t>
      </w:r>
      <w:r w:rsidR="00AD20E6" w:rsidRPr="00AD20E6">
        <w:rPr>
          <w:rFonts w:eastAsiaTheme="minorHAnsi"/>
          <w:i/>
        </w:rPr>
        <w:t>inter alia</w:t>
      </w:r>
      <w:r w:rsidR="00AD20E6">
        <w:rPr>
          <w:rFonts w:eastAsiaTheme="minorHAnsi"/>
        </w:rPr>
        <w:t xml:space="preserve">, </w:t>
      </w:r>
      <w:r w:rsidR="006736C8">
        <w:rPr>
          <w:rFonts w:eastAsiaTheme="minorHAnsi"/>
        </w:rPr>
        <w:t>recovery of stranded costs, regulatory takings, nullification of existing gas-on-gas discount agreements</w:t>
      </w:r>
      <w:r w:rsidR="005B0034">
        <w:rPr>
          <w:rFonts w:eastAsiaTheme="minorHAnsi"/>
        </w:rPr>
        <w:t xml:space="preserve">, </w:t>
      </w:r>
      <w:r w:rsidR="00AD20E6">
        <w:rPr>
          <w:rFonts w:eastAsiaTheme="minorHAnsi"/>
        </w:rPr>
        <w:t xml:space="preserve">and the </w:t>
      </w:r>
      <w:r w:rsidR="005B0034">
        <w:rPr>
          <w:rFonts w:eastAsiaTheme="minorHAnsi"/>
        </w:rPr>
        <w:t>division of NGDC service territories</w:t>
      </w:r>
      <w:r w:rsidR="006736C8">
        <w:rPr>
          <w:rFonts w:eastAsiaTheme="minorHAnsi"/>
        </w:rPr>
        <w:t>.</w:t>
      </w:r>
      <w:r w:rsidR="003A05B2">
        <w:rPr>
          <w:rFonts w:eastAsiaTheme="minorHAnsi"/>
        </w:rPr>
        <w:t xml:space="preserve">  </w:t>
      </w:r>
      <w:r w:rsidR="006D16AD">
        <w:rPr>
          <w:rFonts w:eastAsiaTheme="minorHAnsi"/>
        </w:rPr>
        <w:t>Peoples/PTWP</w:t>
      </w:r>
      <w:r w:rsidR="00DF288F">
        <w:rPr>
          <w:rFonts w:eastAsiaTheme="minorHAnsi"/>
        </w:rPr>
        <w:t xml:space="preserve"> Exc. at</w:t>
      </w:r>
      <w:r w:rsidR="00E50B9F">
        <w:rPr>
          <w:rFonts w:eastAsiaTheme="minorHAnsi"/>
        </w:rPr>
        <w:t> </w:t>
      </w:r>
      <w:r w:rsidR="00DF288F">
        <w:rPr>
          <w:rFonts w:eastAsiaTheme="minorHAnsi"/>
        </w:rPr>
        <w:t xml:space="preserve">3-6, 8-11.  </w:t>
      </w:r>
      <w:r w:rsidR="00D02FA2">
        <w:rPr>
          <w:rFonts w:eastAsiaTheme="minorHAnsi"/>
        </w:rPr>
        <w:t xml:space="preserve">Peoples/PTWP also argue that complete elimination of gas-on-gas competition could harm captive customers of an NGDC if a sizable amount of load is lost to another NGDC and harm customers that have made business decisions based on the availability of competitive natural gas prices.  </w:t>
      </w:r>
      <w:r w:rsidR="006D16AD">
        <w:rPr>
          <w:rFonts w:eastAsiaTheme="minorHAnsi"/>
        </w:rPr>
        <w:t>Peoples/PTWP</w:t>
      </w:r>
      <w:r w:rsidR="00DF288F">
        <w:rPr>
          <w:rFonts w:eastAsiaTheme="minorHAnsi"/>
        </w:rPr>
        <w:t xml:space="preserve"> Exc. at 6-7.  </w:t>
      </w:r>
    </w:p>
    <w:p w:rsidR="007A3D8C" w:rsidRDefault="007A3D8C" w:rsidP="00B43911">
      <w:pPr>
        <w:widowControl/>
        <w:rPr>
          <w:rFonts w:eastAsiaTheme="minorHAnsi"/>
        </w:rPr>
      </w:pPr>
    </w:p>
    <w:p w:rsidR="00496057" w:rsidRPr="00051F76" w:rsidRDefault="007A3D8C" w:rsidP="00B43911">
      <w:pPr>
        <w:widowControl/>
      </w:pPr>
      <w:r w:rsidRPr="00051F76">
        <w:t xml:space="preserve">IECPA argues that the Recommended Decision erred </w:t>
      </w:r>
      <w:r w:rsidR="00F02CBB" w:rsidRPr="00051F76">
        <w:t xml:space="preserve">in recommending </w:t>
      </w:r>
      <w:r w:rsidR="006D16AD" w:rsidRPr="00051F76">
        <w:t>Peoples/PTWP</w:t>
      </w:r>
      <w:r w:rsidR="001D074D">
        <w:t>’</w:t>
      </w:r>
      <w:r w:rsidR="00A907E3" w:rsidRPr="00051F76">
        <w:t>s</w:t>
      </w:r>
      <w:r w:rsidR="00F02CBB" w:rsidRPr="00051F76">
        <w:t xml:space="preserve"> proposal as an alternative to </w:t>
      </w:r>
      <w:r w:rsidR="00F02CBB" w:rsidRPr="00051F76">
        <w:rPr>
          <w:i/>
        </w:rPr>
        <w:t>status quo</w:t>
      </w:r>
      <w:r w:rsidR="00F02CBB" w:rsidRPr="00051F76">
        <w:t xml:space="preserve"> gas-on-gas competition when no change to the </w:t>
      </w:r>
      <w:r w:rsidR="00F02CBB" w:rsidRPr="00051F76">
        <w:rPr>
          <w:i/>
        </w:rPr>
        <w:t>status quo</w:t>
      </w:r>
      <w:r w:rsidR="00F02CBB" w:rsidRPr="00051F76">
        <w:t xml:space="preserve"> is warranted.  IECPA notes that under </w:t>
      </w:r>
      <w:r w:rsidR="006D16AD" w:rsidRPr="00051F76">
        <w:t>Peoples/PTWP</w:t>
      </w:r>
      <w:r w:rsidR="001D074D">
        <w:t>’</w:t>
      </w:r>
      <w:r w:rsidR="00A907E3" w:rsidRPr="00051F76">
        <w:t>s</w:t>
      </w:r>
      <w:r w:rsidR="00F02CBB" w:rsidRPr="00051F76">
        <w:t xml:space="preserve"> proposal, cost-based tariff rates would be the new gas-on-gas discounting floor.  IECPA states that its main concern is the potential ineffectiveness of individual NGDC base rate cases to derive reasonable cost-based rates.  </w:t>
      </w:r>
      <w:r w:rsidR="00496057" w:rsidRPr="00051F76">
        <w:t xml:space="preserve">IECPA submits that the </w:t>
      </w:r>
      <w:r w:rsidR="00496057" w:rsidRPr="00051F76">
        <w:rPr>
          <w:i/>
        </w:rPr>
        <w:t xml:space="preserve">status quo </w:t>
      </w:r>
      <w:r w:rsidR="00496057" w:rsidRPr="00051F76">
        <w:t xml:space="preserve">gas-on-gas competition offers a significantly more straightforward process for determining appropriate transportation rates where NGDCs assess the value the gas-on-gas customer offers to the system as well as attempts to maximize the revenue from the customer.  </w:t>
      </w:r>
      <w:r w:rsidR="00496057" w:rsidRPr="00051F76">
        <w:lastRenderedPageBreak/>
        <w:t xml:space="preserve">IECPA also warns that a NGDC could experience significant load loss if, after a base rate case, customers flock to the NGDC with the lowest </w:t>
      </w:r>
      <w:r w:rsidR="001D074D">
        <w:t>“</w:t>
      </w:r>
      <w:r w:rsidR="00496057" w:rsidRPr="00051F76">
        <w:t>cost-based</w:t>
      </w:r>
      <w:r w:rsidR="001D074D">
        <w:t>”</w:t>
      </w:r>
      <w:r w:rsidR="00496057" w:rsidRPr="00051F76">
        <w:t xml:space="preserve"> rates.  IECPA Exc. at</w:t>
      </w:r>
      <w:r w:rsidR="002F6560">
        <w:t> </w:t>
      </w:r>
      <w:r w:rsidR="00496057" w:rsidRPr="00051F76">
        <w:t>18</w:t>
      </w:r>
      <w:r w:rsidR="002F6560">
        <w:noBreakHyphen/>
      </w:r>
      <w:r w:rsidR="00496057" w:rsidRPr="00051F76">
        <w:t xml:space="preserve">19.  </w:t>
      </w:r>
    </w:p>
    <w:p w:rsidR="00920792" w:rsidRDefault="00920792" w:rsidP="00B43911">
      <w:pPr>
        <w:widowControl/>
      </w:pPr>
    </w:p>
    <w:p w:rsidR="00C857B9" w:rsidRPr="0086694F" w:rsidRDefault="006D337E" w:rsidP="007E5892">
      <w:pPr>
        <w:pStyle w:val="Heading2"/>
        <w:widowControl/>
      </w:pPr>
      <w:bookmarkStart w:id="9" w:name="_Toc404013219"/>
      <w:proofErr w:type="gramStart"/>
      <w:r>
        <w:t xml:space="preserve">If the Commission decides to Eliminate or Modify Gas-on-Gas Flexible Rates, </w:t>
      </w:r>
      <w:r w:rsidR="006F4A6B" w:rsidRPr="0086694F">
        <w:t xml:space="preserve">How Should the Elimination </w:t>
      </w:r>
      <w:r w:rsidR="00EC5A10" w:rsidRPr="0086694F">
        <w:t xml:space="preserve">or Modification of </w:t>
      </w:r>
      <w:r w:rsidR="00D12C5A">
        <w:t>Gas-on-Gas</w:t>
      </w:r>
      <w:r w:rsidR="00EC5A10" w:rsidRPr="0086694F">
        <w:t xml:space="preserve"> Flex</w:t>
      </w:r>
      <w:r w:rsidR="0086694F" w:rsidRPr="0086694F">
        <w:t>ible Rates be Implemented?</w:t>
      </w:r>
      <w:bookmarkEnd w:id="9"/>
      <w:proofErr w:type="gramEnd"/>
    </w:p>
    <w:p w:rsidR="00006F35" w:rsidRDefault="00006F35" w:rsidP="007E5892">
      <w:pPr>
        <w:keepNext/>
        <w:keepLines/>
        <w:widowControl/>
        <w:rPr>
          <w:b/>
          <w:szCs w:val="26"/>
        </w:rPr>
      </w:pPr>
    </w:p>
    <w:p w:rsidR="0086694F" w:rsidRDefault="0086694F" w:rsidP="007E5892">
      <w:pPr>
        <w:pStyle w:val="Heading3"/>
        <w:widowControl/>
        <w:numPr>
          <w:ilvl w:val="0"/>
          <w:numId w:val="12"/>
        </w:numPr>
        <w:ind w:left="2160" w:hanging="720"/>
      </w:pPr>
      <w:bookmarkStart w:id="10" w:name="_Toc404013220"/>
      <w:r>
        <w:t>Positions of the Parties</w:t>
      </w:r>
      <w:bookmarkEnd w:id="10"/>
    </w:p>
    <w:p w:rsidR="00CA43A5" w:rsidRDefault="00CA43A5" w:rsidP="007E5892">
      <w:pPr>
        <w:keepNext/>
        <w:keepLines/>
        <w:widowControl/>
        <w:rPr>
          <w:szCs w:val="26"/>
        </w:rPr>
      </w:pPr>
    </w:p>
    <w:p w:rsidR="001433A9" w:rsidRDefault="006F0041" w:rsidP="00B43911">
      <w:pPr>
        <w:widowControl/>
        <w:rPr>
          <w:szCs w:val="26"/>
        </w:rPr>
      </w:pPr>
      <w:r>
        <w:rPr>
          <w:szCs w:val="26"/>
        </w:rPr>
        <w:t>Recognizing that there are no clear cut and simple solutions, t</w:t>
      </w:r>
      <w:r w:rsidR="00606867">
        <w:rPr>
          <w:szCs w:val="26"/>
        </w:rPr>
        <w:t xml:space="preserve">he OCA </w:t>
      </w:r>
      <w:r>
        <w:rPr>
          <w:szCs w:val="26"/>
        </w:rPr>
        <w:t xml:space="preserve">stated that it is open to ideas and approaches that effectively terminate the practice of captive ratepayers subsidizing the rates of a select number of C&amp;I customers due to gas-on-gas discounting.  </w:t>
      </w:r>
      <w:r w:rsidR="0028744E">
        <w:rPr>
          <w:szCs w:val="26"/>
        </w:rPr>
        <w:t xml:space="preserve">The OCA </w:t>
      </w:r>
      <w:r w:rsidR="004A2B6C">
        <w:rPr>
          <w:szCs w:val="26"/>
        </w:rPr>
        <w:t xml:space="preserve">suggested </w:t>
      </w:r>
      <w:r w:rsidR="0028744E">
        <w:rPr>
          <w:szCs w:val="26"/>
        </w:rPr>
        <w:t xml:space="preserve">that the Recommended Decision be a directive that ratepayer-funded gas-on-gas discounts be abolished within a definitive time frame and that a task force of all stakeholders be formed to make recommendations </w:t>
      </w:r>
      <w:r w:rsidR="006C73AE">
        <w:rPr>
          <w:szCs w:val="26"/>
        </w:rPr>
        <w:t xml:space="preserve">or alternative solutions to accomplish this directive.  OCA M.B. at 26-27 (citing OCA St.1 at 20-21, OCA St. 1-S at 3). </w:t>
      </w:r>
    </w:p>
    <w:p w:rsidR="006C73AE" w:rsidRDefault="006C73AE" w:rsidP="00B43911">
      <w:pPr>
        <w:widowControl/>
        <w:rPr>
          <w:szCs w:val="26"/>
        </w:rPr>
      </w:pPr>
    </w:p>
    <w:p w:rsidR="006C73AE" w:rsidRDefault="006C73AE" w:rsidP="00B43911">
      <w:pPr>
        <w:widowControl/>
        <w:rPr>
          <w:szCs w:val="26"/>
        </w:rPr>
      </w:pPr>
      <w:r>
        <w:rPr>
          <w:szCs w:val="26"/>
        </w:rPr>
        <w:t>While the OCA recommended that a task force be formed to develop recommendations, the OCA offered three alternatives:</w:t>
      </w:r>
    </w:p>
    <w:p w:rsidR="006C73AE" w:rsidRDefault="006C73AE" w:rsidP="00B43911">
      <w:pPr>
        <w:widowControl/>
        <w:spacing w:line="240" w:lineRule="auto"/>
        <w:rPr>
          <w:szCs w:val="26"/>
        </w:rPr>
      </w:pPr>
    </w:p>
    <w:p w:rsidR="006C73AE" w:rsidRPr="00B11817" w:rsidRDefault="00B11817" w:rsidP="00B43911">
      <w:pPr>
        <w:widowControl/>
        <w:spacing w:after="120"/>
        <w:ind w:left="1440" w:firstLine="0"/>
        <w:rPr>
          <w:szCs w:val="26"/>
        </w:rPr>
      </w:pPr>
      <w:r w:rsidRPr="00B11817">
        <w:rPr>
          <w:szCs w:val="26"/>
        </w:rPr>
        <w:t>(1)</w:t>
      </w:r>
      <w:r>
        <w:rPr>
          <w:szCs w:val="26"/>
        </w:rPr>
        <w:tab/>
      </w:r>
      <w:r w:rsidR="006C73AE" w:rsidRPr="00B11817">
        <w:rPr>
          <w:szCs w:val="26"/>
        </w:rPr>
        <w:t>Create specific and exclusive service areas in West</w:t>
      </w:r>
      <w:r w:rsidR="008A2129">
        <w:rPr>
          <w:szCs w:val="26"/>
        </w:rPr>
        <w:t>ern Pennsylvania for each NGDC;</w:t>
      </w:r>
    </w:p>
    <w:p w:rsidR="006C73AE" w:rsidRPr="00B11817" w:rsidRDefault="00B11817" w:rsidP="00B43911">
      <w:pPr>
        <w:widowControl/>
        <w:spacing w:after="120"/>
        <w:ind w:left="1440" w:firstLine="0"/>
        <w:rPr>
          <w:szCs w:val="26"/>
        </w:rPr>
      </w:pPr>
      <w:r>
        <w:rPr>
          <w:szCs w:val="26"/>
        </w:rPr>
        <w:t>(2)</w:t>
      </w:r>
      <w:r>
        <w:rPr>
          <w:szCs w:val="26"/>
        </w:rPr>
        <w:tab/>
      </w:r>
      <w:r w:rsidR="006C73AE" w:rsidRPr="00B11817">
        <w:rPr>
          <w:szCs w:val="26"/>
        </w:rPr>
        <w:t>Allow for the duplication of facilities within multiple NGDCs</w:t>
      </w:r>
      <w:r>
        <w:rPr>
          <w:szCs w:val="26"/>
        </w:rPr>
        <w:t>,</w:t>
      </w:r>
      <w:r w:rsidR="006C73AE" w:rsidRPr="00B11817">
        <w:rPr>
          <w:szCs w:val="26"/>
        </w:rPr>
        <w:t xml:space="preserve"> but prevent customers from switching NGDCs</w:t>
      </w:r>
      <w:r>
        <w:rPr>
          <w:szCs w:val="26"/>
        </w:rPr>
        <w:t>;</w:t>
      </w:r>
    </w:p>
    <w:p w:rsidR="006C73AE" w:rsidRDefault="00B11817" w:rsidP="008A2129">
      <w:pPr>
        <w:keepNext/>
        <w:keepLines/>
        <w:widowControl/>
        <w:ind w:left="1440" w:firstLine="0"/>
        <w:rPr>
          <w:szCs w:val="26"/>
        </w:rPr>
      </w:pPr>
      <w:r>
        <w:rPr>
          <w:szCs w:val="26"/>
        </w:rPr>
        <w:lastRenderedPageBreak/>
        <w:t>(3)</w:t>
      </w:r>
      <w:r>
        <w:rPr>
          <w:szCs w:val="26"/>
        </w:rPr>
        <w:tab/>
      </w:r>
      <w:r w:rsidR="006C73AE" w:rsidRPr="00B11817">
        <w:rPr>
          <w:szCs w:val="26"/>
        </w:rPr>
        <w:t xml:space="preserve">Allow for true competition and the duplication of facilities, but ensure </w:t>
      </w:r>
      <w:r w:rsidRPr="00B11817">
        <w:rPr>
          <w:szCs w:val="26"/>
        </w:rPr>
        <w:t xml:space="preserve">by allocation, or other means, that captive ratepayers do not fund or subsidize competitive NGDC business. </w:t>
      </w:r>
    </w:p>
    <w:p w:rsidR="005F5954" w:rsidRDefault="005F5954" w:rsidP="008A2129">
      <w:pPr>
        <w:keepNext/>
        <w:keepLines/>
        <w:widowControl/>
        <w:spacing w:line="240" w:lineRule="auto"/>
        <w:ind w:left="1440" w:firstLine="0"/>
        <w:rPr>
          <w:szCs w:val="26"/>
        </w:rPr>
      </w:pPr>
    </w:p>
    <w:p w:rsidR="00B11817" w:rsidRDefault="005F5954" w:rsidP="00B43911">
      <w:pPr>
        <w:widowControl/>
        <w:ind w:firstLine="0"/>
        <w:rPr>
          <w:szCs w:val="26"/>
        </w:rPr>
      </w:pPr>
      <w:r>
        <w:rPr>
          <w:szCs w:val="26"/>
        </w:rPr>
        <w:t xml:space="preserve">OCA M.B. at 27 (citing OCA St. 1 at 21). </w:t>
      </w:r>
    </w:p>
    <w:p w:rsidR="00B11817" w:rsidRDefault="00B11817" w:rsidP="00B43911">
      <w:pPr>
        <w:widowControl/>
        <w:ind w:firstLine="0"/>
      </w:pPr>
    </w:p>
    <w:p w:rsidR="00B11817" w:rsidRPr="00B11817" w:rsidRDefault="00B11817" w:rsidP="00B43911">
      <w:pPr>
        <w:widowControl/>
      </w:pPr>
      <w:r>
        <w:t>The OCA submit</w:t>
      </w:r>
      <w:r w:rsidR="004271AB">
        <w:t>ted</w:t>
      </w:r>
      <w:r>
        <w:t xml:space="preserve"> that </w:t>
      </w:r>
      <w:r w:rsidR="00530CD0">
        <w:t>its</w:t>
      </w:r>
      <w:r>
        <w:t xml:space="preserve"> first alternative would be the most effective because it would eliminate the continuation of duplicative facilities. </w:t>
      </w:r>
      <w:r w:rsidR="005F5954">
        <w:t xml:space="preserve"> However, the OCA projects that this option would likely be the most complex and challenging from both a legal and technical p</w:t>
      </w:r>
      <w:r w:rsidR="00BB705F">
        <w:t>e</w:t>
      </w:r>
      <w:r w:rsidR="005F5954">
        <w:t>rspective because it would require the transfer of assets between NGDCs or the abandonment of facilities.  OCA M.B. at 27 (citing OC</w:t>
      </w:r>
      <w:r w:rsidR="002E61B4">
        <w:t>A</w:t>
      </w:r>
      <w:r w:rsidR="005F5954">
        <w:t xml:space="preserve"> St. 1 at 21).</w:t>
      </w:r>
    </w:p>
    <w:p w:rsidR="001433A9" w:rsidRDefault="001433A9" w:rsidP="00B43911">
      <w:pPr>
        <w:widowControl/>
        <w:ind w:left="1440" w:firstLine="0"/>
        <w:rPr>
          <w:szCs w:val="26"/>
        </w:rPr>
      </w:pPr>
    </w:p>
    <w:p w:rsidR="00222C20" w:rsidRDefault="00222C20" w:rsidP="00B43911">
      <w:pPr>
        <w:widowControl/>
      </w:pPr>
      <w:r>
        <w:t>IECPA opposed the OCA</w:t>
      </w:r>
      <w:r w:rsidR="001D074D">
        <w:t>’</w:t>
      </w:r>
      <w:r>
        <w:t>s first alternative because NG</w:t>
      </w:r>
      <w:r w:rsidR="00EE06D3">
        <w:t>D</w:t>
      </w:r>
      <w:r>
        <w:t xml:space="preserve">Cs have millions of dollars </w:t>
      </w:r>
      <w:r w:rsidR="007E0112">
        <w:t xml:space="preserve">of utility plant </w:t>
      </w:r>
      <w:r>
        <w:t xml:space="preserve">invested in their </w:t>
      </w:r>
      <w:r w:rsidR="007E0112">
        <w:t xml:space="preserve">service territories that already overlap.  The IECPA </w:t>
      </w:r>
      <w:r>
        <w:t xml:space="preserve">argued that </w:t>
      </w:r>
      <w:r w:rsidR="007E0112">
        <w:t xml:space="preserve">if </w:t>
      </w:r>
      <w:r>
        <w:t xml:space="preserve">the NGDCs </w:t>
      </w:r>
      <w:r w:rsidR="007E0112">
        <w:t>were ordered to abandon their utility plant, the NGDCs would arguably be justified in receiving significant stranded costs from their customers to compensate for this loss.  IECPA M.B. at 23 (citing IECPA St. 1R at 9-10).  IECPA also averred that NGDC participation in dividing up service territories may have antitrust implications.  IECPA M.B. at 23 (citing Columbia St. 1-R at 6)</w:t>
      </w:r>
      <w:r w:rsidR="00A81B05">
        <w:t>.</w:t>
      </w:r>
      <w:r w:rsidR="007E0112">
        <w:t xml:space="preserve"> </w:t>
      </w:r>
    </w:p>
    <w:p w:rsidR="007E0112" w:rsidRDefault="007E0112" w:rsidP="00B43911">
      <w:pPr>
        <w:widowControl/>
        <w:rPr>
          <w:szCs w:val="26"/>
        </w:rPr>
      </w:pPr>
    </w:p>
    <w:p w:rsidR="00F54ED3" w:rsidRDefault="00F54ED3" w:rsidP="00B43911">
      <w:pPr>
        <w:widowControl/>
        <w:rPr>
          <w:szCs w:val="26"/>
        </w:rPr>
      </w:pPr>
      <w:r>
        <w:rPr>
          <w:szCs w:val="26"/>
        </w:rPr>
        <w:t xml:space="preserve">In addition to the issue of stranded costs, </w:t>
      </w:r>
      <w:r w:rsidR="006D16AD">
        <w:rPr>
          <w:szCs w:val="26"/>
        </w:rPr>
        <w:t>Peoples/PTWP</w:t>
      </w:r>
      <w:r>
        <w:rPr>
          <w:szCs w:val="26"/>
        </w:rPr>
        <w:t xml:space="preserve"> submitted that the OCA</w:t>
      </w:r>
      <w:r w:rsidR="001D074D">
        <w:rPr>
          <w:szCs w:val="26"/>
        </w:rPr>
        <w:t>’</w:t>
      </w:r>
      <w:r>
        <w:rPr>
          <w:szCs w:val="26"/>
        </w:rPr>
        <w:t xml:space="preserve">s first proposal would deprive customers </w:t>
      </w:r>
      <w:r w:rsidR="00BB705F">
        <w:rPr>
          <w:szCs w:val="26"/>
        </w:rPr>
        <w:t xml:space="preserve">of </w:t>
      </w:r>
      <w:r>
        <w:rPr>
          <w:szCs w:val="26"/>
        </w:rPr>
        <w:t xml:space="preserve">the benefit of competition, negate existing gas-on-gas discount agreements, result in contentious litigation between competing NGDCs regarding the allocation of their service territories and create a constitutional regulatory taking problem.  </w:t>
      </w:r>
      <w:r w:rsidR="006D16AD">
        <w:rPr>
          <w:szCs w:val="26"/>
        </w:rPr>
        <w:t>Peoples/PTWP</w:t>
      </w:r>
      <w:r w:rsidR="00BD08E7">
        <w:rPr>
          <w:szCs w:val="26"/>
        </w:rPr>
        <w:t xml:space="preserve"> expressed similar concerns with the OCA</w:t>
      </w:r>
      <w:r w:rsidR="001D074D">
        <w:rPr>
          <w:szCs w:val="26"/>
        </w:rPr>
        <w:t>’</w:t>
      </w:r>
      <w:r w:rsidR="00BD08E7">
        <w:rPr>
          <w:szCs w:val="26"/>
        </w:rPr>
        <w:t>s second alternative</w:t>
      </w:r>
      <w:r w:rsidR="00C241B5">
        <w:rPr>
          <w:szCs w:val="26"/>
        </w:rPr>
        <w:t>.</w:t>
      </w:r>
      <w:r w:rsidR="00BD08E7">
        <w:rPr>
          <w:szCs w:val="26"/>
        </w:rPr>
        <w:t xml:space="preserve"> </w:t>
      </w:r>
      <w:r w:rsidR="006D16AD">
        <w:rPr>
          <w:szCs w:val="26"/>
        </w:rPr>
        <w:t>Peoples/PTWP</w:t>
      </w:r>
      <w:r>
        <w:rPr>
          <w:szCs w:val="26"/>
        </w:rPr>
        <w:t xml:space="preserve"> M.B. at 26-27 (citing, </w:t>
      </w:r>
      <w:r w:rsidRPr="00F54ED3">
        <w:rPr>
          <w:i/>
          <w:szCs w:val="26"/>
        </w:rPr>
        <w:t>inter alia</w:t>
      </w:r>
      <w:r>
        <w:rPr>
          <w:szCs w:val="26"/>
        </w:rPr>
        <w:t xml:space="preserve">, </w:t>
      </w:r>
      <w:r w:rsidR="006D16AD">
        <w:rPr>
          <w:szCs w:val="26"/>
        </w:rPr>
        <w:t>Peoples/PTWP</w:t>
      </w:r>
      <w:r>
        <w:rPr>
          <w:szCs w:val="26"/>
        </w:rPr>
        <w:t xml:space="preserve"> St. 1</w:t>
      </w:r>
      <w:r w:rsidR="00C66997">
        <w:rPr>
          <w:szCs w:val="26"/>
        </w:rPr>
        <w:noBreakHyphen/>
      </w:r>
      <w:r>
        <w:rPr>
          <w:szCs w:val="26"/>
        </w:rPr>
        <w:t>R at 9</w:t>
      </w:r>
      <w:r w:rsidR="00BD08E7">
        <w:rPr>
          <w:szCs w:val="26"/>
        </w:rPr>
        <w:t>)</w:t>
      </w:r>
      <w:r>
        <w:rPr>
          <w:szCs w:val="26"/>
        </w:rPr>
        <w:t xml:space="preserve">. </w:t>
      </w:r>
    </w:p>
    <w:p w:rsidR="00F54ED3" w:rsidRDefault="00F54ED3" w:rsidP="00B43911">
      <w:pPr>
        <w:widowControl/>
        <w:rPr>
          <w:szCs w:val="26"/>
        </w:rPr>
      </w:pPr>
    </w:p>
    <w:p w:rsidR="00530CD0" w:rsidRDefault="00530CD0" w:rsidP="00B43911">
      <w:pPr>
        <w:widowControl/>
      </w:pPr>
      <w:r>
        <w:lastRenderedPageBreak/>
        <w:t>Under the OCA</w:t>
      </w:r>
      <w:r w:rsidR="001D074D">
        <w:t>’</w:t>
      </w:r>
      <w:r>
        <w:t>s second alternative, existing and new customers would have one opportunity to choose a willing NGDC to become their permanent supplier.</w:t>
      </w:r>
      <w:r w:rsidR="004271AB">
        <w:t xml:space="preserve">  The OCA stated</w:t>
      </w:r>
      <w:r>
        <w:t xml:space="preserve"> that, although this approach continues the inefficient duplication of facilities, if the Commission chooses not to create a task force to explore alternatives</w:t>
      </w:r>
      <w:r w:rsidR="002E61B4">
        <w:t>,</w:t>
      </w:r>
      <w:r>
        <w:t xml:space="preserve"> this approach is likely the most equitable solution to most stakeholders. </w:t>
      </w:r>
      <w:r w:rsidR="00796CB8">
        <w:t xml:space="preserve"> </w:t>
      </w:r>
      <w:r w:rsidR="004271AB">
        <w:t>OCA M.B.</w:t>
      </w:r>
      <w:r w:rsidR="00C66997">
        <w:t> </w:t>
      </w:r>
      <w:r w:rsidR="00640049">
        <w:t>at</w:t>
      </w:r>
      <w:r w:rsidR="00C66997">
        <w:t> </w:t>
      </w:r>
      <w:r w:rsidR="00640049">
        <w:t>27 (citing OCA</w:t>
      </w:r>
      <w:r w:rsidR="004271AB">
        <w:t xml:space="preserve"> St. 1-S at 4).</w:t>
      </w:r>
    </w:p>
    <w:p w:rsidR="00530CD0" w:rsidRDefault="00530CD0" w:rsidP="00B43911">
      <w:pPr>
        <w:widowControl/>
      </w:pPr>
    </w:p>
    <w:p w:rsidR="004A2B6C" w:rsidRDefault="004271AB" w:rsidP="00B43911">
      <w:pPr>
        <w:widowControl/>
      </w:pPr>
      <w:r>
        <w:t xml:space="preserve">The OCA explained that its third option would most likely be achieved through an allocation process in which rate base, expenses and revenue are directly assigned to captive and competitive customer segments.  The OCA noted that this type of allocation procedure is commonly used in the utility industry when jurisdictional and non-jurisdictional separations are determined.  The OCA submitted that rates for captive customers would be established using traditional ratemaking procedures.  The OCA suggested that </w:t>
      </w:r>
      <w:r w:rsidR="0003618C">
        <w:t>rates for captive customers be capped to ensure that all customers in competitive geographic areas reap the benefits of competition and are not unduly discriminated against.  The OCA opined that this method would be the most subjective to enforce. OCA M.B. at 28-29 (citing OCA St. 1 at 22).</w:t>
      </w:r>
    </w:p>
    <w:p w:rsidR="001433A9" w:rsidRDefault="001433A9" w:rsidP="00B43911">
      <w:pPr>
        <w:widowControl/>
        <w:rPr>
          <w:szCs w:val="26"/>
        </w:rPr>
      </w:pPr>
    </w:p>
    <w:p w:rsidR="00BD08E7" w:rsidRDefault="006D16AD" w:rsidP="00B43911">
      <w:pPr>
        <w:widowControl/>
        <w:rPr>
          <w:szCs w:val="26"/>
        </w:rPr>
      </w:pPr>
      <w:r>
        <w:rPr>
          <w:szCs w:val="26"/>
        </w:rPr>
        <w:t>Peoples/PTWP</w:t>
      </w:r>
      <w:r w:rsidR="00BD08E7">
        <w:rPr>
          <w:szCs w:val="26"/>
        </w:rPr>
        <w:t xml:space="preserve"> argued that the OCA</w:t>
      </w:r>
      <w:r w:rsidR="001D074D">
        <w:rPr>
          <w:szCs w:val="26"/>
        </w:rPr>
        <w:t>’</w:t>
      </w:r>
      <w:r w:rsidR="00BD08E7">
        <w:rPr>
          <w:szCs w:val="26"/>
        </w:rPr>
        <w:t xml:space="preserve">s third option is flawed because it is too complicated from a ratemaking perspective and potentially deprives the NGDC of full recovery of its revenue requirement.  </w:t>
      </w:r>
      <w:r>
        <w:rPr>
          <w:szCs w:val="26"/>
        </w:rPr>
        <w:t>Peoples/PTWP</w:t>
      </w:r>
      <w:r w:rsidR="00BD08E7">
        <w:rPr>
          <w:szCs w:val="26"/>
        </w:rPr>
        <w:t xml:space="preserve"> M.B. at 27 (citing, </w:t>
      </w:r>
      <w:r w:rsidR="00BD08E7" w:rsidRPr="00C241B5">
        <w:rPr>
          <w:i/>
          <w:szCs w:val="26"/>
        </w:rPr>
        <w:t>inter alia</w:t>
      </w:r>
      <w:r w:rsidR="00BD08E7">
        <w:rPr>
          <w:szCs w:val="26"/>
        </w:rPr>
        <w:t xml:space="preserve">, </w:t>
      </w:r>
      <w:r>
        <w:rPr>
          <w:szCs w:val="26"/>
        </w:rPr>
        <w:t>Peoples/PTWP</w:t>
      </w:r>
      <w:r w:rsidR="00BD08E7">
        <w:rPr>
          <w:szCs w:val="26"/>
        </w:rPr>
        <w:t xml:space="preserve"> St. 1R at 9).</w:t>
      </w:r>
    </w:p>
    <w:p w:rsidR="009A60A4" w:rsidRDefault="009A60A4" w:rsidP="00B43911">
      <w:pPr>
        <w:widowControl/>
        <w:rPr>
          <w:szCs w:val="26"/>
        </w:rPr>
      </w:pPr>
    </w:p>
    <w:p w:rsidR="00B813FB" w:rsidRDefault="00796CB8" w:rsidP="00B43911">
      <w:pPr>
        <w:widowControl/>
        <w:rPr>
          <w:szCs w:val="26"/>
        </w:rPr>
      </w:pPr>
      <w:r>
        <w:rPr>
          <w:szCs w:val="26"/>
        </w:rPr>
        <w:t xml:space="preserve">The OSBA recommended that gas-on-gas discounting be reasonably phased out over as short a time period as practical and that </w:t>
      </w:r>
      <w:r w:rsidR="00A927DE">
        <w:rPr>
          <w:szCs w:val="26"/>
        </w:rPr>
        <w:t>N</w:t>
      </w:r>
      <w:r w:rsidR="00D70A94">
        <w:rPr>
          <w:szCs w:val="26"/>
        </w:rPr>
        <w:t xml:space="preserve">GDCs be required to compete on </w:t>
      </w:r>
      <w:r w:rsidR="00A927DE">
        <w:rPr>
          <w:szCs w:val="26"/>
        </w:rPr>
        <w:t>regular tariff rates going forward.  Similarly, the OSBA averred that upon the entry of an order in this investigation, NGDCs should not</w:t>
      </w:r>
      <w:r w:rsidR="002E61B4">
        <w:rPr>
          <w:szCs w:val="26"/>
        </w:rPr>
        <w:t xml:space="preserve"> be permitted to renew or extend</w:t>
      </w:r>
      <w:r w:rsidR="00A927DE">
        <w:rPr>
          <w:szCs w:val="26"/>
        </w:rPr>
        <w:t xml:space="preserve"> any agreement for gas-on-gas discounted rates.</w:t>
      </w:r>
      <w:r w:rsidR="00640049">
        <w:rPr>
          <w:szCs w:val="26"/>
        </w:rPr>
        <w:t xml:space="preserve">  </w:t>
      </w:r>
      <w:r w:rsidR="00A927DE">
        <w:rPr>
          <w:szCs w:val="26"/>
        </w:rPr>
        <w:t xml:space="preserve">The OSBA also recommended that NGDCs </w:t>
      </w:r>
      <w:r w:rsidR="00D70A94">
        <w:rPr>
          <w:szCs w:val="26"/>
        </w:rPr>
        <w:t xml:space="preserve">should </w:t>
      </w:r>
      <w:r w:rsidR="00AE1B9D">
        <w:rPr>
          <w:szCs w:val="26"/>
        </w:rPr>
        <w:t xml:space="preserve">not be permitted to recover any revenue shortfall associated with gas-on-gas rates </w:t>
      </w:r>
      <w:r w:rsidR="00AE1B9D">
        <w:rPr>
          <w:szCs w:val="26"/>
        </w:rPr>
        <w:lastRenderedPageBreak/>
        <w:t>after December 31, 2016, even if the customer has an agreement that extends beyond December 31, 2016.  The OSBA opined that if a customer</w:t>
      </w:r>
      <w:r w:rsidR="001D074D">
        <w:rPr>
          <w:szCs w:val="26"/>
        </w:rPr>
        <w:t>’</w:t>
      </w:r>
      <w:r w:rsidR="00AE1B9D">
        <w:rPr>
          <w:szCs w:val="26"/>
        </w:rPr>
        <w:t>s agreement expires before December 31, 201</w:t>
      </w:r>
      <w:r w:rsidR="00E62CCB">
        <w:rPr>
          <w:szCs w:val="26"/>
        </w:rPr>
        <w:t>6</w:t>
      </w:r>
      <w:r w:rsidR="00AE1B9D">
        <w:rPr>
          <w:szCs w:val="26"/>
        </w:rPr>
        <w:t xml:space="preserve">, the customer should be transitioned to regular tariff rates. </w:t>
      </w:r>
      <w:r w:rsidR="00B813FB">
        <w:rPr>
          <w:szCs w:val="26"/>
        </w:rPr>
        <w:t xml:space="preserve"> </w:t>
      </w:r>
      <w:proofErr w:type="gramStart"/>
      <w:r w:rsidR="00B813FB">
        <w:rPr>
          <w:szCs w:val="26"/>
        </w:rPr>
        <w:t>OSBA M.B. at 18.</w:t>
      </w:r>
      <w:proofErr w:type="gramEnd"/>
      <w:r w:rsidR="00B813FB">
        <w:rPr>
          <w:szCs w:val="26"/>
        </w:rPr>
        <w:t xml:space="preserve">  The OSBA noted that the contract termination dates for the </w:t>
      </w:r>
      <w:r w:rsidR="001D074D">
        <w:rPr>
          <w:szCs w:val="26"/>
        </w:rPr>
        <w:t>“</w:t>
      </w:r>
      <w:r w:rsidR="00B813FB">
        <w:rPr>
          <w:szCs w:val="26"/>
        </w:rPr>
        <w:t>vast majority</w:t>
      </w:r>
      <w:r w:rsidR="001D074D">
        <w:rPr>
          <w:szCs w:val="26"/>
        </w:rPr>
        <w:t>”</w:t>
      </w:r>
      <w:r w:rsidR="00B813FB">
        <w:rPr>
          <w:szCs w:val="26"/>
        </w:rPr>
        <w:t xml:space="preserve"> of contracts reviewed by the OSBA have end dates prior to December 31, 2016.  OSBA M.B. at</w:t>
      </w:r>
      <w:r w:rsidR="00C66997">
        <w:rPr>
          <w:szCs w:val="26"/>
        </w:rPr>
        <w:t> </w:t>
      </w:r>
      <w:r w:rsidR="00B813FB">
        <w:rPr>
          <w:szCs w:val="26"/>
        </w:rPr>
        <w:t>17-18 (citing OSBA St.</w:t>
      </w:r>
      <w:r w:rsidR="00C66997">
        <w:rPr>
          <w:szCs w:val="26"/>
        </w:rPr>
        <w:t> </w:t>
      </w:r>
      <w:r w:rsidR="00B813FB">
        <w:rPr>
          <w:szCs w:val="26"/>
        </w:rPr>
        <w:t>1</w:t>
      </w:r>
      <w:r w:rsidR="00C66997">
        <w:rPr>
          <w:szCs w:val="26"/>
        </w:rPr>
        <w:t> </w:t>
      </w:r>
      <w:r w:rsidR="00B813FB">
        <w:rPr>
          <w:szCs w:val="26"/>
        </w:rPr>
        <w:t>at 6-7).  The OSBA also noted that its proposed December 31, 201</w:t>
      </w:r>
      <w:r w:rsidR="00640049">
        <w:rPr>
          <w:szCs w:val="26"/>
        </w:rPr>
        <w:t>6</w:t>
      </w:r>
      <w:r w:rsidR="00B813FB">
        <w:rPr>
          <w:szCs w:val="26"/>
        </w:rPr>
        <w:t xml:space="preserve"> end date is a full four years after this proceeding was initiated and will likely be over two years after a Commission decision is anticipated.  OSBA M.B. </w:t>
      </w:r>
      <w:r w:rsidR="00C66997">
        <w:rPr>
          <w:szCs w:val="26"/>
        </w:rPr>
        <w:t>at</w:t>
      </w:r>
      <w:r w:rsidR="007C6CBD">
        <w:rPr>
          <w:szCs w:val="26"/>
        </w:rPr>
        <w:t> </w:t>
      </w:r>
      <w:r w:rsidR="00C66997">
        <w:rPr>
          <w:szCs w:val="26"/>
        </w:rPr>
        <w:t>20 (citing OSBA St. 1 at 8).</w:t>
      </w:r>
    </w:p>
    <w:p w:rsidR="00B813FB" w:rsidRDefault="00B813FB" w:rsidP="00B43911">
      <w:pPr>
        <w:widowControl/>
        <w:rPr>
          <w:szCs w:val="26"/>
        </w:rPr>
      </w:pPr>
    </w:p>
    <w:p w:rsidR="0043328F" w:rsidRDefault="00B813FB" w:rsidP="00B43911">
      <w:pPr>
        <w:widowControl/>
        <w:rPr>
          <w:szCs w:val="26"/>
        </w:rPr>
      </w:pPr>
      <w:r>
        <w:rPr>
          <w:szCs w:val="26"/>
        </w:rPr>
        <w:t xml:space="preserve">In support of its recommendation, the OSBA argued that NGDCs and flex rate customers should not be rewarded for </w:t>
      </w:r>
      <w:r w:rsidR="001D074D">
        <w:rPr>
          <w:szCs w:val="26"/>
        </w:rPr>
        <w:t>“</w:t>
      </w:r>
      <w:r>
        <w:rPr>
          <w:szCs w:val="26"/>
        </w:rPr>
        <w:t>gaming the system</w:t>
      </w:r>
      <w:r w:rsidR="001D074D">
        <w:rPr>
          <w:szCs w:val="26"/>
        </w:rPr>
        <w:t>”</w:t>
      </w:r>
      <w:r>
        <w:rPr>
          <w:szCs w:val="26"/>
        </w:rPr>
        <w:t xml:space="preserve"> by entering into long-term contracts when they were aware that the statutory advocates oppose gas-on-gas discounting and that the Commission was revisiting the policy.  OSBA M.B. at 18-19 (citing OSBA St. 1 at 8 and St. 3 at 4). </w:t>
      </w:r>
      <w:r w:rsidR="00DB735F">
        <w:rPr>
          <w:szCs w:val="26"/>
        </w:rPr>
        <w:t xml:space="preserve"> </w:t>
      </w:r>
      <w:r w:rsidR="00214181">
        <w:rPr>
          <w:szCs w:val="26"/>
        </w:rPr>
        <w:t xml:space="preserve">The OSBA </w:t>
      </w:r>
      <w:r>
        <w:rPr>
          <w:szCs w:val="26"/>
        </w:rPr>
        <w:t>also argued</w:t>
      </w:r>
      <w:r w:rsidR="00214181">
        <w:rPr>
          <w:szCs w:val="26"/>
        </w:rPr>
        <w:t xml:space="preserve"> that </w:t>
      </w:r>
      <w:r w:rsidR="00640049">
        <w:rPr>
          <w:szCs w:val="26"/>
        </w:rPr>
        <w:t xml:space="preserve">flex rate </w:t>
      </w:r>
      <w:r w:rsidR="00214181">
        <w:rPr>
          <w:szCs w:val="26"/>
        </w:rPr>
        <w:t xml:space="preserve">customers should not be </w:t>
      </w:r>
      <w:r>
        <w:rPr>
          <w:szCs w:val="26"/>
        </w:rPr>
        <w:t xml:space="preserve">rewarded for entering into unusually long contracts and captive customers should not be </w:t>
      </w:r>
      <w:r w:rsidR="00214181">
        <w:rPr>
          <w:szCs w:val="26"/>
        </w:rPr>
        <w:t xml:space="preserve">punished </w:t>
      </w:r>
      <w:r>
        <w:rPr>
          <w:szCs w:val="26"/>
        </w:rPr>
        <w:t xml:space="preserve">for them </w:t>
      </w:r>
      <w:r w:rsidR="00214181">
        <w:rPr>
          <w:szCs w:val="26"/>
        </w:rPr>
        <w:t>because NGDCs and flex ra</w:t>
      </w:r>
      <w:r w:rsidR="00BB705F">
        <w:rPr>
          <w:szCs w:val="26"/>
        </w:rPr>
        <w:t>t</w:t>
      </w:r>
      <w:r w:rsidR="00214181">
        <w:rPr>
          <w:szCs w:val="26"/>
        </w:rPr>
        <w:t xml:space="preserve">e customers have entered into mutually beneficial arrangements at the expense of regular rate customers that were not represented at the negotiations. </w:t>
      </w:r>
      <w:r>
        <w:rPr>
          <w:szCs w:val="26"/>
        </w:rPr>
        <w:t xml:space="preserve"> </w:t>
      </w:r>
      <w:r w:rsidR="0043328F">
        <w:rPr>
          <w:szCs w:val="26"/>
        </w:rPr>
        <w:t>OSBA M.B. at</w:t>
      </w:r>
      <w:r w:rsidR="00A342AF">
        <w:rPr>
          <w:szCs w:val="26"/>
        </w:rPr>
        <w:t xml:space="preserve"> </w:t>
      </w:r>
      <w:r w:rsidR="0043328F">
        <w:rPr>
          <w:szCs w:val="26"/>
        </w:rPr>
        <w:t>19 (citing OSBA St</w:t>
      </w:r>
      <w:r w:rsidR="00A342AF">
        <w:rPr>
          <w:szCs w:val="26"/>
        </w:rPr>
        <w:t>.</w:t>
      </w:r>
      <w:r>
        <w:rPr>
          <w:szCs w:val="26"/>
        </w:rPr>
        <w:t xml:space="preserve"> </w:t>
      </w:r>
      <w:r w:rsidR="0043328F">
        <w:rPr>
          <w:szCs w:val="26"/>
        </w:rPr>
        <w:t>3 at 6).</w:t>
      </w:r>
    </w:p>
    <w:p w:rsidR="0043328F" w:rsidRDefault="0043328F" w:rsidP="00B43911">
      <w:pPr>
        <w:widowControl/>
        <w:rPr>
          <w:szCs w:val="26"/>
        </w:rPr>
      </w:pPr>
    </w:p>
    <w:p w:rsidR="00A927DE" w:rsidRDefault="0043328F" w:rsidP="00B43911">
      <w:pPr>
        <w:widowControl/>
        <w:rPr>
          <w:szCs w:val="26"/>
        </w:rPr>
      </w:pPr>
      <w:r>
        <w:rPr>
          <w:szCs w:val="26"/>
        </w:rPr>
        <w:t>The OSBA submitted that implementing a sunset date does not conflict with any previous settlement or Commission decision in prior rate cases.  The OSBA explained that the Commission</w:t>
      </w:r>
      <w:r w:rsidR="001D074D">
        <w:rPr>
          <w:szCs w:val="26"/>
        </w:rPr>
        <w:t>’</w:t>
      </w:r>
      <w:r>
        <w:rPr>
          <w:szCs w:val="26"/>
        </w:rPr>
        <w:t xml:space="preserve">s previous acceptance of gas-on-gas discounts, when determining revenue requirement, </w:t>
      </w:r>
      <w:r w:rsidR="007C6CBD">
        <w:rPr>
          <w:szCs w:val="26"/>
        </w:rPr>
        <w:t xml:space="preserve">generally </w:t>
      </w:r>
      <w:r>
        <w:rPr>
          <w:szCs w:val="26"/>
        </w:rPr>
        <w:t xml:space="preserve">has been based on test year considerations and not a detailed evaluation of the discounting over the entire duration of the contract.  The OSBA concluded that longer term gas-on-gas contracts </w:t>
      </w:r>
      <w:r w:rsidR="007C6CBD">
        <w:rPr>
          <w:szCs w:val="26"/>
        </w:rPr>
        <w:t xml:space="preserve">generally </w:t>
      </w:r>
      <w:r>
        <w:rPr>
          <w:szCs w:val="26"/>
        </w:rPr>
        <w:t xml:space="preserve">have not been evaluated and approved </w:t>
      </w:r>
      <w:r w:rsidR="00A33664">
        <w:rPr>
          <w:szCs w:val="26"/>
        </w:rPr>
        <w:t>for anything more than the test year used in an NGDC</w:t>
      </w:r>
      <w:r w:rsidR="001D074D">
        <w:rPr>
          <w:szCs w:val="26"/>
        </w:rPr>
        <w:t>’</w:t>
      </w:r>
      <w:r w:rsidR="00A33664">
        <w:rPr>
          <w:szCs w:val="26"/>
        </w:rPr>
        <w:t xml:space="preserve">s last base rate case.  OSBA M.B. at 19-20 (citing OSBA St. 3 at 5). </w:t>
      </w:r>
    </w:p>
    <w:p w:rsidR="00A33664" w:rsidRDefault="00A33664" w:rsidP="00B43911">
      <w:pPr>
        <w:widowControl/>
        <w:rPr>
          <w:szCs w:val="26"/>
        </w:rPr>
      </w:pPr>
    </w:p>
    <w:p w:rsidR="00A33664" w:rsidRDefault="00251580" w:rsidP="00B43911">
      <w:pPr>
        <w:widowControl/>
        <w:rPr>
          <w:szCs w:val="26"/>
        </w:rPr>
      </w:pPr>
      <w:r>
        <w:rPr>
          <w:szCs w:val="26"/>
        </w:rPr>
        <w:lastRenderedPageBreak/>
        <w:t xml:space="preserve">The </w:t>
      </w:r>
      <w:r w:rsidR="00A33664">
        <w:rPr>
          <w:szCs w:val="26"/>
        </w:rPr>
        <w:t>OSBA recommended that</w:t>
      </w:r>
      <w:r>
        <w:rPr>
          <w:szCs w:val="26"/>
        </w:rPr>
        <w:t xml:space="preserve"> if the Commission determines that a fixed sunset date is inappropriate, </w:t>
      </w:r>
      <w:r w:rsidR="00A33664">
        <w:rPr>
          <w:szCs w:val="26"/>
        </w:rPr>
        <w:t>the issue of the prudence of gas-on-gas flex rate agreements be deferred until each NGDC</w:t>
      </w:r>
      <w:r w:rsidR="001D074D">
        <w:rPr>
          <w:szCs w:val="26"/>
        </w:rPr>
        <w:t>’</w:t>
      </w:r>
      <w:r w:rsidR="00A33664">
        <w:rPr>
          <w:szCs w:val="26"/>
        </w:rPr>
        <w:t xml:space="preserve">s next base rate case.  The OSBA averred that in order to achieve approval of a flex rate agreement and recover the revenue shortfall from captive customers, the NGDC would need to demonstrate that the discounted rate and contract duration was necessary to meet an offer from a different NGDC.  The OSBA also suggested that the NGDC be required to demonstrate that the revenue from the agreement was believed to be sufficient to </w:t>
      </w:r>
      <w:r w:rsidR="004C56DF">
        <w:rPr>
          <w:szCs w:val="26"/>
        </w:rPr>
        <w:t>cover the longer-term incremental costs of providing service to that customer.  OSBA M.B. at 20 (citing OSBA St. 3 at 6).</w:t>
      </w:r>
    </w:p>
    <w:p w:rsidR="002537C6" w:rsidRDefault="002537C6" w:rsidP="00B43911">
      <w:pPr>
        <w:widowControl/>
        <w:rPr>
          <w:szCs w:val="26"/>
        </w:rPr>
      </w:pPr>
    </w:p>
    <w:p w:rsidR="00554728" w:rsidRDefault="002537C6" w:rsidP="00B43911">
      <w:pPr>
        <w:widowControl/>
        <w:rPr>
          <w:szCs w:val="26"/>
        </w:rPr>
      </w:pPr>
      <w:r>
        <w:rPr>
          <w:szCs w:val="26"/>
        </w:rPr>
        <w:t xml:space="preserve">I&amp;E </w:t>
      </w:r>
      <w:r w:rsidR="00293B6B">
        <w:rPr>
          <w:szCs w:val="26"/>
        </w:rPr>
        <w:t>averred that although it is anticipated that the merger of three of the four competitive NGDCs will decrease the amount of gas-on-gas revenue that is shifted to captive customers, it remains important that the Commission abolish ratepayer</w:t>
      </w:r>
      <w:r w:rsidR="00C11F0D">
        <w:rPr>
          <w:szCs w:val="26"/>
        </w:rPr>
        <w:t>-</w:t>
      </w:r>
      <w:r w:rsidR="00293B6B">
        <w:rPr>
          <w:szCs w:val="26"/>
        </w:rPr>
        <w:t>funded gas-on-gas competition in this proceeding.  I&amp;E point</w:t>
      </w:r>
      <w:r w:rsidR="00C11F0D">
        <w:rPr>
          <w:szCs w:val="26"/>
        </w:rPr>
        <w:t>ed</w:t>
      </w:r>
      <w:r w:rsidR="00293B6B">
        <w:rPr>
          <w:szCs w:val="26"/>
        </w:rPr>
        <w:t xml:space="preserve"> out that Peoples and Peoples-Equitable Division committed to extend flex discounts five more years in the recent acquisition of Equitable.  </w:t>
      </w:r>
      <w:r w:rsidR="00C11F0D">
        <w:rPr>
          <w:szCs w:val="26"/>
        </w:rPr>
        <w:t xml:space="preserve">I&amp;E also noted that Columbia will still compete with Peoples/PTWP/Peoples-Equitable Division for 74 customers resulting in a $4.3 million shortfall.  </w:t>
      </w:r>
      <w:proofErr w:type="gramStart"/>
      <w:r w:rsidR="00C11F0D">
        <w:rPr>
          <w:szCs w:val="26"/>
        </w:rPr>
        <w:t xml:space="preserve">I&amp;E M.B. at </w:t>
      </w:r>
      <w:r w:rsidR="00C66997">
        <w:rPr>
          <w:szCs w:val="26"/>
        </w:rPr>
        <w:t>23-24 (citing OSBA St. 1 at 6).</w:t>
      </w:r>
      <w:proofErr w:type="gramEnd"/>
    </w:p>
    <w:p w:rsidR="00554728" w:rsidRDefault="00554728" w:rsidP="00B43911">
      <w:pPr>
        <w:widowControl/>
        <w:rPr>
          <w:szCs w:val="26"/>
        </w:rPr>
      </w:pPr>
      <w:r>
        <w:rPr>
          <w:szCs w:val="26"/>
        </w:rPr>
        <w:lastRenderedPageBreak/>
        <w:t xml:space="preserve">I&amp;E explained that in the </w:t>
      </w:r>
      <w:r w:rsidRPr="00C66997">
        <w:rPr>
          <w:i/>
          <w:szCs w:val="26"/>
        </w:rPr>
        <w:t xml:space="preserve">Peoples/Equitable </w:t>
      </w:r>
      <w:r w:rsidR="00C66997" w:rsidRPr="00C66997">
        <w:rPr>
          <w:i/>
          <w:szCs w:val="26"/>
        </w:rPr>
        <w:t>M</w:t>
      </w:r>
      <w:r w:rsidRPr="00C66997">
        <w:rPr>
          <w:i/>
          <w:szCs w:val="26"/>
        </w:rPr>
        <w:t xml:space="preserve">erger </w:t>
      </w:r>
      <w:r w:rsidR="00C66997" w:rsidRPr="00C66997">
        <w:rPr>
          <w:i/>
          <w:szCs w:val="26"/>
        </w:rPr>
        <w:t>Se</w:t>
      </w:r>
      <w:r w:rsidRPr="00C66997">
        <w:rPr>
          <w:i/>
          <w:szCs w:val="26"/>
        </w:rPr>
        <w:t>ttlement</w:t>
      </w:r>
      <w:r>
        <w:rPr>
          <w:szCs w:val="26"/>
        </w:rPr>
        <w:t>,</w:t>
      </w:r>
      <w:r>
        <w:rPr>
          <w:rStyle w:val="FootnoteReference"/>
          <w:rFonts w:eastAsiaTheme="minorHAnsi"/>
        </w:rPr>
        <w:footnoteReference w:id="9"/>
      </w:r>
      <w:r>
        <w:rPr>
          <w:szCs w:val="26"/>
        </w:rPr>
        <w:t xml:space="preserve"> the utilities recognized that they could be required to absorb the gas-on-gas rate discounts in Peoples</w:t>
      </w:r>
      <w:r w:rsidR="00467E51">
        <w:rPr>
          <w:szCs w:val="26"/>
        </w:rPr>
        <w:t>’</w:t>
      </w:r>
      <w:r>
        <w:rPr>
          <w:szCs w:val="26"/>
        </w:rPr>
        <w:t xml:space="preserve"> next general rate proceeding based on the outcome of this proceeding.  I&amp;E stated, </w:t>
      </w:r>
      <w:r w:rsidR="001D074D">
        <w:rPr>
          <w:szCs w:val="26"/>
        </w:rPr>
        <w:t>“</w:t>
      </w:r>
      <w:r>
        <w:rPr>
          <w:szCs w:val="26"/>
        </w:rPr>
        <w:t>[t]his is precisely what I&amp;E urges the Commission to do, and the NGDCs should be prepared for that outcome.</w:t>
      </w:r>
      <w:r w:rsidR="001D074D">
        <w:rPr>
          <w:szCs w:val="26"/>
        </w:rPr>
        <w:t>”</w:t>
      </w:r>
      <w:r>
        <w:rPr>
          <w:szCs w:val="26"/>
        </w:rPr>
        <w:t xml:space="preserve">  </w:t>
      </w:r>
      <w:proofErr w:type="gramStart"/>
      <w:r>
        <w:rPr>
          <w:szCs w:val="26"/>
        </w:rPr>
        <w:t>I&amp;E M.B. at 26.</w:t>
      </w:r>
      <w:proofErr w:type="gramEnd"/>
      <w:r>
        <w:rPr>
          <w:szCs w:val="26"/>
        </w:rPr>
        <w:t xml:space="preserve"> </w:t>
      </w:r>
    </w:p>
    <w:p w:rsidR="00554728" w:rsidRDefault="00554728" w:rsidP="00B43911">
      <w:pPr>
        <w:widowControl/>
        <w:rPr>
          <w:szCs w:val="26"/>
        </w:rPr>
      </w:pPr>
    </w:p>
    <w:p w:rsidR="00676BF8" w:rsidRDefault="00662A35" w:rsidP="00B43911">
      <w:pPr>
        <w:widowControl/>
        <w:rPr>
          <w:szCs w:val="26"/>
        </w:rPr>
      </w:pPr>
      <w:r>
        <w:rPr>
          <w:szCs w:val="26"/>
        </w:rPr>
        <w:t xml:space="preserve">Although </w:t>
      </w:r>
      <w:r w:rsidR="005B0BDB">
        <w:rPr>
          <w:szCs w:val="26"/>
        </w:rPr>
        <w:t xml:space="preserve">IECPA </w:t>
      </w:r>
      <w:r>
        <w:rPr>
          <w:szCs w:val="26"/>
        </w:rPr>
        <w:t xml:space="preserve">is strongly in favor of preserving gas-on-gas competition in its current format, IECPA recommended that if the Commission disagrees with its position, gas-on-gas contracts between NGDCs and customers should continue under their current terms and expiration dates.  IECPA </w:t>
      </w:r>
      <w:r w:rsidR="00676BF8">
        <w:rPr>
          <w:szCs w:val="26"/>
        </w:rPr>
        <w:t xml:space="preserve">averred </w:t>
      </w:r>
      <w:r>
        <w:rPr>
          <w:szCs w:val="26"/>
        </w:rPr>
        <w:t>that the OSBA</w:t>
      </w:r>
      <w:r w:rsidR="001D074D">
        <w:rPr>
          <w:szCs w:val="26"/>
        </w:rPr>
        <w:t>’</w:t>
      </w:r>
      <w:r>
        <w:rPr>
          <w:szCs w:val="26"/>
        </w:rPr>
        <w:t>s proposal to establish a uniform 2016 end date would interfere with private contracts between NGDCs and customers that were negotiated at arm</w:t>
      </w:r>
      <w:r w:rsidR="001D074D">
        <w:rPr>
          <w:szCs w:val="26"/>
        </w:rPr>
        <w:t>’</w:t>
      </w:r>
      <w:r>
        <w:rPr>
          <w:szCs w:val="26"/>
        </w:rPr>
        <w:t xml:space="preserve">s length and in good faith.  IECPA M.B. at 21 (citing, </w:t>
      </w:r>
      <w:r w:rsidRPr="00662A35">
        <w:rPr>
          <w:i/>
          <w:szCs w:val="26"/>
        </w:rPr>
        <w:t>inter alia</w:t>
      </w:r>
      <w:r>
        <w:rPr>
          <w:szCs w:val="26"/>
        </w:rPr>
        <w:t xml:space="preserve">, IECPA St. 1R at 19).  </w:t>
      </w:r>
      <w:r w:rsidR="00676BF8">
        <w:rPr>
          <w:szCs w:val="26"/>
        </w:rPr>
        <w:t xml:space="preserve">IECPA submitted that the gas-on-gas rates agreed to in these contracts have been relied upon by customers in projecting their energy costs over the duration of their contracts.  IECPA M.B. at 21 (citing PSU St. 1 at 11-12).  IECPA argued that any attempt to interfere with these contracts could constitute an unlawful taking from the customer who anticipated and agreed upon lower natural gas rates for a defined period of time.  IECPA M.B. at 22 (citing Columbia St. 1-R at 5). </w:t>
      </w:r>
    </w:p>
    <w:p w:rsidR="00676BF8" w:rsidRDefault="00676BF8" w:rsidP="00B43911">
      <w:pPr>
        <w:widowControl/>
        <w:rPr>
          <w:szCs w:val="26"/>
        </w:rPr>
      </w:pPr>
    </w:p>
    <w:p w:rsidR="004F0AD8" w:rsidRDefault="00C22B84" w:rsidP="00B43911">
      <w:pPr>
        <w:widowControl/>
        <w:rPr>
          <w:szCs w:val="26"/>
        </w:rPr>
      </w:pPr>
      <w:r>
        <w:rPr>
          <w:szCs w:val="26"/>
        </w:rPr>
        <w:t xml:space="preserve">IECPA recommended that all NGDCs with overlapping service territories should initiate base rate proceedings and receive new Commission-approved rates before gas-on-gas rates expire.  IECPA explained, </w:t>
      </w:r>
      <w:r w:rsidRPr="00C22B84">
        <w:rPr>
          <w:i/>
          <w:szCs w:val="26"/>
        </w:rPr>
        <w:t>inter alia</w:t>
      </w:r>
      <w:r>
        <w:rPr>
          <w:szCs w:val="26"/>
        </w:rPr>
        <w:t xml:space="preserve">, </w:t>
      </w:r>
      <w:r w:rsidR="004F0AD8">
        <w:rPr>
          <w:szCs w:val="26"/>
        </w:rPr>
        <w:t xml:space="preserve">because </w:t>
      </w:r>
      <w:r w:rsidR="00D12C5A">
        <w:rPr>
          <w:szCs w:val="26"/>
        </w:rPr>
        <w:t>gas-on-gas</w:t>
      </w:r>
      <w:r w:rsidR="004F0AD8">
        <w:rPr>
          <w:szCs w:val="26"/>
        </w:rPr>
        <w:t xml:space="preserve"> rates are derived on principl</w:t>
      </w:r>
      <w:r w:rsidR="00467E51">
        <w:rPr>
          <w:szCs w:val="26"/>
        </w:rPr>
        <w:t>e</w:t>
      </w:r>
      <w:r w:rsidR="004F0AD8">
        <w:rPr>
          <w:szCs w:val="26"/>
        </w:rPr>
        <w:t>s outside of the NGDC</w:t>
      </w:r>
      <w:r w:rsidR="001D074D">
        <w:rPr>
          <w:szCs w:val="26"/>
        </w:rPr>
        <w:t>’</w:t>
      </w:r>
      <w:r w:rsidR="004F0AD8">
        <w:rPr>
          <w:szCs w:val="26"/>
        </w:rPr>
        <w:t xml:space="preserve">s tariff, it is unclear what just and reasonable rates would be for these customers.  </w:t>
      </w:r>
      <w:proofErr w:type="gramStart"/>
      <w:r w:rsidR="004F0AD8">
        <w:rPr>
          <w:szCs w:val="26"/>
        </w:rPr>
        <w:t>IECPA M.B. at 22.</w:t>
      </w:r>
      <w:proofErr w:type="gramEnd"/>
      <w:r w:rsidR="004F0AD8">
        <w:rPr>
          <w:szCs w:val="26"/>
        </w:rPr>
        <w:t xml:space="preserve">  IECPA submitted that through a base rate case, all customer classes could weigh in on the appropriate rates for former gas-on-gas customers and the participation of many stakeholders would increase the likelihood that just and reasonable rates would be established.  </w:t>
      </w:r>
      <w:proofErr w:type="gramStart"/>
      <w:r w:rsidR="00B25C99" w:rsidRPr="00B25C99">
        <w:rPr>
          <w:i/>
          <w:szCs w:val="26"/>
        </w:rPr>
        <w:t>Id</w:t>
      </w:r>
      <w:r w:rsidR="00B25C99">
        <w:rPr>
          <w:szCs w:val="26"/>
        </w:rPr>
        <w:t>. at 24.</w:t>
      </w:r>
      <w:proofErr w:type="gramEnd"/>
      <w:r w:rsidR="00B25C99">
        <w:rPr>
          <w:szCs w:val="26"/>
        </w:rPr>
        <w:t xml:space="preserve"> </w:t>
      </w:r>
    </w:p>
    <w:p w:rsidR="004F0AD8" w:rsidRDefault="004F0AD8" w:rsidP="00B43911">
      <w:pPr>
        <w:widowControl/>
        <w:rPr>
          <w:szCs w:val="26"/>
        </w:rPr>
      </w:pPr>
    </w:p>
    <w:p w:rsidR="00676BF8" w:rsidRDefault="00B25C99" w:rsidP="00B43911">
      <w:pPr>
        <w:widowControl/>
        <w:rPr>
          <w:szCs w:val="26"/>
        </w:rPr>
      </w:pPr>
      <w:r>
        <w:rPr>
          <w:szCs w:val="26"/>
        </w:rPr>
        <w:t xml:space="preserve">IECPA </w:t>
      </w:r>
      <w:r w:rsidR="000F2C6D">
        <w:rPr>
          <w:szCs w:val="26"/>
        </w:rPr>
        <w:t xml:space="preserve">noted </w:t>
      </w:r>
      <w:r>
        <w:rPr>
          <w:szCs w:val="26"/>
        </w:rPr>
        <w:t>that all NGDCs that offer gas-on-gas discounts were authorized to provide discounts at certain levels within their prior base rate cases</w:t>
      </w:r>
      <w:r w:rsidR="000F2C6D">
        <w:rPr>
          <w:szCs w:val="26"/>
        </w:rPr>
        <w:t xml:space="preserve"> and thus argued </w:t>
      </w:r>
      <w:r>
        <w:rPr>
          <w:szCs w:val="26"/>
        </w:rPr>
        <w:t xml:space="preserve">that </w:t>
      </w:r>
      <w:r w:rsidR="001D074D">
        <w:rPr>
          <w:szCs w:val="26"/>
        </w:rPr>
        <w:t>“</w:t>
      </w:r>
      <w:r>
        <w:rPr>
          <w:szCs w:val="26"/>
        </w:rPr>
        <w:t xml:space="preserve">[a]ny </w:t>
      </w:r>
      <w:r w:rsidR="004F0AD8">
        <w:rPr>
          <w:szCs w:val="26"/>
        </w:rPr>
        <w:t xml:space="preserve">attempt to </w:t>
      </w:r>
      <w:r>
        <w:rPr>
          <w:szCs w:val="26"/>
        </w:rPr>
        <w:t>disallow rate discounts between rate cases is an attempt to renege prospectively on the rates and revenues agreed to in the NGDC</w:t>
      </w:r>
      <w:r w:rsidR="001D074D">
        <w:rPr>
          <w:szCs w:val="26"/>
        </w:rPr>
        <w:t>’</w:t>
      </w:r>
      <w:r>
        <w:rPr>
          <w:szCs w:val="26"/>
        </w:rPr>
        <w:t>s last base rate case.</w:t>
      </w:r>
      <w:r w:rsidR="001D074D">
        <w:rPr>
          <w:szCs w:val="26"/>
        </w:rPr>
        <w:t>”</w:t>
      </w:r>
      <w:r>
        <w:rPr>
          <w:szCs w:val="26"/>
        </w:rPr>
        <w:t xml:space="preserve">  IECPA M.B. a</w:t>
      </w:r>
      <w:r w:rsidR="00A342AF">
        <w:rPr>
          <w:szCs w:val="26"/>
        </w:rPr>
        <w:t>t 25 (citing IECPA St. 1-S</w:t>
      </w:r>
      <w:r>
        <w:rPr>
          <w:szCs w:val="26"/>
        </w:rPr>
        <w:t xml:space="preserve"> a</w:t>
      </w:r>
      <w:r w:rsidR="00A342AF">
        <w:rPr>
          <w:szCs w:val="26"/>
        </w:rPr>
        <w:t>t</w:t>
      </w:r>
      <w:r>
        <w:rPr>
          <w:szCs w:val="26"/>
        </w:rPr>
        <w:t xml:space="preserve"> 8).</w:t>
      </w:r>
    </w:p>
    <w:p w:rsidR="00B25C99" w:rsidRDefault="00B25C99" w:rsidP="00B43911">
      <w:pPr>
        <w:widowControl/>
        <w:rPr>
          <w:szCs w:val="26"/>
        </w:rPr>
      </w:pPr>
    </w:p>
    <w:p w:rsidR="00B25C99" w:rsidRDefault="00B25C99" w:rsidP="00B43911">
      <w:pPr>
        <w:widowControl/>
        <w:rPr>
          <w:szCs w:val="26"/>
        </w:rPr>
      </w:pPr>
      <w:r>
        <w:rPr>
          <w:szCs w:val="26"/>
        </w:rPr>
        <w:t xml:space="preserve">IECPA also recommended that after rates are developed in base rate cases, gas-on-gas customers </w:t>
      </w:r>
      <w:r w:rsidR="000F2C6D">
        <w:rPr>
          <w:szCs w:val="26"/>
        </w:rPr>
        <w:t xml:space="preserve">should </w:t>
      </w:r>
      <w:r>
        <w:rPr>
          <w:szCs w:val="26"/>
        </w:rPr>
        <w:t xml:space="preserve">be given the opportunity to choose the NGDC from whom it would like to be served.  IECPA explained that </w:t>
      </w:r>
      <w:r w:rsidR="004F2390">
        <w:rPr>
          <w:szCs w:val="26"/>
        </w:rPr>
        <w:t xml:space="preserve">customer choice would give NGDCs an incentive to reduce their costs of service and would avoid potential discrimination against customers.  In addition to customer choice, IECPA suggested that a transition period </w:t>
      </w:r>
      <w:r w:rsidR="000F2C6D">
        <w:rPr>
          <w:szCs w:val="26"/>
        </w:rPr>
        <w:t xml:space="preserve">should </w:t>
      </w:r>
      <w:r w:rsidR="004F2390">
        <w:rPr>
          <w:szCs w:val="26"/>
        </w:rPr>
        <w:t xml:space="preserve">be established to give gas-on-gas customers an opportunity to prepare for higher costs and ease the financial hardship.  </w:t>
      </w:r>
      <w:proofErr w:type="gramStart"/>
      <w:r w:rsidR="004F2390">
        <w:rPr>
          <w:szCs w:val="26"/>
        </w:rPr>
        <w:t>IECPA M.B. at 26.</w:t>
      </w:r>
      <w:proofErr w:type="gramEnd"/>
      <w:r w:rsidR="004F2390">
        <w:rPr>
          <w:szCs w:val="26"/>
        </w:rPr>
        <w:t xml:space="preserve"> </w:t>
      </w:r>
    </w:p>
    <w:p w:rsidR="00676BF8" w:rsidRDefault="00676BF8" w:rsidP="00B43911">
      <w:pPr>
        <w:widowControl/>
        <w:rPr>
          <w:szCs w:val="26"/>
        </w:rPr>
      </w:pPr>
    </w:p>
    <w:p w:rsidR="00676BF8" w:rsidRDefault="001F66FA" w:rsidP="00B43911">
      <w:pPr>
        <w:widowControl/>
        <w:rPr>
          <w:szCs w:val="26"/>
        </w:rPr>
      </w:pPr>
      <w:r>
        <w:rPr>
          <w:szCs w:val="26"/>
        </w:rPr>
        <w:t xml:space="preserve">NFG recommended that if </w:t>
      </w:r>
      <w:r w:rsidR="00464E9E">
        <w:rPr>
          <w:szCs w:val="26"/>
        </w:rPr>
        <w:t xml:space="preserve">the Commission allows </w:t>
      </w:r>
      <w:r>
        <w:rPr>
          <w:szCs w:val="26"/>
        </w:rPr>
        <w:t xml:space="preserve">gas-on-gas competition </w:t>
      </w:r>
      <w:r w:rsidR="00464E9E">
        <w:rPr>
          <w:szCs w:val="26"/>
        </w:rPr>
        <w:t xml:space="preserve">to </w:t>
      </w:r>
      <w:r>
        <w:rPr>
          <w:szCs w:val="26"/>
        </w:rPr>
        <w:t xml:space="preserve">continue, the floor for any discounted rate </w:t>
      </w:r>
      <w:r w:rsidR="00464E9E">
        <w:rPr>
          <w:szCs w:val="26"/>
        </w:rPr>
        <w:t>sho</w:t>
      </w:r>
      <w:r>
        <w:rPr>
          <w:szCs w:val="26"/>
        </w:rPr>
        <w:t>uld be limited to</w:t>
      </w:r>
      <w:r w:rsidR="00051F76">
        <w:rPr>
          <w:szCs w:val="26"/>
        </w:rPr>
        <w:t xml:space="preserve"> a </w:t>
      </w:r>
      <w:r>
        <w:rPr>
          <w:szCs w:val="26"/>
        </w:rPr>
        <w:t xml:space="preserve">rate that provides for a full allocation of the current booked costs of facilities utilized to serve the competitive customer.  NFG averred that </w:t>
      </w:r>
      <w:r w:rsidR="00E235E5">
        <w:rPr>
          <w:szCs w:val="26"/>
        </w:rPr>
        <w:t xml:space="preserve">NGDCs should be required to prove that the discounted rate they are providing to a specific customer is cost-based.  Under this scenario, NFG </w:t>
      </w:r>
      <w:r w:rsidR="00E235E5">
        <w:rPr>
          <w:szCs w:val="26"/>
        </w:rPr>
        <w:lastRenderedPageBreak/>
        <w:t xml:space="preserve">submitted that it would be presumed that the NGDC with the lowest cost of service should win the contest to provide service to the competitive customer.  NFG M.B. at 2-3 (citing NFG St. 1 at 3-4). </w:t>
      </w:r>
    </w:p>
    <w:p w:rsidR="00676BF8" w:rsidRDefault="00676BF8" w:rsidP="00B43911">
      <w:pPr>
        <w:widowControl/>
        <w:rPr>
          <w:szCs w:val="26"/>
        </w:rPr>
      </w:pPr>
    </w:p>
    <w:p w:rsidR="000D2E9F" w:rsidRDefault="006D16AD" w:rsidP="00B43911">
      <w:pPr>
        <w:widowControl/>
        <w:rPr>
          <w:rFonts w:eastAsiaTheme="minorHAnsi"/>
        </w:rPr>
      </w:pPr>
      <w:r>
        <w:rPr>
          <w:rFonts w:eastAsiaTheme="minorHAnsi"/>
        </w:rPr>
        <w:t>Peoples/PTWP</w:t>
      </w:r>
      <w:r w:rsidR="00805745">
        <w:rPr>
          <w:rFonts w:eastAsiaTheme="minorHAnsi"/>
        </w:rPr>
        <w:t xml:space="preserve"> proposed a </w:t>
      </w:r>
      <w:r w:rsidR="000D2E9F" w:rsidRPr="00F52302">
        <w:rPr>
          <w:rFonts w:eastAsiaTheme="minorHAnsi"/>
        </w:rPr>
        <w:t xml:space="preserve">modified form of gas-on-gas competition </w:t>
      </w:r>
      <w:r w:rsidR="00805745">
        <w:rPr>
          <w:rFonts w:eastAsiaTheme="minorHAnsi"/>
        </w:rPr>
        <w:t>whereby</w:t>
      </w:r>
      <w:r w:rsidR="000D2E9F" w:rsidRPr="00F52302">
        <w:rPr>
          <w:rFonts w:eastAsiaTheme="minorHAnsi"/>
        </w:rPr>
        <w:t xml:space="preserve"> NGDCs would be permitted to compete on reasonable non-rate bas</w:t>
      </w:r>
      <w:r w:rsidR="00F522C0">
        <w:rPr>
          <w:rFonts w:eastAsiaTheme="minorHAnsi"/>
        </w:rPr>
        <w:t>e</w:t>
      </w:r>
      <w:r w:rsidR="000D2E9F" w:rsidRPr="00F52302">
        <w:rPr>
          <w:rFonts w:eastAsiaTheme="minorHAnsi"/>
        </w:rPr>
        <w:t xml:space="preserve">s, such as service quality, tariffed terms and conditions of service, and access to gas supplies.  </w:t>
      </w:r>
      <w:r>
        <w:rPr>
          <w:rFonts w:eastAsiaTheme="minorHAnsi"/>
        </w:rPr>
        <w:t>Peoples/PTWP</w:t>
      </w:r>
      <w:r w:rsidR="000D2E9F" w:rsidRPr="00F52302">
        <w:rPr>
          <w:rFonts w:eastAsiaTheme="minorHAnsi"/>
        </w:rPr>
        <w:t xml:space="preserve"> averred that NGDCs should also be permitted to compete on price, subject to reasonable limitations that </w:t>
      </w:r>
      <w:r>
        <w:rPr>
          <w:rFonts w:eastAsiaTheme="minorHAnsi"/>
        </w:rPr>
        <w:t>Peoples/PTWP</w:t>
      </w:r>
      <w:r w:rsidR="000D2E9F" w:rsidRPr="00F52302">
        <w:rPr>
          <w:rFonts w:eastAsiaTheme="minorHAnsi"/>
        </w:rPr>
        <w:t xml:space="preserve"> opined would address the historic problems associated with gas-on-gas competition.  </w:t>
      </w:r>
      <w:r>
        <w:rPr>
          <w:rFonts w:eastAsiaTheme="minorHAnsi"/>
        </w:rPr>
        <w:t>Peoples/PTWP</w:t>
      </w:r>
      <w:r w:rsidR="000D2E9F" w:rsidRPr="00F52302">
        <w:rPr>
          <w:rFonts w:eastAsiaTheme="minorHAnsi"/>
        </w:rPr>
        <w:t xml:space="preserve"> recommended that NGDCs should be required to move toward true cost-based tariffed rates and should be permitted to compete without limitation at their own non-discounted tariffed rates.  </w:t>
      </w:r>
      <w:r>
        <w:rPr>
          <w:rFonts w:eastAsiaTheme="minorHAnsi"/>
        </w:rPr>
        <w:t>Peoples/PTWP</w:t>
      </w:r>
      <w:r w:rsidR="000D2E9F" w:rsidRPr="00F52302">
        <w:rPr>
          <w:rFonts w:eastAsiaTheme="minorHAnsi"/>
        </w:rPr>
        <w:t xml:space="preserve"> stated that NGDCs should also be permitted to compete at discounted rates but the floor for such discounting should be the lowest non-discounted tariffed rates of any of the NGDCs competing for the customer</w:t>
      </w:r>
      <w:r w:rsidR="001D074D">
        <w:rPr>
          <w:rFonts w:eastAsiaTheme="minorHAnsi"/>
        </w:rPr>
        <w:t>’</w:t>
      </w:r>
      <w:r w:rsidR="000D2E9F" w:rsidRPr="00F52302">
        <w:rPr>
          <w:rFonts w:eastAsiaTheme="minorHAnsi"/>
        </w:rPr>
        <w:t xml:space="preserve">s load.  </w:t>
      </w:r>
      <w:r>
        <w:rPr>
          <w:rFonts w:eastAsiaTheme="minorHAnsi"/>
        </w:rPr>
        <w:t>Peoples/PTWP</w:t>
      </w:r>
      <w:r w:rsidR="000D2E9F" w:rsidRPr="00F52302">
        <w:rPr>
          <w:rFonts w:eastAsiaTheme="minorHAnsi"/>
        </w:rPr>
        <w:t xml:space="preserve"> submitted that this will allow the NGDC with higher non-discounted tariffed rates to continue to compete in order to protect its investment in facilities and prevent predatory discounting by the NGDC with lower non-discounted tariffed rates.  </w:t>
      </w:r>
      <w:r>
        <w:rPr>
          <w:rFonts w:eastAsiaTheme="minorHAnsi"/>
        </w:rPr>
        <w:t>Peoples/PTWP</w:t>
      </w:r>
      <w:r w:rsidR="000D2E9F" w:rsidRPr="00F52302">
        <w:rPr>
          <w:rFonts w:eastAsiaTheme="minorHAnsi"/>
        </w:rPr>
        <w:t xml:space="preserve"> M.B. at 16-17.  </w:t>
      </w:r>
      <w:r>
        <w:rPr>
          <w:rFonts w:eastAsiaTheme="minorHAnsi"/>
        </w:rPr>
        <w:t>Peoples/PTWP</w:t>
      </w:r>
      <w:r w:rsidR="000D2E9F" w:rsidRPr="00F52302">
        <w:rPr>
          <w:rFonts w:eastAsiaTheme="minorHAnsi"/>
        </w:rPr>
        <w:t xml:space="preserve"> also recommended that an NGDC </w:t>
      </w:r>
      <w:r w:rsidR="006E3345">
        <w:rPr>
          <w:rFonts w:eastAsiaTheme="minorHAnsi"/>
        </w:rPr>
        <w:t>sh</w:t>
      </w:r>
      <w:r w:rsidR="000D2E9F" w:rsidRPr="00F52302">
        <w:rPr>
          <w:rFonts w:eastAsiaTheme="minorHAnsi"/>
        </w:rPr>
        <w:t xml:space="preserve">ould be permitted to recover the discount adjustment in future base rate cases for any discount that is necessary to meet the non-discounted tariffed rate of a competitive </w:t>
      </w:r>
      <w:proofErr w:type="gramStart"/>
      <w:r w:rsidR="000D2E9F" w:rsidRPr="00F52302">
        <w:rPr>
          <w:rFonts w:eastAsiaTheme="minorHAnsi"/>
        </w:rPr>
        <w:t>NGDC,</w:t>
      </w:r>
      <w:proofErr w:type="gramEnd"/>
      <w:r w:rsidR="000D2E9F" w:rsidRPr="00F52302">
        <w:rPr>
          <w:rFonts w:eastAsiaTheme="minorHAnsi"/>
        </w:rPr>
        <w:t xml:space="preserve"> if the NGDC demonstrates that the discount was prudently awarded and is reasonable.  </w:t>
      </w:r>
      <w:proofErr w:type="gramStart"/>
      <w:r w:rsidR="000D2E9F" w:rsidRPr="00F52302">
        <w:rPr>
          <w:rFonts w:eastAsiaTheme="minorHAnsi"/>
          <w:i/>
        </w:rPr>
        <w:t>Id.</w:t>
      </w:r>
      <w:r w:rsidR="000D2E9F" w:rsidRPr="00F52302">
        <w:rPr>
          <w:rFonts w:eastAsiaTheme="minorHAnsi"/>
        </w:rPr>
        <w:t xml:space="preserve"> at 17.</w:t>
      </w:r>
      <w:proofErr w:type="gramEnd"/>
      <w:r w:rsidR="000D2E9F" w:rsidRPr="00F52302">
        <w:rPr>
          <w:rFonts w:eastAsiaTheme="minorHAnsi"/>
        </w:rPr>
        <w:t xml:space="preserve"> </w:t>
      </w:r>
    </w:p>
    <w:p w:rsidR="009A60A4" w:rsidRDefault="009A60A4" w:rsidP="00B43911">
      <w:pPr>
        <w:widowControl/>
        <w:rPr>
          <w:rFonts w:eastAsiaTheme="minorHAnsi"/>
        </w:rPr>
      </w:pPr>
    </w:p>
    <w:p w:rsidR="00D0250A" w:rsidRDefault="006D16AD" w:rsidP="00B43911">
      <w:pPr>
        <w:widowControl/>
        <w:rPr>
          <w:rFonts w:eastAsiaTheme="minorHAnsi"/>
        </w:rPr>
      </w:pPr>
      <w:r>
        <w:rPr>
          <w:rFonts w:eastAsiaTheme="minorHAnsi"/>
        </w:rPr>
        <w:t>Peoples/PTWP</w:t>
      </w:r>
      <w:r w:rsidR="009738F5">
        <w:rPr>
          <w:rFonts w:eastAsiaTheme="minorHAnsi"/>
        </w:rPr>
        <w:t xml:space="preserve"> submitted that any NGDC that desires to engage prospectively in gas-on-gas competition </w:t>
      </w:r>
      <w:r w:rsidR="00D0250A">
        <w:rPr>
          <w:rFonts w:eastAsiaTheme="minorHAnsi"/>
        </w:rPr>
        <w:t>should file to move its tariffed rates to true cost of service (</w:t>
      </w:r>
      <w:r w:rsidR="00D0250A" w:rsidRPr="00E62CCB">
        <w:rPr>
          <w:rFonts w:eastAsiaTheme="minorHAnsi"/>
          <w:i/>
        </w:rPr>
        <w:t>i.e.</w:t>
      </w:r>
      <w:r w:rsidR="000F2C6D">
        <w:rPr>
          <w:rFonts w:eastAsiaTheme="minorHAnsi"/>
        </w:rPr>
        <w:t>,</w:t>
      </w:r>
      <w:r w:rsidR="00D0250A">
        <w:rPr>
          <w:rFonts w:eastAsiaTheme="minorHAnsi"/>
        </w:rPr>
        <w:t xml:space="preserve"> eliminate interclass subsidizations) in all future rate cases.  </w:t>
      </w:r>
      <w:r>
        <w:rPr>
          <w:rFonts w:eastAsiaTheme="minorHAnsi"/>
        </w:rPr>
        <w:t>Peoples/PTWP</w:t>
      </w:r>
      <w:r w:rsidR="00D0250A">
        <w:rPr>
          <w:rFonts w:eastAsiaTheme="minorHAnsi"/>
        </w:rPr>
        <w:t xml:space="preserve"> suggested that as a condition of an NGDC to continue to offer gas-on-gas discounts prospectively, the NGDC should obtain a certification in the Commission</w:t>
      </w:r>
      <w:r w:rsidR="001D074D">
        <w:rPr>
          <w:rFonts w:eastAsiaTheme="minorHAnsi"/>
        </w:rPr>
        <w:t>’</w:t>
      </w:r>
      <w:r w:rsidR="00D0250A">
        <w:rPr>
          <w:rFonts w:eastAsiaTheme="minorHAnsi"/>
        </w:rPr>
        <w:t xml:space="preserve">s </w:t>
      </w:r>
      <w:r w:rsidR="00D0250A">
        <w:rPr>
          <w:rFonts w:eastAsiaTheme="minorHAnsi"/>
        </w:rPr>
        <w:lastRenderedPageBreak/>
        <w:t xml:space="preserve">final order that the new rates are cost-based within a reasonable range.  </w:t>
      </w:r>
      <w:proofErr w:type="gramStart"/>
      <w:r>
        <w:rPr>
          <w:rFonts w:eastAsiaTheme="minorHAnsi"/>
        </w:rPr>
        <w:t>Peoples/PTWP</w:t>
      </w:r>
      <w:r w:rsidR="00D0250A">
        <w:rPr>
          <w:rFonts w:eastAsiaTheme="minorHAnsi"/>
        </w:rPr>
        <w:t xml:space="preserve"> M.B.</w:t>
      </w:r>
      <w:r w:rsidR="00F44BF2">
        <w:rPr>
          <w:rFonts w:eastAsiaTheme="minorHAnsi"/>
        </w:rPr>
        <w:t xml:space="preserve"> at</w:t>
      </w:r>
      <w:r w:rsidR="00D0250A">
        <w:rPr>
          <w:rFonts w:eastAsiaTheme="minorHAnsi"/>
        </w:rPr>
        <w:t xml:space="preserve"> Appendix B.</w:t>
      </w:r>
      <w:proofErr w:type="gramEnd"/>
      <w:r w:rsidR="00D0250A">
        <w:rPr>
          <w:rFonts w:eastAsiaTheme="minorHAnsi"/>
        </w:rPr>
        <w:t xml:space="preserve"> </w:t>
      </w:r>
      <w:r w:rsidR="009E29FE">
        <w:rPr>
          <w:rFonts w:eastAsiaTheme="minorHAnsi"/>
        </w:rPr>
        <w:t xml:space="preserve"> </w:t>
      </w:r>
    </w:p>
    <w:p w:rsidR="0064673D" w:rsidRDefault="0064673D" w:rsidP="00B43911">
      <w:pPr>
        <w:widowControl/>
        <w:rPr>
          <w:rFonts w:eastAsiaTheme="minorHAnsi"/>
        </w:rPr>
      </w:pPr>
    </w:p>
    <w:p w:rsidR="00805745" w:rsidRDefault="006D16AD" w:rsidP="00B43911">
      <w:pPr>
        <w:widowControl/>
        <w:rPr>
          <w:rFonts w:eastAsiaTheme="minorHAnsi"/>
        </w:rPr>
      </w:pPr>
      <w:r>
        <w:rPr>
          <w:rFonts w:eastAsiaTheme="minorHAnsi"/>
        </w:rPr>
        <w:t>Peoples/PTWP</w:t>
      </w:r>
      <w:r w:rsidR="0064673D">
        <w:rPr>
          <w:rFonts w:eastAsiaTheme="minorHAnsi"/>
        </w:rPr>
        <w:t xml:space="preserve"> also provided some </w:t>
      </w:r>
      <w:r w:rsidR="001D074D">
        <w:rPr>
          <w:rFonts w:eastAsiaTheme="minorHAnsi"/>
        </w:rPr>
        <w:t>“</w:t>
      </w:r>
      <w:r w:rsidR="0064673D">
        <w:rPr>
          <w:rFonts w:eastAsiaTheme="minorHAnsi"/>
        </w:rPr>
        <w:t>potential acceptable options</w:t>
      </w:r>
      <w:r w:rsidR="001D074D">
        <w:rPr>
          <w:rFonts w:eastAsiaTheme="minorHAnsi"/>
        </w:rPr>
        <w:t>”</w:t>
      </w:r>
      <w:r w:rsidR="0064673D">
        <w:rPr>
          <w:rFonts w:eastAsiaTheme="minorHAnsi"/>
        </w:rPr>
        <w:t xml:space="preserve"> to its proposal which include</w:t>
      </w:r>
      <w:r w:rsidR="0064673D" w:rsidRPr="0064673D">
        <w:rPr>
          <w:rFonts w:eastAsiaTheme="minorHAnsi"/>
          <w:i/>
        </w:rPr>
        <w:t>, inter alia</w:t>
      </w:r>
      <w:r w:rsidR="0064673D">
        <w:rPr>
          <w:rFonts w:eastAsiaTheme="minorHAnsi"/>
        </w:rPr>
        <w:t>, a limit of five years on any rate discount agreement or a provision that rates may</w:t>
      </w:r>
      <w:r w:rsidR="000F2C6D">
        <w:rPr>
          <w:rFonts w:eastAsiaTheme="minorHAnsi"/>
        </w:rPr>
        <w:t xml:space="preserve"> be</w:t>
      </w:r>
      <w:r w:rsidR="0064673D">
        <w:rPr>
          <w:rFonts w:eastAsiaTheme="minorHAnsi"/>
        </w:rPr>
        <w:t xml:space="preserve"> reexamined and reset no less than every five years to reflect changes in the rates available from competing NGDC</w:t>
      </w:r>
      <w:r w:rsidR="002A33DB">
        <w:rPr>
          <w:rFonts w:eastAsiaTheme="minorHAnsi"/>
        </w:rPr>
        <w:t>s</w:t>
      </w:r>
      <w:r w:rsidR="0064673D">
        <w:rPr>
          <w:rFonts w:eastAsiaTheme="minorHAnsi"/>
        </w:rPr>
        <w:t xml:space="preserve">.  </w:t>
      </w:r>
      <w:proofErr w:type="gramStart"/>
      <w:r>
        <w:rPr>
          <w:rFonts w:eastAsiaTheme="minorHAnsi"/>
        </w:rPr>
        <w:t>Peoples/PTWP</w:t>
      </w:r>
      <w:r w:rsidR="007B7F78">
        <w:rPr>
          <w:rFonts w:eastAsiaTheme="minorHAnsi"/>
        </w:rPr>
        <w:t xml:space="preserve"> M.B. at Appendix B.</w:t>
      </w:r>
      <w:proofErr w:type="gramEnd"/>
      <w:r w:rsidR="005D66EB">
        <w:rPr>
          <w:rFonts w:eastAsiaTheme="minorHAnsi"/>
        </w:rPr>
        <w:t xml:space="preserve">  Peoples/PTWP recommended that </w:t>
      </w:r>
      <w:r w:rsidR="0064673D">
        <w:rPr>
          <w:rFonts w:eastAsiaTheme="minorHAnsi"/>
        </w:rPr>
        <w:t xml:space="preserve">NGDCs offering gas-on-gas discount rates may also be required to maintain records that demonstrate that </w:t>
      </w:r>
      <w:r w:rsidR="007B7F78">
        <w:rPr>
          <w:rFonts w:eastAsiaTheme="minorHAnsi"/>
        </w:rPr>
        <w:t xml:space="preserve">the customer could have chosen service from a competitive NGDC without a prohibitive connection expense and the discounted rate is the maximum amount that could be achieved from that customer. </w:t>
      </w:r>
      <w:r w:rsidR="0064673D">
        <w:rPr>
          <w:rFonts w:eastAsiaTheme="minorHAnsi"/>
        </w:rPr>
        <w:t xml:space="preserve"> </w:t>
      </w:r>
      <w:r w:rsidR="002A33DB" w:rsidRPr="002A33DB">
        <w:rPr>
          <w:rFonts w:eastAsiaTheme="minorHAnsi"/>
          <w:i/>
        </w:rPr>
        <w:t>Id.</w:t>
      </w:r>
      <w:r w:rsidR="002A33DB">
        <w:rPr>
          <w:rFonts w:eastAsiaTheme="minorHAnsi"/>
        </w:rPr>
        <w:t xml:space="preserve"> </w:t>
      </w:r>
    </w:p>
    <w:p w:rsidR="002A33DB" w:rsidRDefault="002A33DB" w:rsidP="00B43911">
      <w:pPr>
        <w:widowControl/>
        <w:ind w:firstLine="0"/>
        <w:rPr>
          <w:rFonts w:eastAsiaTheme="minorHAnsi"/>
        </w:rPr>
      </w:pPr>
    </w:p>
    <w:p w:rsidR="0048378E" w:rsidRDefault="006D16AD" w:rsidP="00B43911">
      <w:pPr>
        <w:widowControl/>
        <w:rPr>
          <w:rFonts w:eastAsiaTheme="minorHAnsi"/>
          <w:szCs w:val="26"/>
        </w:rPr>
      </w:pPr>
      <w:r>
        <w:rPr>
          <w:rFonts w:eastAsiaTheme="minorHAnsi"/>
          <w:szCs w:val="26"/>
        </w:rPr>
        <w:t>Peoples/PTWP</w:t>
      </w:r>
      <w:r w:rsidR="00F44BF2" w:rsidRPr="00F44BF2">
        <w:rPr>
          <w:rFonts w:eastAsiaTheme="minorHAnsi"/>
          <w:szCs w:val="26"/>
        </w:rPr>
        <w:t xml:space="preserve"> </w:t>
      </w:r>
      <w:r w:rsidR="005D66EB">
        <w:rPr>
          <w:rFonts w:eastAsiaTheme="minorHAnsi"/>
          <w:szCs w:val="26"/>
        </w:rPr>
        <w:t xml:space="preserve">also </w:t>
      </w:r>
      <w:r w:rsidR="00F44BF2" w:rsidRPr="00F44BF2">
        <w:rPr>
          <w:rFonts w:eastAsiaTheme="minorHAnsi"/>
          <w:szCs w:val="26"/>
        </w:rPr>
        <w:t xml:space="preserve">recommended that its proposal could be implemented through a statement of policy that could be executed </w:t>
      </w:r>
      <w:r w:rsidR="0048378E" w:rsidRPr="00F44BF2">
        <w:rPr>
          <w:rFonts w:eastAsiaTheme="minorHAnsi"/>
          <w:szCs w:val="26"/>
        </w:rPr>
        <w:t>following the issuance of a tentative order</w:t>
      </w:r>
      <w:r w:rsidR="00F44BF2" w:rsidRPr="00F44BF2">
        <w:rPr>
          <w:rFonts w:eastAsiaTheme="minorHAnsi"/>
          <w:szCs w:val="26"/>
        </w:rPr>
        <w:t xml:space="preserve"> </w:t>
      </w:r>
      <w:r w:rsidR="0048378E" w:rsidRPr="00F44BF2">
        <w:rPr>
          <w:rFonts w:eastAsiaTheme="minorHAnsi"/>
          <w:szCs w:val="26"/>
        </w:rPr>
        <w:t xml:space="preserve">which provides for a comment period before the order becomes final. </w:t>
      </w:r>
      <w:r w:rsidR="00F44BF2" w:rsidRPr="00F44BF2">
        <w:rPr>
          <w:rFonts w:eastAsiaTheme="minorHAnsi"/>
          <w:szCs w:val="26"/>
        </w:rPr>
        <w:t xml:space="preserve"> </w:t>
      </w:r>
      <w:r>
        <w:rPr>
          <w:rFonts w:eastAsiaTheme="minorHAnsi"/>
          <w:szCs w:val="26"/>
        </w:rPr>
        <w:t>Peoples/PTWP</w:t>
      </w:r>
      <w:r w:rsidR="00F44BF2" w:rsidRPr="00F44BF2">
        <w:rPr>
          <w:rFonts w:eastAsiaTheme="minorHAnsi"/>
          <w:szCs w:val="26"/>
        </w:rPr>
        <w:t xml:space="preserve"> </w:t>
      </w:r>
      <w:r w:rsidR="00F44BF2">
        <w:rPr>
          <w:rFonts w:eastAsiaTheme="minorHAnsi"/>
          <w:szCs w:val="26"/>
        </w:rPr>
        <w:t xml:space="preserve">opined that the </w:t>
      </w:r>
      <w:r w:rsidR="0048378E" w:rsidRPr="00F44BF2">
        <w:rPr>
          <w:rFonts w:eastAsiaTheme="minorHAnsi"/>
          <w:szCs w:val="26"/>
        </w:rPr>
        <w:t>remedies proposed by other parties to this proceeding</w:t>
      </w:r>
      <w:r w:rsidR="00F44BF2">
        <w:rPr>
          <w:rFonts w:eastAsiaTheme="minorHAnsi"/>
          <w:szCs w:val="26"/>
        </w:rPr>
        <w:t xml:space="preserve">, </w:t>
      </w:r>
      <w:r w:rsidR="0048378E" w:rsidRPr="00F44BF2">
        <w:rPr>
          <w:rFonts w:eastAsiaTheme="minorHAnsi"/>
          <w:szCs w:val="26"/>
        </w:rPr>
        <w:t>such as the division of</w:t>
      </w:r>
      <w:r w:rsidR="00F44BF2">
        <w:rPr>
          <w:rFonts w:eastAsiaTheme="minorHAnsi"/>
          <w:szCs w:val="26"/>
        </w:rPr>
        <w:t xml:space="preserve"> </w:t>
      </w:r>
      <w:r w:rsidR="0048378E" w:rsidRPr="00F44BF2">
        <w:rPr>
          <w:rFonts w:eastAsiaTheme="minorHAnsi"/>
          <w:szCs w:val="26"/>
        </w:rPr>
        <w:t xml:space="preserve">service territories, </w:t>
      </w:r>
      <w:r w:rsidR="00F44BF2">
        <w:rPr>
          <w:rFonts w:eastAsiaTheme="minorHAnsi"/>
          <w:szCs w:val="26"/>
        </w:rPr>
        <w:t>t</w:t>
      </w:r>
      <w:r w:rsidR="0048378E" w:rsidRPr="00F44BF2">
        <w:rPr>
          <w:rFonts w:eastAsiaTheme="minorHAnsi"/>
          <w:szCs w:val="26"/>
        </w:rPr>
        <w:t xml:space="preserve">he </w:t>
      </w:r>
      <w:r w:rsidR="00F44BF2" w:rsidRPr="00F44BF2">
        <w:rPr>
          <w:rFonts w:eastAsiaTheme="minorHAnsi"/>
          <w:szCs w:val="26"/>
        </w:rPr>
        <w:t>prohibition</w:t>
      </w:r>
      <w:r w:rsidR="0048378E" w:rsidRPr="00F44BF2">
        <w:rPr>
          <w:rFonts w:eastAsiaTheme="minorHAnsi"/>
          <w:szCs w:val="26"/>
        </w:rPr>
        <w:t xml:space="preserve"> on customer switching, and the rescission of existin</w:t>
      </w:r>
      <w:r w:rsidR="00F44BF2">
        <w:rPr>
          <w:rFonts w:eastAsiaTheme="minorHAnsi"/>
          <w:szCs w:val="26"/>
        </w:rPr>
        <w:t xml:space="preserve">g </w:t>
      </w:r>
      <w:r w:rsidR="0048378E" w:rsidRPr="00F44BF2">
        <w:rPr>
          <w:rFonts w:eastAsiaTheme="minorHAnsi"/>
          <w:szCs w:val="26"/>
        </w:rPr>
        <w:t>agreements would require full-blown adjudicatory hearings or compliance with the</w:t>
      </w:r>
      <w:r w:rsidR="00F44BF2">
        <w:rPr>
          <w:rFonts w:eastAsiaTheme="minorHAnsi"/>
          <w:szCs w:val="26"/>
        </w:rPr>
        <w:t xml:space="preserve"> </w:t>
      </w:r>
      <w:r w:rsidR="0048378E" w:rsidRPr="00F44BF2">
        <w:rPr>
          <w:rFonts w:eastAsiaTheme="minorHAnsi"/>
          <w:szCs w:val="26"/>
        </w:rPr>
        <w:t>Pennsylvania Commonwealth Documents Law</w:t>
      </w:r>
      <w:r w:rsidR="00D82792">
        <w:rPr>
          <w:rStyle w:val="FootnoteReference"/>
          <w:rFonts w:eastAsiaTheme="minorHAnsi"/>
          <w:szCs w:val="26"/>
        </w:rPr>
        <w:footnoteReference w:id="10"/>
      </w:r>
      <w:r w:rsidR="0048378E" w:rsidRPr="00F44BF2">
        <w:rPr>
          <w:rFonts w:eastAsiaTheme="minorHAnsi"/>
          <w:szCs w:val="26"/>
        </w:rPr>
        <w:t xml:space="preserve"> and Pennsylvania Regulatory Review Act.</w:t>
      </w:r>
      <w:r w:rsidR="00D82792">
        <w:rPr>
          <w:rStyle w:val="FootnoteReference"/>
          <w:rFonts w:eastAsiaTheme="minorHAnsi"/>
          <w:szCs w:val="26"/>
        </w:rPr>
        <w:footnoteReference w:id="11"/>
      </w:r>
      <w:r w:rsidR="0048378E" w:rsidRPr="00F44BF2">
        <w:rPr>
          <w:rFonts w:eastAsiaTheme="minorHAnsi"/>
          <w:szCs w:val="26"/>
        </w:rPr>
        <w:t xml:space="preserve"> </w:t>
      </w:r>
      <w:r w:rsidR="00F44BF2">
        <w:rPr>
          <w:rFonts w:eastAsiaTheme="minorHAnsi"/>
          <w:szCs w:val="26"/>
        </w:rPr>
        <w:t xml:space="preserve"> </w:t>
      </w:r>
      <w:r>
        <w:rPr>
          <w:rFonts w:eastAsiaTheme="minorHAnsi"/>
          <w:szCs w:val="26"/>
        </w:rPr>
        <w:t>Peoples/PTWP</w:t>
      </w:r>
      <w:r w:rsidR="00F44BF2">
        <w:rPr>
          <w:rFonts w:eastAsiaTheme="minorHAnsi"/>
          <w:szCs w:val="26"/>
        </w:rPr>
        <w:t xml:space="preserve"> averred that </w:t>
      </w:r>
      <w:r w:rsidR="00F44BF2" w:rsidRPr="00F44BF2">
        <w:rPr>
          <w:rFonts w:eastAsiaTheme="minorHAnsi"/>
          <w:szCs w:val="26"/>
        </w:rPr>
        <w:t>t</w:t>
      </w:r>
      <w:r w:rsidR="0048378E" w:rsidRPr="00F44BF2">
        <w:rPr>
          <w:rFonts w:eastAsiaTheme="minorHAnsi"/>
          <w:szCs w:val="26"/>
        </w:rPr>
        <w:t>he</w:t>
      </w:r>
      <w:r w:rsidR="00F44BF2" w:rsidRPr="00F44BF2">
        <w:rPr>
          <w:rFonts w:eastAsiaTheme="minorHAnsi"/>
          <w:szCs w:val="26"/>
        </w:rPr>
        <w:t xml:space="preserve"> </w:t>
      </w:r>
      <w:r w:rsidR="0048378E" w:rsidRPr="00F44BF2">
        <w:rPr>
          <w:rFonts w:eastAsiaTheme="minorHAnsi"/>
          <w:szCs w:val="26"/>
        </w:rPr>
        <w:t xml:space="preserve">result would likely be years of legal </w:t>
      </w:r>
      <w:r w:rsidR="00F44BF2" w:rsidRPr="00F44BF2">
        <w:rPr>
          <w:rFonts w:eastAsiaTheme="minorHAnsi"/>
          <w:szCs w:val="26"/>
        </w:rPr>
        <w:t>wrangling</w:t>
      </w:r>
      <w:r w:rsidR="00F44BF2">
        <w:rPr>
          <w:rFonts w:eastAsiaTheme="minorHAnsi"/>
          <w:szCs w:val="26"/>
        </w:rPr>
        <w:t>s</w:t>
      </w:r>
      <w:r w:rsidR="0048378E" w:rsidRPr="00F44BF2">
        <w:rPr>
          <w:rFonts w:eastAsiaTheme="minorHAnsi"/>
          <w:szCs w:val="26"/>
        </w:rPr>
        <w:t xml:space="preserve"> while the current problems with gas-on-gas</w:t>
      </w:r>
      <w:r w:rsidR="00F44BF2" w:rsidRPr="00F44BF2">
        <w:rPr>
          <w:rFonts w:eastAsiaTheme="minorHAnsi"/>
          <w:szCs w:val="26"/>
        </w:rPr>
        <w:t xml:space="preserve"> </w:t>
      </w:r>
      <w:r w:rsidR="0048378E" w:rsidRPr="00F44BF2">
        <w:rPr>
          <w:rFonts w:eastAsiaTheme="minorHAnsi"/>
          <w:szCs w:val="26"/>
        </w:rPr>
        <w:t>competition persist.</w:t>
      </w:r>
      <w:r w:rsidR="00F44BF2">
        <w:rPr>
          <w:rFonts w:eastAsiaTheme="minorHAnsi"/>
          <w:szCs w:val="26"/>
        </w:rPr>
        <w:t xml:space="preserve">  </w:t>
      </w:r>
      <w:r>
        <w:rPr>
          <w:rFonts w:eastAsiaTheme="minorHAnsi"/>
          <w:szCs w:val="26"/>
        </w:rPr>
        <w:t>Peoples/PTWP</w:t>
      </w:r>
      <w:r w:rsidR="00F44BF2">
        <w:rPr>
          <w:rFonts w:eastAsiaTheme="minorHAnsi"/>
          <w:szCs w:val="26"/>
        </w:rPr>
        <w:t xml:space="preserve"> M.B. at 29-30.</w:t>
      </w:r>
    </w:p>
    <w:p w:rsidR="00F44BF2" w:rsidRPr="00F44BF2" w:rsidRDefault="00F44BF2" w:rsidP="00B43911">
      <w:pPr>
        <w:widowControl/>
        <w:rPr>
          <w:rFonts w:eastAsiaTheme="minorHAnsi"/>
          <w:szCs w:val="26"/>
        </w:rPr>
      </w:pPr>
    </w:p>
    <w:p w:rsidR="00676BF8" w:rsidRDefault="009A60A4" w:rsidP="00455135">
      <w:pPr>
        <w:pStyle w:val="Heading3"/>
        <w:widowControl/>
      </w:pPr>
      <w:bookmarkStart w:id="11" w:name="_Toc404013221"/>
      <w:r>
        <w:lastRenderedPageBreak/>
        <w:t>ALJ</w:t>
      </w:r>
      <w:r w:rsidR="001D074D">
        <w:t>’</w:t>
      </w:r>
      <w:r>
        <w:t>s Recommendation</w:t>
      </w:r>
      <w:bookmarkEnd w:id="11"/>
    </w:p>
    <w:p w:rsidR="009A60A4" w:rsidRPr="00455135" w:rsidRDefault="009A60A4" w:rsidP="00455135">
      <w:pPr>
        <w:keepNext/>
        <w:keepLines/>
        <w:widowControl/>
      </w:pPr>
    </w:p>
    <w:p w:rsidR="009A60A4" w:rsidRPr="009A60A4" w:rsidRDefault="00250327" w:rsidP="00B43911">
      <w:pPr>
        <w:widowControl/>
      </w:pPr>
      <w:r>
        <w:t>The ALJ recommended that, a</w:t>
      </w:r>
      <w:r w:rsidR="009A60A4" w:rsidRPr="009A60A4">
        <w:t xml:space="preserve">t </w:t>
      </w:r>
      <w:r>
        <w:t xml:space="preserve">the </w:t>
      </w:r>
      <w:r w:rsidR="009A60A4" w:rsidRPr="009A60A4">
        <w:t xml:space="preserve">minimum, ratepayer funded gas-on-gas rate discounts </w:t>
      </w:r>
      <w:proofErr w:type="gramStart"/>
      <w:r w:rsidR="009A60A4" w:rsidRPr="009A60A4">
        <w:t>be</w:t>
      </w:r>
      <w:proofErr w:type="gramEnd"/>
      <w:r w:rsidR="009A60A4" w:rsidRPr="009A60A4">
        <w:t xml:space="preserve"> abolished no later than December 31, 2018</w:t>
      </w:r>
      <w:r>
        <w:t xml:space="preserve">, and that the </w:t>
      </w:r>
      <w:r w:rsidR="009A60A4" w:rsidRPr="009A60A4">
        <w:t xml:space="preserve">Commission issue this directive by the end of 2014.  </w:t>
      </w:r>
      <w:r>
        <w:t xml:space="preserve">The ALJ opined that a </w:t>
      </w:r>
      <w:r w:rsidR="009A60A4" w:rsidRPr="009A60A4">
        <w:t xml:space="preserve">reasonable transition </w:t>
      </w:r>
      <w:r w:rsidRPr="009A60A4">
        <w:t>will enable businesses to prepare for the coming changes through budgeting</w:t>
      </w:r>
      <w:r>
        <w:t>,</w:t>
      </w:r>
      <w:r w:rsidRPr="009A60A4">
        <w:t xml:space="preserve"> operational forecasting and decision making </w:t>
      </w:r>
      <w:r>
        <w:t xml:space="preserve">and </w:t>
      </w:r>
      <w:r w:rsidR="009A60A4" w:rsidRPr="009A60A4">
        <w:t xml:space="preserve">should serve to address </w:t>
      </w:r>
      <w:r>
        <w:t xml:space="preserve">the </w:t>
      </w:r>
      <w:r w:rsidR="009A60A4" w:rsidRPr="009A60A4">
        <w:t xml:space="preserve">concerns over any possible economic disruptions.  </w:t>
      </w:r>
      <w:proofErr w:type="gramStart"/>
      <w:r w:rsidR="001E19C7">
        <w:t>R.D. at 30.</w:t>
      </w:r>
      <w:proofErr w:type="gramEnd"/>
    </w:p>
    <w:p w:rsidR="009A60A4" w:rsidRPr="00455135" w:rsidRDefault="009A60A4" w:rsidP="00B43911">
      <w:pPr>
        <w:widowControl/>
        <w:autoSpaceDE w:val="0"/>
        <w:autoSpaceDN w:val="0"/>
        <w:adjustRightInd w:val="0"/>
        <w:ind w:right="720" w:firstLine="720"/>
      </w:pPr>
    </w:p>
    <w:p w:rsidR="009A60A4" w:rsidRPr="00723A24" w:rsidRDefault="00250327" w:rsidP="00B43911">
      <w:pPr>
        <w:widowControl/>
      </w:pPr>
      <w:r w:rsidRPr="00723A24">
        <w:rPr>
          <w:rFonts w:eastAsia="Calibri"/>
        </w:rPr>
        <w:t xml:space="preserve">The ALJ also </w:t>
      </w:r>
      <w:r w:rsidR="009A60A4" w:rsidRPr="00723A24">
        <w:rPr>
          <w:rFonts w:eastAsia="Calibri"/>
        </w:rPr>
        <w:t>recommend</w:t>
      </w:r>
      <w:r w:rsidRPr="00723A24">
        <w:rPr>
          <w:rFonts w:eastAsia="Calibri"/>
        </w:rPr>
        <w:t>ed</w:t>
      </w:r>
      <w:r w:rsidR="009A60A4" w:rsidRPr="00723A24">
        <w:rPr>
          <w:rFonts w:eastAsia="Calibri"/>
        </w:rPr>
        <w:t xml:space="preserve"> that if the Commission </w:t>
      </w:r>
      <w:r w:rsidR="00455135">
        <w:rPr>
          <w:rFonts w:eastAsia="Calibri"/>
        </w:rPr>
        <w:t xml:space="preserve">determines that </w:t>
      </w:r>
      <w:r w:rsidR="009A60A4" w:rsidRPr="00723A24">
        <w:rPr>
          <w:rFonts w:eastAsia="Calibri"/>
        </w:rPr>
        <w:t xml:space="preserve">gas-on-gas competition should be eliminated, a </w:t>
      </w:r>
      <w:r w:rsidR="001D074D">
        <w:rPr>
          <w:rFonts w:eastAsia="Calibri"/>
        </w:rPr>
        <w:t>“</w:t>
      </w:r>
      <w:r w:rsidR="009A60A4" w:rsidRPr="00723A24">
        <w:rPr>
          <w:rFonts w:eastAsia="Calibri"/>
        </w:rPr>
        <w:t>task force/working group</w:t>
      </w:r>
      <w:r w:rsidR="001D074D">
        <w:rPr>
          <w:rFonts w:eastAsia="Calibri"/>
        </w:rPr>
        <w:t>”</w:t>
      </w:r>
      <w:r w:rsidR="009A60A4" w:rsidRPr="00723A24">
        <w:rPr>
          <w:rFonts w:eastAsia="Calibri"/>
        </w:rPr>
        <w:t xml:space="preserve"> </w:t>
      </w:r>
      <w:r w:rsidR="00455135">
        <w:rPr>
          <w:rFonts w:eastAsia="Calibri"/>
        </w:rPr>
        <w:t xml:space="preserve">should </w:t>
      </w:r>
      <w:r w:rsidR="009A60A4" w:rsidRPr="00723A24">
        <w:rPr>
          <w:rFonts w:eastAsia="Calibri"/>
        </w:rPr>
        <w:t xml:space="preserve">be created to collaborate and discuss the means by which service territories and large load customers would be divided among the NGDCs with overlapping territories.  </w:t>
      </w:r>
      <w:proofErr w:type="gramStart"/>
      <w:r w:rsidR="001E19C7">
        <w:rPr>
          <w:rFonts w:eastAsia="Calibri"/>
        </w:rPr>
        <w:t>R.D. at 31.</w:t>
      </w:r>
      <w:proofErr w:type="gramEnd"/>
      <w:r w:rsidR="001E19C7">
        <w:rPr>
          <w:rFonts w:eastAsia="Calibri"/>
        </w:rPr>
        <w:t xml:space="preserve">  </w:t>
      </w:r>
      <w:r w:rsidR="00723A24" w:rsidRPr="00723A24">
        <w:rPr>
          <w:rFonts w:eastAsia="Calibri"/>
        </w:rPr>
        <w:t xml:space="preserve">She suggested that the task force </w:t>
      </w:r>
      <w:r w:rsidR="00BB07C9">
        <w:rPr>
          <w:rFonts w:eastAsia="Calibri"/>
        </w:rPr>
        <w:t xml:space="preserve">should </w:t>
      </w:r>
      <w:r w:rsidR="00723A24" w:rsidRPr="00723A24">
        <w:rPr>
          <w:rFonts w:eastAsia="Calibri"/>
        </w:rPr>
        <w:t>also address t</w:t>
      </w:r>
      <w:r w:rsidR="009A60A4" w:rsidRPr="00723A24">
        <w:rPr>
          <w:rFonts w:eastAsia="Calibri"/>
        </w:rPr>
        <w:t>he issue of load predictability and customer switching in the future</w:t>
      </w:r>
      <w:r w:rsidR="00723A24" w:rsidRPr="00723A24">
        <w:rPr>
          <w:rFonts w:eastAsia="Calibri"/>
        </w:rPr>
        <w:t xml:space="preserve"> and </w:t>
      </w:r>
      <w:r w:rsidR="009A60A4" w:rsidRPr="00723A24">
        <w:t xml:space="preserve">report their findings and recommendations to the Commission within one to two years from the time of </w:t>
      </w:r>
      <w:r w:rsidR="00723A24" w:rsidRPr="00723A24">
        <w:t>her Recommended Decision</w:t>
      </w:r>
      <w:r w:rsidR="00723A24" w:rsidRPr="001E19C7">
        <w:rPr>
          <w:i/>
        </w:rPr>
        <w:t xml:space="preserve">. </w:t>
      </w:r>
      <w:r w:rsidR="001E19C7" w:rsidRPr="001E19C7">
        <w:rPr>
          <w:i/>
        </w:rPr>
        <w:t xml:space="preserve"> Id.</w:t>
      </w:r>
      <w:r w:rsidR="001E19C7">
        <w:t xml:space="preserve"> </w:t>
      </w:r>
    </w:p>
    <w:p w:rsidR="009A60A4" w:rsidRPr="00455135" w:rsidRDefault="009A60A4" w:rsidP="00B43911">
      <w:pPr>
        <w:widowControl/>
        <w:autoSpaceDE w:val="0"/>
        <w:autoSpaceDN w:val="0"/>
        <w:adjustRightInd w:val="0"/>
        <w:ind w:right="720" w:firstLine="720"/>
      </w:pPr>
    </w:p>
    <w:p w:rsidR="009A60A4" w:rsidRPr="00F44BF2" w:rsidRDefault="00723A24" w:rsidP="00B43911">
      <w:pPr>
        <w:widowControl/>
      </w:pPr>
      <w:r w:rsidRPr="00F44BF2">
        <w:t xml:space="preserve">The ALJ opined that </w:t>
      </w:r>
      <w:r w:rsidR="00DD425F">
        <w:t xml:space="preserve">if the Commission decides to end gas-on-gas competition, </w:t>
      </w:r>
      <w:r w:rsidR="009A60A4" w:rsidRPr="00F44BF2">
        <w:t xml:space="preserve">a division of </w:t>
      </w:r>
      <w:r w:rsidRPr="00F44BF2">
        <w:t xml:space="preserve">overlapping service </w:t>
      </w:r>
      <w:r w:rsidR="009A60A4" w:rsidRPr="00F44BF2">
        <w:t>territor</w:t>
      </w:r>
      <w:r w:rsidRPr="00F44BF2">
        <w:t xml:space="preserve">ies </w:t>
      </w:r>
      <w:r w:rsidR="009A60A4" w:rsidRPr="00F44BF2">
        <w:t xml:space="preserve">may be warranted and </w:t>
      </w:r>
      <w:r w:rsidRPr="00F44BF2">
        <w:t xml:space="preserve">should be </w:t>
      </w:r>
      <w:r w:rsidR="009A60A4" w:rsidRPr="00F44BF2">
        <w:t xml:space="preserve">explored further.  </w:t>
      </w:r>
      <w:r w:rsidRPr="00F44BF2">
        <w:t>The ALJ stated that t</w:t>
      </w:r>
      <w:r w:rsidR="009A60A4" w:rsidRPr="00F44BF2">
        <w:t xml:space="preserve">he Commission might consider assigning the </w:t>
      </w:r>
      <w:r w:rsidR="00DD425F">
        <w:t xml:space="preserve">seventy-four </w:t>
      </w:r>
      <w:r w:rsidR="009A60A4" w:rsidRPr="00F44BF2">
        <w:t xml:space="preserve">current </w:t>
      </w:r>
      <w:r w:rsidR="00F76A4A" w:rsidRPr="00F44BF2">
        <w:t xml:space="preserve">gas-on-gas </w:t>
      </w:r>
      <w:r w:rsidR="009A60A4" w:rsidRPr="00F44BF2">
        <w:t>customers to specific NGDCs</w:t>
      </w:r>
      <w:r w:rsidRPr="00F44BF2">
        <w:t xml:space="preserve"> and </w:t>
      </w:r>
      <w:r w:rsidR="009A60A4" w:rsidRPr="00F44BF2">
        <w:t xml:space="preserve">allow all NGDCs to keep their current customers.  </w:t>
      </w:r>
      <w:r w:rsidR="00BB07C9">
        <w:t xml:space="preserve">The ALJ recommended that </w:t>
      </w:r>
      <w:r w:rsidR="00F76A4A" w:rsidRPr="00F44BF2">
        <w:t>f</w:t>
      </w:r>
      <w:r w:rsidR="009A60A4" w:rsidRPr="00F44BF2">
        <w:t xml:space="preserve">rom this point </w:t>
      </w:r>
      <w:r w:rsidR="00F76A4A" w:rsidRPr="00F44BF2">
        <w:t>forward</w:t>
      </w:r>
      <w:r w:rsidR="009A60A4" w:rsidRPr="00F44BF2">
        <w:t xml:space="preserve">, any new customer in any conflicted area could first be offered to the NGDC who was given this service area (primary NGDC).  </w:t>
      </w:r>
      <w:r w:rsidR="00F76A4A" w:rsidRPr="00F44BF2">
        <w:t xml:space="preserve">If the new customer declined to accept the primary NGDC, </w:t>
      </w:r>
      <w:r w:rsidR="009A60A4" w:rsidRPr="00F44BF2">
        <w:t xml:space="preserve">a different NGDC </w:t>
      </w:r>
      <w:r w:rsidR="00F76A4A" w:rsidRPr="00F44BF2">
        <w:t xml:space="preserve">could </w:t>
      </w:r>
      <w:r w:rsidR="009A60A4" w:rsidRPr="00F44BF2">
        <w:t xml:space="preserve">be allowed to offer </w:t>
      </w:r>
      <w:r w:rsidR="00F76A4A" w:rsidRPr="00F44BF2">
        <w:t>s</w:t>
      </w:r>
      <w:r w:rsidR="009A60A4" w:rsidRPr="00F44BF2">
        <w:t>ervice</w:t>
      </w:r>
      <w:r w:rsidR="00F76A4A" w:rsidRPr="00F44BF2">
        <w:t xml:space="preserve"> to the new customer. </w:t>
      </w:r>
      <w:r w:rsidR="00DD425F">
        <w:t xml:space="preserve"> </w:t>
      </w:r>
      <w:proofErr w:type="gramStart"/>
      <w:r w:rsidR="00DD425F">
        <w:t>R.D.</w:t>
      </w:r>
      <w:proofErr w:type="gramEnd"/>
      <w:r w:rsidR="00455135">
        <w:t> </w:t>
      </w:r>
      <w:r w:rsidR="00DD425F">
        <w:t xml:space="preserve"> </w:t>
      </w:r>
      <w:proofErr w:type="gramStart"/>
      <w:r w:rsidR="00DD425F">
        <w:t>at</w:t>
      </w:r>
      <w:proofErr w:type="gramEnd"/>
      <w:r w:rsidR="00455135">
        <w:t> </w:t>
      </w:r>
      <w:r w:rsidR="00DD425F">
        <w:t xml:space="preserve">31. </w:t>
      </w:r>
    </w:p>
    <w:p w:rsidR="009A60A4" w:rsidRPr="00455135" w:rsidRDefault="009A60A4" w:rsidP="00B43911">
      <w:pPr>
        <w:widowControl/>
        <w:autoSpaceDE w:val="0"/>
        <w:autoSpaceDN w:val="0"/>
        <w:adjustRightInd w:val="0"/>
        <w:jc w:val="both"/>
      </w:pPr>
    </w:p>
    <w:p w:rsidR="009A60A4" w:rsidRPr="00C95CF2" w:rsidRDefault="00CA6E6A" w:rsidP="00B43911">
      <w:pPr>
        <w:widowControl/>
        <w:autoSpaceDE w:val="0"/>
        <w:autoSpaceDN w:val="0"/>
        <w:adjustRightInd w:val="0"/>
      </w:pPr>
      <w:r w:rsidRPr="00C95CF2">
        <w:t xml:space="preserve">As an alternative to eliminating gas-on-gas competition, the ALJ recommended that the practice be substantially modified as proposed by </w:t>
      </w:r>
      <w:r w:rsidR="006D16AD">
        <w:t>Peoples/PTWP</w:t>
      </w:r>
      <w:r w:rsidRPr="00C95CF2">
        <w:t xml:space="preserve">.  </w:t>
      </w:r>
      <w:r w:rsidR="00455135">
        <w:lastRenderedPageBreak/>
        <w:t>I</w:t>
      </w:r>
      <w:r w:rsidRPr="00C95CF2">
        <w:t xml:space="preserve">n </w:t>
      </w:r>
      <w:r w:rsidR="009A60A4" w:rsidRPr="00C95CF2">
        <w:t xml:space="preserve">the event that the Commission </w:t>
      </w:r>
      <w:r w:rsidR="00455135">
        <w:t xml:space="preserve">desired </w:t>
      </w:r>
      <w:r w:rsidR="00DD425F">
        <w:t xml:space="preserve">to further consider </w:t>
      </w:r>
      <w:r w:rsidR="006D16AD">
        <w:t>Peoples/PTWP</w:t>
      </w:r>
      <w:r w:rsidR="001D074D">
        <w:t>’</w:t>
      </w:r>
      <w:r w:rsidR="006F1E59">
        <w:t>s</w:t>
      </w:r>
      <w:r w:rsidR="00DD425F">
        <w:t xml:space="preserve"> p</w:t>
      </w:r>
      <w:r w:rsidR="009A60A4" w:rsidRPr="00C95CF2">
        <w:t xml:space="preserve">roposal, </w:t>
      </w:r>
      <w:r w:rsidR="00455135">
        <w:t xml:space="preserve">the ALJ recommended that </w:t>
      </w:r>
      <w:r w:rsidR="009A60A4" w:rsidRPr="00C95CF2">
        <w:t xml:space="preserve">the Commission enter an </w:t>
      </w:r>
      <w:r w:rsidR="00DD425F">
        <w:t>o</w:t>
      </w:r>
      <w:r w:rsidR="009A60A4" w:rsidRPr="00C95CF2">
        <w:t xml:space="preserve">rder ending the current form and practice of gas-on-gas rate discounting and further directing all Parties to engage in a collaborative process using </w:t>
      </w:r>
      <w:r w:rsidR="006D16AD">
        <w:t>Peoples/PTWP</w:t>
      </w:r>
      <w:r w:rsidR="009A60A4" w:rsidRPr="00C95CF2">
        <w:t xml:space="preserve"> Appendices A and B of its Main Brief as a platform to create one document that would capture all of the necessary provisions and guidelines to be implemented for a modified form of gas-on-gas rate discounting.  </w:t>
      </w:r>
      <w:r w:rsidRPr="00C95CF2">
        <w:t xml:space="preserve">The ALJ noted the direct testimony of </w:t>
      </w:r>
      <w:r w:rsidR="009A60A4" w:rsidRPr="00C95CF2">
        <w:t xml:space="preserve">Mr. Watkins </w:t>
      </w:r>
      <w:r w:rsidRPr="00C95CF2">
        <w:t xml:space="preserve">where he submitted that </w:t>
      </w:r>
      <w:r w:rsidR="009A60A4" w:rsidRPr="00C95CF2">
        <w:t xml:space="preserve">it may be </w:t>
      </w:r>
      <w:r w:rsidRPr="00C95CF2">
        <w:t>ne</w:t>
      </w:r>
      <w:r w:rsidR="009A60A4" w:rsidRPr="00C95CF2">
        <w:t xml:space="preserve">cessary to create a collaborative or working group to ensure that all issues have been addressed after the Commission issues its </w:t>
      </w:r>
      <w:r w:rsidR="00DD425F">
        <w:t>o</w:t>
      </w:r>
      <w:r w:rsidR="009A60A4" w:rsidRPr="00C95CF2">
        <w:t>rder to end the current practice of gas-on-gas rate discounting.</w:t>
      </w:r>
      <w:r w:rsidR="00DD425F">
        <w:t xml:space="preserve"> R.D. at 31-32. </w:t>
      </w:r>
    </w:p>
    <w:p w:rsidR="009A60A4" w:rsidRPr="00847661" w:rsidRDefault="009A60A4" w:rsidP="00B43911">
      <w:pPr>
        <w:widowControl/>
      </w:pPr>
    </w:p>
    <w:p w:rsidR="009A60A4" w:rsidRPr="00C95CF2" w:rsidRDefault="00CF138B" w:rsidP="00B43911">
      <w:pPr>
        <w:widowControl/>
      </w:pPr>
      <w:r w:rsidRPr="00C95CF2">
        <w:t>The ALJ explained that th</w:t>
      </w:r>
      <w:r w:rsidR="009A60A4" w:rsidRPr="00C95CF2">
        <w:t xml:space="preserve">e overarching concern of </w:t>
      </w:r>
      <w:r w:rsidRPr="00C95CF2">
        <w:t xml:space="preserve">I&amp;E, the </w:t>
      </w:r>
      <w:r w:rsidR="009A60A4" w:rsidRPr="00C95CF2">
        <w:t xml:space="preserve">OCA, and </w:t>
      </w:r>
      <w:r w:rsidRPr="00C95CF2">
        <w:t xml:space="preserve">the </w:t>
      </w:r>
      <w:r w:rsidR="009A60A4" w:rsidRPr="00C95CF2">
        <w:t>OSBA is that captive ratepayers are forced to absorb the revenue shortfall that results from gas-on-gas discounting and that there is no reasonable floor on the permissible level of discounting</w:t>
      </w:r>
      <w:r w:rsidRPr="00C95CF2">
        <w:t xml:space="preserve">. </w:t>
      </w:r>
      <w:r w:rsidR="009A60A4" w:rsidRPr="00C95CF2">
        <w:t xml:space="preserve"> </w:t>
      </w:r>
      <w:r w:rsidRPr="00C95CF2">
        <w:t xml:space="preserve">The ALJ observed that the </w:t>
      </w:r>
      <w:r w:rsidR="006D16AD">
        <w:t>Peoples/PTWP</w:t>
      </w:r>
      <w:r w:rsidR="009A60A4" w:rsidRPr="00C95CF2">
        <w:t xml:space="preserve"> </w:t>
      </w:r>
      <w:r w:rsidRPr="00C95CF2">
        <w:t>p</w:t>
      </w:r>
      <w:r w:rsidR="009A60A4" w:rsidRPr="00C95CF2">
        <w:t xml:space="preserve">roposal at least addresses this concern by creating a reasonable floor on the level of discount that may be awarded by an NGDC.  </w:t>
      </w:r>
      <w:r w:rsidRPr="00C95CF2">
        <w:t>The ALJ noted that the l</w:t>
      </w:r>
      <w:r w:rsidR="009A60A4" w:rsidRPr="00C95CF2">
        <w:t>evel of discount would be dictated by the lowest tariffed distribution rates of a competitive NGDC</w:t>
      </w:r>
      <w:r w:rsidRPr="00C95CF2">
        <w:t xml:space="preserve"> and the </w:t>
      </w:r>
      <w:r w:rsidR="009A60A4" w:rsidRPr="00C95CF2">
        <w:t xml:space="preserve">allowable discount would be limited to what is actually necessary to meet the competition.  </w:t>
      </w:r>
      <w:r w:rsidRPr="00C95CF2">
        <w:t>The ALJ opined that t</w:t>
      </w:r>
      <w:r w:rsidR="009A60A4" w:rsidRPr="00C95CF2">
        <w:t xml:space="preserve">his limitation would greatly mitigate the level of </w:t>
      </w:r>
      <w:r w:rsidRPr="00C95CF2">
        <w:t>d</w:t>
      </w:r>
      <w:r w:rsidR="009A60A4" w:rsidRPr="00C95CF2">
        <w:t xml:space="preserve">iscount </w:t>
      </w:r>
      <w:r w:rsidRPr="00C95CF2">
        <w:t>a</w:t>
      </w:r>
      <w:r w:rsidR="009A60A4" w:rsidRPr="00C95CF2">
        <w:t>djustments claimed and recoverable in NGDC base distribution rate cases.</w:t>
      </w:r>
      <w:r w:rsidR="00DA1A69" w:rsidRPr="00C95CF2">
        <w:t xml:space="preserve">  </w:t>
      </w:r>
      <w:r w:rsidR="00DD425F">
        <w:t xml:space="preserve">R.D. at 32-33. </w:t>
      </w:r>
    </w:p>
    <w:p w:rsidR="009A60A4" w:rsidRPr="00847661" w:rsidRDefault="009A60A4" w:rsidP="00B43911">
      <w:pPr>
        <w:widowControl/>
        <w:ind w:firstLine="720"/>
      </w:pPr>
    </w:p>
    <w:p w:rsidR="009A60A4" w:rsidRPr="009A60A4" w:rsidRDefault="00DA1A69" w:rsidP="00B43911">
      <w:pPr>
        <w:widowControl/>
      </w:pPr>
      <w:r>
        <w:t>The ALJ submitted that gas-on-gas c</w:t>
      </w:r>
      <w:r w:rsidR="009A60A4" w:rsidRPr="009A60A4">
        <w:t xml:space="preserve">ustomers have made business planning decisions based on their projected energy costs and the continued existence of their current gas-on-gas discount agreements.  </w:t>
      </w:r>
      <w:r>
        <w:t>The ALJ explained that, l</w:t>
      </w:r>
      <w:r w:rsidR="009A60A4" w:rsidRPr="009A60A4">
        <w:t xml:space="preserve">ikewise, competing NGDCs have made system investment decisions based upon their projected loads, which are supported in part by their existing gas-on-gas discount agreements.  </w:t>
      </w:r>
      <w:r w:rsidR="00DD425F">
        <w:t>Therefore, t</w:t>
      </w:r>
      <w:r>
        <w:t xml:space="preserve">he ALJ concluded that </w:t>
      </w:r>
      <w:r w:rsidR="009A60A4" w:rsidRPr="009A60A4">
        <w:t>there is an argument for allowing existing gas-on-gas discount agreements to be honored for their stated terms</w:t>
      </w:r>
      <w:r>
        <w:t xml:space="preserve">, as set forth in the </w:t>
      </w:r>
      <w:r w:rsidR="006D16AD">
        <w:t>Peoples/PTWP</w:t>
      </w:r>
      <w:r>
        <w:t xml:space="preserve"> </w:t>
      </w:r>
      <w:r>
        <w:lastRenderedPageBreak/>
        <w:t xml:space="preserve">proposal.  </w:t>
      </w:r>
      <w:r w:rsidR="009A60A4" w:rsidRPr="009A60A4">
        <w:t xml:space="preserve">However, </w:t>
      </w:r>
      <w:r>
        <w:t xml:space="preserve">the ALJ opined that </w:t>
      </w:r>
      <w:r w:rsidR="009A60A4" w:rsidRPr="009A60A4">
        <w:t xml:space="preserve">it would </w:t>
      </w:r>
      <w:r>
        <w:t xml:space="preserve">not </w:t>
      </w:r>
      <w:r w:rsidR="009A60A4" w:rsidRPr="009A60A4">
        <w:t xml:space="preserve">be illegal or unconstitutional for the Commission to end gas-on-gas competition before the full terms of contracts are expired within the merged territories of Peoples/PTWP and Equitable.  </w:t>
      </w:r>
      <w:r w:rsidR="005C7A31">
        <w:t>The ALJ explained that t</w:t>
      </w:r>
      <w:r w:rsidR="009A60A4" w:rsidRPr="009A60A4">
        <w:t>he modification or rescission of existing contracts may require compliance with the requirements of Section 508 of the Code</w:t>
      </w:r>
      <w:r w:rsidR="005C7A31">
        <w:t>,</w:t>
      </w:r>
      <w:r w:rsidR="009A60A4" w:rsidRPr="009A60A4">
        <w:t xml:space="preserve"> 66 Pa.</w:t>
      </w:r>
      <w:r w:rsidR="00250327">
        <w:t xml:space="preserve"> </w:t>
      </w:r>
      <w:r w:rsidR="009A60A4" w:rsidRPr="009A60A4">
        <w:t>C.S. § 508 (Power of commission to vary, reform and revise contracts).</w:t>
      </w:r>
      <w:r w:rsidR="00DD425F">
        <w:t xml:space="preserve">  </w:t>
      </w:r>
      <w:proofErr w:type="gramStart"/>
      <w:r w:rsidR="00DD425F">
        <w:t>R.D. at 33.</w:t>
      </w:r>
      <w:proofErr w:type="gramEnd"/>
      <w:r w:rsidR="00DD425F">
        <w:t xml:space="preserve"> </w:t>
      </w:r>
    </w:p>
    <w:p w:rsidR="009A60A4" w:rsidRPr="00A66F19" w:rsidRDefault="009A60A4" w:rsidP="00B43911">
      <w:pPr>
        <w:widowControl/>
        <w:ind w:firstLine="720"/>
      </w:pPr>
    </w:p>
    <w:p w:rsidR="005922E7" w:rsidRPr="005922E7" w:rsidRDefault="00C95CF2" w:rsidP="00B43911">
      <w:pPr>
        <w:widowControl/>
      </w:pPr>
      <w:r>
        <w:t xml:space="preserve">The ALJ also noted the </w:t>
      </w:r>
      <w:r w:rsidR="009A60A4" w:rsidRPr="009A60A4">
        <w:t>OCA</w:t>
      </w:r>
      <w:r w:rsidR="001D074D">
        <w:t>’</w:t>
      </w:r>
      <w:r>
        <w:t>s</w:t>
      </w:r>
      <w:r w:rsidR="009A60A4" w:rsidRPr="009A60A4">
        <w:t xml:space="preserve"> and OSBA</w:t>
      </w:r>
      <w:r w:rsidR="001D074D">
        <w:t>’</w:t>
      </w:r>
      <w:r>
        <w:t xml:space="preserve">s </w:t>
      </w:r>
      <w:r w:rsidR="009A60A4" w:rsidRPr="009A60A4">
        <w:t xml:space="preserve">concerns regarding the unnecessary duplication of facilities if gas-on-gas competition is permitted to continue.  </w:t>
      </w:r>
      <w:r w:rsidRPr="009A60A4">
        <w:t xml:space="preserve">While not completely eliminating duplicative facilities, the </w:t>
      </w:r>
      <w:r w:rsidR="006F1E59">
        <w:t>ALJ</w:t>
      </w:r>
      <w:r>
        <w:t xml:space="preserve"> stated that </w:t>
      </w:r>
      <w:r w:rsidR="00A66F19">
        <w:t xml:space="preserve">the </w:t>
      </w:r>
      <w:r w:rsidR="006D16AD">
        <w:t>Peoples/PTWP</w:t>
      </w:r>
      <w:r w:rsidRPr="009A60A4">
        <w:t xml:space="preserve"> </w:t>
      </w:r>
      <w:r>
        <w:t>p</w:t>
      </w:r>
      <w:r w:rsidRPr="009A60A4">
        <w:t xml:space="preserve">roposal would mitigate the problem going forward.  </w:t>
      </w:r>
      <w:r>
        <w:t xml:space="preserve">The ALJ explained </w:t>
      </w:r>
      <w:r w:rsidRPr="005922E7">
        <w:t xml:space="preserve">that the </w:t>
      </w:r>
      <w:r w:rsidR="006D16AD">
        <w:t>Peoples/PTWP</w:t>
      </w:r>
      <w:r w:rsidRPr="005922E7">
        <w:t xml:space="preserve"> proposal provides that </w:t>
      </w:r>
      <w:r w:rsidR="00A66F19">
        <w:t xml:space="preserve">a </w:t>
      </w:r>
      <w:r w:rsidRPr="005922E7">
        <w:t xml:space="preserve">gas-on-gas discount could be offered only to an existing or former customer of the NGDC or to a potential customer associated with new development and may not be offered to a customer of a competitor NGDC unless such customer was formerly served at that service location by the offering NGDC.  The ALJ opined that </w:t>
      </w:r>
      <w:r w:rsidR="00363697">
        <w:t xml:space="preserve">the </w:t>
      </w:r>
      <w:r w:rsidR="006D16AD">
        <w:t>Peoples/PTWP</w:t>
      </w:r>
      <w:r w:rsidR="00ED1D30">
        <w:t xml:space="preserve"> </w:t>
      </w:r>
      <w:r w:rsidRPr="005922E7">
        <w:t>proposal would essentially prohibit the poaching of one NGDC</w:t>
      </w:r>
      <w:r w:rsidR="001D074D">
        <w:t>’</w:t>
      </w:r>
      <w:r w:rsidRPr="005922E7">
        <w:t>s existing customers by another NGDC and gas-on-gas competition would be limited to new development and protection of existing load.</w:t>
      </w:r>
      <w:r w:rsidR="005922E7">
        <w:t xml:space="preserve">  The ALJ reasoned that </w:t>
      </w:r>
      <w:r w:rsidR="005922E7" w:rsidRPr="005922E7">
        <w:t>the practical effect of limiting discounts to new, existing, and former customers is that new facilities would be built only for new customers where</w:t>
      </w:r>
      <w:r w:rsidR="00FE2943">
        <w:t>,</w:t>
      </w:r>
      <w:r w:rsidR="005922E7" w:rsidRPr="005922E7">
        <w:t xml:space="preserve"> presumably, no other facilities are currently in place.  The ALJ projected that service to existing and former customers would likely be via existing facilities.</w:t>
      </w:r>
      <w:r w:rsidR="00FE2943">
        <w:t xml:space="preserve">  </w:t>
      </w:r>
      <w:proofErr w:type="gramStart"/>
      <w:r w:rsidR="00FE2943">
        <w:t>R.D. at 34.</w:t>
      </w:r>
      <w:proofErr w:type="gramEnd"/>
      <w:r w:rsidR="00FE2943">
        <w:t xml:space="preserve"> </w:t>
      </w:r>
    </w:p>
    <w:p w:rsidR="005922E7" w:rsidRPr="00363697" w:rsidRDefault="005922E7" w:rsidP="00B43911">
      <w:pPr>
        <w:widowControl/>
        <w:ind w:firstLine="720"/>
      </w:pPr>
    </w:p>
    <w:p w:rsidR="009A60A4" w:rsidRPr="00240ED0" w:rsidRDefault="00240ED0" w:rsidP="00B43911">
      <w:pPr>
        <w:widowControl/>
      </w:pPr>
      <w:r w:rsidRPr="00240ED0">
        <w:t xml:space="preserve">The ALJ observed </w:t>
      </w:r>
      <w:r w:rsidR="006D16AD">
        <w:t>Peoples/PTWP</w:t>
      </w:r>
      <w:r w:rsidR="001D074D">
        <w:t>’</w:t>
      </w:r>
      <w:r w:rsidR="00ED1D30">
        <w:t>s</w:t>
      </w:r>
      <w:r w:rsidR="009A60A4" w:rsidRPr="00240ED0">
        <w:t xml:space="preserve"> </w:t>
      </w:r>
      <w:r w:rsidRPr="00240ED0">
        <w:t xml:space="preserve">argument </w:t>
      </w:r>
      <w:r w:rsidR="009A60A4" w:rsidRPr="00240ED0">
        <w:t xml:space="preserve">that the problem of existing duplicative facilities is best left for the free market.  </w:t>
      </w:r>
      <w:r w:rsidRPr="00240ED0">
        <w:t>The ALJ stated that, a</w:t>
      </w:r>
      <w:r w:rsidR="009A60A4" w:rsidRPr="00240ED0">
        <w:t xml:space="preserve">s with the acquisition of </w:t>
      </w:r>
      <w:r w:rsidR="00ED1D30">
        <w:t>P</w:t>
      </w:r>
      <w:r w:rsidR="009A60A4" w:rsidRPr="00240ED0">
        <w:t xml:space="preserve">TWP by the parent of Peoples and with the merger of Equitable into Peoples, mergers, acquisitions, and voluntary service territory abandonments will likely solve the problem of duplicative facilities at some point in the future.  </w:t>
      </w:r>
      <w:r w:rsidRPr="00240ED0">
        <w:t>The ALJ explained that she was n</w:t>
      </w:r>
      <w:r w:rsidR="009A60A4" w:rsidRPr="00240ED0">
        <w:t xml:space="preserve">ot entirely convinced that </w:t>
      </w:r>
      <w:r w:rsidR="00055FBC">
        <w:t xml:space="preserve">the </w:t>
      </w:r>
      <w:r w:rsidR="006D16AD">
        <w:t>Peoples/PTWP</w:t>
      </w:r>
      <w:r w:rsidR="009A60A4" w:rsidRPr="00240ED0">
        <w:t xml:space="preserve"> </w:t>
      </w:r>
      <w:r w:rsidRPr="00240ED0">
        <w:t>p</w:t>
      </w:r>
      <w:r w:rsidR="009A60A4" w:rsidRPr="00240ED0">
        <w:t xml:space="preserve">roposal would effectively </w:t>
      </w:r>
      <w:r w:rsidR="009A60A4" w:rsidRPr="00240ED0">
        <w:lastRenderedPageBreak/>
        <w:t xml:space="preserve">address the questions of </w:t>
      </w:r>
      <w:r w:rsidRPr="00240ED0">
        <w:t xml:space="preserve">customer </w:t>
      </w:r>
      <w:r w:rsidR="009A60A4" w:rsidRPr="00240ED0">
        <w:t>switching</w:t>
      </w:r>
      <w:r w:rsidRPr="00240ED0">
        <w:t xml:space="preserve"> NGDCs </w:t>
      </w:r>
      <w:r w:rsidR="009A60A4" w:rsidRPr="00240ED0">
        <w:t xml:space="preserve">and </w:t>
      </w:r>
      <w:r w:rsidRPr="00240ED0">
        <w:t xml:space="preserve">the </w:t>
      </w:r>
      <w:r w:rsidR="009A60A4" w:rsidRPr="00240ED0">
        <w:t xml:space="preserve">dividing up </w:t>
      </w:r>
      <w:r w:rsidRPr="00240ED0">
        <w:t xml:space="preserve">of the service </w:t>
      </w:r>
      <w:r w:rsidR="009A60A4" w:rsidRPr="00240ED0">
        <w:t xml:space="preserve">territories; however, </w:t>
      </w:r>
      <w:r w:rsidRPr="00240ED0">
        <w:t xml:space="preserve">she opined that </w:t>
      </w:r>
      <w:r w:rsidR="009A60A4" w:rsidRPr="00240ED0">
        <w:t xml:space="preserve">it appears to be part of a proposal that even the </w:t>
      </w:r>
      <w:r w:rsidR="000843CA">
        <w:t>s</w:t>
      </w:r>
      <w:r w:rsidR="009A60A4" w:rsidRPr="00240ED0">
        <w:t>tat</w:t>
      </w:r>
      <w:r w:rsidR="000843CA">
        <w:t>utory</w:t>
      </w:r>
      <w:r w:rsidR="009A60A4" w:rsidRPr="00240ED0">
        <w:t xml:space="preserve"> </w:t>
      </w:r>
      <w:r w:rsidR="000843CA">
        <w:t>a</w:t>
      </w:r>
      <w:r w:rsidR="009A60A4" w:rsidRPr="00240ED0">
        <w:t>dvocates are willing to accept in the alternative.</w:t>
      </w:r>
      <w:r w:rsidR="00FE2943">
        <w:t xml:space="preserve">  R.D. at 34-35. </w:t>
      </w:r>
    </w:p>
    <w:p w:rsidR="009A60A4" w:rsidRPr="00240ED0" w:rsidRDefault="009A60A4" w:rsidP="00B43911">
      <w:pPr>
        <w:widowControl/>
      </w:pPr>
    </w:p>
    <w:p w:rsidR="009A60A4" w:rsidRDefault="00240ED0" w:rsidP="00B43911">
      <w:pPr>
        <w:widowControl/>
      </w:pPr>
      <w:r>
        <w:t>The ALJ stated that t</w:t>
      </w:r>
      <w:r w:rsidR="009A60A4" w:rsidRPr="009A60A4">
        <w:t xml:space="preserve">he </w:t>
      </w:r>
      <w:r w:rsidR="006D16AD">
        <w:t>Peoples/PTWP</w:t>
      </w:r>
      <w:r w:rsidR="009A60A4" w:rsidRPr="009A60A4">
        <w:t xml:space="preserve"> </w:t>
      </w:r>
      <w:r>
        <w:t>p</w:t>
      </w:r>
      <w:r w:rsidR="009A60A4" w:rsidRPr="009A60A4">
        <w:t xml:space="preserve">roposal addresses concerns regarding contracting methods by requiring the contracting NGDC to maintain relevant records to demonstrate that the discount was justified.  </w:t>
      </w:r>
      <w:r>
        <w:t xml:space="preserve">She explained that </w:t>
      </w:r>
      <w:r w:rsidR="009A60A4" w:rsidRPr="009A60A4">
        <w:t>an NGDC would have to maintain reasonable records relating to each gas-on-gas discount customer demonstrating</w:t>
      </w:r>
      <w:r w:rsidR="00CF1D41">
        <w:t>: (1)</w:t>
      </w:r>
      <w:r w:rsidR="009A60A4" w:rsidRPr="009A60A4">
        <w:t xml:space="preserve"> that a competitive NGDC actually exists</w:t>
      </w:r>
      <w:r w:rsidR="00CF1D41">
        <w:t>; (2)</w:t>
      </w:r>
      <w:r w:rsidR="009A60A4" w:rsidRPr="009A60A4">
        <w:t xml:space="preserve"> that the customer could have chosen service from a competitive NGDC without a prohibitive connection expense</w:t>
      </w:r>
      <w:r w:rsidR="00CF1D41">
        <w:t xml:space="preserve">; and (3) </w:t>
      </w:r>
      <w:r w:rsidR="009A60A4" w:rsidRPr="009A60A4">
        <w:t xml:space="preserve">that the discounted rate represents the maximum amount that could be achieved from that customer.  </w:t>
      </w:r>
      <w:r>
        <w:t>The ALJ concluded that t</w:t>
      </w:r>
      <w:r w:rsidR="009A60A4" w:rsidRPr="009A60A4">
        <w:t>hese requirements, coupled with establishing cost-based tariff rates, a reasonable floor on the discount level</w:t>
      </w:r>
      <w:r w:rsidR="00FE2943">
        <w:t>,</w:t>
      </w:r>
      <w:r w:rsidR="009A60A4" w:rsidRPr="009A60A4">
        <w:t xml:space="preserve"> and the NGDC</w:t>
      </w:r>
      <w:r w:rsidR="001D074D">
        <w:t>’</w:t>
      </w:r>
      <w:r w:rsidR="009A60A4" w:rsidRPr="009A60A4">
        <w:t xml:space="preserve">s burden of proof in rate proceedings, may ensure that captive ratepayers are not paying for unreasonable gas-on-gas </w:t>
      </w:r>
      <w:r>
        <w:t>d</w:t>
      </w:r>
      <w:r w:rsidR="009A60A4" w:rsidRPr="009A60A4">
        <w:t xml:space="preserve">iscount </w:t>
      </w:r>
      <w:r>
        <w:t>a</w:t>
      </w:r>
      <w:r w:rsidR="009A60A4" w:rsidRPr="009A60A4">
        <w:t>djustments.</w:t>
      </w:r>
      <w:r w:rsidR="00FE2943">
        <w:t xml:space="preserve">  </w:t>
      </w:r>
      <w:proofErr w:type="gramStart"/>
      <w:r w:rsidR="00FE2943">
        <w:t>R.D. at 35.</w:t>
      </w:r>
      <w:proofErr w:type="gramEnd"/>
      <w:r w:rsidR="00FE2943">
        <w:t xml:space="preserve"> </w:t>
      </w:r>
    </w:p>
    <w:p w:rsidR="00805745" w:rsidRDefault="00805745" w:rsidP="00B43911">
      <w:pPr>
        <w:widowControl/>
      </w:pPr>
    </w:p>
    <w:p w:rsidR="009A60A4" w:rsidRPr="00156493" w:rsidRDefault="00FE2943" w:rsidP="00B43911">
      <w:pPr>
        <w:widowControl/>
      </w:pPr>
      <w:r w:rsidRPr="00156493">
        <w:t xml:space="preserve">The ALJ noted that </w:t>
      </w:r>
      <w:r w:rsidR="009A60A4" w:rsidRPr="00156493">
        <w:t xml:space="preserve">the </w:t>
      </w:r>
      <w:r w:rsidR="006D16AD">
        <w:t>Peoples/PTWP</w:t>
      </w:r>
      <w:r w:rsidR="00ED1D30">
        <w:t xml:space="preserve"> p</w:t>
      </w:r>
      <w:r w:rsidR="009A60A4" w:rsidRPr="00156493">
        <w:t>roposal provides that the term for a gas-on-gas discount agreement shall not exceed five years; provided</w:t>
      </w:r>
      <w:r w:rsidR="00CF1D41">
        <w:t>,</w:t>
      </w:r>
      <w:r w:rsidR="009A60A4" w:rsidRPr="00156493">
        <w:t xml:space="preserve"> however</w:t>
      </w:r>
      <w:r w:rsidR="00CF1D41">
        <w:t>,</w:t>
      </w:r>
      <w:r w:rsidR="009A60A4" w:rsidRPr="00156493">
        <w:t xml:space="preserve"> that there would be no restriction on the term if the agreement contains a provision requiring the reexamination and resetting of the discounted rate </w:t>
      </w:r>
      <w:r w:rsidR="00CF1D41">
        <w:t>at least once e</w:t>
      </w:r>
      <w:r w:rsidR="009A60A4" w:rsidRPr="00156493">
        <w:t>very five years</w:t>
      </w:r>
      <w:r w:rsidR="00CF1D41">
        <w:t xml:space="preserve"> on an ongoing basis</w:t>
      </w:r>
      <w:r w:rsidR="009A60A4" w:rsidRPr="00156493">
        <w:t xml:space="preserve">.  </w:t>
      </w:r>
      <w:r w:rsidRPr="00156493">
        <w:t>The ALJ explained that this</w:t>
      </w:r>
      <w:r w:rsidR="009A60A4" w:rsidRPr="00156493">
        <w:t xml:space="preserve"> provision would prevent an NGDC and customer from locking in a discount based on a competitor NGDC</w:t>
      </w:r>
      <w:r w:rsidR="001D074D">
        <w:t>’</w:t>
      </w:r>
      <w:r w:rsidR="009A60A4" w:rsidRPr="00156493">
        <w:t xml:space="preserve">s lower tariffed rate for a long period of time.  </w:t>
      </w:r>
      <w:r w:rsidRPr="00156493">
        <w:t>The ALJ stated that t</w:t>
      </w:r>
      <w:r w:rsidR="009A60A4" w:rsidRPr="00156493">
        <w:t>he discount rate would have to be periodically reset to reflect the competitor NGDC</w:t>
      </w:r>
      <w:r w:rsidR="001D074D">
        <w:t>’</w:t>
      </w:r>
      <w:r w:rsidR="009A60A4" w:rsidRPr="00156493">
        <w:t>s then-current</w:t>
      </w:r>
      <w:r w:rsidR="00CF1D41">
        <w:t>,</w:t>
      </w:r>
      <w:r w:rsidR="009A60A4" w:rsidRPr="00156493">
        <w:t xml:space="preserve"> cost-justified tariffed rate, as resulting from base rate proceedings.</w:t>
      </w:r>
      <w:r w:rsidR="00156493" w:rsidRPr="00156493">
        <w:t xml:space="preserve">  </w:t>
      </w:r>
      <w:proofErr w:type="gramStart"/>
      <w:r w:rsidR="00156493" w:rsidRPr="00156493">
        <w:t>R.D. at 35.</w:t>
      </w:r>
      <w:proofErr w:type="gramEnd"/>
      <w:r w:rsidR="00156493" w:rsidRPr="00156493">
        <w:t xml:space="preserve"> </w:t>
      </w:r>
    </w:p>
    <w:p w:rsidR="009A60A4" w:rsidRPr="00CF1D41" w:rsidRDefault="009A60A4" w:rsidP="00B43911">
      <w:pPr>
        <w:widowControl/>
        <w:ind w:firstLine="720"/>
        <w:jc w:val="both"/>
      </w:pPr>
    </w:p>
    <w:p w:rsidR="009A60A4" w:rsidRPr="009A60A4" w:rsidRDefault="00156493" w:rsidP="00B43911">
      <w:pPr>
        <w:widowControl/>
      </w:pPr>
      <w:r>
        <w:t>The ALJ opined that t</w:t>
      </w:r>
      <w:r w:rsidR="009A60A4" w:rsidRPr="009A60A4">
        <w:t xml:space="preserve">he </w:t>
      </w:r>
      <w:r w:rsidR="006D16AD">
        <w:t>Peoples/PTWP</w:t>
      </w:r>
      <w:r w:rsidR="009A60A4" w:rsidRPr="009A60A4">
        <w:t xml:space="preserve"> </w:t>
      </w:r>
      <w:r>
        <w:t>p</w:t>
      </w:r>
      <w:r w:rsidR="009A60A4" w:rsidRPr="009A60A4">
        <w:t>roposal appears to at least move rates toward true cost of service, consistent with the Commonwealth Court of Pennsylvania</w:t>
      </w:r>
      <w:r w:rsidR="001D074D">
        <w:t>’</w:t>
      </w:r>
      <w:r w:rsidR="009A60A4" w:rsidRPr="009A60A4">
        <w:t xml:space="preserve">s direction in </w:t>
      </w:r>
      <w:r>
        <w:rPr>
          <w:i/>
        </w:rPr>
        <w:t>Lloyd.</w:t>
      </w:r>
      <w:r w:rsidR="009A60A4" w:rsidRPr="009A60A4">
        <w:t xml:space="preserve">  </w:t>
      </w:r>
      <w:r>
        <w:t>The ALJ submitted that</w:t>
      </w:r>
      <w:r w:rsidR="00CF1D41">
        <w:t xml:space="preserve"> the</w:t>
      </w:r>
      <w:r>
        <w:t xml:space="preserve"> </w:t>
      </w:r>
      <w:r w:rsidR="006D16AD">
        <w:t>Peoples/PTWP</w:t>
      </w:r>
      <w:r w:rsidR="009A60A4" w:rsidRPr="009A60A4">
        <w:t xml:space="preserve"> </w:t>
      </w:r>
      <w:r>
        <w:t>p</w:t>
      </w:r>
      <w:r w:rsidR="009A60A4" w:rsidRPr="009A60A4">
        <w:t xml:space="preserve">roposal </w:t>
      </w:r>
      <w:r w:rsidR="009A60A4" w:rsidRPr="009A60A4">
        <w:lastRenderedPageBreak/>
        <w:t xml:space="preserve">recognizes that some form of discounting (with a reasonable floor) is necessary for two reasons.  First, discounts preserve an enhanced level of competition beyond that provided by competition limited to non-price benefits such as service quality, tariffed terms and conditions of service, and access to more-reliable or lower-cost gas supplies.  Second, a modified form of discounting protects the captive ratepayers of the higher-tariff-cost NGDC by allowing the NGDC to attract new load and maintain existing load.  </w:t>
      </w:r>
      <w:r>
        <w:t xml:space="preserve">The ALJ proffered that without </w:t>
      </w:r>
      <w:r w:rsidR="009A60A4" w:rsidRPr="009A60A4">
        <w:t>some form of discounting, the lower-tariff</w:t>
      </w:r>
      <w:r w:rsidR="00CF1D41">
        <w:t>-cost</w:t>
      </w:r>
      <w:r w:rsidR="009A60A4" w:rsidRPr="009A60A4">
        <w:t xml:space="preserve"> NGDC could easily poach the customers of the higher-tariff-cost NGDC</w:t>
      </w:r>
      <w:r>
        <w:t>,</w:t>
      </w:r>
      <w:r w:rsidR="009A60A4" w:rsidRPr="009A60A4">
        <w:t xml:space="preserve"> creating financial difficulties for the higher-tariff-cost NGDC and its captive ratepayers.  </w:t>
      </w:r>
      <w:proofErr w:type="gramStart"/>
      <w:r>
        <w:t xml:space="preserve">R.D. at 35-36 (citing </w:t>
      </w:r>
      <w:r w:rsidR="009A60A4" w:rsidRPr="009A60A4">
        <w:t>OCA St.</w:t>
      </w:r>
      <w:r w:rsidR="00CF1D41">
        <w:t> </w:t>
      </w:r>
      <w:r w:rsidR="009A60A4" w:rsidRPr="009A60A4">
        <w:t>1</w:t>
      </w:r>
      <w:r w:rsidR="00CF1D41">
        <w:noBreakHyphen/>
      </w:r>
      <w:r w:rsidR="009A60A4" w:rsidRPr="009A60A4">
        <w:t>R</w:t>
      </w:r>
      <w:r w:rsidR="00CF1D41">
        <w:t> </w:t>
      </w:r>
      <w:r>
        <w:t>at</w:t>
      </w:r>
      <w:r w:rsidR="00CF1D41">
        <w:t> </w:t>
      </w:r>
      <w:r w:rsidR="009A60A4" w:rsidRPr="009A60A4">
        <w:t>8</w:t>
      </w:r>
      <w:r>
        <w:t>,</w:t>
      </w:r>
      <w:r w:rsidR="009A60A4" w:rsidRPr="009A60A4">
        <w:t xml:space="preserve"> IECPA St.</w:t>
      </w:r>
      <w:r w:rsidR="00CF1D41">
        <w:t> </w:t>
      </w:r>
      <w:r>
        <w:t>1</w:t>
      </w:r>
      <w:r w:rsidR="00CF1D41">
        <w:t> </w:t>
      </w:r>
      <w:r>
        <w:t>at</w:t>
      </w:r>
      <w:r w:rsidR="00CF1D41">
        <w:t> </w:t>
      </w:r>
      <w:r w:rsidR="009A60A4" w:rsidRPr="009A60A4">
        <w:t>6</w:t>
      </w:r>
      <w:r w:rsidR="007271C7">
        <w:t>).</w:t>
      </w:r>
      <w:proofErr w:type="gramEnd"/>
    </w:p>
    <w:p w:rsidR="009A60A4" w:rsidRPr="009A60A4" w:rsidRDefault="009A60A4" w:rsidP="00B43911">
      <w:pPr>
        <w:widowControl/>
        <w:ind w:firstLine="720"/>
        <w:jc w:val="both"/>
        <w:rPr>
          <w:color w:val="00B050"/>
        </w:rPr>
      </w:pPr>
    </w:p>
    <w:p w:rsidR="009A60A4" w:rsidRPr="009A60A4" w:rsidRDefault="007271C7" w:rsidP="00B43911">
      <w:pPr>
        <w:widowControl/>
      </w:pPr>
      <w:r>
        <w:t>In summary, the ALJ concluded that t</w:t>
      </w:r>
      <w:r w:rsidR="009A60A4" w:rsidRPr="009A60A4">
        <w:t xml:space="preserve">he </w:t>
      </w:r>
      <w:r w:rsidR="006D16AD">
        <w:t>Peoples/PTWP</w:t>
      </w:r>
      <w:r w:rsidR="009A60A4" w:rsidRPr="009A60A4">
        <w:t xml:space="preserve"> </w:t>
      </w:r>
      <w:r>
        <w:t>p</w:t>
      </w:r>
      <w:r w:rsidR="009A60A4" w:rsidRPr="009A60A4">
        <w:t>roposal is a compromise between preserving what benefits there may be with competition through discounting</w:t>
      </w:r>
      <w:r w:rsidR="00791869">
        <w:t>,</w:t>
      </w:r>
      <w:r w:rsidR="009A60A4" w:rsidRPr="009A60A4">
        <w:t xml:space="preserve"> while requiring competing NGDCs to eliminate inter-class subsidies</w:t>
      </w:r>
      <w:r>
        <w:t xml:space="preserve">.  </w:t>
      </w:r>
      <w:r w:rsidR="00D74835">
        <w:t xml:space="preserve">She explained that the inter-class subsidies would be eliminated </w:t>
      </w:r>
      <w:r>
        <w:t>by</w:t>
      </w:r>
      <w:r w:rsidR="009A60A4" w:rsidRPr="009A60A4">
        <w:t xml:space="preserve"> creat</w:t>
      </w:r>
      <w:r w:rsidR="00D74835">
        <w:t xml:space="preserve">ing a </w:t>
      </w:r>
      <w:r w:rsidR="009A60A4" w:rsidRPr="009A60A4">
        <w:t xml:space="preserve">discount floor </w:t>
      </w:r>
      <w:r w:rsidR="00D74835">
        <w:t xml:space="preserve">at the </w:t>
      </w:r>
      <w:r w:rsidR="009A60A4" w:rsidRPr="009A60A4">
        <w:t>non-discounted tariffed rate of the competitor NGDC</w:t>
      </w:r>
      <w:r w:rsidR="00D74835">
        <w:t xml:space="preserve"> which is </w:t>
      </w:r>
      <w:r w:rsidR="009A60A4" w:rsidRPr="009A60A4">
        <w:t xml:space="preserve">reasonably cost-based.  </w:t>
      </w:r>
      <w:r w:rsidR="00D74835">
        <w:t>The ALJ noted that i</w:t>
      </w:r>
      <w:r w:rsidR="009A60A4" w:rsidRPr="009A60A4">
        <w:t xml:space="preserve">n order for an NGDC to offer gas-on-gas discounts prospectively, the NGDC would have to obtain a Commission finding or determination in its next base rate case and future base rate proceedings that its new rates are within a range that reasonably reflects cost of service.  </w:t>
      </w:r>
      <w:proofErr w:type="gramStart"/>
      <w:r w:rsidR="00D74835">
        <w:t>R.D. at 36.</w:t>
      </w:r>
      <w:proofErr w:type="gramEnd"/>
      <w:r w:rsidR="00D74835">
        <w:t xml:space="preserve"> </w:t>
      </w:r>
    </w:p>
    <w:p w:rsidR="009A60A4" w:rsidRDefault="009A60A4" w:rsidP="00B43911">
      <w:pPr>
        <w:widowControl/>
        <w:rPr>
          <w:b/>
          <w:color w:val="000000"/>
        </w:rPr>
      </w:pPr>
    </w:p>
    <w:p w:rsidR="00C461BD" w:rsidRDefault="00C461BD" w:rsidP="00CF1D41">
      <w:pPr>
        <w:pStyle w:val="Heading3"/>
        <w:widowControl/>
      </w:pPr>
      <w:bookmarkStart w:id="12" w:name="_Toc404013222"/>
      <w:r>
        <w:t>Exceptions</w:t>
      </w:r>
      <w:bookmarkEnd w:id="12"/>
    </w:p>
    <w:p w:rsidR="00805745" w:rsidRPr="00805745" w:rsidRDefault="00805745" w:rsidP="00CF1D41">
      <w:pPr>
        <w:keepNext/>
        <w:keepLines/>
        <w:widowControl/>
      </w:pPr>
    </w:p>
    <w:p w:rsidR="00123517" w:rsidRDefault="00123517" w:rsidP="00B43911">
      <w:pPr>
        <w:widowControl/>
        <w:rPr>
          <w:szCs w:val="26"/>
        </w:rPr>
      </w:pPr>
      <w:r>
        <w:rPr>
          <w:szCs w:val="26"/>
        </w:rPr>
        <w:t xml:space="preserve">For the reasons presented in its Main Brief and discussed, </w:t>
      </w:r>
      <w:r w:rsidRPr="00123517">
        <w:rPr>
          <w:i/>
          <w:szCs w:val="26"/>
        </w:rPr>
        <w:t>supra</w:t>
      </w:r>
      <w:r>
        <w:rPr>
          <w:szCs w:val="26"/>
        </w:rPr>
        <w:t xml:space="preserve">, the OSBA </w:t>
      </w:r>
      <w:proofErr w:type="gramStart"/>
      <w:r>
        <w:rPr>
          <w:szCs w:val="26"/>
        </w:rPr>
        <w:t>excepts</w:t>
      </w:r>
      <w:proofErr w:type="gramEnd"/>
      <w:r>
        <w:rPr>
          <w:szCs w:val="26"/>
        </w:rPr>
        <w:t xml:space="preserve"> to the ALJ</w:t>
      </w:r>
      <w:r w:rsidR="001D074D">
        <w:rPr>
          <w:szCs w:val="26"/>
        </w:rPr>
        <w:t>’</w:t>
      </w:r>
      <w:r>
        <w:rPr>
          <w:szCs w:val="26"/>
        </w:rPr>
        <w:t xml:space="preserve">s recommendation that gas-on-gas discounting end no later than December 31, 2018, instead of December 31, 2016, as recommended </w:t>
      </w:r>
      <w:r w:rsidR="0082330D">
        <w:rPr>
          <w:szCs w:val="26"/>
        </w:rPr>
        <w:t>by the OSBA.  OSBA</w:t>
      </w:r>
      <w:r>
        <w:rPr>
          <w:szCs w:val="26"/>
        </w:rPr>
        <w:t xml:space="preserve"> Exc. at 5-7.  </w:t>
      </w:r>
      <w:r w:rsidR="00E06959">
        <w:rPr>
          <w:szCs w:val="26"/>
        </w:rPr>
        <w:t xml:space="preserve">Alternatively, </w:t>
      </w:r>
      <w:r w:rsidR="00A97BC5">
        <w:rPr>
          <w:szCs w:val="26"/>
        </w:rPr>
        <w:t xml:space="preserve">as discussed in its </w:t>
      </w:r>
      <w:r w:rsidR="00E06959">
        <w:rPr>
          <w:szCs w:val="26"/>
        </w:rPr>
        <w:t xml:space="preserve">Main Brief and discussed, </w:t>
      </w:r>
      <w:r w:rsidR="00E06959" w:rsidRPr="00F06C10">
        <w:rPr>
          <w:i/>
          <w:szCs w:val="26"/>
        </w:rPr>
        <w:t>supra</w:t>
      </w:r>
      <w:r w:rsidR="00E06959">
        <w:rPr>
          <w:szCs w:val="26"/>
        </w:rPr>
        <w:t xml:space="preserve">, IECPA </w:t>
      </w:r>
      <w:r w:rsidR="00A97BC5">
        <w:rPr>
          <w:szCs w:val="26"/>
        </w:rPr>
        <w:t xml:space="preserve">argues, </w:t>
      </w:r>
      <w:r w:rsidR="00A97BC5" w:rsidRPr="00A97BC5">
        <w:rPr>
          <w:i/>
          <w:szCs w:val="26"/>
        </w:rPr>
        <w:t>inter alia</w:t>
      </w:r>
      <w:r w:rsidR="00A97BC5">
        <w:rPr>
          <w:szCs w:val="26"/>
        </w:rPr>
        <w:t>, that the ALJ</w:t>
      </w:r>
      <w:r w:rsidR="001D074D">
        <w:rPr>
          <w:szCs w:val="26"/>
        </w:rPr>
        <w:t>’</w:t>
      </w:r>
      <w:r w:rsidR="00A97BC5">
        <w:rPr>
          <w:szCs w:val="26"/>
        </w:rPr>
        <w:t xml:space="preserve">s proposed deadline would affect contract rates </w:t>
      </w:r>
      <w:r w:rsidR="00A97BC5">
        <w:rPr>
          <w:szCs w:val="26"/>
        </w:rPr>
        <w:lastRenderedPageBreak/>
        <w:t>which would create serious due process concerns as well as potential circumstances of a</w:t>
      </w:r>
      <w:r w:rsidR="00BA1886">
        <w:rPr>
          <w:szCs w:val="26"/>
        </w:rPr>
        <w:t>n</w:t>
      </w:r>
      <w:r w:rsidR="00A97BC5">
        <w:rPr>
          <w:szCs w:val="26"/>
        </w:rPr>
        <w:t xml:space="preserve"> unlawful taking from affected customers.  IECPA Exc. at 16.</w:t>
      </w:r>
    </w:p>
    <w:p w:rsidR="00A97BC5" w:rsidRDefault="00A97BC5" w:rsidP="00B43911">
      <w:pPr>
        <w:widowControl/>
        <w:rPr>
          <w:szCs w:val="26"/>
        </w:rPr>
      </w:pPr>
    </w:p>
    <w:p w:rsidR="00B11CCC" w:rsidRDefault="00A23FE0" w:rsidP="00B43911">
      <w:pPr>
        <w:widowControl/>
        <w:rPr>
          <w:rFonts w:eastAsiaTheme="minorHAnsi"/>
        </w:rPr>
      </w:pPr>
      <w:r>
        <w:rPr>
          <w:rFonts w:eastAsiaTheme="minorHAnsi"/>
        </w:rPr>
        <w:t>PSU argues that the ALJ</w:t>
      </w:r>
      <w:r w:rsidR="001D074D">
        <w:rPr>
          <w:rFonts w:eastAsiaTheme="minorHAnsi"/>
        </w:rPr>
        <w:t>’</w:t>
      </w:r>
      <w:r>
        <w:rPr>
          <w:rFonts w:eastAsiaTheme="minorHAnsi"/>
        </w:rPr>
        <w:t>s recommendation that</w:t>
      </w:r>
      <w:r w:rsidR="00C428B3">
        <w:rPr>
          <w:rFonts w:eastAsiaTheme="minorHAnsi"/>
        </w:rPr>
        <w:t xml:space="preserve"> all individual flex contracts </w:t>
      </w:r>
      <w:r>
        <w:rPr>
          <w:rFonts w:eastAsiaTheme="minorHAnsi"/>
        </w:rPr>
        <w:t xml:space="preserve">be terminated in </w:t>
      </w:r>
      <w:proofErr w:type="gramStart"/>
      <w:r>
        <w:rPr>
          <w:rFonts w:eastAsiaTheme="minorHAnsi"/>
        </w:rPr>
        <w:t>2018</w:t>
      </w:r>
      <w:r w:rsidR="009D4529">
        <w:rPr>
          <w:rFonts w:eastAsiaTheme="minorHAnsi"/>
        </w:rPr>
        <w:t>,</w:t>
      </w:r>
      <w:proofErr w:type="gramEnd"/>
      <w:r>
        <w:rPr>
          <w:rFonts w:eastAsiaTheme="minorHAnsi"/>
        </w:rPr>
        <w:t xml:space="preserve"> plainly eviscerates due process as the decision has already been made in a proceeding in which each contract holder has not been provided notice and an opportunity to be heard.  PSU projects that there likely </w:t>
      </w:r>
      <w:proofErr w:type="gramStart"/>
      <w:r>
        <w:rPr>
          <w:rFonts w:eastAsiaTheme="minorHAnsi"/>
        </w:rPr>
        <w:t>are</w:t>
      </w:r>
      <w:proofErr w:type="gramEnd"/>
      <w:r>
        <w:rPr>
          <w:rFonts w:eastAsiaTheme="minorHAnsi"/>
        </w:rPr>
        <w:t xml:space="preserve"> gas-on-gas flex customers that have no knowledge </w:t>
      </w:r>
      <w:r w:rsidR="00FC422A">
        <w:rPr>
          <w:rFonts w:eastAsiaTheme="minorHAnsi"/>
        </w:rPr>
        <w:t xml:space="preserve">that </w:t>
      </w:r>
      <w:r>
        <w:rPr>
          <w:rFonts w:eastAsiaTheme="minorHAnsi"/>
        </w:rPr>
        <w:t xml:space="preserve">their contracts rights may be cut short by the Recommended Decision </w:t>
      </w:r>
      <w:r w:rsidR="00FC422A">
        <w:rPr>
          <w:rFonts w:eastAsiaTheme="minorHAnsi"/>
        </w:rPr>
        <w:t>in t</w:t>
      </w:r>
      <w:r>
        <w:rPr>
          <w:rFonts w:eastAsiaTheme="minorHAnsi"/>
        </w:rPr>
        <w:t>his proceeding.  PSU avers that this proceeding cannot be an end</w:t>
      </w:r>
      <w:r w:rsidR="00FC422A">
        <w:rPr>
          <w:rFonts w:eastAsiaTheme="minorHAnsi"/>
        </w:rPr>
        <w:t xml:space="preserve"> </w:t>
      </w:r>
      <w:r>
        <w:rPr>
          <w:rFonts w:eastAsiaTheme="minorHAnsi"/>
        </w:rPr>
        <w:t xml:space="preserve">run around Section 508 of the </w:t>
      </w:r>
      <w:r w:rsidR="00326510">
        <w:rPr>
          <w:rFonts w:eastAsiaTheme="minorHAnsi"/>
        </w:rPr>
        <w:t>C</w:t>
      </w:r>
      <w:r>
        <w:rPr>
          <w:rFonts w:eastAsiaTheme="minorHAnsi"/>
        </w:rPr>
        <w:t>ode</w:t>
      </w:r>
      <w:r w:rsidR="00FC422A">
        <w:rPr>
          <w:rFonts w:eastAsiaTheme="minorHAnsi"/>
        </w:rPr>
        <w:t>,</w:t>
      </w:r>
      <w:r>
        <w:rPr>
          <w:rFonts w:eastAsiaTheme="minorHAnsi"/>
        </w:rPr>
        <w:t xml:space="preserve"> which provides that whenever the Commission determines afte</w:t>
      </w:r>
      <w:r w:rsidR="00C428B3">
        <w:rPr>
          <w:rFonts w:eastAsiaTheme="minorHAnsi"/>
        </w:rPr>
        <w:t>r reasonable notice and hearing</w:t>
      </w:r>
      <w:r>
        <w:rPr>
          <w:rFonts w:eastAsiaTheme="minorHAnsi"/>
        </w:rPr>
        <w:t xml:space="preserve"> that the terms of a contract involving a public utility are contrary to the public interest, the Commission </w:t>
      </w:r>
      <w:r w:rsidR="001D074D">
        <w:rPr>
          <w:rFonts w:eastAsiaTheme="minorHAnsi"/>
        </w:rPr>
        <w:t>“</w:t>
      </w:r>
      <w:r>
        <w:rPr>
          <w:rFonts w:eastAsiaTheme="minorHAnsi"/>
        </w:rPr>
        <w:t>shall determine and prescribe, by findings and order, the just,</w:t>
      </w:r>
      <w:r w:rsidR="00FC2027">
        <w:rPr>
          <w:rFonts w:eastAsiaTheme="minorHAnsi"/>
        </w:rPr>
        <w:t xml:space="preserve"> </w:t>
      </w:r>
      <w:r>
        <w:rPr>
          <w:rFonts w:eastAsiaTheme="minorHAnsi"/>
        </w:rPr>
        <w:t>reasonable, and equitable obligations, terms, and conditions of such contract.</w:t>
      </w:r>
      <w:r w:rsidR="001D074D">
        <w:rPr>
          <w:rFonts w:eastAsiaTheme="minorHAnsi"/>
        </w:rPr>
        <w:t>”</w:t>
      </w:r>
      <w:r>
        <w:rPr>
          <w:rFonts w:eastAsiaTheme="minorHAnsi"/>
        </w:rPr>
        <w:t xml:space="preserve"> </w:t>
      </w:r>
      <w:r w:rsidR="00FC2027">
        <w:rPr>
          <w:rFonts w:eastAsiaTheme="minorHAnsi"/>
        </w:rPr>
        <w:t xml:space="preserve"> PSU Exc. at 6 </w:t>
      </w:r>
      <w:r w:rsidR="005A305E">
        <w:rPr>
          <w:rFonts w:eastAsiaTheme="minorHAnsi"/>
        </w:rPr>
        <w:t>(</w:t>
      </w:r>
      <w:r w:rsidR="00FC2027">
        <w:rPr>
          <w:rFonts w:eastAsiaTheme="minorHAnsi"/>
        </w:rPr>
        <w:t xml:space="preserve">citing 66 Pa. </w:t>
      </w:r>
      <w:r w:rsidR="005A305E">
        <w:rPr>
          <w:rFonts w:eastAsiaTheme="minorHAnsi"/>
        </w:rPr>
        <w:t>C.S.</w:t>
      </w:r>
      <w:r w:rsidR="00FC422A">
        <w:rPr>
          <w:rFonts w:eastAsiaTheme="minorHAnsi"/>
        </w:rPr>
        <w:t> </w:t>
      </w:r>
      <w:r w:rsidR="005A305E">
        <w:rPr>
          <w:rFonts w:eastAsiaTheme="minorHAnsi"/>
        </w:rPr>
        <w:t>§</w:t>
      </w:r>
      <w:r w:rsidR="00FC422A">
        <w:rPr>
          <w:rFonts w:eastAsiaTheme="minorHAnsi"/>
        </w:rPr>
        <w:t> </w:t>
      </w:r>
      <w:r w:rsidR="005A305E">
        <w:rPr>
          <w:rFonts w:eastAsiaTheme="minorHAnsi"/>
        </w:rPr>
        <w:t>508).</w:t>
      </w:r>
    </w:p>
    <w:p w:rsidR="00B11CCC" w:rsidRDefault="00B11CCC" w:rsidP="00B43911">
      <w:pPr>
        <w:widowControl/>
        <w:rPr>
          <w:rFonts w:eastAsiaTheme="minorHAnsi"/>
        </w:rPr>
      </w:pPr>
    </w:p>
    <w:p w:rsidR="00123517" w:rsidRPr="004C5514" w:rsidRDefault="005A305E" w:rsidP="00B43911">
      <w:pPr>
        <w:widowControl/>
        <w:rPr>
          <w:i/>
          <w:szCs w:val="26"/>
        </w:rPr>
      </w:pPr>
      <w:r>
        <w:rPr>
          <w:rFonts w:eastAsiaTheme="minorHAnsi"/>
        </w:rPr>
        <w:t xml:space="preserve">PSU opines that </w:t>
      </w:r>
      <w:r w:rsidR="00A23FE0">
        <w:rPr>
          <w:rFonts w:eastAsiaTheme="minorHAnsi"/>
        </w:rPr>
        <w:t>to modify</w:t>
      </w:r>
      <w:r>
        <w:rPr>
          <w:rFonts w:eastAsiaTheme="minorHAnsi"/>
        </w:rPr>
        <w:t xml:space="preserve"> </w:t>
      </w:r>
      <w:r w:rsidR="00A23FE0">
        <w:rPr>
          <w:rFonts w:eastAsiaTheme="minorHAnsi"/>
        </w:rPr>
        <w:t>or terminate a gas-on-gas flex contract, the Commission must conduct a hearing with respect to</w:t>
      </w:r>
      <w:r>
        <w:rPr>
          <w:rFonts w:eastAsiaTheme="minorHAnsi"/>
        </w:rPr>
        <w:t xml:space="preserve"> </w:t>
      </w:r>
      <w:r w:rsidR="00A23FE0">
        <w:rPr>
          <w:rFonts w:eastAsiaTheme="minorHAnsi"/>
        </w:rPr>
        <w:t>each contract and, based upon the particular circumstances of each agreement, determine</w:t>
      </w:r>
      <w:r>
        <w:rPr>
          <w:rFonts w:eastAsiaTheme="minorHAnsi"/>
        </w:rPr>
        <w:t xml:space="preserve"> </w:t>
      </w:r>
      <w:r w:rsidR="00A23FE0">
        <w:rPr>
          <w:rFonts w:eastAsiaTheme="minorHAnsi"/>
        </w:rPr>
        <w:t xml:space="preserve">the just, reasonable and equitable obligations, terms and conditions of the contract. </w:t>
      </w:r>
      <w:r>
        <w:rPr>
          <w:rFonts w:eastAsiaTheme="minorHAnsi"/>
        </w:rPr>
        <w:t xml:space="preserve"> PSU explains that such an </w:t>
      </w:r>
      <w:r w:rsidR="00A23FE0">
        <w:rPr>
          <w:rFonts w:eastAsiaTheme="minorHAnsi"/>
        </w:rPr>
        <w:t>inquiry</w:t>
      </w:r>
      <w:r>
        <w:rPr>
          <w:rFonts w:eastAsiaTheme="minorHAnsi"/>
        </w:rPr>
        <w:t xml:space="preserve"> </w:t>
      </w:r>
      <w:r w:rsidR="00A23FE0">
        <w:rPr>
          <w:rFonts w:eastAsiaTheme="minorHAnsi"/>
        </w:rPr>
        <w:t xml:space="preserve">is not limited to adjusting the contract rate to a </w:t>
      </w:r>
      <w:r w:rsidR="001D074D">
        <w:rPr>
          <w:rFonts w:eastAsiaTheme="minorHAnsi"/>
        </w:rPr>
        <w:t>“</w:t>
      </w:r>
      <w:r w:rsidR="00A23FE0">
        <w:rPr>
          <w:rFonts w:eastAsiaTheme="minorHAnsi"/>
        </w:rPr>
        <w:t>just and reasonable</w:t>
      </w:r>
      <w:r w:rsidR="001D074D">
        <w:rPr>
          <w:rFonts w:eastAsiaTheme="minorHAnsi"/>
        </w:rPr>
        <w:t>”</w:t>
      </w:r>
      <w:r w:rsidR="00A23FE0">
        <w:rPr>
          <w:rFonts w:eastAsiaTheme="minorHAnsi"/>
        </w:rPr>
        <w:t xml:space="preserve"> level</w:t>
      </w:r>
      <w:r>
        <w:rPr>
          <w:rFonts w:eastAsiaTheme="minorHAnsi"/>
        </w:rPr>
        <w:t xml:space="preserve"> but S</w:t>
      </w:r>
      <w:r w:rsidR="00A23FE0">
        <w:rPr>
          <w:rFonts w:eastAsiaTheme="minorHAnsi"/>
        </w:rPr>
        <w:t>ection 508 also</w:t>
      </w:r>
      <w:r>
        <w:rPr>
          <w:rFonts w:eastAsiaTheme="minorHAnsi"/>
        </w:rPr>
        <w:t xml:space="preserve"> </w:t>
      </w:r>
      <w:r w:rsidR="00A23FE0">
        <w:rPr>
          <w:rFonts w:eastAsiaTheme="minorHAnsi"/>
        </w:rPr>
        <w:t xml:space="preserve">requires the Commission to ensure that the adjustment is </w:t>
      </w:r>
      <w:r w:rsidR="001D074D">
        <w:rPr>
          <w:rFonts w:eastAsiaTheme="minorHAnsi"/>
        </w:rPr>
        <w:t>“</w:t>
      </w:r>
      <w:r w:rsidR="00A23FE0">
        <w:rPr>
          <w:rFonts w:eastAsiaTheme="minorHAnsi"/>
        </w:rPr>
        <w:t>equitable.</w:t>
      </w:r>
      <w:r w:rsidR="001D074D">
        <w:rPr>
          <w:rFonts w:eastAsiaTheme="minorHAnsi"/>
        </w:rPr>
        <w:t>”</w:t>
      </w:r>
      <w:r>
        <w:rPr>
          <w:rFonts w:eastAsiaTheme="minorHAnsi"/>
        </w:rPr>
        <w:t xml:space="preserve">  </w:t>
      </w:r>
      <w:r w:rsidR="004C5514">
        <w:rPr>
          <w:rFonts w:eastAsiaTheme="minorHAnsi"/>
        </w:rPr>
        <w:t xml:space="preserve">PSU Exc. at 6. </w:t>
      </w:r>
      <w:r w:rsidR="00FC422A">
        <w:rPr>
          <w:rFonts w:eastAsiaTheme="minorHAnsi"/>
        </w:rPr>
        <w:t xml:space="preserve"> </w:t>
      </w:r>
      <w:r>
        <w:rPr>
          <w:rFonts w:eastAsiaTheme="minorHAnsi"/>
        </w:rPr>
        <w:t xml:space="preserve">PSU states that </w:t>
      </w:r>
      <w:r w:rsidR="00A23FE0">
        <w:rPr>
          <w:rFonts w:eastAsiaTheme="minorHAnsi"/>
        </w:rPr>
        <w:t xml:space="preserve">if the Commission adopts the </w:t>
      </w:r>
      <w:r>
        <w:rPr>
          <w:rFonts w:eastAsiaTheme="minorHAnsi"/>
        </w:rPr>
        <w:t>ALJ</w:t>
      </w:r>
      <w:r w:rsidR="001D074D">
        <w:rPr>
          <w:rFonts w:eastAsiaTheme="minorHAnsi"/>
        </w:rPr>
        <w:t>’</w:t>
      </w:r>
      <w:r w:rsidR="00A23FE0">
        <w:rPr>
          <w:rFonts w:eastAsiaTheme="minorHAnsi"/>
        </w:rPr>
        <w:t>s recommendation, it will have to make</w:t>
      </w:r>
      <w:r>
        <w:rPr>
          <w:rFonts w:eastAsiaTheme="minorHAnsi"/>
        </w:rPr>
        <w:t xml:space="preserve"> </w:t>
      </w:r>
      <w:r w:rsidR="00A23FE0">
        <w:rPr>
          <w:rFonts w:eastAsiaTheme="minorHAnsi"/>
        </w:rPr>
        <w:t>individualized findings for each contract regarding the degree to which the parties have made</w:t>
      </w:r>
      <w:r>
        <w:rPr>
          <w:rFonts w:eastAsiaTheme="minorHAnsi"/>
        </w:rPr>
        <w:t xml:space="preserve"> </w:t>
      </w:r>
      <w:r w:rsidR="00A23FE0">
        <w:rPr>
          <w:rFonts w:eastAsiaTheme="minorHAnsi"/>
        </w:rPr>
        <w:t>investments or other business decisions in reliance on the discount rate</w:t>
      </w:r>
      <w:r w:rsidR="00FC422A">
        <w:rPr>
          <w:rFonts w:eastAsiaTheme="minorHAnsi"/>
        </w:rPr>
        <w:t>,</w:t>
      </w:r>
      <w:r w:rsidR="00A23FE0">
        <w:rPr>
          <w:rFonts w:eastAsiaTheme="minorHAnsi"/>
        </w:rPr>
        <w:t xml:space="preserve"> and then adjust the terms</w:t>
      </w:r>
      <w:r>
        <w:rPr>
          <w:rFonts w:eastAsiaTheme="minorHAnsi"/>
        </w:rPr>
        <w:t xml:space="preserve"> </w:t>
      </w:r>
      <w:r w:rsidR="00A23FE0">
        <w:rPr>
          <w:rFonts w:eastAsiaTheme="minorHAnsi"/>
        </w:rPr>
        <w:t xml:space="preserve">of the modified contract to account for those equities. </w:t>
      </w:r>
      <w:r>
        <w:rPr>
          <w:rFonts w:eastAsiaTheme="minorHAnsi"/>
        </w:rPr>
        <w:t xml:space="preserve"> </w:t>
      </w:r>
      <w:r w:rsidR="004C5514" w:rsidRPr="004C5514">
        <w:rPr>
          <w:rFonts w:eastAsiaTheme="minorHAnsi"/>
          <w:i/>
        </w:rPr>
        <w:t>Id.</w:t>
      </w:r>
    </w:p>
    <w:p w:rsidR="00326510" w:rsidRDefault="00326510" w:rsidP="00B43911">
      <w:pPr>
        <w:widowControl/>
        <w:rPr>
          <w:szCs w:val="26"/>
        </w:rPr>
      </w:pPr>
    </w:p>
    <w:p w:rsidR="00EA3F40" w:rsidRDefault="00EA3F40" w:rsidP="00B43911">
      <w:pPr>
        <w:widowControl/>
        <w:rPr>
          <w:szCs w:val="26"/>
        </w:rPr>
      </w:pPr>
      <w:r>
        <w:rPr>
          <w:szCs w:val="26"/>
        </w:rPr>
        <w:t>In addition to issues related to the Commission</w:t>
      </w:r>
      <w:r w:rsidR="001D074D">
        <w:rPr>
          <w:szCs w:val="26"/>
        </w:rPr>
        <w:t>’</w:t>
      </w:r>
      <w:r>
        <w:rPr>
          <w:szCs w:val="26"/>
        </w:rPr>
        <w:t>s ability to amend gas-on</w:t>
      </w:r>
      <w:r w:rsidR="000C65B2">
        <w:rPr>
          <w:szCs w:val="26"/>
        </w:rPr>
        <w:t>-</w:t>
      </w:r>
      <w:r>
        <w:rPr>
          <w:szCs w:val="26"/>
        </w:rPr>
        <w:t>gas customer contracts and customers</w:t>
      </w:r>
      <w:r w:rsidR="001D074D">
        <w:rPr>
          <w:szCs w:val="26"/>
        </w:rPr>
        <w:t>’</w:t>
      </w:r>
      <w:r>
        <w:rPr>
          <w:szCs w:val="26"/>
        </w:rPr>
        <w:t xml:space="preserve"> reliance on the discounts offered by those contracts, Columbia submits that NGDCs have entered into these agreements with the </w:t>
      </w:r>
      <w:r>
        <w:rPr>
          <w:szCs w:val="26"/>
        </w:rPr>
        <w:lastRenderedPageBreak/>
        <w:t xml:space="preserve">understanding that if the discounts were justified to meet competition, the resulting shortfall would be recoverable.  Columbia opines that </w:t>
      </w:r>
      <w:r w:rsidR="001D074D">
        <w:rPr>
          <w:szCs w:val="26"/>
        </w:rPr>
        <w:t>“</w:t>
      </w:r>
      <w:r>
        <w:rPr>
          <w:szCs w:val="26"/>
        </w:rPr>
        <w:t>equity would dictate that such customers be permitted to realize the benefit of their agreements and NGDCs should be permitted to recover the associated shortfall.</w:t>
      </w:r>
      <w:r w:rsidR="001D074D">
        <w:rPr>
          <w:szCs w:val="26"/>
        </w:rPr>
        <w:t>”</w:t>
      </w:r>
      <w:r>
        <w:rPr>
          <w:szCs w:val="26"/>
        </w:rPr>
        <w:t xml:space="preserve">  </w:t>
      </w:r>
      <w:proofErr w:type="gramStart"/>
      <w:r>
        <w:rPr>
          <w:szCs w:val="26"/>
        </w:rPr>
        <w:t>Columbia Exc. at 6.</w:t>
      </w:r>
      <w:proofErr w:type="gramEnd"/>
      <w:r>
        <w:rPr>
          <w:szCs w:val="26"/>
        </w:rPr>
        <w:t xml:space="preserve"> </w:t>
      </w:r>
    </w:p>
    <w:p w:rsidR="00EA3F40" w:rsidRDefault="00EA3F40" w:rsidP="00B43911">
      <w:pPr>
        <w:widowControl/>
        <w:rPr>
          <w:szCs w:val="26"/>
        </w:rPr>
      </w:pPr>
    </w:p>
    <w:p w:rsidR="00326510" w:rsidRDefault="00326510" w:rsidP="00B43911">
      <w:pPr>
        <w:widowControl/>
        <w:rPr>
          <w:rFonts w:eastAsiaTheme="minorHAnsi"/>
          <w:szCs w:val="26"/>
        </w:rPr>
      </w:pPr>
      <w:r w:rsidRPr="00791175">
        <w:rPr>
          <w:szCs w:val="26"/>
        </w:rPr>
        <w:t xml:space="preserve">PSU argues that the ALJ has not made any allowance for the performance of contracts with terms extending beyond 2018.  PSU submits that </w:t>
      </w:r>
      <w:r w:rsidRPr="00791175">
        <w:rPr>
          <w:rFonts w:eastAsiaTheme="minorHAnsi"/>
          <w:szCs w:val="26"/>
        </w:rPr>
        <w:t xml:space="preserve">the impairment of existing contracts sends a bad message to businesses and institutions that may be considering locating in Pennsylvania or expanding their operations here. </w:t>
      </w:r>
      <w:r>
        <w:rPr>
          <w:rFonts w:eastAsiaTheme="minorHAnsi"/>
          <w:szCs w:val="26"/>
        </w:rPr>
        <w:t xml:space="preserve"> PSU opines that </w:t>
      </w:r>
      <w:r w:rsidRPr="00791175">
        <w:rPr>
          <w:rFonts w:eastAsiaTheme="minorHAnsi"/>
          <w:szCs w:val="26"/>
        </w:rPr>
        <w:t>Government respect for and enforcement of property rights</w:t>
      </w:r>
      <w:r>
        <w:rPr>
          <w:rFonts w:eastAsiaTheme="minorHAnsi"/>
          <w:szCs w:val="26"/>
        </w:rPr>
        <w:t xml:space="preserve">, </w:t>
      </w:r>
      <w:r w:rsidRPr="00791175">
        <w:rPr>
          <w:rFonts w:eastAsiaTheme="minorHAnsi"/>
          <w:szCs w:val="26"/>
        </w:rPr>
        <w:t>including contractual rights</w:t>
      </w:r>
      <w:r>
        <w:rPr>
          <w:rFonts w:eastAsiaTheme="minorHAnsi"/>
          <w:szCs w:val="26"/>
        </w:rPr>
        <w:t>,</w:t>
      </w:r>
      <w:r w:rsidRPr="00791175">
        <w:rPr>
          <w:rFonts w:eastAsiaTheme="minorHAnsi"/>
          <w:szCs w:val="26"/>
        </w:rPr>
        <w:t xml:space="preserve"> are fundamental prerequisites to economic development</w:t>
      </w:r>
      <w:r>
        <w:rPr>
          <w:rFonts w:eastAsiaTheme="minorHAnsi"/>
          <w:szCs w:val="26"/>
        </w:rPr>
        <w:t xml:space="preserve"> and the </w:t>
      </w:r>
      <w:r w:rsidRPr="00791175">
        <w:rPr>
          <w:rFonts w:eastAsiaTheme="minorHAnsi"/>
          <w:szCs w:val="26"/>
        </w:rPr>
        <w:t xml:space="preserve">wholesale abrogation of existing contracts on the basis of regulatory whim is obviously toxic to such development. </w:t>
      </w:r>
      <w:r>
        <w:rPr>
          <w:rFonts w:eastAsiaTheme="minorHAnsi"/>
          <w:szCs w:val="26"/>
        </w:rPr>
        <w:t xml:space="preserve"> PSU Exc. at 5. </w:t>
      </w:r>
    </w:p>
    <w:p w:rsidR="00BA1886" w:rsidRDefault="00BA1886" w:rsidP="00B43911">
      <w:pPr>
        <w:widowControl/>
        <w:rPr>
          <w:rFonts w:eastAsiaTheme="minorHAnsi"/>
          <w:szCs w:val="26"/>
        </w:rPr>
      </w:pPr>
    </w:p>
    <w:p w:rsidR="003270B5" w:rsidRDefault="00BA1886" w:rsidP="00B43911">
      <w:pPr>
        <w:widowControl/>
        <w:rPr>
          <w:rFonts w:eastAsiaTheme="minorHAnsi"/>
          <w:szCs w:val="26"/>
        </w:rPr>
      </w:pPr>
      <w:r>
        <w:rPr>
          <w:rFonts w:eastAsiaTheme="minorHAnsi"/>
          <w:szCs w:val="26"/>
        </w:rPr>
        <w:t xml:space="preserve">Similarly, PSU </w:t>
      </w:r>
      <w:proofErr w:type="gramStart"/>
      <w:r>
        <w:rPr>
          <w:rFonts w:eastAsiaTheme="minorHAnsi"/>
          <w:szCs w:val="26"/>
        </w:rPr>
        <w:t>excepts</w:t>
      </w:r>
      <w:proofErr w:type="gramEnd"/>
      <w:r>
        <w:rPr>
          <w:rFonts w:eastAsiaTheme="minorHAnsi"/>
          <w:szCs w:val="26"/>
        </w:rPr>
        <w:t xml:space="preserve"> to the </w:t>
      </w:r>
      <w:r w:rsidR="00060865">
        <w:rPr>
          <w:rFonts w:eastAsiaTheme="minorHAnsi"/>
          <w:szCs w:val="26"/>
        </w:rPr>
        <w:t>ALJ</w:t>
      </w:r>
      <w:r w:rsidR="001D074D">
        <w:rPr>
          <w:rFonts w:eastAsiaTheme="minorHAnsi"/>
          <w:szCs w:val="26"/>
        </w:rPr>
        <w:t>’</w:t>
      </w:r>
      <w:r w:rsidR="00060865">
        <w:rPr>
          <w:rFonts w:eastAsiaTheme="minorHAnsi"/>
          <w:szCs w:val="26"/>
        </w:rPr>
        <w:t xml:space="preserve">s conclusions regarding a reasonable transition period prior to the abolition of ratepayer-funded gas-on-gas discounts.  </w:t>
      </w:r>
      <w:r w:rsidR="00F379D9">
        <w:rPr>
          <w:rFonts w:eastAsiaTheme="minorHAnsi"/>
          <w:szCs w:val="26"/>
        </w:rPr>
        <w:t xml:space="preserve">PSU Exc. at 15. </w:t>
      </w:r>
      <w:r w:rsidR="00FC422A">
        <w:rPr>
          <w:rFonts w:eastAsiaTheme="minorHAnsi"/>
          <w:szCs w:val="26"/>
        </w:rPr>
        <w:t xml:space="preserve"> </w:t>
      </w:r>
      <w:r w:rsidR="00060865">
        <w:rPr>
          <w:rFonts w:eastAsiaTheme="minorHAnsi"/>
          <w:szCs w:val="26"/>
        </w:rPr>
        <w:t xml:space="preserve">The </w:t>
      </w:r>
      <w:r w:rsidR="003270B5">
        <w:rPr>
          <w:rFonts w:eastAsiaTheme="minorHAnsi"/>
          <w:szCs w:val="26"/>
        </w:rPr>
        <w:t xml:space="preserve">following statements </w:t>
      </w:r>
      <w:r w:rsidR="00060865">
        <w:rPr>
          <w:rFonts w:eastAsiaTheme="minorHAnsi"/>
          <w:szCs w:val="26"/>
        </w:rPr>
        <w:t xml:space="preserve">are presented at page 30 of </w:t>
      </w:r>
      <w:r w:rsidR="003270B5">
        <w:rPr>
          <w:rFonts w:eastAsiaTheme="minorHAnsi"/>
          <w:szCs w:val="26"/>
        </w:rPr>
        <w:t>the Recommended Decision:</w:t>
      </w:r>
    </w:p>
    <w:p w:rsidR="003270B5" w:rsidRDefault="003270B5" w:rsidP="00B43911">
      <w:pPr>
        <w:widowControl/>
        <w:spacing w:line="240" w:lineRule="auto"/>
        <w:rPr>
          <w:rFonts w:eastAsiaTheme="minorHAnsi"/>
          <w:szCs w:val="26"/>
        </w:rPr>
      </w:pPr>
    </w:p>
    <w:p w:rsidR="003270B5" w:rsidRDefault="003270B5" w:rsidP="00B43911">
      <w:pPr>
        <w:widowControl/>
        <w:spacing w:line="240" w:lineRule="auto"/>
        <w:ind w:left="1440" w:right="1440" w:firstLine="0"/>
      </w:pPr>
      <w:r w:rsidRPr="008A296A">
        <w:t>Regarding PSU</w:t>
      </w:r>
      <w:r w:rsidR="001D074D">
        <w:t>’</w:t>
      </w:r>
      <w:r w:rsidRPr="008A296A">
        <w:t xml:space="preserve">s concerns over economic consequences, a reasonable transition period should serve to address concerns over any possible economic disruptions.  Sufficient advance notice will enable businesses to prepare for the coming changes through budgeting and operational forecasting and decision making.  </w:t>
      </w:r>
      <w:r w:rsidRPr="008A296A">
        <w:rPr>
          <w:u w:val="single"/>
        </w:rPr>
        <w:t>See</w:t>
      </w:r>
      <w:r w:rsidRPr="008A296A">
        <w:t xml:space="preserve"> IECPA M.B. at 27.  A reasonable transition period will enable businesses to adjust to the changing regulatory climate.</w:t>
      </w:r>
    </w:p>
    <w:p w:rsidR="00C428B3" w:rsidRDefault="00C428B3" w:rsidP="00B43911">
      <w:pPr>
        <w:widowControl/>
        <w:spacing w:line="240" w:lineRule="auto"/>
        <w:ind w:left="1440" w:right="1440" w:firstLine="0"/>
      </w:pPr>
    </w:p>
    <w:p w:rsidR="003270B5" w:rsidRDefault="003270B5" w:rsidP="00B43911">
      <w:pPr>
        <w:widowControl/>
      </w:pPr>
    </w:p>
    <w:p w:rsidR="00060865" w:rsidRDefault="00060865" w:rsidP="00B43911">
      <w:pPr>
        <w:widowControl/>
        <w:rPr>
          <w:rFonts w:eastAsiaTheme="minorHAnsi"/>
        </w:rPr>
      </w:pPr>
      <w:r>
        <w:rPr>
          <w:rFonts w:eastAsiaTheme="minorHAnsi"/>
          <w:szCs w:val="26"/>
        </w:rPr>
        <w:t>PSU avers that t</w:t>
      </w:r>
      <w:r>
        <w:rPr>
          <w:rFonts w:eastAsiaTheme="minorHAnsi"/>
        </w:rPr>
        <w:t xml:space="preserve">he </w:t>
      </w:r>
      <w:r w:rsidR="001D074D">
        <w:rPr>
          <w:rFonts w:eastAsiaTheme="minorHAnsi"/>
        </w:rPr>
        <w:t>“</w:t>
      </w:r>
      <w:r>
        <w:rPr>
          <w:rFonts w:eastAsiaTheme="minorHAnsi"/>
        </w:rPr>
        <w:t>dissonant message</w:t>
      </w:r>
      <w:r w:rsidR="001D074D">
        <w:rPr>
          <w:rFonts w:eastAsiaTheme="minorHAnsi"/>
        </w:rPr>
        <w:t>”</w:t>
      </w:r>
      <w:r>
        <w:rPr>
          <w:rFonts w:eastAsiaTheme="minorHAnsi"/>
        </w:rPr>
        <w:t xml:space="preserve"> that the Recommended Decision sends to someone thinking of locating a business or institution in Pennsylvania is that if </w:t>
      </w:r>
      <w:r w:rsidR="00C64D1B">
        <w:rPr>
          <w:rFonts w:eastAsiaTheme="minorHAnsi"/>
        </w:rPr>
        <w:t xml:space="preserve">an entity </w:t>
      </w:r>
      <w:r>
        <w:rPr>
          <w:rFonts w:eastAsiaTheme="minorHAnsi"/>
        </w:rPr>
        <w:t>enter</w:t>
      </w:r>
      <w:r w:rsidR="00C64D1B">
        <w:rPr>
          <w:rFonts w:eastAsiaTheme="minorHAnsi"/>
        </w:rPr>
        <w:t>s</w:t>
      </w:r>
      <w:r>
        <w:rPr>
          <w:rFonts w:eastAsiaTheme="minorHAnsi"/>
        </w:rPr>
        <w:t xml:space="preserve"> into a lawfully permitted contract with a Pennsylvania utility</w:t>
      </w:r>
      <w:r w:rsidR="000C65B2">
        <w:rPr>
          <w:rFonts w:eastAsiaTheme="minorHAnsi"/>
        </w:rPr>
        <w:t xml:space="preserve">, </w:t>
      </w:r>
      <w:r w:rsidR="00C64D1B">
        <w:rPr>
          <w:rFonts w:eastAsiaTheme="minorHAnsi"/>
        </w:rPr>
        <w:t>it</w:t>
      </w:r>
      <w:r>
        <w:rPr>
          <w:rFonts w:eastAsiaTheme="minorHAnsi"/>
        </w:rPr>
        <w:t xml:space="preserve"> may be a </w:t>
      </w:r>
      <w:r>
        <w:rPr>
          <w:rFonts w:eastAsiaTheme="minorHAnsi"/>
        </w:rPr>
        <w:lastRenderedPageBreak/>
        <w:t xml:space="preserve">victim of a regulatory </w:t>
      </w:r>
      <w:r w:rsidR="001D074D">
        <w:rPr>
          <w:rFonts w:eastAsiaTheme="minorHAnsi"/>
        </w:rPr>
        <w:t>“</w:t>
      </w:r>
      <w:r>
        <w:rPr>
          <w:rFonts w:eastAsiaTheme="minorHAnsi"/>
        </w:rPr>
        <w:t>bait and switch.</w:t>
      </w:r>
      <w:r w:rsidR="001D074D">
        <w:rPr>
          <w:rFonts w:eastAsiaTheme="minorHAnsi"/>
        </w:rPr>
        <w:t>”</w:t>
      </w:r>
      <w:r>
        <w:rPr>
          <w:rFonts w:eastAsiaTheme="minorHAnsi"/>
        </w:rPr>
        <w:t xml:space="preserve">  PSU Exc. at 15-16. </w:t>
      </w:r>
      <w:r w:rsidR="00097614">
        <w:rPr>
          <w:rFonts w:eastAsiaTheme="minorHAnsi"/>
        </w:rPr>
        <w:t xml:space="preserve"> </w:t>
      </w:r>
      <w:r>
        <w:rPr>
          <w:rFonts w:eastAsiaTheme="minorHAnsi"/>
        </w:rPr>
        <w:t>Therefore, PSU argues that at a minimum, if gas-on-gas flex contracting is to be discontinued</w:t>
      </w:r>
      <w:r w:rsidR="00FC422A">
        <w:rPr>
          <w:rFonts w:eastAsiaTheme="minorHAnsi"/>
        </w:rPr>
        <w:t>,</w:t>
      </w:r>
      <w:r>
        <w:rPr>
          <w:rFonts w:eastAsiaTheme="minorHAnsi"/>
        </w:rPr>
        <w:t xml:space="preserve"> </w:t>
      </w:r>
      <w:r w:rsidR="00FC422A">
        <w:rPr>
          <w:rFonts w:eastAsiaTheme="minorHAnsi"/>
        </w:rPr>
        <w:t xml:space="preserve">then </w:t>
      </w:r>
      <w:r>
        <w:rPr>
          <w:rFonts w:eastAsiaTheme="minorHAnsi"/>
        </w:rPr>
        <w:t xml:space="preserve">all contracts in existence should be honored for their term.  PSU Exc. at 16. </w:t>
      </w:r>
    </w:p>
    <w:p w:rsidR="00060865" w:rsidRDefault="00060865" w:rsidP="00B43911">
      <w:pPr>
        <w:widowControl/>
        <w:autoSpaceDE w:val="0"/>
        <w:autoSpaceDN w:val="0"/>
        <w:adjustRightInd w:val="0"/>
        <w:spacing w:line="240" w:lineRule="auto"/>
        <w:ind w:firstLine="0"/>
        <w:rPr>
          <w:rFonts w:eastAsiaTheme="minorHAnsi"/>
          <w:sz w:val="24"/>
          <w:szCs w:val="24"/>
        </w:rPr>
      </w:pPr>
    </w:p>
    <w:p w:rsidR="00795495" w:rsidRDefault="00795495" w:rsidP="00B43911">
      <w:pPr>
        <w:widowControl/>
        <w:rPr>
          <w:rFonts w:eastAsiaTheme="minorHAnsi"/>
        </w:rPr>
      </w:pPr>
      <w:r>
        <w:rPr>
          <w:rFonts w:eastAsiaTheme="minorHAnsi"/>
        </w:rPr>
        <w:t xml:space="preserve">I&amp;E </w:t>
      </w:r>
      <w:proofErr w:type="gramStart"/>
      <w:r>
        <w:rPr>
          <w:rFonts w:eastAsiaTheme="minorHAnsi"/>
        </w:rPr>
        <w:t>submits</w:t>
      </w:r>
      <w:proofErr w:type="gramEnd"/>
      <w:r>
        <w:rPr>
          <w:rFonts w:eastAsiaTheme="minorHAnsi"/>
        </w:rPr>
        <w:t xml:space="preserve"> that the ALJ</w:t>
      </w:r>
      <w:r w:rsidR="001D074D">
        <w:rPr>
          <w:rFonts w:eastAsiaTheme="minorHAnsi"/>
        </w:rPr>
        <w:t>’</w:t>
      </w:r>
      <w:r>
        <w:rPr>
          <w:rFonts w:eastAsiaTheme="minorHAnsi"/>
        </w:rPr>
        <w:t>s proposed phase-out period is reasonable in light of the fact that customers and NGDCs have ha</w:t>
      </w:r>
      <w:r w:rsidR="000C65B2">
        <w:rPr>
          <w:rFonts w:eastAsiaTheme="minorHAnsi"/>
        </w:rPr>
        <w:t>d</w:t>
      </w:r>
      <w:r>
        <w:rPr>
          <w:rFonts w:eastAsiaTheme="minorHAnsi"/>
        </w:rPr>
        <w:t xml:space="preserve"> long-term notice that the current gas-on-gas competition may end.  I&amp;E </w:t>
      </w:r>
      <w:proofErr w:type="gramStart"/>
      <w:r>
        <w:rPr>
          <w:rFonts w:eastAsiaTheme="minorHAnsi"/>
        </w:rPr>
        <w:t>explains</w:t>
      </w:r>
      <w:proofErr w:type="gramEnd"/>
      <w:r>
        <w:rPr>
          <w:rFonts w:eastAsiaTheme="minorHAnsi"/>
        </w:rPr>
        <w:t xml:space="preserve"> that the concept of addressing gas-on-gas competition in a generic proceeding was raised in individual rate proceedings in 2010 and the Petition </w:t>
      </w:r>
      <w:r w:rsidR="00051F76">
        <w:rPr>
          <w:rFonts w:eastAsiaTheme="minorHAnsi"/>
        </w:rPr>
        <w:t>initiating</w:t>
      </w:r>
      <w:r>
        <w:rPr>
          <w:rFonts w:eastAsiaTheme="minorHAnsi"/>
        </w:rPr>
        <w:t xml:space="preserve"> this proceeding was filed on Decembe</w:t>
      </w:r>
      <w:r w:rsidR="0020555A">
        <w:rPr>
          <w:rFonts w:eastAsiaTheme="minorHAnsi"/>
        </w:rPr>
        <w:t>r 8, 2011.  I&amp;E points out that</w:t>
      </w:r>
      <w:r>
        <w:rPr>
          <w:rFonts w:eastAsiaTheme="minorHAnsi"/>
        </w:rPr>
        <w:t xml:space="preserve"> the ALJ has recommended</w:t>
      </w:r>
      <w:r w:rsidR="0020555A">
        <w:rPr>
          <w:rFonts w:eastAsiaTheme="minorHAnsi"/>
        </w:rPr>
        <w:t>, in 2014,</w:t>
      </w:r>
      <w:r>
        <w:rPr>
          <w:rFonts w:eastAsiaTheme="minorHAnsi"/>
        </w:rPr>
        <w:t xml:space="preserve"> that this practice end by December 31, 2018.  </w:t>
      </w:r>
      <w:r w:rsidR="0099406D">
        <w:rPr>
          <w:rFonts w:eastAsiaTheme="minorHAnsi"/>
        </w:rPr>
        <w:t xml:space="preserve">I&amp;E </w:t>
      </w:r>
      <w:proofErr w:type="gramStart"/>
      <w:r w:rsidR="0099406D">
        <w:rPr>
          <w:rFonts w:eastAsiaTheme="minorHAnsi"/>
        </w:rPr>
        <w:t>avers</w:t>
      </w:r>
      <w:proofErr w:type="gramEnd"/>
      <w:r w:rsidR="0099406D">
        <w:rPr>
          <w:rFonts w:eastAsiaTheme="minorHAnsi"/>
        </w:rPr>
        <w:t xml:space="preserve"> that given this extensive notice, NGDCs should have prepared their contracts for the potential change in policy.  I&amp;E R. Exc. at 8-9. </w:t>
      </w:r>
    </w:p>
    <w:p w:rsidR="0099406D" w:rsidRDefault="0099406D" w:rsidP="00B43911">
      <w:pPr>
        <w:widowControl/>
        <w:rPr>
          <w:rFonts w:eastAsiaTheme="minorHAnsi"/>
        </w:rPr>
      </w:pPr>
    </w:p>
    <w:p w:rsidR="004B541F" w:rsidRPr="00C63FF4" w:rsidRDefault="0099406D" w:rsidP="00B43911">
      <w:pPr>
        <w:widowControl/>
        <w:rPr>
          <w:rFonts w:eastAsiaTheme="minorHAnsi"/>
        </w:rPr>
      </w:pPr>
      <w:r>
        <w:rPr>
          <w:rFonts w:eastAsiaTheme="minorHAnsi"/>
        </w:rPr>
        <w:t xml:space="preserve">I&amp;E </w:t>
      </w:r>
      <w:proofErr w:type="gramStart"/>
      <w:r>
        <w:rPr>
          <w:rFonts w:eastAsiaTheme="minorHAnsi"/>
        </w:rPr>
        <w:t>notes</w:t>
      </w:r>
      <w:proofErr w:type="gramEnd"/>
      <w:r>
        <w:rPr>
          <w:rFonts w:eastAsiaTheme="minorHAnsi"/>
        </w:rPr>
        <w:t xml:space="preserve"> that the ALJ did not recommend that gas-on-gas flex rate contracts be rescinded prior to running their full terms.  I&amp;E </w:t>
      </w:r>
      <w:proofErr w:type="gramStart"/>
      <w:r>
        <w:rPr>
          <w:rFonts w:eastAsiaTheme="minorHAnsi"/>
        </w:rPr>
        <w:t>explains</w:t>
      </w:r>
      <w:proofErr w:type="gramEnd"/>
      <w:r>
        <w:rPr>
          <w:rFonts w:eastAsiaTheme="minorHAnsi"/>
        </w:rPr>
        <w:t xml:space="preserve"> that the</w:t>
      </w:r>
      <w:r w:rsidR="0020555A">
        <w:rPr>
          <w:rFonts w:eastAsiaTheme="minorHAnsi"/>
        </w:rPr>
        <w:t xml:space="preserve"> ALJ stated</w:t>
      </w:r>
      <w:r w:rsidR="00166FD8">
        <w:rPr>
          <w:rFonts w:eastAsiaTheme="minorHAnsi"/>
        </w:rPr>
        <w:t xml:space="preserve"> the following in her</w:t>
      </w:r>
      <w:r>
        <w:rPr>
          <w:rFonts w:eastAsiaTheme="minorHAnsi"/>
        </w:rPr>
        <w:t xml:space="preserve"> Recommended Decision</w:t>
      </w:r>
      <w:r w:rsidR="00166FD8">
        <w:rPr>
          <w:rFonts w:eastAsiaTheme="minorHAnsi"/>
        </w:rPr>
        <w:t>:</w:t>
      </w:r>
      <w:r>
        <w:rPr>
          <w:rFonts w:eastAsiaTheme="minorHAnsi"/>
        </w:rPr>
        <w:t xml:space="preserve"> </w:t>
      </w:r>
      <w:r w:rsidR="001D074D">
        <w:rPr>
          <w:rFonts w:eastAsiaTheme="minorHAnsi"/>
        </w:rPr>
        <w:t>“</w:t>
      </w:r>
      <w:r>
        <w:rPr>
          <w:rFonts w:eastAsiaTheme="minorHAnsi"/>
        </w:rPr>
        <w:t xml:space="preserve">I recommend the Commission </w:t>
      </w:r>
      <w:r w:rsidRPr="000C65B2">
        <w:rPr>
          <w:rFonts w:eastAsiaTheme="minorHAnsi"/>
        </w:rPr>
        <w:t>direct that</w:t>
      </w:r>
      <w:r w:rsidRPr="000C65B2">
        <w:rPr>
          <w:rFonts w:eastAsiaTheme="minorHAnsi"/>
          <w:i/>
        </w:rPr>
        <w:t xml:space="preserve"> ratepayer funded</w:t>
      </w:r>
      <w:r>
        <w:rPr>
          <w:rFonts w:eastAsiaTheme="minorHAnsi"/>
        </w:rPr>
        <w:t xml:space="preserve"> gas-on-gas discounts be abolished no later than December 31, 2018.</w:t>
      </w:r>
      <w:r w:rsidR="001D074D">
        <w:rPr>
          <w:rFonts w:eastAsiaTheme="minorHAnsi"/>
        </w:rPr>
        <w:t>”</w:t>
      </w:r>
      <w:r>
        <w:rPr>
          <w:rFonts w:eastAsiaTheme="minorHAnsi"/>
        </w:rPr>
        <w:t xml:space="preserve"> I&amp;E R. Exc. at 9 (citing R.D. at 30</w:t>
      </w:r>
      <w:r w:rsidR="007B073D">
        <w:rPr>
          <w:rFonts w:eastAsiaTheme="minorHAnsi"/>
        </w:rPr>
        <w:t xml:space="preserve"> (emphasis supplied)</w:t>
      </w:r>
      <w:r>
        <w:rPr>
          <w:rFonts w:eastAsiaTheme="minorHAnsi"/>
        </w:rPr>
        <w:t xml:space="preserve">).  I&amp;E avers that the Recommended Decision makes it clear that </w:t>
      </w:r>
      <w:r w:rsidR="00BB2479">
        <w:rPr>
          <w:rFonts w:eastAsiaTheme="minorHAnsi"/>
        </w:rPr>
        <w:t>the revenue shortfall caused by gas-on-gas discounts cannot be recovered from captive ratepayers</w:t>
      </w:r>
      <w:r w:rsidR="00166FD8">
        <w:rPr>
          <w:rFonts w:eastAsiaTheme="minorHAnsi"/>
        </w:rPr>
        <w:t>;</w:t>
      </w:r>
      <w:r w:rsidR="00BB2479">
        <w:rPr>
          <w:rFonts w:eastAsiaTheme="minorHAnsi"/>
        </w:rPr>
        <w:t xml:space="preserve"> but it does not preclude NGDCs from honoring discounts for the length of contracts and absorbing the revenue shortfall.</w:t>
      </w:r>
      <w:r w:rsidR="00C63FF4">
        <w:rPr>
          <w:rFonts w:eastAsiaTheme="minorHAnsi"/>
        </w:rPr>
        <w:t xml:space="preserve"> </w:t>
      </w:r>
      <w:r w:rsidR="00BB2479">
        <w:rPr>
          <w:rFonts w:eastAsiaTheme="minorHAnsi"/>
        </w:rPr>
        <w:t xml:space="preserve"> </w:t>
      </w:r>
      <w:r w:rsidR="00581E2A">
        <w:rPr>
          <w:rFonts w:eastAsiaTheme="minorHAnsi"/>
        </w:rPr>
        <w:t>T</w:t>
      </w:r>
      <w:r w:rsidR="004B541F">
        <w:rPr>
          <w:rFonts w:eastAsiaTheme="minorHAnsi"/>
        </w:rPr>
        <w:t xml:space="preserve">herefore, I&amp;E </w:t>
      </w:r>
      <w:proofErr w:type="gramStart"/>
      <w:r w:rsidR="004B541F">
        <w:rPr>
          <w:rFonts w:eastAsiaTheme="minorHAnsi"/>
        </w:rPr>
        <w:t>argues</w:t>
      </w:r>
      <w:proofErr w:type="gramEnd"/>
      <w:r w:rsidR="004B541F">
        <w:rPr>
          <w:rFonts w:eastAsiaTheme="minorHAnsi"/>
        </w:rPr>
        <w:t xml:space="preserve"> that the length of the current contracts should not factor </w:t>
      </w:r>
      <w:r w:rsidR="009A5434">
        <w:rPr>
          <w:rFonts w:eastAsiaTheme="minorHAnsi"/>
        </w:rPr>
        <w:t>into the Commission</w:t>
      </w:r>
      <w:r w:rsidR="001D074D">
        <w:rPr>
          <w:rFonts w:eastAsiaTheme="minorHAnsi"/>
        </w:rPr>
        <w:t>’</w:t>
      </w:r>
      <w:r w:rsidR="009A5434">
        <w:rPr>
          <w:rFonts w:eastAsiaTheme="minorHAnsi"/>
        </w:rPr>
        <w:t xml:space="preserve">s determination of a reasonable transition period.  </w:t>
      </w:r>
      <w:proofErr w:type="gramStart"/>
      <w:r w:rsidR="009A5434">
        <w:rPr>
          <w:rFonts w:eastAsiaTheme="minorHAnsi"/>
        </w:rPr>
        <w:t>I&amp;E R. Exc. at 11.</w:t>
      </w:r>
      <w:proofErr w:type="gramEnd"/>
      <w:r w:rsidR="009A5434">
        <w:rPr>
          <w:rFonts w:eastAsiaTheme="minorHAnsi"/>
        </w:rPr>
        <w:t xml:space="preserve"> </w:t>
      </w:r>
    </w:p>
    <w:p w:rsidR="00C63FF4" w:rsidRDefault="00C63FF4" w:rsidP="00B43911">
      <w:pPr>
        <w:widowControl/>
        <w:autoSpaceDE w:val="0"/>
        <w:autoSpaceDN w:val="0"/>
        <w:adjustRightInd w:val="0"/>
        <w:spacing w:line="240" w:lineRule="auto"/>
        <w:ind w:firstLine="0"/>
        <w:rPr>
          <w:rFonts w:eastAsiaTheme="minorHAnsi"/>
          <w:sz w:val="24"/>
          <w:szCs w:val="24"/>
        </w:rPr>
      </w:pPr>
    </w:p>
    <w:p w:rsidR="00036132" w:rsidRDefault="00036132" w:rsidP="00B43911">
      <w:pPr>
        <w:widowControl/>
        <w:rPr>
          <w:rFonts w:eastAsiaTheme="minorHAnsi"/>
        </w:rPr>
      </w:pPr>
      <w:r>
        <w:rPr>
          <w:rFonts w:eastAsiaTheme="minorHAnsi"/>
        </w:rPr>
        <w:t xml:space="preserve">PSU </w:t>
      </w:r>
      <w:r w:rsidR="00166FD8">
        <w:rPr>
          <w:rFonts w:eastAsiaTheme="minorHAnsi"/>
        </w:rPr>
        <w:t xml:space="preserve">also </w:t>
      </w:r>
      <w:proofErr w:type="gramStart"/>
      <w:r>
        <w:rPr>
          <w:rFonts w:eastAsiaTheme="minorHAnsi"/>
        </w:rPr>
        <w:t>excepts</w:t>
      </w:r>
      <w:proofErr w:type="gramEnd"/>
      <w:r>
        <w:rPr>
          <w:rFonts w:eastAsiaTheme="minorHAnsi"/>
        </w:rPr>
        <w:t xml:space="preserve"> to the ALJ</w:t>
      </w:r>
      <w:r w:rsidR="001D074D">
        <w:rPr>
          <w:rFonts w:eastAsiaTheme="minorHAnsi"/>
        </w:rPr>
        <w:t>’</w:t>
      </w:r>
      <w:r>
        <w:rPr>
          <w:rFonts w:eastAsiaTheme="minorHAnsi"/>
        </w:rPr>
        <w:t xml:space="preserve">s recommendation that the Commission </w:t>
      </w:r>
      <w:r w:rsidR="001D074D">
        <w:rPr>
          <w:rFonts w:eastAsiaTheme="minorHAnsi"/>
        </w:rPr>
        <w:t>“</w:t>
      </w:r>
      <w:r>
        <w:rPr>
          <w:rFonts w:eastAsiaTheme="minorHAnsi"/>
        </w:rPr>
        <w:t>issue a statement of policy or order</w:t>
      </w:r>
      <w:r w:rsidR="001D074D">
        <w:rPr>
          <w:rFonts w:eastAsiaTheme="minorHAnsi"/>
        </w:rPr>
        <w:t>”</w:t>
      </w:r>
      <w:r>
        <w:rPr>
          <w:rFonts w:eastAsiaTheme="minorHAnsi"/>
        </w:rPr>
        <w:t xml:space="preserve"> eliminating gas-on-gas competition among NGDCs by December 31, 2018. </w:t>
      </w:r>
      <w:r w:rsidR="00A77C10">
        <w:rPr>
          <w:rFonts w:eastAsiaTheme="minorHAnsi"/>
        </w:rPr>
        <w:t xml:space="preserve"> PSU Exc. 7 (citing </w:t>
      </w:r>
      <w:r>
        <w:rPr>
          <w:rFonts w:eastAsiaTheme="minorHAnsi"/>
        </w:rPr>
        <w:t>R.D. at 39)</w:t>
      </w:r>
      <w:r w:rsidR="00A77C10">
        <w:rPr>
          <w:rFonts w:eastAsiaTheme="minorHAnsi"/>
        </w:rPr>
        <w:t xml:space="preserve">. </w:t>
      </w:r>
      <w:r>
        <w:rPr>
          <w:rFonts w:eastAsiaTheme="minorHAnsi"/>
        </w:rPr>
        <w:t xml:space="preserve"> </w:t>
      </w:r>
      <w:r w:rsidR="00A77C10">
        <w:rPr>
          <w:rFonts w:eastAsiaTheme="minorHAnsi"/>
        </w:rPr>
        <w:t>PSU argues that t</w:t>
      </w:r>
      <w:r>
        <w:rPr>
          <w:rFonts w:eastAsiaTheme="minorHAnsi"/>
        </w:rPr>
        <w:t>his recommendation must be rejected because it invites the Commission to set utilities</w:t>
      </w:r>
      <w:r w:rsidR="001D074D">
        <w:rPr>
          <w:rFonts w:eastAsiaTheme="minorHAnsi"/>
        </w:rPr>
        <w:t>’</w:t>
      </w:r>
      <w:r>
        <w:rPr>
          <w:rFonts w:eastAsiaTheme="minorHAnsi"/>
        </w:rPr>
        <w:t xml:space="preserve"> rates based upon policy and generic determinations rather than upon the evidentiary record of a </w:t>
      </w:r>
      <w:r>
        <w:rPr>
          <w:rFonts w:eastAsiaTheme="minorHAnsi"/>
        </w:rPr>
        <w:lastRenderedPageBreak/>
        <w:t>rate case after consideration of all elements of cost of service and a determination whether there are subsidies among customers or offsetting subsidies</w:t>
      </w:r>
      <w:r w:rsidR="00A77C10">
        <w:rPr>
          <w:rFonts w:eastAsiaTheme="minorHAnsi"/>
        </w:rPr>
        <w:t xml:space="preserve">.  PSU Exc. at 7. </w:t>
      </w:r>
    </w:p>
    <w:p w:rsidR="00036132" w:rsidRDefault="00036132" w:rsidP="00B43911">
      <w:pPr>
        <w:widowControl/>
        <w:rPr>
          <w:rFonts w:eastAsiaTheme="minorHAnsi"/>
        </w:rPr>
      </w:pPr>
    </w:p>
    <w:p w:rsidR="005E1CF9" w:rsidRPr="00820BE5" w:rsidRDefault="00A77C10" w:rsidP="00B43911">
      <w:pPr>
        <w:widowControl/>
        <w:rPr>
          <w:rFonts w:eastAsiaTheme="minorHAnsi"/>
          <w:szCs w:val="26"/>
        </w:rPr>
      </w:pPr>
      <w:r>
        <w:rPr>
          <w:rFonts w:eastAsiaTheme="minorHAnsi"/>
        </w:rPr>
        <w:t>PSU explains that t</w:t>
      </w:r>
      <w:r w:rsidR="00036132">
        <w:rPr>
          <w:rFonts w:eastAsiaTheme="minorHAnsi"/>
        </w:rPr>
        <w:t>he Public Utility Code requires that any adjustment of a utility</w:t>
      </w:r>
      <w:r w:rsidR="001D074D">
        <w:rPr>
          <w:rFonts w:eastAsiaTheme="minorHAnsi"/>
        </w:rPr>
        <w:t>’</w:t>
      </w:r>
      <w:r w:rsidR="00036132">
        <w:rPr>
          <w:rFonts w:eastAsiaTheme="minorHAnsi"/>
        </w:rPr>
        <w:t>s existing rates by the Commission must be based upon a finding, after notice and hearing, that the utility</w:t>
      </w:r>
      <w:r w:rsidR="001D074D">
        <w:rPr>
          <w:rFonts w:eastAsiaTheme="minorHAnsi"/>
        </w:rPr>
        <w:t>’</w:t>
      </w:r>
      <w:r w:rsidR="00036132">
        <w:rPr>
          <w:rFonts w:eastAsiaTheme="minorHAnsi"/>
        </w:rPr>
        <w:t xml:space="preserve">s existing rates are </w:t>
      </w:r>
      <w:r w:rsidR="001D074D">
        <w:rPr>
          <w:rFonts w:eastAsiaTheme="minorHAnsi"/>
        </w:rPr>
        <w:t>“</w:t>
      </w:r>
      <w:r w:rsidR="00036132">
        <w:rPr>
          <w:rFonts w:eastAsiaTheme="minorHAnsi"/>
        </w:rPr>
        <w:t>unjust, unreasonable, or in anywise in violation of any provision of law.</w:t>
      </w:r>
      <w:r w:rsidR="001D074D">
        <w:rPr>
          <w:rFonts w:eastAsiaTheme="minorHAnsi"/>
        </w:rPr>
        <w:t>”</w:t>
      </w:r>
      <w:r w:rsidR="00036132">
        <w:rPr>
          <w:rFonts w:eastAsiaTheme="minorHAnsi"/>
        </w:rPr>
        <w:t xml:space="preserve">  </w:t>
      </w:r>
      <w:r>
        <w:rPr>
          <w:rFonts w:eastAsiaTheme="minorHAnsi"/>
        </w:rPr>
        <w:t xml:space="preserve">PSU Exc. at 7 (citing </w:t>
      </w:r>
      <w:r w:rsidR="005E1CF9">
        <w:rPr>
          <w:rFonts w:eastAsiaTheme="minorHAnsi"/>
        </w:rPr>
        <w:t>66 Pa. C.S. § 1309(a)).  PSU opines that t</w:t>
      </w:r>
      <w:r w:rsidR="00036132">
        <w:rPr>
          <w:rFonts w:eastAsiaTheme="minorHAnsi"/>
        </w:rPr>
        <w:t>he justness and reasonableness of an individual NGDC</w:t>
      </w:r>
      <w:r w:rsidR="001D074D">
        <w:rPr>
          <w:rFonts w:eastAsiaTheme="minorHAnsi"/>
        </w:rPr>
        <w:t>’</w:t>
      </w:r>
      <w:r w:rsidR="00036132">
        <w:rPr>
          <w:rFonts w:eastAsiaTheme="minorHAnsi"/>
        </w:rPr>
        <w:t>s gas-on-gas discounts and its recovery of the resulting lost revenues from other customers cannot be predetermined in this generic, policy oriented proceeding</w:t>
      </w:r>
      <w:r w:rsidR="005E1CF9">
        <w:rPr>
          <w:rFonts w:eastAsiaTheme="minorHAnsi"/>
        </w:rPr>
        <w:t xml:space="preserve">.  In support of its position, PSU cites the following excerpt from </w:t>
      </w:r>
      <w:r w:rsidR="005E1CF9" w:rsidRPr="00820BE5">
        <w:rPr>
          <w:rFonts w:eastAsiaTheme="minorHAnsi"/>
          <w:i/>
          <w:szCs w:val="26"/>
        </w:rPr>
        <w:t xml:space="preserve">W. </w:t>
      </w:r>
      <w:r w:rsidR="00397AD6">
        <w:rPr>
          <w:rFonts w:eastAsiaTheme="minorHAnsi"/>
          <w:i/>
          <w:szCs w:val="26"/>
        </w:rPr>
        <w:t>J.</w:t>
      </w:r>
      <w:r w:rsidR="005E1CF9" w:rsidRPr="00820BE5">
        <w:rPr>
          <w:rFonts w:eastAsiaTheme="minorHAnsi"/>
          <w:i/>
          <w:szCs w:val="26"/>
        </w:rPr>
        <w:t xml:space="preserve"> Dil</w:t>
      </w:r>
      <w:r w:rsidR="00397AD6">
        <w:rPr>
          <w:rFonts w:eastAsiaTheme="minorHAnsi"/>
          <w:i/>
          <w:szCs w:val="26"/>
        </w:rPr>
        <w:t>l</w:t>
      </w:r>
      <w:r w:rsidR="005E1CF9" w:rsidRPr="00820BE5">
        <w:rPr>
          <w:rFonts w:eastAsiaTheme="minorHAnsi"/>
          <w:i/>
          <w:szCs w:val="26"/>
        </w:rPr>
        <w:t>ner Transfer Co. v. Pennsylvania Pub. Util. Comm</w:t>
      </w:r>
      <w:r w:rsidR="001D074D">
        <w:rPr>
          <w:rFonts w:eastAsiaTheme="minorHAnsi"/>
          <w:i/>
          <w:szCs w:val="26"/>
        </w:rPr>
        <w:t>’</w:t>
      </w:r>
      <w:r w:rsidR="005E1CF9" w:rsidRPr="00820BE5">
        <w:rPr>
          <w:rFonts w:eastAsiaTheme="minorHAnsi"/>
          <w:i/>
          <w:szCs w:val="26"/>
        </w:rPr>
        <w:t>n</w:t>
      </w:r>
      <w:r w:rsidR="005E1CF9" w:rsidRPr="00820BE5">
        <w:rPr>
          <w:rFonts w:eastAsiaTheme="minorHAnsi"/>
          <w:szCs w:val="26"/>
        </w:rPr>
        <w:t xml:space="preserve">, 186 Pa. Super. 526, 532-33, </w:t>
      </w:r>
      <w:proofErr w:type="gramStart"/>
      <w:r w:rsidR="005E1CF9" w:rsidRPr="00820BE5">
        <w:rPr>
          <w:rFonts w:eastAsiaTheme="minorHAnsi"/>
          <w:szCs w:val="26"/>
        </w:rPr>
        <w:t>142</w:t>
      </w:r>
      <w:proofErr w:type="gramEnd"/>
      <w:r w:rsidR="00397AD6">
        <w:rPr>
          <w:rFonts w:eastAsiaTheme="minorHAnsi"/>
          <w:szCs w:val="26"/>
        </w:rPr>
        <w:t xml:space="preserve"> </w:t>
      </w:r>
      <w:r w:rsidR="005E1CF9" w:rsidRPr="00820BE5">
        <w:rPr>
          <w:rFonts w:eastAsiaTheme="minorHAnsi"/>
          <w:szCs w:val="26"/>
        </w:rPr>
        <w:t>A.2d 419, 422 (1958)</w:t>
      </w:r>
      <w:r w:rsidR="00820BE5" w:rsidRPr="00820BE5">
        <w:rPr>
          <w:rFonts w:eastAsiaTheme="minorHAnsi"/>
          <w:szCs w:val="26"/>
        </w:rPr>
        <w:t xml:space="preserve"> (</w:t>
      </w:r>
      <w:r w:rsidR="00EF5133">
        <w:rPr>
          <w:rFonts w:eastAsiaTheme="minorHAnsi"/>
          <w:i/>
          <w:szCs w:val="26"/>
        </w:rPr>
        <w:t>Di</w:t>
      </w:r>
      <w:r w:rsidR="00820BE5" w:rsidRPr="00820BE5">
        <w:rPr>
          <w:rFonts w:eastAsiaTheme="minorHAnsi"/>
          <w:i/>
          <w:szCs w:val="26"/>
        </w:rPr>
        <w:t>l</w:t>
      </w:r>
      <w:r w:rsidR="00397AD6">
        <w:rPr>
          <w:rFonts w:eastAsiaTheme="minorHAnsi"/>
          <w:i/>
          <w:szCs w:val="26"/>
        </w:rPr>
        <w:t>l</w:t>
      </w:r>
      <w:r w:rsidR="00820BE5" w:rsidRPr="00820BE5">
        <w:rPr>
          <w:rFonts w:eastAsiaTheme="minorHAnsi"/>
          <w:i/>
          <w:szCs w:val="26"/>
        </w:rPr>
        <w:t>ner</w:t>
      </w:r>
      <w:r w:rsidR="00820BE5" w:rsidRPr="00820BE5">
        <w:rPr>
          <w:rFonts w:eastAsiaTheme="minorHAnsi"/>
          <w:szCs w:val="26"/>
        </w:rPr>
        <w:t>)</w:t>
      </w:r>
      <w:r w:rsidR="005E1CF9" w:rsidRPr="00820BE5">
        <w:rPr>
          <w:rFonts w:eastAsiaTheme="minorHAnsi"/>
          <w:szCs w:val="26"/>
        </w:rPr>
        <w:t>:</w:t>
      </w:r>
    </w:p>
    <w:p w:rsidR="00036132" w:rsidRDefault="00036132" w:rsidP="00B43911">
      <w:pPr>
        <w:widowControl/>
        <w:spacing w:line="240" w:lineRule="auto"/>
        <w:rPr>
          <w:rFonts w:eastAsiaTheme="minorHAnsi"/>
        </w:rPr>
      </w:pPr>
    </w:p>
    <w:p w:rsidR="00036132" w:rsidRDefault="00036132" w:rsidP="00B43911">
      <w:pPr>
        <w:widowControl/>
        <w:autoSpaceDE w:val="0"/>
        <w:autoSpaceDN w:val="0"/>
        <w:adjustRightInd w:val="0"/>
        <w:spacing w:line="240" w:lineRule="auto"/>
        <w:ind w:left="1440" w:right="1440" w:firstLine="0"/>
        <w:rPr>
          <w:rFonts w:eastAsiaTheme="minorHAnsi"/>
          <w:szCs w:val="26"/>
        </w:rPr>
      </w:pPr>
      <w:r w:rsidRPr="00036132">
        <w:rPr>
          <w:rFonts w:eastAsiaTheme="minorHAnsi"/>
          <w:szCs w:val="26"/>
        </w:rPr>
        <w:t>The commission may not by promulgating a general order or general regulation avoid the necessity of requiring substantial evidence to support its action in a particular case . . . ; it may not by such general order or general regulation adopt a policy which may be used as a substitute for evidence in a proceeding before it</w:t>
      </w:r>
      <w:r w:rsidR="005E1CF9">
        <w:rPr>
          <w:rFonts w:eastAsiaTheme="minorHAnsi"/>
          <w:szCs w:val="26"/>
        </w:rPr>
        <w:t>…;</w:t>
      </w:r>
      <w:r w:rsidRPr="00036132">
        <w:rPr>
          <w:rFonts w:eastAsiaTheme="minorHAnsi"/>
          <w:szCs w:val="26"/>
        </w:rPr>
        <w:t xml:space="preserve"> and it may not avoid the constitutional requirement of due process in a particular proceeding by reference to a general rule or</w:t>
      </w:r>
      <w:r w:rsidR="005E1CF9">
        <w:rPr>
          <w:rFonts w:eastAsiaTheme="minorHAnsi"/>
          <w:szCs w:val="26"/>
        </w:rPr>
        <w:t xml:space="preserve"> </w:t>
      </w:r>
      <w:r w:rsidRPr="00036132">
        <w:rPr>
          <w:rFonts w:eastAsiaTheme="minorHAnsi"/>
          <w:szCs w:val="26"/>
        </w:rPr>
        <w:t>regulation setting forth some policy. .</w:t>
      </w:r>
      <w:r w:rsidR="005E1CF9">
        <w:rPr>
          <w:rFonts w:eastAsiaTheme="minorHAnsi"/>
          <w:szCs w:val="26"/>
        </w:rPr>
        <w:t xml:space="preserve"> .</w:t>
      </w:r>
    </w:p>
    <w:p w:rsidR="005E1CF9" w:rsidRDefault="005E1CF9" w:rsidP="00B43911">
      <w:pPr>
        <w:widowControl/>
        <w:autoSpaceDE w:val="0"/>
        <w:autoSpaceDN w:val="0"/>
        <w:adjustRightInd w:val="0"/>
        <w:ind w:left="1440" w:right="1440" w:firstLine="0"/>
        <w:rPr>
          <w:rFonts w:eastAsiaTheme="minorHAnsi"/>
          <w:szCs w:val="26"/>
        </w:rPr>
      </w:pPr>
    </w:p>
    <w:p w:rsidR="006F31EE" w:rsidRDefault="00820BE5" w:rsidP="00B43911">
      <w:pPr>
        <w:widowControl/>
        <w:ind w:firstLine="0"/>
        <w:rPr>
          <w:rFonts w:eastAsiaTheme="minorHAnsi"/>
        </w:rPr>
      </w:pPr>
      <w:r>
        <w:rPr>
          <w:rFonts w:eastAsiaTheme="minorHAnsi"/>
        </w:rPr>
        <w:t xml:space="preserve">PSU Exc. at 7-8.  </w:t>
      </w:r>
      <w:r w:rsidR="006F31EE">
        <w:rPr>
          <w:rFonts w:eastAsiaTheme="minorHAnsi"/>
        </w:rPr>
        <w:t xml:space="preserve">PSU also cites, </w:t>
      </w:r>
      <w:r w:rsidR="006F31EE" w:rsidRPr="006F31EE">
        <w:rPr>
          <w:rFonts w:eastAsiaTheme="minorHAnsi"/>
          <w:i/>
        </w:rPr>
        <w:t>inter alia</w:t>
      </w:r>
      <w:r w:rsidR="006F31EE">
        <w:rPr>
          <w:rFonts w:eastAsiaTheme="minorHAnsi"/>
        </w:rPr>
        <w:t xml:space="preserve">, </w:t>
      </w:r>
      <w:r w:rsidR="006F31EE" w:rsidRPr="006F31EE">
        <w:rPr>
          <w:rFonts w:eastAsiaTheme="minorHAnsi"/>
          <w:i/>
        </w:rPr>
        <w:t>Bell Tel. Co. of</w:t>
      </w:r>
      <w:r w:rsidR="006F31EE">
        <w:rPr>
          <w:rFonts w:eastAsiaTheme="minorHAnsi"/>
          <w:i/>
        </w:rPr>
        <w:t xml:space="preserve"> </w:t>
      </w:r>
      <w:r w:rsidR="006F31EE" w:rsidRPr="006F31EE">
        <w:rPr>
          <w:rFonts w:eastAsiaTheme="minorHAnsi"/>
          <w:i/>
        </w:rPr>
        <w:t>Pennsylvania v. Pennsylvania Pub. Util. Comm</w:t>
      </w:r>
      <w:r w:rsidR="001D074D">
        <w:rPr>
          <w:rFonts w:eastAsiaTheme="minorHAnsi"/>
          <w:i/>
        </w:rPr>
        <w:t>’</w:t>
      </w:r>
      <w:r w:rsidR="006F31EE" w:rsidRPr="006F31EE">
        <w:rPr>
          <w:rFonts w:eastAsiaTheme="minorHAnsi"/>
          <w:i/>
        </w:rPr>
        <w:t>n</w:t>
      </w:r>
      <w:r w:rsidR="006F31EE">
        <w:rPr>
          <w:rFonts w:eastAsiaTheme="minorHAnsi"/>
        </w:rPr>
        <w:t>, 107 Pa. C</w:t>
      </w:r>
      <w:r w:rsidR="005F0B7D">
        <w:rPr>
          <w:rFonts w:eastAsiaTheme="minorHAnsi"/>
        </w:rPr>
        <w:t>om</w:t>
      </w:r>
      <w:r w:rsidR="006F31EE">
        <w:rPr>
          <w:rFonts w:eastAsiaTheme="minorHAnsi"/>
        </w:rPr>
        <w:t xml:space="preserve">mw. 34, 40, </w:t>
      </w:r>
      <w:proofErr w:type="gramStart"/>
      <w:r w:rsidR="006F31EE">
        <w:rPr>
          <w:rFonts w:eastAsiaTheme="minorHAnsi"/>
        </w:rPr>
        <w:t>528</w:t>
      </w:r>
      <w:proofErr w:type="gramEnd"/>
      <w:r w:rsidR="006F31EE">
        <w:rPr>
          <w:rFonts w:eastAsiaTheme="minorHAnsi"/>
        </w:rPr>
        <w:t xml:space="preserve"> A.2d 268, 271 (1987) </w:t>
      </w:r>
      <w:r w:rsidR="009863CA" w:rsidRPr="006F31EE">
        <w:rPr>
          <w:rFonts w:eastAsiaTheme="minorHAnsi"/>
          <w:szCs w:val="26"/>
        </w:rPr>
        <w:t>(citation omitted)</w:t>
      </w:r>
      <w:r w:rsidR="009863CA">
        <w:rPr>
          <w:rFonts w:eastAsiaTheme="minorHAnsi"/>
          <w:szCs w:val="26"/>
        </w:rPr>
        <w:t xml:space="preserve">, </w:t>
      </w:r>
      <w:r w:rsidR="006F31EE">
        <w:rPr>
          <w:rFonts w:eastAsiaTheme="minorHAnsi"/>
        </w:rPr>
        <w:t>where the court held:</w:t>
      </w:r>
    </w:p>
    <w:p w:rsidR="006F31EE" w:rsidRDefault="006F31EE" w:rsidP="00B43911">
      <w:pPr>
        <w:widowControl/>
        <w:rPr>
          <w:rFonts w:eastAsiaTheme="minorHAnsi"/>
        </w:rPr>
      </w:pPr>
    </w:p>
    <w:p w:rsidR="006F31EE" w:rsidRDefault="006F31EE" w:rsidP="00B43911">
      <w:pPr>
        <w:widowControl/>
        <w:autoSpaceDE w:val="0"/>
        <w:autoSpaceDN w:val="0"/>
        <w:adjustRightInd w:val="0"/>
        <w:spacing w:line="240" w:lineRule="auto"/>
        <w:ind w:left="1440" w:right="1440" w:firstLine="0"/>
        <w:rPr>
          <w:rFonts w:eastAsiaTheme="minorHAnsi"/>
          <w:szCs w:val="26"/>
        </w:rPr>
      </w:pPr>
      <w:r w:rsidRPr="006F31EE">
        <w:rPr>
          <w:rFonts w:eastAsiaTheme="minorHAnsi"/>
          <w:szCs w:val="26"/>
        </w:rPr>
        <w:t xml:space="preserve">Historically, the commission has held that ratepayers should not be required to subsidize telephone service discounts to employees, and the commission has repeatedly imputed the costs of those services in revenues and has disallowed all expenses relating to discount service. </w:t>
      </w:r>
      <w:r w:rsidR="00795528">
        <w:rPr>
          <w:rFonts w:eastAsiaTheme="minorHAnsi"/>
          <w:szCs w:val="26"/>
        </w:rPr>
        <w:t xml:space="preserve"> </w:t>
      </w:r>
      <w:r w:rsidRPr="006F31EE">
        <w:rPr>
          <w:rFonts w:eastAsiaTheme="minorHAnsi"/>
          <w:szCs w:val="26"/>
        </w:rPr>
        <w:t xml:space="preserve">However, the commission may not refer to a previously adopted policy as the sole basis for making an adjustment, nor can the </w:t>
      </w:r>
      <w:r w:rsidRPr="006F31EE">
        <w:rPr>
          <w:rFonts w:eastAsiaTheme="minorHAnsi"/>
          <w:szCs w:val="26"/>
        </w:rPr>
        <w:lastRenderedPageBreak/>
        <w:t xml:space="preserve">commission substitute that policy for evidence in a proceeding before it. </w:t>
      </w:r>
    </w:p>
    <w:p w:rsidR="00795528" w:rsidRDefault="00795528" w:rsidP="00B43911">
      <w:pPr>
        <w:widowControl/>
        <w:autoSpaceDE w:val="0"/>
        <w:autoSpaceDN w:val="0"/>
        <w:adjustRightInd w:val="0"/>
        <w:spacing w:line="240" w:lineRule="auto"/>
        <w:ind w:left="1440" w:right="1440" w:firstLine="0"/>
        <w:rPr>
          <w:rFonts w:eastAsiaTheme="minorHAnsi"/>
          <w:szCs w:val="26"/>
        </w:rPr>
      </w:pPr>
    </w:p>
    <w:p w:rsidR="00795528" w:rsidRPr="006F31EE" w:rsidRDefault="00795528" w:rsidP="00B43911">
      <w:pPr>
        <w:widowControl/>
        <w:autoSpaceDE w:val="0"/>
        <w:autoSpaceDN w:val="0"/>
        <w:adjustRightInd w:val="0"/>
        <w:spacing w:line="240" w:lineRule="auto"/>
        <w:ind w:left="1440" w:right="1440" w:firstLine="0"/>
        <w:rPr>
          <w:rFonts w:eastAsiaTheme="minorHAnsi"/>
          <w:szCs w:val="26"/>
        </w:rPr>
      </w:pPr>
    </w:p>
    <w:p w:rsidR="00036132" w:rsidRDefault="00820BE5" w:rsidP="00B43911">
      <w:pPr>
        <w:widowControl/>
        <w:ind w:firstLine="0"/>
        <w:rPr>
          <w:rFonts w:eastAsiaTheme="minorHAnsi"/>
        </w:rPr>
      </w:pPr>
      <w:r>
        <w:rPr>
          <w:rFonts w:eastAsiaTheme="minorHAnsi"/>
        </w:rPr>
        <w:t xml:space="preserve">Therefore, PSU argues that </w:t>
      </w:r>
      <w:r w:rsidR="00036132">
        <w:rPr>
          <w:rFonts w:eastAsiaTheme="minorHAnsi"/>
        </w:rPr>
        <w:t>just as a Commission policy disfavoring ratepayer subsidization of telephone service discounts to employees cannot be the sole basis for adjustment of a particular telephone company</w:t>
      </w:r>
      <w:r w:rsidR="001D074D">
        <w:rPr>
          <w:rFonts w:eastAsiaTheme="minorHAnsi"/>
        </w:rPr>
        <w:t>’</w:t>
      </w:r>
      <w:r w:rsidR="00036132">
        <w:rPr>
          <w:rFonts w:eastAsiaTheme="minorHAnsi"/>
        </w:rPr>
        <w:t>s rates, so too any policy regarding gas-on-gas discounts adopted in this proceeding cannot be the basis for adjustment of a particular NGDC</w:t>
      </w:r>
      <w:r w:rsidR="001D074D">
        <w:rPr>
          <w:rFonts w:eastAsiaTheme="minorHAnsi"/>
        </w:rPr>
        <w:t>’</w:t>
      </w:r>
      <w:r w:rsidR="00036132">
        <w:rPr>
          <w:rFonts w:eastAsiaTheme="minorHAnsi"/>
        </w:rPr>
        <w:t>s rat</w:t>
      </w:r>
      <w:r w:rsidR="006F31EE">
        <w:rPr>
          <w:rFonts w:eastAsiaTheme="minorHAnsi"/>
        </w:rPr>
        <w:t>e structure.  PSU states that u</w:t>
      </w:r>
      <w:r w:rsidR="00036132">
        <w:rPr>
          <w:rFonts w:eastAsiaTheme="minorHAnsi"/>
        </w:rPr>
        <w:t xml:space="preserve">nlike in a rate case, not all customers whose rates will be affected and changed have been afforded notice and opportunity to be heard before the decision on the merits of whether the gas-on-gas flex rates should exist and continue. </w:t>
      </w:r>
      <w:r w:rsidR="006F31EE">
        <w:rPr>
          <w:rFonts w:eastAsiaTheme="minorHAnsi"/>
        </w:rPr>
        <w:t xml:space="preserve"> PSU submits that </w:t>
      </w:r>
      <w:r w:rsidR="00036132">
        <w:rPr>
          <w:rFonts w:eastAsiaTheme="minorHAnsi"/>
        </w:rPr>
        <w:t>the Commission cannot eliminate those customers</w:t>
      </w:r>
      <w:r w:rsidR="001D074D">
        <w:rPr>
          <w:rFonts w:eastAsiaTheme="minorHAnsi"/>
        </w:rPr>
        <w:t>’</w:t>
      </w:r>
      <w:r w:rsidR="00036132">
        <w:rPr>
          <w:rFonts w:eastAsiaTheme="minorHAnsi"/>
        </w:rPr>
        <w:t xml:space="preserve"> flex rates without affording them their statutory and constitutional rights to notice and opportunity to be heard</w:t>
      </w:r>
      <w:r w:rsidR="00795528">
        <w:rPr>
          <w:rFonts w:eastAsiaTheme="minorHAnsi"/>
        </w:rPr>
        <w:t>.  PSU Exc. at 8-9.</w:t>
      </w:r>
    </w:p>
    <w:p w:rsidR="00795495" w:rsidRDefault="00795495" w:rsidP="00B43911">
      <w:pPr>
        <w:widowControl/>
        <w:rPr>
          <w:rFonts w:eastAsiaTheme="minorHAnsi"/>
        </w:rPr>
      </w:pPr>
    </w:p>
    <w:p w:rsidR="005C5481" w:rsidRDefault="007E03CF" w:rsidP="00B43911">
      <w:pPr>
        <w:widowControl/>
        <w:rPr>
          <w:rFonts w:eastAsiaTheme="minorHAnsi"/>
        </w:rPr>
      </w:pPr>
      <w:r>
        <w:rPr>
          <w:rFonts w:eastAsiaTheme="minorHAnsi"/>
        </w:rPr>
        <w:t xml:space="preserve">Similarly, </w:t>
      </w:r>
      <w:r w:rsidR="006D16AD">
        <w:rPr>
          <w:rFonts w:eastAsiaTheme="minorHAnsi"/>
        </w:rPr>
        <w:t>Peoples/PTWP</w:t>
      </w:r>
      <w:r>
        <w:rPr>
          <w:rFonts w:eastAsiaTheme="minorHAnsi"/>
        </w:rPr>
        <w:t xml:space="preserve"> </w:t>
      </w:r>
      <w:proofErr w:type="gramStart"/>
      <w:r>
        <w:rPr>
          <w:rFonts w:eastAsiaTheme="minorHAnsi"/>
        </w:rPr>
        <w:t>argue</w:t>
      </w:r>
      <w:proofErr w:type="gramEnd"/>
      <w:r>
        <w:rPr>
          <w:rFonts w:eastAsiaTheme="minorHAnsi"/>
        </w:rPr>
        <w:t xml:space="preserve"> that due process is required in administrative proceedings, particularly when administrative action is adjudicative and involves substantial property rights.  </w:t>
      </w:r>
      <w:r w:rsidR="006D16AD">
        <w:rPr>
          <w:rFonts w:eastAsiaTheme="minorHAnsi"/>
        </w:rPr>
        <w:t>Peoples/PTWP</w:t>
      </w:r>
      <w:r>
        <w:rPr>
          <w:rFonts w:eastAsiaTheme="minorHAnsi"/>
        </w:rPr>
        <w:t xml:space="preserve"> submit that in this proceeding, the only notice was via the July 25, 2012 Secretarial Letter to the NGDCs and the Joint Petitioners informing them that </w:t>
      </w:r>
      <w:r w:rsidR="00395133">
        <w:rPr>
          <w:rFonts w:eastAsiaTheme="minorHAnsi"/>
        </w:rPr>
        <w:t xml:space="preserve">a </w:t>
      </w:r>
      <w:r>
        <w:rPr>
          <w:rFonts w:eastAsiaTheme="minorHAnsi"/>
        </w:rPr>
        <w:t xml:space="preserve">generic investigation, not an adjudication or rulemaking, would be commenced.  </w:t>
      </w:r>
      <w:r w:rsidR="006D16AD">
        <w:rPr>
          <w:rFonts w:eastAsiaTheme="minorHAnsi"/>
        </w:rPr>
        <w:t>Peoples/PTWP</w:t>
      </w:r>
      <w:r>
        <w:rPr>
          <w:rFonts w:eastAsiaTheme="minorHAnsi"/>
        </w:rPr>
        <w:t xml:space="preserve"> opine that an</w:t>
      </w:r>
      <w:r w:rsidR="00395133">
        <w:rPr>
          <w:rFonts w:eastAsiaTheme="minorHAnsi"/>
        </w:rPr>
        <w:t>y</w:t>
      </w:r>
      <w:r>
        <w:rPr>
          <w:rFonts w:eastAsiaTheme="minorHAnsi"/>
        </w:rPr>
        <w:t xml:space="preserve"> subsequent Commission action, whether it be a rulemaking, policymaking or order, </w:t>
      </w:r>
      <w:r w:rsidR="005C5481">
        <w:rPr>
          <w:rFonts w:eastAsiaTheme="minorHAnsi"/>
        </w:rPr>
        <w:t xml:space="preserve">requires that subsequent notice and opportunity to be heard be afforded to parties whose property interests </w:t>
      </w:r>
      <w:r w:rsidR="00395133">
        <w:rPr>
          <w:rFonts w:eastAsiaTheme="minorHAnsi"/>
        </w:rPr>
        <w:t>ar</w:t>
      </w:r>
      <w:r w:rsidR="005C5481">
        <w:rPr>
          <w:rFonts w:eastAsiaTheme="minorHAnsi"/>
        </w:rPr>
        <w:t xml:space="preserve">e affected, including those parties who chose not to participate in the generic investigation.  </w:t>
      </w:r>
      <w:proofErr w:type="gramStart"/>
      <w:r w:rsidR="006D16AD">
        <w:rPr>
          <w:rFonts w:eastAsiaTheme="minorHAnsi"/>
        </w:rPr>
        <w:t>Peoples/PTWP</w:t>
      </w:r>
      <w:r w:rsidR="005C5481">
        <w:rPr>
          <w:rFonts w:eastAsiaTheme="minorHAnsi"/>
        </w:rPr>
        <w:t xml:space="preserve"> R. Exc. at 6.</w:t>
      </w:r>
      <w:proofErr w:type="gramEnd"/>
    </w:p>
    <w:p w:rsidR="007E03CF" w:rsidRDefault="007E03CF" w:rsidP="00B43911">
      <w:pPr>
        <w:widowControl/>
        <w:rPr>
          <w:rFonts w:eastAsiaTheme="minorHAnsi"/>
        </w:rPr>
      </w:pPr>
    </w:p>
    <w:p w:rsidR="00036132" w:rsidRDefault="00436C3E" w:rsidP="00B43911">
      <w:pPr>
        <w:widowControl/>
        <w:rPr>
          <w:rFonts w:eastAsiaTheme="minorHAnsi"/>
          <w:sz w:val="24"/>
          <w:szCs w:val="24"/>
        </w:rPr>
      </w:pPr>
      <w:r>
        <w:rPr>
          <w:rFonts w:eastAsiaTheme="minorHAnsi"/>
        </w:rPr>
        <w:t xml:space="preserve">Consistent with its argument that changes to gas-on-gas flex rates be developed in individual NGDC rate proceedings, PSU argues that the ALJ erred by recommending the elimination of gas-on-gas competition without first moving NGDC tariffed rates to cost of service.  </w:t>
      </w:r>
      <w:r w:rsidRPr="0058746F">
        <w:rPr>
          <w:rFonts w:eastAsiaTheme="minorHAnsi"/>
          <w:szCs w:val="26"/>
        </w:rPr>
        <w:t xml:space="preserve">PSU states that it is ironic that the Recommended </w:t>
      </w:r>
      <w:r w:rsidRPr="0058746F">
        <w:rPr>
          <w:rFonts w:eastAsiaTheme="minorHAnsi"/>
          <w:szCs w:val="26"/>
        </w:rPr>
        <w:lastRenderedPageBreak/>
        <w:t xml:space="preserve">Decision makes generalized conclusions about discrimination in rates without considering or addressing the on-going discrimination and subsidies baked into present base rates. </w:t>
      </w:r>
      <w:r w:rsidR="0058746F" w:rsidRPr="0058746F">
        <w:rPr>
          <w:rFonts w:eastAsiaTheme="minorHAnsi"/>
          <w:szCs w:val="26"/>
        </w:rPr>
        <w:t xml:space="preserve"> </w:t>
      </w:r>
      <w:r w:rsidR="000028E4">
        <w:rPr>
          <w:rFonts w:eastAsiaTheme="minorHAnsi"/>
          <w:szCs w:val="26"/>
        </w:rPr>
        <w:t xml:space="preserve">PSU Exc. at 16-17.  </w:t>
      </w:r>
      <w:r w:rsidR="0058746F" w:rsidRPr="0058746F">
        <w:rPr>
          <w:rFonts w:eastAsiaTheme="minorHAnsi"/>
          <w:szCs w:val="26"/>
        </w:rPr>
        <w:t>PSU explains that h</w:t>
      </w:r>
      <w:r w:rsidRPr="0058746F">
        <w:rPr>
          <w:rFonts w:eastAsiaTheme="minorHAnsi"/>
          <w:szCs w:val="26"/>
        </w:rPr>
        <w:t xml:space="preserve">istorically the larger </w:t>
      </w:r>
      <w:r w:rsidR="0058746F" w:rsidRPr="0058746F">
        <w:rPr>
          <w:rFonts w:eastAsiaTheme="minorHAnsi"/>
          <w:szCs w:val="26"/>
        </w:rPr>
        <w:t xml:space="preserve">C&amp;I </w:t>
      </w:r>
      <w:r w:rsidRPr="0058746F">
        <w:rPr>
          <w:rFonts w:eastAsiaTheme="minorHAnsi"/>
          <w:szCs w:val="26"/>
        </w:rPr>
        <w:t xml:space="preserve">customer classes </w:t>
      </w:r>
      <w:r w:rsidR="0058746F" w:rsidRPr="0058746F">
        <w:rPr>
          <w:rFonts w:eastAsiaTheme="minorHAnsi"/>
          <w:szCs w:val="26"/>
        </w:rPr>
        <w:t>t</w:t>
      </w:r>
      <w:r w:rsidRPr="0058746F">
        <w:rPr>
          <w:rFonts w:eastAsiaTheme="minorHAnsi"/>
          <w:szCs w:val="26"/>
        </w:rPr>
        <w:t>hat have been in a competitive position that allows</w:t>
      </w:r>
      <w:r w:rsidR="0058746F" w:rsidRPr="0058746F">
        <w:rPr>
          <w:rFonts w:eastAsiaTheme="minorHAnsi"/>
          <w:szCs w:val="26"/>
        </w:rPr>
        <w:t xml:space="preserve"> </w:t>
      </w:r>
      <w:r w:rsidRPr="0058746F">
        <w:rPr>
          <w:rFonts w:eastAsiaTheme="minorHAnsi"/>
          <w:szCs w:val="26"/>
        </w:rPr>
        <w:t>them to qualify for flex rates have been subsidizing other customer</w:t>
      </w:r>
      <w:r w:rsidR="0058746F" w:rsidRPr="0058746F">
        <w:rPr>
          <w:rFonts w:eastAsiaTheme="minorHAnsi"/>
          <w:szCs w:val="26"/>
        </w:rPr>
        <w:t xml:space="preserve"> </w:t>
      </w:r>
      <w:r w:rsidRPr="0058746F">
        <w:rPr>
          <w:rFonts w:eastAsiaTheme="minorHAnsi"/>
          <w:szCs w:val="26"/>
        </w:rPr>
        <w:t>classes as evidenced by the class rates of return that the NGDCs</w:t>
      </w:r>
      <w:r w:rsidR="0058746F" w:rsidRPr="0058746F">
        <w:rPr>
          <w:rFonts w:eastAsiaTheme="minorHAnsi"/>
          <w:szCs w:val="26"/>
        </w:rPr>
        <w:t xml:space="preserve"> </w:t>
      </w:r>
      <w:r w:rsidRPr="0058746F">
        <w:rPr>
          <w:rFonts w:eastAsiaTheme="minorHAnsi"/>
          <w:szCs w:val="26"/>
        </w:rPr>
        <w:t>have presented in recent rate cases.</w:t>
      </w:r>
      <w:r>
        <w:rPr>
          <w:rFonts w:eastAsiaTheme="minorHAnsi"/>
        </w:rPr>
        <w:t xml:space="preserve"> </w:t>
      </w:r>
      <w:r w:rsidR="000028E4">
        <w:rPr>
          <w:rFonts w:eastAsiaTheme="minorHAnsi"/>
        </w:rPr>
        <w:t xml:space="preserve"> PSU Exc. at 17 (citing PSU St. 1 at 17). PSU avers that gas-on-gas flex contracts should have been determined in individual rate cases, but opponents of gas-on-gas competition </w:t>
      </w:r>
      <w:r w:rsidR="001D074D">
        <w:rPr>
          <w:rFonts w:eastAsiaTheme="minorHAnsi"/>
        </w:rPr>
        <w:t>“</w:t>
      </w:r>
      <w:r w:rsidR="000028E4">
        <w:rPr>
          <w:rFonts w:eastAsiaTheme="minorHAnsi"/>
        </w:rPr>
        <w:t>induced</w:t>
      </w:r>
      <w:r w:rsidR="001D074D">
        <w:rPr>
          <w:rFonts w:eastAsiaTheme="minorHAnsi"/>
        </w:rPr>
        <w:t>”</w:t>
      </w:r>
      <w:r w:rsidR="000028E4">
        <w:rPr>
          <w:rFonts w:eastAsiaTheme="minorHAnsi"/>
        </w:rPr>
        <w:t xml:space="preserve"> certain utilities to agree to a generic proceeding as a means of settling their individual rate cases.  PSU Exc. at 17.</w:t>
      </w:r>
    </w:p>
    <w:p w:rsidR="00326510" w:rsidRDefault="00326510" w:rsidP="00B43911">
      <w:pPr>
        <w:widowControl/>
        <w:rPr>
          <w:szCs w:val="26"/>
        </w:rPr>
      </w:pPr>
    </w:p>
    <w:p w:rsidR="009169AC" w:rsidRDefault="009169AC" w:rsidP="00B43911">
      <w:pPr>
        <w:widowControl/>
        <w:rPr>
          <w:szCs w:val="26"/>
        </w:rPr>
      </w:pPr>
      <w:r>
        <w:rPr>
          <w:szCs w:val="26"/>
        </w:rPr>
        <w:t>PSU argues that the ALJ</w:t>
      </w:r>
      <w:r w:rsidR="001D074D">
        <w:rPr>
          <w:szCs w:val="26"/>
        </w:rPr>
        <w:t>’</w:t>
      </w:r>
      <w:r>
        <w:rPr>
          <w:szCs w:val="26"/>
        </w:rPr>
        <w:t>s assertion that gas-on-gas compe</w:t>
      </w:r>
      <w:r w:rsidR="00395133">
        <w:rPr>
          <w:szCs w:val="26"/>
        </w:rPr>
        <w:t>ti</w:t>
      </w:r>
      <w:r>
        <w:rPr>
          <w:szCs w:val="26"/>
        </w:rPr>
        <w:t xml:space="preserve">tion is </w:t>
      </w:r>
      <w:r w:rsidR="001D074D">
        <w:rPr>
          <w:szCs w:val="26"/>
        </w:rPr>
        <w:t>“</w:t>
      </w:r>
      <w:r>
        <w:rPr>
          <w:szCs w:val="26"/>
        </w:rPr>
        <w:t>financially burdensome to other captive customers</w:t>
      </w:r>
      <w:r w:rsidR="001D074D">
        <w:rPr>
          <w:szCs w:val="26"/>
        </w:rPr>
        <w:t>”</w:t>
      </w:r>
      <w:r>
        <w:rPr>
          <w:szCs w:val="26"/>
        </w:rPr>
        <w:t xml:space="preserve"> must be rejected.  PSU Exc. at 11 (citing R.D. at 30).  As addressed in IECPA</w:t>
      </w:r>
      <w:r w:rsidR="001D074D">
        <w:rPr>
          <w:szCs w:val="26"/>
        </w:rPr>
        <w:t>’</w:t>
      </w:r>
      <w:r>
        <w:rPr>
          <w:szCs w:val="26"/>
        </w:rPr>
        <w:t>s and PSU</w:t>
      </w:r>
      <w:r w:rsidR="001D074D">
        <w:rPr>
          <w:szCs w:val="26"/>
        </w:rPr>
        <w:t>’</w:t>
      </w:r>
      <w:r>
        <w:rPr>
          <w:szCs w:val="26"/>
        </w:rPr>
        <w:t xml:space="preserve">s Main Brief and discussed, </w:t>
      </w:r>
      <w:r w:rsidRPr="009169AC">
        <w:rPr>
          <w:i/>
          <w:szCs w:val="26"/>
        </w:rPr>
        <w:t>supra</w:t>
      </w:r>
      <w:r>
        <w:rPr>
          <w:szCs w:val="26"/>
        </w:rPr>
        <w:t>, PSU submits that all customers benefit from retaining and adding customers to a NGDC</w:t>
      </w:r>
      <w:r w:rsidR="001D074D">
        <w:rPr>
          <w:szCs w:val="26"/>
        </w:rPr>
        <w:t>’</w:t>
      </w:r>
      <w:r>
        <w:rPr>
          <w:szCs w:val="26"/>
        </w:rPr>
        <w:t xml:space="preserve">s system and the ALJ incorrectly </w:t>
      </w:r>
      <w:r w:rsidR="00213F92">
        <w:rPr>
          <w:szCs w:val="26"/>
        </w:rPr>
        <w:t xml:space="preserve">assumes </w:t>
      </w:r>
      <w:r>
        <w:rPr>
          <w:szCs w:val="26"/>
        </w:rPr>
        <w:t>that customers that currently receive gas-on-gas discounts will be willing and able to maintain their current load while paying full tar</w:t>
      </w:r>
      <w:r w:rsidR="00213F92">
        <w:rPr>
          <w:szCs w:val="26"/>
        </w:rPr>
        <w:t xml:space="preserve">iffed rates.  PSU Exc. at 11-13. </w:t>
      </w:r>
    </w:p>
    <w:p w:rsidR="009169AC" w:rsidRDefault="009169AC" w:rsidP="00B43911">
      <w:pPr>
        <w:widowControl/>
        <w:rPr>
          <w:szCs w:val="26"/>
        </w:rPr>
      </w:pPr>
    </w:p>
    <w:p w:rsidR="00123517" w:rsidRDefault="00123517" w:rsidP="00B43911">
      <w:pPr>
        <w:widowControl/>
        <w:rPr>
          <w:szCs w:val="26"/>
        </w:rPr>
      </w:pPr>
      <w:r>
        <w:rPr>
          <w:szCs w:val="26"/>
        </w:rPr>
        <w:t xml:space="preserve">The OSBA </w:t>
      </w:r>
      <w:proofErr w:type="gramStart"/>
      <w:r>
        <w:rPr>
          <w:szCs w:val="26"/>
        </w:rPr>
        <w:t>excepts</w:t>
      </w:r>
      <w:proofErr w:type="gramEnd"/>
      <w:r>
        <w:rPr>
          <w:szCs w:val="26"/>
        </w:rPr>
        <w:t xml:space="preserve"> to the ALJ</w:t>
      </w:r>
      <w:r w:rsidR="001D074D">
        <w:rPr>
          <w:szCs w:val="26"/>
        </w:rPr>
        <w:t>’</w:t>
      </w:r>
      <w:r>
        <w:rPr>
          <w:szCs w:val="26"/>
        </w:rPr>
        <w:t xml:space="preserve">s recommendation that a task force or working group </w:t>
      </w:r>
      <w:r w:rsidR="00D83DDE">
        <w:rPr>
          <w:szCs w:val="26"/>
        </w:rPr>
        <w:t xml:space="preserve">be created.  </w:t>
      </w:r>
      <w:r>
        <w:rPr>
          <w:szCs w:val="26"/>
        </w:rPr>
        <w:t>The OSBA submits that this task force would be charged with negotiating and drafting the methodology for discontin</w:t>
      </w:r>
      <w:r w:rsidR="00D83DDE">
        <w:rPr>
          <w:szCs w:val="26"/>
        </w:rPr>
        <w:t>uing or modifying gas-on-gas competition, including the issues related to the division of service territories, assigning customers to specific NGDCs, load predictability and customer switching in the future.  The OSBA avers that given the diametric opposite positions of the Parties in this proceeding, a collaborative process would be unworkable and a potential waste of time.  As an alternative, the OSBA recommends that the Commission issue a clear statement of its intent followed by a generic investigation to address the implementation of the Commission</w:t>
      </w:r>
      <w:r w:rsidR="001D074D">
        <w:rPr>
          <w:szCs w:val="26"/>
        </w:rPr>
        <w:t>’</w:t>
      </w:r>
      <w:r w:rsidR="00D83DDE">
        <w:rPr>
          <w:szCs w:val="26"/>
        </w:rPr>
        <w:t xml:space="preserve">s new policy.  OSBA Exc. at 8-9. </w:t>
      </w:r>
    </w:p>
    <w:p w:rsidR="009E4E64" w:rsidRDefault="009E4E64" w:rsidP="00B43911">
      <w:pPr>
        <w:widowControl/>
        <w:rPr>
          <w:szCs w:val="26"/>
        </w:rPr>
      </w:pPr>
    </w:p>
    <w:p w:rsidR="00D56F25" w:rsidRDefault="00D56F25" w:rsidP="00B43911">
      <w:pPr>
        <w:widowControl/>
        <w:rPr>
          <w:szCs w:val="26"/>
        </w:rPr>
      </w:pPr>
      <w:r>
        <w:rPr>
          <w:szCs w:val="26"/>
        </w:rPr>
        <w:lastRenderedPageBreak/>
        <w:t>In its Exceptions, Columbia notes that there w</w:t>
      </w:r>
      <w:r w:rsidR="000B22D5">
        <w:rPr>
          <w:szCs w:val="26"/>
        </w:rPr>
        <w:t xml:space="preserve">ould </w:t>
      </w:r>
      <w:r>
        <w:rPr>
          <w:szCs w:val="26"/>
        </w:rPr>
        <w:t xml:space="preserve">be stranded costs </w:t>
      </w:r>
      <w:r w:rsidR="000B22D5">
        <w:rPr>
          <w:szCs w:val="26"/>
        </w:rPr>
        <w:t xml:space="preserve">associated with </w:t>
      </w:r>
      <w:r w:rsidR="006721FD">
        <w:rPr>
          <w:szCs w:val="26"/>
        </w:rPr>
        <w:t>apportion</w:t>
      </w:r>
      <w:r w:rsidR="000B22D5">
        <w:rPr>
          <w:szCs w:val="26"/>
        </w:rPr>
        <w:t xml:space="preserve">ing NGDC service territories which, </w:t>
      </w:r>
      <w:r w:rsidR="001D074D">
        <w:rPr>
          <w:szCs w:val="26"/>
        </w:rPr>
        <w:t>“</w:t>
      </w:r>
      <w:r w:rsidR="000B22D5">
        <w:rPr>
          <w:szCs w:val="26"/>
        </w:rPr>
        <w:t>of necessity,</w:t>
      </w:r>
      <w:r w:rsidR="001D074D">
        <w:rPr>
          <w:szCs w:val="26"/>
        </w:rPr>
        <w:t>”</w:t>
      </w:r>
      <w:r w:rsidR="000B22D5">
        <w:rPr>
          <w:szCs w:val="26"/>
        </w:rPr>
        <w:t xml:space="preserve"> would be borne by ratepayers in a particular NGDC</w:t>
      </w:r>
      <w:r w:rsidR="001D074D">
        <w:rPr>
          <w:szCs w:val="26"/>
        </w:rPr>
        <w:t>’</w:t>
      </w:r>
      <w:r w:rsidR="000B22D5">
        <w:rPr>
          <w:szCs w:val="26"/>
        </w:rPr>
        <w:t xml:space="preserve">s service territory.  Columbia projects that it is possible that the resulting rate impact could exceed the revenue shortfall associated with the current practice of gas-on-gas rate discounting.  Columbia recommends that the Commission should not implement the recommendation to divide overlapping service territories without record evidence that would shed light on whether such a move is in the public interest.  Columbia also shares the position of the OSBA, </w:t>
      </w:r>
      <w:r w:rsidR="000B22D5" w:rsidRPr="000B22D5">
        <w:rPr>
          <w:i/>
          <w:szCs w:val="26"/>
        </w:rPr>
        <w:t>supra</w:t>
      </w:r>
      <w:r w:rsidR="000B22D5">
        <w:rPr>
          <w:szCs w:val="26"/>
        </w:rPr>
        <w:t xml:space="preserve">, stating that a division of service territories under the auspices of a working group would invite a fight over the choicest portions of overlapping service territories that is sure to be contentious, complicated, and costly.  </w:t>
      </w:r>
      <w:r w:rsidR="003750AB">
        <w:rPr>
          <w:szCs w:val="26"/>
        </w:rPr>
        <w:t xml:space="preserve">Columbia Exc. at 7-8 (citing Columbia St. 1R at 5). </w:t>
      </w:r>
      <w:r w:rsidR="009E160E">
        <w:rPr>
          <w:szCs w:val="26"/>
        </w:rPr>
        <w:t xml:space="preserve"> Similarly, IECPA avers any benefits of a working group would be undermined by the inherent unfeasibility of dividing up customers and/or service territories.  IECPA Exc. at 17. </w:t>
      </w:r>
    </w:p>
    <w:p w:rsidR="00D56F25" w:rsidRDefault="00D56F25" w:rsidP="00B43911">
      <w:pPr>
        <w:widowControl/>
        <w:rPr>
          <w:szCs w:val="26"/>
        </w:rPr>
      </w:pPr>
    </w:p>
    <w:p w:rsidR="00246D70" w:rsidRDefault="00246D70" w:rsidP="00B43911">
      <w:pPr>
        <w:widowControl/>
        <w:rPr>
          <w:szCs w:val="26"/>
        </w:rPr>
      </w:pPr>
      <w:r>
        <w:rPr>
          <w:szCs w:val="26"/>
        </w:rPr>
        <w:t xml:space="preserve">In addition to its arguments relating to the recovery of stranded costs and antitrust implications discussed, </w:t>
      </w:r>
      <w:r w:rsidRPr="00246D70">
        <w:rPr>
          <w:i/>
          <w:szCs w:val="26"/>
        </w:rPr>
        <w:t>supra</w:t>
      </w:r>
      <w:r>
        <w:rPr>
          <w:szCs w:val="26"/>
        </w:rPr>
        <w:t xml:space="preserve">, IECPA avers that dividing up service territories is unreasonable because </w:t>
      </w:r>
      <w:r w:rsidR="009E160E">
        <w:rPr>
          <w:szCs w:val="26"/>
        </w:rPr>
        <w:t>it limits a customer</w:t>
      </w:r>
      <w:r w:rsidR="001D074D">
        <w:rPr>
          <w:szCs w:val="26"/>
        </w:rPr>
        <w:t>’</w:t>
      </w:r>
      <w:r w:rsidR="009E160E">
        <w:rPr>
          <w:szCs w:val="26"/>
        </w:rPr>
        <w:t>s ability to choose their natural gas service provider.  IECPA explains that</w:t>
      </w:r>
      <w:r w:rsidR="004A77D0">
        <w:rPr>
          <w:szCs w:val="26"/>
        </w:rPr>
        <w:t>,</w:t>
      </w:r>
      <w:r w:rsidR="009E160E">
        <w:rPr>
          <w:szCs w:val="26"/>
        </w:rPr>
        <w:t xml:space="preserve"> if a customer is assigned to an NGDC from which the customer believes it is not receiving adequate service, the assignment choice may be considered unduly discriminatory.  IECPA Exc. at 16.</w:t>
      </w:r>
    </w:p>
    <w:p w:rsidR="00246D70" w:rsidRDefault="00246D70" w:rsidP="00B43911">
      <w:pPr>
        <w:widowControl/>
        <w:rPr>
          <w:szCs w:val="26"/>
        </w:rPr>
      </w:pPr>
    </w:p>
    <w:p w:rsidR="009E4E64" w:rsidRPr="00AD56A6" w:rsidRDefault="00AD56A6" w:rsidP="00B43911">
      <w:pPr>
        <w:widowControl/>
        <w:rPr>
          <w:szCs w:val="26"/>
        </w:rPr>
      </w:pPr>
      <w:r w:rsidRPr="00AD56A6">
        <w:rPr>
          <w:szCs w:val="26"/>
        </w:rPr>
        <w:t xml:space="preserve">PSU </w:t>
      </w:r>
      <w:proofErr w:type="gramStart"/>
      <w:r w:rsidRPr="00AD56A6">
        <w:rPr>
          <w:szCs w:val="26"/>
        </w:rPr>
        <w:t>excepts</w:t>
      </w:r>
      <w:proofErr w:type="gramEnd"/>
      <w:r w:rsidRPr="00AD56A6">
        <w:rPr>
          <w:szCs w:val="26"/>
        </w:rPr>
        <w:t xml:space="preserve"> to the ALJ</w:t>
      </w:r>
      <w:r w:rsidR="001D074D">
        <w:rPr>
          <w:szCs w:val="26"/>
        </w:rPr>
        <w:t>’</w:t>
      </w:r>
      <w:r w:rsidRPr="00AD56A6">
        <w:rPr>
          <w:szCs w:val="26"/>
        </w:rPr>
        <w:t xml:space="preserve">s recommendation that the Commission order that the service territories be divided in order to eliminate overlap.  </w:t>
      </w:r>
      <w:r w:rsidR="00D02FA2">
        <w:rPr>
          <w:szCs w:val="26"/>
        </w:rPr>
        <w:t>PSU notes that t</w:t>
      </w:r>
      <w:r w:rsidR="00D02FA2" w:rsidRPr="00AD56A6">
        <w:rPr>
          <w:rFonts w:eastAsiaTheme="minorHAnsi"/>
          <w:szCs w:val="26"/>
        </w:rPr>
        <w:t>he NGDCs</w:t>
      </w:r>
      <w:r w:rsidR="00D02FA2">
        <w:rPr>
          <w:rFonts w:eastAsiaTheme="minorHAnsi"/>
          <w:szCs w:val="26"/>
        </w:rPr>
        <w:t>,</w:t>
      </w:r>
      <w:r w:rsidR="00D02FA2" w:rsidRPr="00AD56A6">
        <w:rPr>
          <w:rFonts w:eastAsiaTheme="minorHAnsi"/>
          <w:szCs w:val="26"/>
        </w:rPr>
        <w:t xml:space="preserve"> which distribute gas in overlapping service territories in western Pennsylvania</w:t>
      </w:r>
      <w:r w:rsidR="00D02FA2">
        <w:rPr>
          <w:rFonts w:eastAsiaTheme="minorHAnsi"/>
          <w:szCs w:val="26"/>
        </w:rPr>
        <w:t>,</w:t>
      </w:r>
      <w:r w:rsidR="00D02FA2" w:rsidRPr="00AD56A6">
        <w:rPr>
          <w:rFonts w:eastAsiaTheme="minorHAnsi"/>
          <w:szCs w:val="26"/>
        </w:rPr>
        <w:t xml:space="preserve"> and their predecessors</w:t>
      </w:r>
      <w:r w:rsidR="00D02FA2">
        <w:rPr>
          <w:rFonts w:eastAsiaTheme="minorHAnsi"/>
          <w:szCs w:val="26"/>
        </w:rPr>
        <w:t>,</w:t>
      </w:r>
      <w:r w:rsidR="00D02FA2" w:rsidRPr="00AD56A6">
        <w:rPr>
          <w:rFonts w:eastAsiaTheme="minorHAnsi"/>
          <w:szCs w:val="26"/>
        </w:rPr>
        <w:t xml:space="preserve"> have done so pursuant to rights granted more than a century ago. </w:t>
      </w:r>
      <w:r w:rsidR="00D02FA2">
        <w:rPr>
          <w:rFonts w:eastAsiaTheme="minorHAnsi"/>
          <w:szCs w:val="26"/>
        </w:rPr>
        <w:t xml:space="preserve"> </w:t>
      </w:r>
      <w:r>
        <w:rPr>
          <w:rFonts w:eastAsiaTheme="minorHAnsi"/>
          <w:szCs w:val="26"/>
        </w:rPr>
        <w:t xml:space="preserve">PSU Exc. at 18 (citing </w:t>
      </w:r>
      <w:r w:rsidRPr="00AD56A6">
        <w:rPr>
          <w:rFonts w:eastAsiaTheme="minorHAnsi"/>
          <w:szCs w:val="26"/>
        </w:rPr>
        <w:t>R.D. at 2)</w:t>
      </w:r>
      <w:r>
        <w:rPr>
          <w:rFonts w:eastAsiaTheme="minorHAnsi"/>
          <w:szCs w:val="26"/>
        </w:rPr>
        <w:t>.</w:t>
      </w:r>
      <w:r w:rsidRPr="00AD56A6">
        <w:rPr>
          <w:rFonts w:eastAsiaTheme="minorHAnsi"/>
          <w:szCs w:val="26"/>
        </w:rPr>
        <w:t xml:space="preserve"> </w:t>
      </w:r>
      <w:r>
        <w:rPr>
          <w:rFonts w:eastAsiaTheme="minorHAnsi"/>
          <w:szCs w:val="26"/>
        </w:rPr>
        <w:t xml:space="preserve"> PSU opines that t</w:t>
      </w:r>
      <w:r w:rsidRPr="00AD56A6">
        <w:rPr>
          <w:rFonts w:eastAsiaTheme="minorHAnsi"/>
          <w:szCs w:val="26"/>
        </w:rPr>
        <w:t xml:space="preserve">he curtailment of these service territories on this record would be unlawful and likely viewed as governmental slamming. </w:t>
      </w:r>
      <w:r>
        <w:rPr>
          <w:rFonts w:eastAsiaTheme="minorHAnsi"/>
          <w:szCs w:val="26"/>
        </w:rPr>
        <w:t xml:space="preserve"> PSU avers that e</w:t>
      </w:r>
      <w:r w:rsidRPr="00AD56A6">
        <w:rPr>
          <w:rFonts w:eastAsiaTheme="minorHAnsi"/>
          <w:szCs w:val="26"/>
        </w:rPr>
        <w:t>ven assuming the Commission has the statutory power to deprive NGDCs of franchise rights flowing from the inco</w:t>
      </w:r>
      <w:r w:rsidR="00560435">
        <w:rPr>
          <w:rFonts w:eastAsiaTheme="minorHAnsi"/>
          <w:szCs w:val="26"/>
        </w:rPr>
        <w:t xml:space="preserve">rporation of their predecessors, </w:t>
      </w:r>
      <w:r w:rsidRPr="00AD56A6">
        <w:rPr>
          <w:rFonts w:eastAsiaTheme="minorHAnsi"/>
          <w:szCs w:val="26"/>
        </w:rPr>
        <w:lastRenderedPageBreak/>
        <w:t>pursuant to the Pennsylvania Natural Gas Companies Act of May 29, 1885, it</w:t>
      </w:r>
      <w:r>
        <w:rPr>
          <w:rFonts w:eastAsiaTheme="minorHAnsi"/>
          <w:szCs w:val="26"/>
        </w:rPr>
        <w:t xml:space="preserve"> </w:t>
      </w:r>
      <w:r w:rsidRPr="00AD56A6">
        <w:rPr>
          <w:rFonts w:eastAsiaTheme="minorHAnsi"/>
          <w:szCs w:val="26"/>
        </w:rPr>
        <w:t>cannot do so absent a finding based on substantial evidence after notice and opportunity to be heard</w:t>
      </w:r>
      <w:r w:rsidR="006721FD">
        <w:rPr>
          <w:rFonts w:eastAsiaTheme="minorHAnsi"/>
          <w:szCs w:val="26"/>
        </w:rPr>
        <w:t>.</w:t>
      </w:r>
      <w:r w:rsidRPr="00AD56A6">
        <w:rPr>
          <w:rFonts w:eastAsiaTheme="minorHAnsi"/>
          <w:szCs w:val="26"/>
        </w:rPr>
        <w:t xml:space="preserve"> </w:t>
      </w:r>
      <w:r>
        <w:rPr>
          <w:rFonts w:eastAsiaTheme="minorHAnsi"/>
          <w:szCs w:val="26"/>
        </w:rPr>
        <w:t xml:space="preserve"> PSU submits the Commission </w:t>
      </w:r>
      <w:r w:rsidRPr="00AD56A6">
        <w:rPr>
          <w:rFonts w:eastAsiaTheme="minorHAnsi"/>
          <w:szCs w:val="26"/>
        </w:rPr>
        <w:t>certainly cannot do so simply on the basis of the anti</w:t>
      </w:r>
      <w:r>
        <w:rPr>
          <w:rFonts w:eastAsiaTheme="minorHAnsi"/>
          <w:szCs w:val="26"/>
        </w:rPr>
        <w:t>-</w:t>
      </w:r>
      <w:r w:rsidRPr="00AD56A6">
        <w:rPr>
          <w:rFonts w:eastAsiaTheme="minorHAnsi"/>
          <w:szCs w:val="26"/>
        </w:rPr>
        <w:t>competition policy recommended by the A</w:t>
      </w:r>
      <w:r>
        <w:rPr>
          <w:rFonts w:eastAsiaTheme="minorHAnsi"/>
          <w:szCs w:val="26"/>
        </w:rPr>
        <w:t>LJ</w:t>
      </w:r>
      <w:r w:rsidRPr="00AD56A6">
        <w:rPr>
          <w:rFonts w:eastAsiaTheme="minorHAnsi"/>
          <w:szCs w:val="26"/>
        </w:rPr>
        <w:t xml:space="preserve"> here. </w:t>
      </w:r>
      <w:r>
        <w:rPr>
          <w:rFonts w:eastAsiaTheme="minorHAnsi"/>
          <w:szCs w:val="26"/>
        </w:rPr>
        <w:t xml:space="preserve"> PSU cites </w:t>
      </w:r>
      <w:r w:rsidRPr="00AD56A6">
        <w:rPr>
          <w:rFonts w:eastAsiaTheme="minorHAnsi"/>
          <w:i/>
          <w:szCs w:val="26"/>
        </w:rPr>
        <w:t>Limelight Limousine, Inc</w:t>
      </w:r>
      <w:r w:rsidRPr="00AD56A6">
        <w:rPr>
          <w:rFonts w:eastAsiaTheme="minorHAnsi"/>
          <w:szCs w:val="26"/>
        </w:rPr>
        <w:t xml:space="preserve">., </w:t>
      </w:r>
      <w:r w:rsidRPr="00560435">
        <w:rPr>
          <w:rFonts w:eastAsiaTheme="minorHAnsi"/>
          <w:szCs w:val="26"/>
        </w:rPr>
        <w:t>66 Pa. P.U.</w:t>
      </w:r>
      <w:r w:rsidRPr="00AD56A6">
        <w:rPr>
          <w:rFonts w:eastAsiaTheme="minorHAnsi"/>
          <w:szCs w:val="26"/>
        </w:rPr>
        <w:t xml:space="preserve">C. 227, 230 (1988) </w:t>
      </w:r>
      <w:r>
        <w:rPr>
          <w:rFonts w:eastAsiaTheme="minorHAnsi"/>
          <w:szCs w:val="26"/>
        </w:rPr>
        <w:t>where the Commission stated</w:t>
      </w:r>
      <w:r w:rsidR="006721FD">
        <w:rPr>
          <w:rFonts w:eastAsiaTheme="minorHAnsi"/>
          <w:szCs w:val="26"/>
        </w:rPr>
        <w:t>,</w:t>
      </w:r>
      <w:r>
        <w:rPr>
          <w:rFonts w:eastAsiaTheme="minorHAnsi"/>
          <w:szCs w:val="26"/>
        </w:rPr>
        <w:t xml:space="preserve"> </w:t>
      </w:r>
      <w:r w:rsidR="001D074D">
        <w:rPr>
          <w:rFonts w:eastAsiaTheme="minorHAnsi"/>
          <w:szCs w:val="26"/>
        </w:rPr>
        <w:t>“</w:t>
      </w:r>
      <w:r>
        <w:rPr>
          <w:rFonts w:eastAsiaTheme="minorHAnsi"/>
          <w:szCs w:val="26"/>
        </w:rPr>
        <w:t>[</w:t>
      </w:r>
      <w:r w:rsidRPr="00AD56A6">
        <w:rPr>
          <w:rFonts w:eastAsiaTheme="minorHAnsi"/>
          <w:szCs w:val="26"/>
        </w:rPr>
        <w:t>I</w:t>
      </w:r>
      <w:r>
        <w:rPr>
          <w:rFonts w:eastAsiaTheme="minorHAnsi"/>
          <w:szCs w:val="26"/>
        </w:rPr>
        <w:t>]</w:t>
      </w:r>
      <w:r w:rsidRPr="00AD56A6">
        <w:rPr>
          <w:rFonts w:eastAsiaTheme="minorHAnsi"/>
          <w:szCs w:val="26"/>
        </w:rPr>
        <w:t>t is well settled that a general policy formulated by the Commission is not a substitute for the evidence necessary to effect a change in substantive rights.</w:t>
      </w:r>
      <w:r w:rsidR="001D074D">
        <w:rPr>
          <w:rFonts w:eastAsiaTheme="minorHAnsi"/>
          <w:szCs w:val="26"/>
        </w:rPr>
        <w:t>”</w:t>
      </w:r>
      <w:r w:rsidRPr="00AD56A6">
        <w:rPr>
          <w:rFonts w:eastAsiaTheme="minorHAnsi"/>
          <w:szCs w:val="26"/>
        </w:rPr>
        <w:t xml:space="preserve"> </w:t>
      </w:r>
      <w:r w:rsidR="00560435">
        <w:rPr>
          <w:rFonts w:eastAsiaTheme="minorHAnsi"/>
          <w:szCs w:val="26"/>
        </w:rPr>
        <w:t xml:space="preserve">PSU Exc. at 18 </w:t>
      </w:r>
      <w:r w:rsidRPr="00AD56A6">
        <w:rPr>
          <w:rFonts w:eastAsiaTheme="minorHAnsi"/>
          <w:szCs w:val="26"/>
        </w:rPr>
        <w:t>(</w:t>
      </w:r>
      <w:r w:rsidR="00FA02D5">
        <w:rPr>
          <w:rFonts w:eastAsiaTheme="minorHAnsi"/>
          <w:szCs w:val="26"/>
        </w:rPr>
        <w:t xml:space="preserve">also </w:t>
      </w:r>
      <w:r w:rsidRPr="00AD56A6">
        <w:rPr>
          <w:rFonts w:eastAsiaTheme="minorHAnsi"/>
          <w:szCs w:val="26"/>
        </w:rPr>
        <w:t xml:space="preserve">citing </w:t>
      </w:r>
      <w:r w:rsidRPr="00AD56A6">
        <w:rPr>
          <w:rFonts w:eastAsiaTheme="minorHAnsi"/>
          <w:i/>
          <w:szCs w:val="26"/>
        </w:rPr>
        <w:t xml:space="preserve">Marmer v. Pennsylvania Pub. </w:t>
      </w:r>
      <w:proofErr w:type="gramStart"/>
      <w:r w:rsidRPr="00AD56A6">
        <w:rPr>
          <w:rFonts w:eastAsiaTheme="minorHAnsi"/>
          <w:i/>
          <w:szCs w:val="26"/>
        </w:rPr>
        <w:t>Utility Commission</w:t>
      </w:r>
      <w:r w:rsidRPr="00AD56A6">
        <w:rPr>
          <w:rFonts w:eastAsiaTheme="minorHAnsi"/>
          <w:szCs w:val="26"/>
        </w:rPr>
        <w:t>, 190 Pa. Super.</w:t>
      </w:r>
      <w:proofErr w:type="gramEnd"/>
      <w:r w:rsidRPr="00AD56A6">
        <w:rPr>
          <w:rFonts w:eastAsiaTheme="minorHAnsi"/>
          <w:szCs w:val="26"/>
        </w:rPr>
        <w:t xml:space="preserve"> </w:t>
      </w:r>
      <w:proofErr w:type="gramStart"/>
      <w:r w:rsidRPr="00AD56A6">
        <w:rPr>
          <w:rFonts w:eastAsiaTheme="minorHAnsi"/>
          <w:szCs w:val="26"/>
        </w:rPr>
        <w:t>436, 154 A.2d 262 (1959)).</w:t>
      </w:r>
      <w:proofErr w:type="gramEnd"/>
      <w:r w:rsidR="007E0D88">
        <w:rPr>
          <w:rFonts w:eastAsiaTheme="minorHAnsi"/>
          <w:szCs w:val="26"/>
        </w:rPr>
        <w:t xml:space="preserve">  </w:t>
      </w:r>
    </w:p>
    <w:p w:rsidR="00D56F25" w:rsidRDefault="00D56F25" w:rsidP="00B43911">
      <w:pPr>
        <w:widowControl/>
        <w:rPr>
          <w:szCs w:val="26"/>
        </w:rPr>
      </w:pPr>
    </w:p>
    <w:p w:rsidR="009E4E64" w:rsidRPr="007E0D88" w:rsidRDefault="007E0D88" w:rsidP="00B43911">
      <w:pPr>
        <w:widowControl/>
        <w:rPr>
          <w:szCs w:val="26"/>
        </w:rPr>
      </w:pPr>
      <w:r w:rsidRPr="007E0D88">
        <w:rPr>
          <w:szCs w:val="26"/>
        </w:rPr>
        <w:t xml:space="preserve">PSU submits that the ALJ erred in recommending the adoption of </w:t>
      </w:r>
      <w:r w:rsidR="00D22255">
        <w:rPr>
          <w:szCs w:val="26"/>
        </w:rPr>
        <w:t xml:space="preserve">the </w:t>
      </w:r>
      <w:r w:rsidR="006D16AD">
        <w:rPr>
          <w:szCs w:val="26"/>
        </w:rPr>
        <w:t>Peoples/PTWP</w:t>
      </w:r>
      <w:r w:rsidRPr="007E0D88">
        <w:rPr>
          <w:szCs w:val="26"/>
        </w:rPr>
        <w:t xml:space="preserve"> proposal and states that such adoption would be premature.  </w:t>
      </w:r>
      <w:r w:rsidR="009E4E64" w:rsidRPr="007E0D88">
        <w:rPr>
          <w:szCs w:val="26"/>
        </w:rPr>
        <w:t xml:space="preserve">PSU </w:t>
      </w:r>
      <w:r w:rsidRPr="007E0D88">
        <w:rPr>
          <w:szCs w:val="26"/>
        </w:rPr>
        <w:t xml:space="preserve">explains </w:t>
      </w:r>
      <w:r w:rsidR="009E4E64" w:rsidRPr="007E0D88">
        <w:rPr>
          <w:szCs w:val="26"/>
        </w:rPr>
        <w:t xml:space="preserve">that a draft of certain portions of </w:t>
      </w:r>
      <w:r w:rsidR="00D22255">
        <w:rPr>
          <w:szCs w:val="26"/>
        </w:rPr>
        <w:t xml:space="preserve">the </w:t>
      </w:r>
      <w:r w:rsidR="006D16AD">
        <w:rPr>
          <w:szCs w:val="26"/>
        </w:rPr>
        <w:t>Peoples/PTWP</w:t>
      </w:r>
      <w:r w:rsidR="009E4E64" w:rsidRPr="007E0D88">
        <w:rPr>
          <w:szCs w:val="26"/>
        </w:rPr>
        <w:t xml:space="preserve"> proposal was included with the surrebuttal testimony of </w:t>
      </w:r>
      <w:r w:rsidR="006D16AD">
        <w:rPr>
          <w:szCs w:val="26"/>
        </w:rPr>
        <w:t>Peoples/PTWP</w:t>
      </w:r>
      <w:r w:rsidR="001D074D">
        <w:rPr>
          <w:szCs w:val="26"/>
        </w:rPr>
        <w:t>’</w:t>
      </w:r>
      <w:r w:rsidR="00560435">
        <w:rPr>
          <w:szCs w:val="26"/>
        </w:rPr>
        <w:t>s</w:t>
      </w:r>
      <w:r w:rsidR="009E4E64" w:rsidRPr="007E0D88">
        <w:rPr>
          <w:szCs w:val="26"/>
        </w:rPr>
        <w:t xml:space="preserve"> witness Gregorini.  PSU avers that the complete proposal, which was considered and recommended by the ALJ, first appeared in the appendices of </w:t>
      </w:r>
      <w:r w:rsidR="006D16AD">
        <w:rPr>
          <w:szCs w:val="26"/>
        </w:rPr>
        <w:t>Peoples/PTWP</w:t>
      </w:r>
      <w:r w:rsidR="001D074D">
        <w:rPr>
          <w:szCs w:val="26"/>
        </w:rPr>
        <w:t>’</w:t>
      </w:r>
      <w:r w:rsidR="00D22255">
        <w:rPr>
          <w:szCs w:val="26"/>
        </w:rPr>
        <w:t>s</w:t>
      </w:r>
      <w:r w:rsidR="009E4E64" w:rsidRPr="007E0D88">
        <w:rPr>
          <w:szCs w:val="26"/>
        </w:rPr>
        <w:t xml:space="preserve"> Main Brief, long after the close of the record.  PSU argues that, as a result, the Parties had little opportunity to do discovery on the proposal and no opportunity to develop an evidentiary basis for adoption, modification or rejection of its various provisions.  PSU Exc. at 19.</w:t>
      </w:r>
    </w:p>
    <w:p w:rsidR="009E4E64" w:rsidRDefault="009E4E64" w:rsidP="00B43911">
      <w:pPr>
        <w:widowControl/>
        <w:rPr>
          <w:szCs w:val="26"/>
        </w:rPr>
      </w:pPr>
    </w:p>
    <w:p w:rsidR="000A6103" w:rsidRDefault="009C4768" w:rsidP="00B43911">
      <w:pPr>
        <w:widowControl/>
        <w:rPr>
          <w:szCs w:val="26"/>
        </w:rPr>
      </w:pPr>
      <w:r>
        <w:rPr>
          <w:szCs w:val="26"/>
        </w:rPr>
        <w:t xml:space="preserve">In addition to its overall position that the </w:t>
      </w:r>
      <w:r w:rsidRPr="009C4768">
        <w:rPr>
          <w:i/>
          <w:szCs w:val="26"/>
        </w:rPr>
        <w:t>status quo</w:t>
      </w:r>
      <w:r>
        <w:rPr>
          <w:szCs w:val="26"/>
        </w:rPr>
        <w:t xml:space="preserve"> is preferable to </w:t>
      </w:r>
      <w:r w:rsidR="00D22255">
        <w:rPr>
          <w:szCs w:val="26"/>
        </w:rPr>
        <w:t xml:space="preserve">the </w:t>
      </w:r>
      <w:r w:rsidR="006D16AD">
        <w:rPr>
          <w:szCs w:val="26"/>
        </w:rPr>
        <w:t>Peoples/PTWP</w:t>
      </w:r>
      <w:r>
        <w:rPr>
          <w:szCs w:val="26"/>
        </w:rPr>
        <w:t xml:space="preserve"> proposal, IECPA states that its main concern with </w:t>
      </w:r>
      <w:r w:rsidR="00D22255">
        <w:rPr>
          <w:szCs w:val="26"/>
        </w:rPr>
        <w:t xml:space="preserve">the </w:t>
      </w:r>
      <w:r w:rsidR="006D16AD">
        <w:rPr>
          <w:szCs w:val="26"/>
        </w:rPr>
        <w:t>Peoples/PTWP</w:t>
      </w:r>
      <w:r>
        <w:rPr>
          <w:szCs w:val="26"/>
        </w:rPr>
        <w:t xml:space="preserve"> proposal</w:t>
      </w:r>
      <w:r w:rsidR="00D22255">
        <w:rPr>
          <w:szCs w:val="26"/>
        </w:rPr>
        <w:t xml:space="preserve"> </w:t>
      </w:r>
      <w:r>
        <w:rPr>
          <w:szCs w:val="26"/>
        </w:rPr>
        <w:t xml:space="preserve">to establish a floor based on tariffed rates is the ineffectiveness of individual NGDC base rate cases to derive cost-based rates.  </w:t>
      </w:r>
      <w:r w:rsidR="00E66B6C">
        <w:rPr>
          <w:szCs w:val="26"/>
        </w:rPr>
        <w:t xml:space="preserve">As discussed, </w:t>
      </w:r>
      <w:r w:rsidR="00E66B6C" w:rsidRPr="00E66B6C">
        <w:rPr>
          <w:i/>
          <w:szCs w:val="26"/>
        </w:rPr>
        <w:t>supra</w:t>
      </w:r>
      <w:r w:rsidR="00E66B6C">
        <w:rPr>
          <w:szCs w:val="26"/>
        </w:rPr>
        <w:t xml:space="preserve">, IECPA avers that large C&amp;I customers continue to pay rates above their cost of service despite the inclusion of gas-on-gas customers.  IECPA opines that the development of cost-based rates in future base rate cases seems unlikely without changes to the base rate case dynamic, particularly when stakeholders disagree on the definition of cost-based rates.  </w:t>
      </w:r>
      <w:r w:rsidR="00E03403">
        <w:rPr>
          <w:szCs w:val="26"/>
        </w:rPr>
        <w:t>IECPA Exc. at 18-19.</w:t>
      </w:r>
    </w:p>
    <w:p w:rsidR="000A6103" w:rsidRDefault="000A6103" w:rsidP="00B43911">
      <w:pPr>
        <w:widowControl/>
        <w:rPr>
          <w:szCs w:val="26"/>
        </w:rPr>
      </w:pPr>
    </w:p>
    <w:p w:rsidR="009A5434" w:rsidRDefault="009A5434" w:rsidP="00B43911">
      <w:pPr>
        <w:widowControl/>
        <w:rPr>
          <w:szCs w:val="26"/>
        </w:rPr>
      </w:pPr>
      <w:r>
        <w:rPr>
          <w:szCs w:val="26"/>
        </w:rPr>
        <w:lastRenderedPageBreak/>
        <w:t xml:space="preserve">I&amp;E </w:t>
      </w:r>
      <w:proofErr w:type="gramStart"/>
      <w:r>
        <w:rPr>
          <w:szCs w:val="26"/>
        </w:rPr>
        <w:t>disputes</w:t>
      </w:r>
      <w:proofErr w:type="gramEnd"/>
      <w:r>
        <w:rPr>
          <w:szCs w:val="26"/>
        </w:rPr>
        <w:t xml:space="preserve"> IECPA</w:t>
      </w:r>
      <w:r w:rsidR="001D074D">
        <w:rPr>
          <w:szCs w:val="26"/>
        </w:rPr>
        <w:t>’</w:t>
      </w:r>
      <w:r>
        <w:rPr>
          <w:szCs w:val="26"/>
        </w:rPr>
        <w:t xml:space="preserve">s argument that base rate cases are incapable of determining </w:t>
      </w:r>
      <w:r w:rsidR="00C345AD">
        <w:rPr>
          <w:szCs w:val="26"/>
        </w:rPr>
        <w:t>reasonable cost-based rates.  I&amp;E avers that just the opposite is true given that Section 1301 of the Code, 66 Pa. C.S. § 1301, requires that rates be just and reasonable, and there is a presumption of reasonableness to any rates that have been approved by the Commission.</w:t>
      </w:r>
      <w:r w:rsidR="00C345AD">
        <w:rPr>
          <w:rStyle w:val="FootnoteReference"/>
          <w:szCs w:val="26"/>
        </w:rPr>
        <w:footnoteReference w:id="12"/>
      </w:r>
      <w:r w:rsidR="00C345AD">
        <w:rPr>
          <w:szCs w:val="26"/>
        </w:rPr>
        <w:t xml:space="preserve">  I&amp;E submits that the Commission has already determined that each NGDC</w:t>
      </w:r>
      <w:r w:rsidR="001D074D">
        <w:rPr>
          <w:szCs w:val="26"/>
        </w:rPr>
        <w:t>’</w:t>
      </w:r>
      <w:r w:rsidR="00C345AD">
        <w:rPr>
          <w:szCs w:val="26"/>
        </w:rPr>
        <w:t>s tariff</w:t>
      </w:r>
      <w:r w:rsidR="00911007">
        <w:rPr>
          <w:szCs w:val="26"/>
        </w:rPr>
        <w:t>ed</w:t>
      </w:r>
      <w:r w:rsidR="00C345AD">
        <w:rPr>
          <w:szCs w:val="26"/>
        </w:rPr>
        <w:t xml:space="preserve"> rates are just and reasonable</w:t>
      </w:r>
      <w:r w:rsidR="00D22255">
        <w:rPr>
          <w:szCs w:val="26"/>
        </w:rPr>
        <w:t>;</w:t>
      </w:r>
      <w:r w:rsidR="007709A2">
        <w:rPr>
          <w:szCs w:val="26"/>
        </w:rPr>
        <w:t xml:space="preserve"> and since the Commonwealth Court determined that cost of service should be </w:t>
      </w:r>
      <w:r w:rsidR="009B62B2">
        <w:rPr>
          <w:szCs w:val="26"/>
        </w:rPr>
        <w:t xml:space="preserve">the </w:t>
      </w:r>
      <w:r w:rsidR="007709A2">
        <w:rPr>
          <w:szCs w:val="26"/>
        </w:rPr>
        <w:t>polestar for setting rates, it follows th</w:t>
      </w:r>
      <w:r w:rsidR="009B62B2">
        <w:rPr>
          <w:szCs w:val="26"/>
        </w:rPr>
        <w:t>at</w:t>
      </w:r>
      <w:r w:rsidR="007709A2">
        <w:rPr>
          <w:szCs w:val="26"/>
        </w:rPr>
        <w:t xml:space="preserve"> Commission-approved rates are reasonably reflective of costs.  </w:t>
      </w:r>
      <w:proofErr w:type="gramStart"/>
      <w:r w:rsidR="007709A2">
        <w:rPr>
          <w:szCs w:val="26"/>
        </w:rPr>
        <w:t xml:space="preserve">I&amp;E R. </w:t>
      </w:r>
      <w:r w:rsidR="00D02FA2">
        <w:rPr>
          <w:szCs w:val="26"/>
        </w:rPr>
        <w:t>Exc.</w:t>
      </w:r>
      <w:r w:rsidR="007709A2">
        <w:rPr>
          <w:szCs w:val="26"/>
        </w:rPr>
        <w:t xml:space="preserve"> at 14 (citing OSBA St. 2 at 9).</w:t>
      </w:r>
      <w:proofErr w:type="gramEnd"/>
    </w:p>
    <w:p w:rsidR="009A5434" w:rsidRDefault="009A5434" w:rsidP="00B43911">
      <w:pPr>
        <w:widowControl/>
        <w:rPr>
          <w:szCs w:val="26"/>
        </w:rPr>
      </w:pPr>
    </w:p>
    <w:p w:rsidR="00A66BEF" w:rsidRDefault="000A6103" w:rsidP="00B43911">
      <w:pPr>
        <w:widowControl/>
        <w:rPr>
          <w:szCs w:val="26"/>
        </w:rPr>
      </w:pPr>
      <w:r>
        <w:rPr>
          <w:szCs w:val="26"/>
        </w:rPr>
        <w:t xml:space="preserve">IECPA warns that </w:t>
      </w:r>
      <w:r w:rsidR="00D22255">
        <w:rPr>
          <w:szCs w:val="26"/>
        </w:rPr>
        <w:t xml:space="preserve">the </w:t>
      </w:r>
      <w:r w:rsidR="006D16AD">
        <w:rPr>
          <w:szCs w:val="26"/>
        </w:rPr>
        <w:t>Peoples/PTWP</w:t>
      </w:r>
      <w:r>
        <w:rPr>
          <w:szCs w:val="26"/>
        </w:rPr>
        <w:t xml:space="preserve"> proposal could lead to significant load loss by one of the remaining NGDCs that could be avoided if the </w:t>
      </w:r>
      <w:r w:rsidRPr="000A6103">
        <w:rPr>
          <w:i/>
          <w:szCs w:val="26"/>
        </w:rPr>
        <w:t>status quo</w:t>
      </w:r>
      <w:r>
        <w:rPr>
          <w:szCs w:val="26"/>
        </w:rPr>
        <w:t xml:space="preserve"> were maintained.  IECPA submits that </w:t>
      </w:r>
      <w:r w:rsidR="00F45974">
        <w:rPr>
          <w:szCs w:val="26"/>
        </w:rPr>
        <w:t xml:space="preserve">following </w:t>
      </w:r>
      <w:r>
        <w:rPr>
          <w:szCs w:val="26"/>
        </w:rPr>
        <w:t>a NGDC</w:t>
      </w:r>
      <w:r w:rsidR="001D074D">
        <w:rPr>
          <w:szCs w:val="26"/>
        </w:rPr>
        <w:t>’</w:t>
      </w:r>
      <w:r>
        <w:rPr>
          <w:szCs w:val="26"/>
        </w:rPr>
        <w:t>s base rate case, gas-on-gas customers</w:t>
      </w:r>
      <w:r w:rsidR="00707776">
        <w:rPr>
          <w:szCs w:val="26"/>
        </w:rPr>
        <w:t xml:space="preserve"> may flock to the NGDC providing the lowest </w:t>
      </w:r>
      <w:r w:rsidR="001D074D">
        <w:rPr>
          <w:szCs w:val="26"/>
        </w:rPr>
        <w:t>“</w:t>
      </w:r>
      <w:r w:rsidR="00707776">
        <w:rPr>
          <w:szCs w:val="26"/>
        </w:rPr>
        <w:t>cost-based</w:t>
      </w:r>
      <w:r w:rsidR="001D074D">
        <w:rPr>
          <w:szCs w:val="26"/>
        </w:rPr>
        <w:t>”</w:t>
      </w:r>
      <w:r w:rsidR="00707776">
        <w:rPr>
          <w:szCs w:val="26"/>
        </w:rPr>
        <w:t xml:space="preserve"> rate.  IECPA</w:t>
      </w:r>
      <w:r w:rsidR="00A66BEF">
        <w:rPr>
          <w:szCs w:val="26"/>
        </w:rPr>
        <w:t xml:space="preserve"> Exc. at 19.</w:t>
      </w:r>
    </w:p>
    <w:p w:rsidR="00F45974" w:rsidRDefault="00F45974" w:rsidP="00B43911">
      <w:pPr>
        <w:widowControl/>
        <w:rPr>
          <w:szCs w:val="26"/>
        </w:rPr>
      </w:pPr>
    </w:p>
    <w:p w:rsidR="00CC0C61" w:rsidRDefault="00F45974" w:rsidP="00B43911">
      <w:pPr>
        <w:widowControl/>
        <w:rPr>
          <w:szCs w:val="26"/>
        </w:rPr>
      </w:pPr>
      <w:r w:rsidRPr="00F45974">
        <w:rPr>
          <w:szCs w:val="26"/>
        </w:rPr>
        <w:t>IECPA</w:t>
      </w:r>
      <w:r>
        <w:rPr>
          <w:szCs w:val="26"/>
        </w:rPr>
        <w:t xml:space="preserve"> </w:t>
      </w:r>
      <w:r w:rsidR="000B3C9D">
        <w:rPr>
          <w:szCs w:val="26"/>
        </w:rPr>
        <w:t>submits</w:t>
      </w:r>
      <w:r w:rsidR="00CC0C61">
        <w:rPr>
          <w:szCs w:val="26"/>
        </w:rPr>
        <w:t xml:space="preserve"> that </w:t>
      </w:r>
      <w:r w:rsidR="004444AE">
        <w:rPr>
          <w:szCs w:val="26"/>
        </w:rPr>
        <w:t xml:space="preserve">although Peoples/PTWP correctly proposes that a base rate case and the development of cost-based rates is necessary, </w:t>
      </w:r>
      <w:r w:rsidR="000B3C9D">
        <w:rPr>
          <w:szCs w:val="26"/>
        </w:rPr>
        <w:t xml:space="preserve">the </w:t>
      </w:r>
      <w:r w:rsidR="006D16AD">
        <w:rPr>
          <w:szCs w:val="26"/>
        </w:rPr>
        <w:t>Peoples/PTWP</w:t>
      </w:r>
      <w:r w:rsidR="00CC0C61">
        <w:rPr>
          <w:szCs w:val="26"/>
        </w:rPr>
        <w:t xml:space="preserve"> </w:t>
      </w:r>
      <w:r w:rsidR="000B3C9D">
        <w:rPr>
          <w:szCs w:val="26"/>
        </w:rPr>
        <w:t xml:space="preserve">proposal </w:t>
      </w:r>
      <w:r w:rsidR="00CC0C61">
        <w:rPr>
          <w:szCs w:val="26"/>
        </w:rPr>
        <w:t xml:space="preserve">fails to </w:t>
      </w:r>
      <w:r w:rsidR="004444AE">
        <w:rPr>
          <w:szCs w:val="26"/>
        </w:rPr>
        <w:t xml:space="preserve">address </w:t>
      </w:r>
      <w:r w:rsidR="00CC0C61">
        <w:rPr>
          <w:szCs w:val="26"/>
        </w:rPr>
        <w:t xml:space="preserve">the significant logistical and transitional issues associated with base rate cases for NGDCs that have offered discounted rates for over thirty years.  IECPA opines that </w:t>
      </w:r>
      <w:r w:rsidR="00080A0F">
        <w:rPr>
          <w:szCs w:val="26"/>
        </w:rPr>
        <w:t xml:space="preserve">because tariff rates for large C&amp;I customers are not cost-based, if gas-on-gas discounts are eliminated, </w:t>
      </w:r>
      <w:r w:rsidR="000B3C9D">
        <w:rPr>
          <w:szCs w:val="26"/>
        </w:rPr>
        <w:t xml:space="preserve">then </w:t>
      </w:r>
      <w:r w:rsidR="00080A0F">
        <w:rPr>
          <w:szCs w:val="26"/>
        </w:rPr>
        <w:t xml:space="preserve">NGDCs and the Commission would face the daunting task of transitioning </w:t>
      </w:r>
      <w:r w:rsidR="00D82A26">
        <w:rPr>
          <w:szCs w:val="26"/>
        </w:rPr>
        <w:t xml:space="preserve">gas-on-gas customers away from their negotiated rates to new undefined rates.  IECPA avers that the gaps between existing tariff rates and cost-based transportation rates may be so large that it may be politically unpalatable to </w:t>
      </w:r>
      <w:r w:rsidR="00D82A26">
        <w:rPr>
          <w:szCs w:val="26"/>
        </w:rPr>
        <w:lastRenderedPageBreak/>
        <w:t xml:space="preserve">implement the necessary changes to properly protect larger customers. </w:t>
      </w:r>
      <w:r w:rsidR="00DE3F77">
        <w:rPr>
          <w:szCs w:val="26"/>
        </w:rPr>
        <w:t xml:space="preserve"> IECPA also submits that movement to cost-based rates would result in rate decreases for large </w:t>
      </w:r>
      <w:proofErr w:type="gramStart"/>
      <w:r w:rsidR="00DE3F77">
        <w:rPr>
          <w:szCs w:val="26"/>
        </w:rPr>
        <w:t>C&amp;I</w:t>
      </w:r>
      <w:proofErr w:type="gramEnd"/>
      <w:r w:rsidR="00DE3F77">
        <w:rPr>
          <w:szCs w:val="26"/>
        </w:rPr>
        <w:t xml:space="preserve"> customers and increases for small C&amp;I and residential customers that would pose transitional challenges for the Commission.  IECPA Exc. at 2</w:t>
      </w:r>
      <w:r w:rsidR="004444AE">
        <w:rPr>
          <w:szCs w:val="26"/>
        </w:rPr>
        <w:t>0</w:t>
      </w:r>
      <w:r w:rsidR="00DE3F77">
        <w:rPr>
          <w:szCs w:val="26"/>
        </w:rPr>
        <w:t xml:space="preserve">-22. </w:t>
      </w:r>
    </w:p>
    <w:p w:rsidR="00CC0C61" w:rsidRDefault="00CC0C61" w:rsidP="00B43911">
      <w:pPr>
        <w:widowControl/>
        <w:rPr>
          <w:szCs w:val="26"/>
        </w:rPr>
      </w:pPr>
    </w:p>
    <w:p w:rsidR="00BD3E6F" w:rsidRPr="00DE0715" w:rsidRDefault="00BD3E6F" w:rsidP="00D10596">
      <w:pPr>
        <w:pStyle w:val="Heading2"/>
        <w:widowControl/>
      </w:pPr>
      <w:bookmarkStart w:id="13" w:name="_Toc404013223"/>
      <w:r w:rsidRPr="00DE0715">
        <w:t>Disposition</w:t>
      </w:r>
      <w:bookmarkEnd w:id="13"/>
      <w:r w:rsidRPr="00DE0715">
        <w:t xml:space="preserve"> </w:t>
      </w:r>
    </w:p>
    <w:p w:rsidR="00BD3E6F" w:rsidRPr="00D10596" w:rsidRDefault="00BD3E6F" w:rsidP="00D10596">
      <w:pPr>
        <w:keepNext/>
        <w:keepLines/>
        <w:widowControl/>
        <w:rPr>
          <w:szCs w:val="26"/>
        </w:rPr>
      </w:pPr>
    </w:p>
    <w:p w:rsidR="00D14A63" w:rsidRDefault="00D14A63" w:rsidP="00D10596">
      <w:pPr>
        <w:pStyle w:val="Heading3"/>
        <w:widowControl/>
        <w:numPr>
          <w:ilvl w:val="0"/>
          <w:numId w:val="10"/>
        </w:numPr>
        <w:ind w:left="2160" w:hanging="720"/>
      </w:pPr>
      <w:bookmarkStart w:id="14" w:name="_Toc404013224"/>
      <w:r>
        <w:t xml:space="preserve">Continuation of </w:t>
      </w:r>
      <w:r w:rsidR="00D12C5A">
        <w:t>Gas-on-Gas</w:t>
      </w:r>
      <w:r>
        <w:t xml:space="preserve"> Competition</w:t>
      </w:r>
      <w:bookmarkEnd w:id="14"/>
    </w:p>
    <w:p w:rsidR="00D14A63" w:rsidRPr="00D14A63" w:rsidRDefault="00D14A63" w:rsidP="00D10596">
      <w:pPr>
        <w:keepNext/>
        <w:keepLines/>
        <w:widowControl/>
      </w:pPr>
    </w:p>
    <w:p w:rsidR="00D14A63" w:rsidRDefault="00D14A63" w:rsidP="00B43911">
      <w:pPr>
        <w:widowControl/>
        <w:rPr>
          <w:szCs w:val="26"/>
        </w:rPr>
      </w:pPr>
      <w:r w:rsidRPr="00D14A63">
        <w:rPr>
          <w:szCs w:val="26"/>
        </w:rPr>
        <w:t>Bas</w:t>
      </w:r>
      <w:r>
        <w:rPr>
          <w:szCs w:val="26"/>
        </w:rPr>
        <w:t>ed on the record developed in this investigation, we</w:t>
      </w:r>
      <w:r w:rsidR="00BD3E6F" w:rsidRPr="00D14A63">
        <w:rPr>
          <w:szCs w:val="26"/>
        </w:rPr>
        <w:t xml:space="preserve"> find that gas-on-gas discounts should continue to be offered to </w:t>
      </w:r>
      <w:proofErr w:type="gramStart"/>
      <w:r w:rsidR="00BD3E6F" w:rsidRPr="00D14A63">
        <w:rPr>
          <w:szCs w:val="26"/>
        </w:rPr>
        <w:t>C&amp;I</w:t>
      </w:r>
      <w:proofErr w:type="gramEnd"/>
      <w:r w:rsidR="00BD3E6F" w:rsidRPr="00D14A63">
        <w:rPr>
          <w:szCs w:val="26"/>
        </w:rPr>
        <w:t xml:space="preserve"> customers that have the capability to receive service from more than one NGDC. </w:t>
      </w:r>
      <w:r>
        <w:rPr>
          <w:szCs w:val="26"/>
        </w:rPr>
        <w:t xml:space="preserve"> </w:t>
      </w:r>
      <w:r w:rsidR="00A64CCE">
        <w:rPr>
          <w:szCs w:val="26"/>
        </w:rPr>
        <w:t xml:space="preserve">However, as discussed, </w:t>
      </w:r>
      <w:r w:rsidR="00A64CCE" w:rsidRPr="00A64CCE">
        <w:rPr>
          <w:i/>
          <w:szCs w:val="26"/>
        </w:rPr>
        <w:t>infra</w:t>
      </w:r>
      <w:r w:rsidR="00A64CCE">
        <w:rPr>
          <w:szCs w:val="26"/>
        </w:rPr>
        <w:t>, the continuation of gas-on-gas flex rates is contingent on the development of</w:t>
      </w:r>
      <w:r w:rsidR="004444AE">
        <w:rPr>
          <w:szCs w:val="26"/>
        </w:rPr>
        <w:t xml:space="preserve">, </w:t>
      </w:r>
      <w:r w:rsidR="004444AE" w:rsidRPr="004444AE">
        <w:rPr>
          <w:i/>
          <w:szCs w:val="26"/>
        </w:rPr>
        <w:t>inter alia</w:t>
      </w:r>
      <w:r w:rsidR="00A64CCE">
        <w:rPr>
          <w:szCs w:val="26"/>
        </w:rPr>
        <w:t>: (1)</w:t>
      </w:r>
      <w:r w:rsidR="009E74F6">
        <w:rPr>
          <w:szCs w:val="26"/>
        </w:rPr>
        <w:t> </w:t>
      </w:r>
      <w:r w:rsidR="00A64CCE">
        <w:rPr>
          <w:szCs w:val="26"/>
        </w:rPr>
        <w:t>a</w:t>
      </w:r>
      <w:r w:rsidR="009E74F6">
        <w:rPr>
          <w:szCs w:val="26"/>
        </w:rPr>
        <w:t> </w:t>
      </w:r>
      <w:r w:rsidR="00A64CCE">
        <w:rPr>
          <w:szCs w:val="26"/>
        </w:rPr>
        <w:t xml:space="preserve">floor based on the lowest applicable </w:t>
      </w:r>
      <w:r w:rsidR="004444AE">
        <w:rPr>
          <w:szCs w:val="26"/>
        </w:rPr>
        <w:t xml:space="preserve">tariff </w:t>
      </w:r>
      <w:r w:rsidR="00A64CCE">
        <w:rPr>
          <w:szCs w:val="26"/>
        </w:rPr>
        <w:t>rate available to a gas-on-gas customer</w:t>
      </w:r>
      <w:r w:rsidR="004444AE">
        <w:rPr>
          <w:szCs w:val="26"/>
        </w:rPr>
        <w:t>;</w:t>
      </w:r>
      <w:r w:rsidR="00A64CCE">
        <w:rPr>
          <w:szCs w:val="26"/>
        </w:rPr>
        <w:t xml:space="preserve"> and (2)</w:t>
      </w:r>
      <w:r w:rsidR="009E74F6">
        <w:rPr>
          <w:szCs w:val="26"/>
        </w:rPr>
        <w:t> </w:t>
      </w:r>
      <w:r w:rsidR="00A64CCE">
        <w:rPr>
          <w:szCs w:val="26"/>
        </w:rPr>
        <w:t xml:space="preserve">the establishment of uniform gas-on-gas </w:t>
      </w:r>
      <w:proofErr w:type="gramStart"/>
      <w:r w:rsidR="00A64CCE">
        <w:rPr>
          <w:szCs w:val="26"/>
        </w:rPr>
        <w:t>flex</w:t>
      </w:r>
      <w:proofErr w:type="gramEnd"/>
      <w:r w:rsidR="00A64CCE">
        <w:rPr>
          <w:szCs w:val="26"/>
        </w:rPr>
        <w:t xml:space="preserve"> rate tariff provisions among the NGDCs with overlapping service areas.</w:t>
      </w:r>
    </w:p>
    <w:p w:rsidR="00D14A63" w:rsidRDefault="00D14A63" w:rsidP="00B43911">
      <w:pPr>
        <w:widowControl/>
        <w:rPr>
          <w:szCs w:val="26"/>
        </w:rPr>
      </w:pPr>
    </w:p>
    <w:p w:rsidR="00D14A63" w:rsidRDefault="00875351" w:rsidP="009367BD">
      <w:pPr>
        <w:pStyle w:val="Heading3"/>
        <w:widowControl/>
      </w:pPr>
      <w:bookmarkStart w:id="15" w:name="_Toc404013225"/>
      <w:r>
        <w:t>Discrimination in Rates</w:t>
      </w:r>
      <w:bookmarkEnd w:id="15"/>
    </w:p>
    <w:p w:rsidR="00875351" w:rsidRDefault="00875351" w:rsidP="009367BD">
      <w:pPr>
        <w:keepNext/>
        <w:keepLines/>
        <w:widowControl/>
      </w:pPr>
    </w:p>
    <w:p w:rsidR="00875351" w:rsidRPr="00875351" w:rsidRDefault="00875351" w:rsidP="00B43911">
      <w:pPr>
        <w:widowControl/>
        <w:rPr>
          <w:szCs w:val="26"/>
        </w:rPr>
      </w:pPr>
      <w:r w:rsidRPr="00875351">
        <w:rPr>
          <w:szCs w:val="26"/>
        </w:rPr>
        <w:t xml:space="preserve">We find that the </w:t>
      </w:r>
      <w:r w:rsidRPr="005C74F6">
        <w:rPr>
          <w:i/>
          <w:szCs w:val="26"/>
        </w:rPr>
        <w:t>concept</w:t>
      </w:r>
      <w:r w:rsidRPr="00875351">
        <w:rPr>
          <w:szCs w:val="26"/>
        </w:rPr>
        <w:t xml:space="preserve"> of gas-on-gas flexible rates is not inconsistent with Section 1304 of the Code, 66 Pa. C.S. § 1304.  </w:t>
      </w:r>
      <w:r w:rsidR="009E74F6">
        <w:rPr>
          <w:szCs w:val="26"/>
        </w:rPr>
        <w:t xml:space="preserve">We note that we have </w:t>
      </w:r>
      <w:r w:rsidRPr="00875351">
        <w:rPr>
          <w:szCs w:val="26"/>
        </w:rPr>
        <w:t>approved other flexible rate mechanisms that are designed to preserve the load of Pennsylvania</w:t>
      </w:r>
      <w:r w:rsidR="001D074D">
        <w:rPr>
          <w:szCs w:val="26"/>
        </w:rPr>
        <w:t>’</w:t>
      </w:r>
      <w:r w:rsidRPr="00875351">
        <w:rPr>
          <w:szCs w:val="26"/>
        </w:rPr>
        <w:t>s NGDCs from competition from alternate energy sources, such as direct access to pipeline supplies and du</w:t>
      </w:r>
      <w:r w:rsidR="009E74F6">
        <w:rPr>
          <w:szCs w:val="26"/>
        </w:rPr>
        <w:t>a</w:t>
      </w:r>
      <w:r w:rsidRPr="00875351">
        <w:rPr>
          <w:szCs w:val="26"/>
        </w:rPr>
        <w:t>l</w:t>
      </w:r>
      <w:r w:rsidR="00C0665E">
        <w:rPr>
          <w:szCs w:val="26"/>
        </w:rPr>
        <w:t xml:space="preserve"> </w:t>
      </w:r>
      <w:r w:rsidRPr="00875351">
        <w:rPr>
          <w:szCs w:val="26"/>
        </w:rPr>
        <w:t xml:space="preserve">fuel capabilities.  In those circumstances, customers with the capability of utilizing an alternate source of energy may be offered a flexible rate to </w:t>
      </w:r>
      <w:r w:rsidR="00FB2A4B">
        <w:rPr>
          <w:szCs w:val="26"/>
        </w:rPr>
        <w:t>neutralize</w:t>
      </w:r>
      <w:r w:rsidRPr="00875351">
        <w:rPr>
          <w:szCs w:val="26"/>
        </w:rPr>
        <w:t xml:space="preserve"> the price advantage of the alternate energy source.  Similarly, we believe that customers</w:t>
      </w:r>
      <w:r w:rsidR="009E74F6">
        <w:rPr>
          <w:szCs w:val="26"/>
        </w:rPr>
        <w:t xml:space="preserve"> who</w:t>
      </w:r>
      <w:r w:rsidRPr="00875351">
        <w:rPr>
          <w:szCs w:val="26"/>
        </w:rPr>
        <w:t xml:space="preserve"> have the capability of obtaining their natural gas supplies from mor</w:t>
      </w:r>
      <w:r w:rsidR="000C1246">
        <w:rPr>
          <w:szCs w:val="26"/>
        </w:rPr>
        <w:t>e than one NGDC</w:t>
      </w:r>
      <w:r w:rsidRPr="00875351">
        <w:rPr>
          <w:szCs w:val="26"/>
        </w:rPr>
        <w:t xml:space="preserve"> should be offered a flexible rate to eliminate </w:t>
      </w:r>
      <w:r w:rsidRPr="00FB2A4B">
        <w:rPr>
          <w:i/>
          <w:szCs w:val="26"/>
        </w:rPr>
        <w:t xml:space="preserve">price </w:t>
      </w:r>
      <w:r w:rsidRPr="00875351">
        <w:rPr>
          <w:szCs w:val="26"/>
        </w:rPr>
        <w:t xml:space="preserve">competition between NGDCs.  Accordingly, </w:t>
      </w:r>
      <w:r w:rsidR="00FB2A4B">
        <w:rPr>
          <w:szCs w:val="26"/>
        </w:rPr>
        <w:t xml:space="preserve">in terms of the availability of flexible rates, </w:t>
      </w:r>
      <w:r w:rsidRPr="00875351">
        <w:rPr>
          <w:szCs w:val="26"/>
        </w:rPr>
        <w:t>there should not be a distinction between customers located in p</w:t>
      </w:r>
      <w:r w:rsidR="00291D20">
        <w:rPr>
          <w:szCs w:val="26"/>
        </w:rPr>
        <w:t>roximity to a pipeline supplier,</w:t>
      </w:r>
      <w:r w:rsidRPr="00875351">
        <w:rPr>
          <w:szCs w:val="26"/>
        </w:rPr>
        <w:t xml:space="preserve"> customers with the </w:t>
      </w:r>
      <w:r w:rsidRPr="00875351">
        <w:rPr>
          <w:szCs w:val="26"/>
        </w:rPr>
        <w:lastRenderedPageBreak/>
        <w:t>capability of utilizing more than one fuel source</w:t>
      </w:r>
      <w:r w:rsidR="009367BD">
        <w:rPr>
          <w:szCs w:val="26"/>
        </w:rPr>
        <w:t>,</w:t>
      </w:r>
      <w:r w:rsidRPr="00875351">
        <w:rPr>
          <w:szCs w:val="26"/>
        </w:rPr>
        <w:t xml:space="preserve"> and customers located in overlapping NGDC service territories.  These flexible rate mechanisms are intended to preserve an NGDC</w:t>
      </w:r>
      <w:r w:rsidR="001D074D">
        <w:rPr>
          <w:szCs w:val="26"/>
        </w:rPr>
        <w:t>’</w:t>
      </w:r>
      <w:r w:rsidRPr="00875351">
        <w:rPr>
          <w:szCs w:val="26"/>
        </w:rPr>
        <w:t>s load for the benefit of all of the NGDC</w:t>
      </w:r>
      <w:r w:rsidR="001D074D">
        <w:rPr>
          <w:szCs w:val="26"/>
        </w:rPr>
        <w:t>’</w:t>
      </w:r>
      <w:r w:rsidRPr="00875351">
        <w:rPr>
          <w:szCs w:val="26"/>
        </w:rPr>
        <w:t xml:space="preserve">s customers.  </w:t>
      </w:r>
      <w:r>
        <w:rPr>
          <w:szCs w:val="26"/>
        </w:rPr>
        <w:t xml:space="preserve">As discussed, </w:t>
      </w:r>
      <w:r w:rsidRPr="00875351">
        <w:rPr>
          <w:i/>
          <w:szCs w:val="26"/>
        </w:rPr>
        <w:t>infra</w:t>
      </w:r>
      <w:r>
        <w:rPr>
          <w:szCs w:val="26"/>
        </w:rPr>
        <w:t>, i</w:t>
      </w:r>
      <w:r w:rsidRPr="00875351">
        <w:rPr>
          <w:szCs w:val="26"/>
        </w:rPr>
        <w:t xml:space="preserve">f </w:t>
      </w:r>
      <w:r w:rsidR="00D10596">
        <w:rPr>
          <w:szCs w:val="26"/>
        </w:rPr>
        <w:t xml:space="preserve">they are </w:t>
      </w:r>
      <w:r w:rsidRPr="00875351">
        <w:rPr>
          <w:szCs w:val="26"/>
        </w:rPr>
        <w:t>properly designed and administered</w:t>
      </w:r>
      <w:r w:rsidR="00D10596">
        <w:rPr>
          <w:szCs w:val="26"/>
        </w:rPr>
        <w:t>,</w:t>
      </w:r>
      <w:r w:rsidRPr="00875351">
        <w:rPr>
          <w:szCs w:val="26"/>
        </w:rPr>
        <w:t xml:space="preserve"> </w:t>
      </w:r>
      <w:r w:rsidR="0005339C">
        <w:rPr>
          <w:szCs w:val="26"/>
        </w:rPr>
        <w:t>gas-on-gas</w:t>
      </w:r>
      <w:r w:rsidRPr="00875351">
        <w:rPr>
          <w:szCs w:val="26"/>
        </w:rPr>
        <w:t xml:space="preserve"> flex rate mechanisms do not result in either an unreasonable preference for customers receiving flex rates or subject other ratepayers to unreasonable prejudice or disadvantage.</w:t>
      </w:r>
    </w:p>
    <w:p w:rsidR="00875351" w:rsidRPr="00875351" w:rsidRDefault="00875351" w:rsidP="00B43911">
      <w:pPr>
        <w:widowControl/>
        <w:rPr>
          <w:color w:val="244061" w:themeColor="accent1" w:themeShade="80"/>
        </w:rPr>
      </w:pPr>
    </w:p>
    <w:p w:rsidR="004719C5" w:rsidRDefault="007D1336" w:rsidP="00B43911">
      <w:pPr>
        <w:widowControl/>
        <w:rPr>
          <w:szCs w:val="26"/>
        </w:rPr>
      </w:pPr>
      <w:r w:rsidRPr="004719C5">
        <w:rPr>
          <w:szCs w:val="26"/>
        </w:rPr>
        <w:t xml:space="preserve">From our review of the data on the gas-on-gas discounts presented in this proceeding, it appears that </w:t>
      </w:r>
      <w:r w:rsidR="0092665F" w:rsidRPr="004719C5">
        <w:rPr>
          <w:szCs w:val="26"/>
        </w:rPr>
        <w:t xml:space="preserve">many </w:t>
      </w:r>
      <w:r w:rsidRPr="004719C5">
        <w:rPr>
          <w:szCs w:val="26"/>
        </w:rPr>
        <w:t xml:space="preserve">of the discounts offered </w:t>
      </w:r>
      <w:r w:rsidR="00733B33" w:rsidRPr="004719C5">
        <w:rPr>
          <w:szCs w:val="26"/>
        </w:rPr>
        <w:t>to gas-on</w:t>
      </w:r>
      <w:r w:rsidR="009367BD">
        <w:rPr>
          <w:szCs w:val="26"/>
        </w:rPr>
        <w:t>-</w:t>
      </w:r>
      <w:r w:rsidR="00733B33" w:rsidRPr="004719C5">
        <w:rPr>
          <w:szCs w:val="26"/>
        </w:rPr>
        <w:t xml:space="preserve">gas customers </w:t>
      </w:r>
      <w:r w:rsidR="00BD0C5E">
        <w:rPr>
          <w:szCs w:val="26"/>
        </w:rPr>
        <w:t xml:space="preserve">significantly </w:t>
      </w:r>
      <w:r w:rsidRPr="004719C5">
        <w:rPr>
          <w:szCs w:val="26"/>
        </w:rPr>
        <w:t>exceed the differences in the tariffed rates among the four NGDCs.</w:t>
      </w:r>
      <w:r w:rsidR="00BD0C5E">
        <w:rPr>
          <w:szCs w:val="26"/>
        </w:rPr>
        <w:t xml:space="preserve"> OCA</w:t>
      </w:r>
      <w:r w:rsidR="0070086D">
        <w:rPr>
          <w:szCs w:val="26"/>
        </w:rPr>
        <w:t> </w:t>
      </w:r>
      <w:r w:rsidR="00BD0C5E">
        <w:rPr>
          <w:szCs w:val="26"/>
        </w:rPr>
        <w:t>St.</w:t>
      </w:r>
      <w:r w:rsidR="009367BD">
        <w:rPr>
          <w:szCs w:val="26"/>
        </w:rPr>
        <w:t> </w:t>
      </w:r>
      <w:r w:rsidR="00BD0C5E">
        <w:rPr>
          <w:szCs w:val="26"/>
        </w:rPr>
        <w:t>1, Schedule GAW-2.</w:t>
      </w:r>
      <w:r w:rsidR="00733B33" w:rsidRPr="004719C5">
        <w:rPr>
          <w:rStyle w:val="FootnoteReference"/>
          <w:szCs w:val="26"/>
        </w:rPr>
        <w:footnoteReference w:id="13"/>
      </w:r>
      <w:r w:rsidR="004719C5">
        <w:rPr>
          <w:szCs w:val="26"/>
        </w:rPr>
        <w:t xml:space="preserve">  </w:t>
      </w:r>
      <w:r w:rsidR="008540D7" w:rsidRPr="008540D7">
        <w:rPr>
          <w:szCs w:val="26"/>
        </w:rPr>
        <w:t xml:space="preserve">To the extent that </w:t>
      </w:r>
      <w:r w:rsidR="008540D7">
        <w:rPr>
          <w:szCs w:val="26"/>
        </w:rPr>
        <w:t xml:space="preserve">gas-on-gas customers are receiving </w:t>
      </w:r>
      <w:r w:rsidR="00C0665E">
        <w:rPr>
          <w:szCs w:val="26"/>
        </w:rPr>
        <w:t xml:space="preserve">discounts that are greater than </w:t>
      </w:r>
      <w:r w:rsidR="008540D7">
        <w:rPr>
          <w:szCs w:val="26"/>
        </w:rPr>
        <w:t xml:space="preserve">the difference in the </w:t>
      </w:r>
      <w:r w:rsidR="00A900F9">
        <w:rPr>
          <w:szCs w:val="26"/>
        </w:rPr>
        <w:t xml:space="preserve">applicable </w:t>
      </w:r>
      <w:r w:rsidR="008540D7">
        <w:rPr>
          <w:szCs w:val="26"/>
        </w:rPr>
        <w:t>tariff</w:t>
      </w:r>
      <w:r w:rsidR="007C5CC3">
        <w:rPr>
          <w:szCs w:val="26"/>
        </w:rPr>
        <w:t>ed</w:t>
      </w:r>
      <w:r w:rsidR="008540D7">
        <w:rPr>
          <w:szCs w:val="26"/>
        </w:rPr>
        <w:t xml:space="preserve"> rates of competing NGDC</w:t>
      </w:r>
      <w:r w:rsidR="00E104F4">
        <w:rPr>
          <w:szCs w:val="26"/>
        </w:rPr>
        <w:t>s</w:t>
      </w:r>
      <w:r w:rsidR="008540D7">
        <w:rPr>
          <w:szCs w:val="26"/>
        </w:rPr>
        <w:t xml:space="preserve">, </w:t>
      </w:r>
      <w:r w:rsidR="00A900F9">
        <w:rPr>
          <w:szCs w:val="26"/>
        </w:rPr>
        <w:t xml:space="preserve">we find these discounts </w:t>
      </w:r>
      <w:r w:rsidR="005C6932">
        <w:rPr>
          <w:szCs w:val="26"/>
        </w:rPr>
        <w:t xml:space="preserve">exceed the amounts needed to neutralize the price differences for distribution service. </w:t>
      </w:r>
      <w:r w:rsidR="0070086D">
        <w:rPr>
          <w:szCs w:val="26"/>
        </w:rPr>
        <w:t xml:space="preserve"> </w:t>
      </w:r>
      <w:r w:rsidR="00D02FA2">
        <w:rPr>
          <w:szCs w:val="26"/>
        </w:rPr>
        <w:t xml:space="preserve">Consequently, these excess discounts result in an unreasonable preference for customers receiving these excess discounts and result in discrimination toward other ratepayers that underwrite the revenue shortfalls.  </w:t>
      </w:r>
      <w:r w:rsidR="008D55EF">
        <w:rPr>
          <w:szCs w:val="26"/>
        </w:rPr>
        <w:t xml:space="preserve">IECPA and PSU have pointed out the importance of competitive gas supply costs to preserve and enhance the economic viability </w:t>
      </w:r>
      <w:r w:rsidR="00B85CDC">
        <w:rPr>
          <w:szCs w:val="26"/>
        </w:rPr>
        <w:t>of</w:t>
      </w:r>
      <w:r w:rsidR="008D55EF">
        <w:rPr>
          <w:szCs w:val="26"/>
        </w:rPr>
        <w:t xml:space="preserve"> the region.  While excess discounts may be beneficial</w:t>
      </w:r>
      <w:r w:rsidR="00B85CDC">
        <w:rPr>
          <w:szCs w:val="26"/>
        </w:rPr>
        <w:t xml:space="preserve"> to the customers receiving them, non-gas-on-gas customers may be put at a competitive disadvantage since the foregone revenue is recovered in their non-discounted rates.</w:t>
      </w:r>
    </w:p>
    <w:p w:rsidR="00E104F4" w:rsidRDefault="00E104F4" w:rsidP="00B43911">
      <w:pPr>
        <w:widowControl/>
        <w:rPr>
          <w:szCs w:val="26"/>
        </w:rPr>
      </w:pPr>
    </w:p>
    <w:p w:rsidR="007F7B89" w:rsidRPr="00875351" w:rsidRDefault="007F7B89" w:rsidP="0070086D">
      <w:pPr>
        <w:pStyle w:val="Heading3"/>
        <w:widowControl/>
      </w:pPr>
      <w:bookmarkStart w:id="16" w:name="_Toc404013226"/>
      <w:r w:rsidRPr="00875351">
        <w:t xml:space="preserve">Floor on </w:t>
      </w:r>
      <w:r w:rsidR="00D12C5A">
        <w:t>Gas-on-Gas</w:t>
      </w:r>
      <w:r w:rsidRPr="00875351">
        <w:t xml:space="preserve"> Discounted Rates</w:t>
      </w:r>
      <w:bookmarkEnd w:id="16"/>
    </w:p>
    <w:p w:rsidR="007F7B89" w:rsidRDefault="007F7B89" w:rsidP="0070086D">
      <w:pPr>
        <w:keepNext/>
        <w:keepLines/>
        <w:widowControl/>
        <w:rPr>
          <w:szCs w:val="26"/>
        </w:rPr>
      </w:pPr>
    </w:p>
    <w:p w:rsidR="00E74829" w:rsidRDefault="007F7B89" w:rsidP="00B43911">
      <w:pPr>
        <w:widowControl/>
        <w:rPr>
          <w:szCs w:val="26"/>
        </w:rPr>
      </w:pPr>
      <w:r w:rsidRPr="00E74829">
        <w:rPr>
          <w:szCs w:val="26"/>
        </w:rPr>
        <w:t xml:space="preserve">In order to maintain the availability of gas-on-gas discounted rates and eliminate the </w:t>
      </w:r>
      <w:r w:rsidR="00E104F4" w:rsidRPr="00E74829">
        <w:rPr>
          <w:szCs w:val="26"/>
        </w:rPr>
        <w:t xml:space="preserve">unreasonable preference and discrimination that result from the excess discounts, we </w:t>
      </w:r>
      <w:r w:rsidR="00291D20">
        <w:rPr>
          <w:szCs w:val="26"/>
        </w:rPr>
        <w:t xml:space="preserve">find </w:t>
      </w:r>
      <w:r w:rsidR="0070086D">
        <w:rPr>
          <w:szCs w:val="26"/>
        </w:rPr>
        <w:t xml:space="preserve">it is prudent </w:t>
      </w:r>
      <w:r w:rsidR="00E104F4" w:rsidRPr="00E74829">
        <w:rPr>
          <w:szCs w:val="26"/>
        </w:rPr>
        <w:t xml:space="preserve">that a floor be established </w:t>
      </w:r>
      <w:r w:rsidR="00250528" w:rsidRPr="00E74829">
        <w:rPr>
          <w:szCs w:val="26"/>
        </w:rPr>
        <w:t xml:space="preserve">on the discounts </w:t>
      </w:r>
      <w:r w:rsidR="00E104F4" w:rsidRPr="00E74829">
        <w:rPr>
          <w:szCs w:val="26"/>
        </w:rPr>
        <w:t xml:space="preserve">that would </w:t>
      </w:r>
      <w:r w:rsidR="00E104F4" w:rsidRPr="00E74829">
        <w:rPr>
          <w:szCs w:val="26"/>
        </w:rPr>
        <w:lastRenderedPageBreak/>
        <w:t xml:space="preserve">permit the gas-on-gas customer to receive </w:t>
      </w:r>
      <w:r w:rsidR="00FE2D45">
        <w:rPr>
          <w:szCs w:val="26"/>
        </w:rPr>
        <w:t>distribution</w:t>
      </w:r>
      <w:r w:rsidR="00E104F4" w:rsidRPr="00E74829">
        <w:rPr>
          <w:szCs w:val="26"/>
        </w:rPr>
        <w:t xml:space="preserve"> service at the lowest applicable tariffed rate of the NGDCs available to serve </w:t>
      </w:r>
      <w:r w:rsidR="00E74829" w:rsidRPr="00E74829">
        <w:rPr>
          <w:szCs w:val="26"/>
        </w:rPr>
        <w:t xml:space="preserve">each </w:t>
      </w:r>
      <w:r w:rsidR="00E104F4" w:rsidRPr="00E74829">
        <w:rPr>
          <w:szCs w:val="26"/>
        </w:rPr>
        <w:t>customer.</w:t>
      </w:r>
      <w:r w:rsidRPr="00E74829">
        <w:rPr>
          <w:szCs w:val="26"/>
        </w:rPr>
        <w:t xml:space="preserve"> </w:t>
      </w:r>
      <w:r w:rsidR="00E104F4" w:rsidRPr="00E74829">
        <w:rPr>
          <w:szCs w:val="26"/>
        </w:rPr>
        <w:t xml:space="preserve"> If NGDCs were permitted to flex rates for gas-on-gas competition to the lowest tariffed rates available to each customer, then price competition would be neutralized and NGDCs would then compete on other considerations, such as access to specific suppliers and other service considerations.</w:t>
      </w:r>
    </w:p>
    <w:p w:rsidR="005F3817" w:rsidRDefault="005F3817" w:rsidP="00B43911">
      <w:pPr>
        <w:widowControl/>
        <w:rPr>
          <w:szCs w:val="26"/>
        </w:rPr>
      </w:pPr>
    </w:p>
    <w:p w:rsidR="005F3817" w:rsidRDefault="005F3817" w:rsidP="00B43911">
      <w:pPr>
        <w:widowControl/>
        <w:rPr>
          <w:szCs w:val="26"/>
        </w:rPr>
      </w:pPr>
      <w:r>
        <w:rPr>
          <w:szCs w:val="26"/>
        </w:rPr>
        <w:t>If the distribution rates for gas-on-gas customers were not able to flex to the lowest tariffed rates, there may be a migration of customers among the NGDCs following a change</w:t>
      </w:r>
      <w:r w:rsidR="005C6932">
        <w:rPr>
          <w:szCs w:val="26"/>
        </w:rPr>
        <w:t xml:space="preserve"> in the </w:t>
      </w:r>
      <w:r>
        <w:rPr>
          <w:szCs w:val="26"/>
        </w:rPr>
        <w:t>base rates</w:t>
      </w:r>
      <w:r w:rsidR="00FE0007">
        <w:rPr>
          <w:szCs w:val="26"/>
        </w:rPr>
        <w:t xml:space="preserve"> </w:t>
      </w:r>
      <w:r w:rsidR="005C6932">
        <w:rPr>
          <w:szCs w:val="26"/>
        </w:rPr>
        <w:t>of</w:t>
      </w:r>
      <w:r w:rsidR="00FE0007">
        <w:rPr>
          <w:szCs w:val="26"/>
        </w:rPr>
        <w:t xml:space="preserve"> an NGDC</w:t>
      </w:r>
      <w:r>
        <w:rPr>
          <w:szCs w:val="26"/>
        </w:rPr>
        <w:t xml:space="preserve">.  This may result in undesirable </w:t>
      </w:r>
      <w:r w:rsidR="00FE0007">
        <w:rPr>
          <w:szCs w:val="26"/>
        </w:rPr>
        <w:t>fluctuations</w:t>
      </w:r>
      <w:r>
        <w:rPr>
          <w:szCs w:val="26"/>
        </w:rPr>
        <w:t xml:space="preserve"> in </w:t>
      </w:r>
      <w:r w:rsidR="00FE0007">
        <w:rPr>
          <w:szCs w:val="26"/>
        </w:rPr>
        <w:t>an NGDC</w:t>
      </w:r>
      <w:r w:rsidR="001D074D">
        <w:rPr>
          <w:szCs w:val="26"/>
        </w:rPr>
        <w:t>’</w:t>
      </w:r>
      <w:r w:rsidR="00FE0007">
        <w:rPr>
          <w:szCs w:val="26"/>
        </w:rPr>
        <w:t>s load and revenue to the detriment of an NGDC</w:t>
      </w:r>
      <w:r w:rsidR="001D074D">
        <w:rPr>
          <w:szCs w:val="26"/>
        </w:rPr>
        <w:t>’</w:t>
      </w:r>
      <w:r w:rsidR="00FE0007">
        <w:rPr>
          <w:szCs w:val="26"/>
        </w:rPr>
        <w:t xml:space="preserve">s other non-gas-on-gas customers.  Moreover, without a flex-rate provision, there </w:t>
      </w:r>
      <w:r w:rsidR="0070086D">
        <w:rPr>
          <w:szCs w:val="26"/>
        </w:rPr>
        <w:t xml:space="preserve">may </w:t>
      </w:r>
      <w:r w:rsidR="00B61DC0">
        <w:rPr>
          <w:szCs w:val="26"/>
        </w:rPr>
        <w:t xml:space="preserve">be an incentive to keep </w:t>
      </w:r>
      <w:r w:rsidR="00FE0007">
        <w:rPr>
          <w:szCs w:val="26"/>
        </w:rPr>
        <w:t xml:space="preserve">C&amp;I rates </w:t>
      </w:r>
      <w:r w:rsidR="00B61DC0">
        <w:rPr>
          <w:szCs w:val="26"/>
        </w:rPr>
        <w:t xml:space="preserve">artificially </w:t>
      </w:r>
      <w:r w:rsidR="00FE0007">
        <w:rPr>
          <w:szCs w:val="26"/>
        </w:rPr>
        <w:t xml:space="preserve">low in order to avoid the revenue loss </w:t>
      </w:r>
      <w:r w:rsidR="00DE0715">
        <w:rPr>
          <w:szCs w:val="26"/>
        </w:rPr>
        <w:t>from a potential migration of gas-on-gas customers.</w:t>
      </w:r>
    </w:p>
    <w:p w:rsidR="00291D20" w:rsidRDefault="00291D20" w:rsidP="00B43911">
      <w:pPr>
        <w:widowControl/>
        <w:rPr>
          <w:color w:val="244061" w:themeColor="accent1" w:themeShade="80"/>
          <w:szCs w:val="26"/>
        </w:rPr>
      </w:pPr>
    </w:p>
    <w:p w:rsidR="00B11FFF" w:rsidRDefault="00E22DB2" w:rsidP="0070086D">
      <w:pPr>
        <w:pStyle w:val="Heading3"/>
        <w:widowControl/>
      </w:pPr>
      <w:bookmarkStart w:id="17" w:name="_Toc404013227"/>
      <w:r>
        <w:t>Duplicative Distribution Facilities</w:t>
      </w:r>
      <w:r w:rsidR="00893269">
        <w:t xml:space="preserve"> and </w:t>
      </w:r>
      <w:r>
        <w:t>Division of Service Territories</w:t>
      </w:r>
      <w:bookmarkEnd w:id="17"/>
      <w:r>
        <w:t xml:space="preserve"> </w:t>
      </w:r>
    </w:p>
    <w:p w:rsidR="00B11FFF" w:rsidRPr="00B11FFF" w:rsidRDefault="00B11FFF" w:rsidP="0070086D">
      <w:pPr>
        <w:keepNext/>
        <w:keepLines/>
        <w:widowControl/>
      </w:pPr>
    </w:p>
    <w:p w:rsidR="00E22DB2" w:rsidRDefault="00EC44C9" w:rsidP="00B43911">
      <w:pPr>
        <w:widowControl/>
      </w:pPr>
      <w:r>
        <w:t>The ALJ</w:t>
      </w:r>
      <w:r w:rsidR="001D074D">
        <w:t>’</w:t>
      </w:r>
      <w:r>
        <w:t xml:space="preserve">s primary recommendation </w:t>
      </w:r>
      <w:r w:rsidR="00291D20">
        <w:t>was</w:t>
      </w:r>
      <w:r>
        <w:t xml:space="preserve"> </w:t>
      </w:r>
      <w:r w:rsidR="0070086D">
        <w:t xml:space="preserve">for </w:t>
      </w:r>
      <w:r>
        <w:t xml:space="preserve">the Commission </w:t>
      </w:r>
      <w:r w:rsidR="0070086D">
        <w:t xml:space="preserve">to </w:t>
      </w:r>
      <w:r>
        <w:t xml:space="preserve">direct that gas-on-gas discounts be abolished by December 31, 2018, and that a working group be formed to address, </w:t>
      </w:r>
      <w:r w:rsidRPr="00EC44C9">
        <w:rPr>
          <w:i/>
        </w:rPr>
        <w:t>inter alia</w:t>
      </w:r>
      <w:r>
        <w:t>, the means by which service territories and large customers would be divided among NGDCs with overlapping territories.  R.D. at 30-31.</w:t>
      </w:r>
    </w:p>
    <w:p w:rsidR="00555057" w:rsidRDefault="00555057" w:rsidP="00B43911">
      <w:pPr>
        <w:widowControl/>
        <w:rPr>
          <w:color w:val="244061" w:themeColor="accent1" w:themeShade="80"/>
          <w:szCs w:val="26"/>
        </w:rPr>
      </w:pPr>
    </w:p>
    <w:p w:rsidR="00555057" w:rsidRPr="00B11FFF" w:rsidRDefault="006D16AD" w:rsidP="00B43911">
      <w:pPr>
        <w:widowControl/>
        <w:rPr>
          <w:szCs w:val="26"/>
        </w:rPr>
      </w:pPr>
      <w:r>
        <w:rPr>
          <w:szCs w:val="26"/>
        </w:rPr>
        <w:t>Peoples/PTWP</w:t>
      </w:r>
      <w:r w:rsidR="00FC4242" w:rsidRPr="00B11FFF">
        <w:rPr>
          <w:szCs w:val="26"/>
        </w:rPr>
        <w:t xml:space="preserve"> submitted that </w:t>
      </w:r>
      <w:r w:rsidR="00FE5508">
        <w:rPr>
          <w:szCs w:val="26"/>
        </w:rPr>
        <w:t xml:space="preserve">dividing the </w:t>
      </w:r>
      <w:r w:rsidR="00FC4242" w:rsidRPr="00B11FFF">
        <w:rPr>
          <w:szCs w:val="26"/>
        </w:rPr>
        <w:t>overlapping service areas would deprive customers the benefit of competition, result in continuous litigation between NGDCs</w:t>
      </w:r>
      <w:r w:rsidR="0070086D">
        <w:rPr>
          <w:szCs w:val="26"/>
        </w:rPr>
        <w:t>,</w:t>
      </w:r>
      <w:r w:rsidR="00FC4242" w:rsidRPr="00B11FFF">
        <w:rPr>
          <w:szCs w:val="26"/>
        </w:rPr>
        <w:t xml:space="preserve"> and create a constitutional regulatory problem.  </w:t>
      </w:r>
      <w:r>
        <w:rPr>
          <w:szCs w:val="26"/>
        </w:rPr>
        <w:t>Peoples/PTWP</w:t>
      </w:r>
      <w:r w:rsidR="00FC4242" w:rsidRPr="00B11FFF">
        <w:rPr>
          <w:szCs w:val="26"/>
        </w:rPr>
        <w:t xml:space="preserve"> M.B. at</w:t>
      </w:r>
      <w:r w:rsidR="0070086D">
        <w:rPr>
          <w:szCs w:val="26"/>
        </w:rPr>
        <w:t> </w:t>
      </w:r>
      <w:r w:rsidR="00FC4242" w:rsidRPr="00B11FFF">
        <w:rPr>
          <w:szCs w:val="26"/>
        </w:rPr>
        <w:t>26-27.  IECPA argued that NGDCs would be justified in recovering stranded costs from th</w:t>
      </w:r>
      <w:r w:rsidR="00C17227" w:rsidRPr="00B11FFF">
        <w:rPr>
          <w:szCs w:val="26"/>
        </w:rPr>
        <w:t xml:space="preserve">eir customers to compensate the NGDCs for the plant they were forced to abandon.  </w:t>
      </w:r>
      <w:proofErr w:type="gramStart"/>
      <w:r w:rsidR="00C17227" w:rsidRPr="00B11FFF">
        <w:rPr>
          <w:szCs w:val="26"/>
        </w:rPr>
        <w:t xml:space="preserve">IECPA </w:t>
      </w:r>
      <w:r w:rsidR="00C17227" w:rsidRPr="00B11FFF">
        <w:rPr>
          <w:szCs w:val="26"/>
        </w:rPr>
        <w:lastRenderedPageBreak/>
        <w:t>M.B. at 23.</w:t>
      </w:r>
      <w:proofErr w:type="gramEnd"/>
      <w:r w:rsidR="00C17227" w:rsidRPr="00B11FFF">
        <w:rPr>
          <w:szCs w:val="26"/>
        </w:rPr>
        <w:t xml:space="preserve">  Moreover, the OCA averred the problem of duplicative facilities would only worsen as NGDCs replace their gas distribution infrastructure.  </w:t>
      </w:r>
      <w:proofErr w:type="gramStart"/>
      <w:r w:rsidR="00C17227" w:rsidRPr="00B11FFF">
        <w:rPr>
          <w:szCs w:val="26"/>
        </w:rPr>
        <w:t>OCA M.B. at 17.</w:t>
      </w:r>
      <w:proofErr w:type="gramEnd"/>
      <w:r w:rsidR="00C17227" w:rsidRPr="00B11FFF">
        <w:rPr>
          <w:szCs w:val="26"/>
        </w:rPr>
        <w:t xml:space="preserve"> </w:t>
      </w:r>
    </w:p>
    <w:p w:rsidR="00C17227" w:rsidRPr="00B11FFF" w:rsidRDefault="00C17227" w:rsidP="00B43911">
      <w:pPr>
        <w:widowControl/>
        <w:rPr>
          <w:szCs w:val="26"/>
        </w:rPr>
      </w:pPr>
    </w:p>
    <w:p w:rsidR="00C17227" w:rsidRPr="00B11FFF" w:rsidRDefault="00C17227" w:rsidP="00B43911">
      <w:pPr>
        <w:widowControl/>
        <w:rPr>
          <w:szCs w:val="26"/>
        </w:rPr>
      </w:pPr>
      <w:r w:rsidRPr="00B11FFF">
        <w:rPr>
          <w:szCs w:val="26"/>
        </w:rPr>
        <w:t xml:space="preserve">As noted, </w:t>
      </w:r>
      <w:r w:rsidRPr="00B11FFF">
        <w:rPr>
          <w:i/>
          <w:szCs w:val="26"/>
        </w:rPr>
        <w:t>supra</w:t>
      </w:r>
      <w:r w:rsidR="006A6B98">
        <w:rPr>
          <w:szCs w:val="26"/>
        </w:rPr>
        <w:t xml:space="preserve">, following the </w:t>
      </w:r>
      <w:r w:rsidRPr="00B11FFF">
        <w:rPr>
          <w:szCs w:val="26"/>
        </w:rPr>
        <w:t xml:space="preserve">NGDC mergers, </w:t>
      </w:r>
      <w:r w:rsidR="00D12C5A">
        <w:rPr>
          <w:szCs w:val="26"/>
        </w:rPr>
        <w:t>gas-on-gas</w:t>
      </w:r>
      <w:r w:rsidR="006A6B98">
        <w:rPr>
          <w:szCs w:val="26"/>
        </w:rPr>
        <w:t xml:space="preserve"> competition was</w:t>
      </w:r>
      <w:r w:rsidRPr="00B11FFF">
        <w:rPr>
          <w:szCs w:val="26"/>
        </w:rPr>
        <w:t xml:space="preserve"> reduced </w:t>
      </w:r>
      <w:r w:rsidR="00F263E2" w:rsidRPr="00B11FFF">
        <w:rPr>
          <w:szCs w:val="26"/>
        </w:rPr>
        <w:t xml:space="preserve">from over 400 customers </w:t>
      </w:r>
      <w:r w:rsidRPr="00B11FFF">
        <w:rPr>
          <w:szCs w:val="26"/>
        </w:rPr>
        <w:t xml:space="preserve">to </w:t>
      </w:r>
      <w:r w:rsidR="0089704E">
        <w:rPr>
          <w:szCs w:val="26"/>
        </w:rPr>
        <w:t xml:space="preserve">only </w:t>
      </w:r>
      <w:r w:rsidRPr="00B11FFF">
        <w:rPr>
          <w:szCs w:val="26"/>
        </w:rPr>
        <w:t>seventy-four customers</w:t>
      </w:r>
      <w:r w:rsidR="00D51C92">
        <w:rPr>
          <w:szCs w:val="26"/>
        </w:rPr>
        <w:t xml:space="preserve"> in the affected service area</w:t>
      </w:r>
      <w:r w:rsidR="00855DBC">
        <w:rPr>
          <w:szCs w:val="26"/>
        </w:rPr>
        <w:t>s</w:t>
      </w:r>
      <w:r w:rsidR="00F263E2" w:rsidRPr="00B11FFF">
        <w:rPr>
          <w:szCs w:val="26"/>
        </w:rPr>
        <w:t>.</w:t>
      </w:r>
      <w:r w:rsidR="002037D1" w:rsidRPr="00B11FFF">
        <w:rPr>
          <w:szCs w:val="26"/>
        </w:rPr>
        <w:t xml:space="preserve"> </w:t>
      </w:r>
      <w:r w:rsidR="00F263E2" w:rsidRPr="00B11FFF">
        <w:rPr>
          <w:szCs w:val="26"/>
        </w:rPr>
        <w:t xml:space="preserve"> </w:t>
      </w:r>
      <w:r w:rsidR="002037D1" w:rsidRPr="00B11FFF">
        <w:rPr>
          <w:szCs w:val="26"/>
        </w:rPr>
        <w:t xml:space="preserve">OSBA St. 1 at 6.  </w:t>
      </w:r>
      <w:r w:rsidR="0081722F" w:rsidRPr="00B11FFF">
        <w:rPr>
          <w:szCs w:val="26"/>
        </w:rPr>
        <w:t>Moreover, i</w:t>
      </w:r>
      <w:r w:rsidR="002037D1" w:rsidRPr="00B11FFF">
        <w:rPr>
          <w:szCs w:val="26"/>
        </w:rPr>
        <w:t>f a floor is established to limit discounts based on tariff</w:t>
      </w:r>
      <w:r w:rsidR="0016099B">
        <w:rPr>
          <w:szCs w:val="26"/>
        </w:rPr>
        <w:t>ed</w:t>
      </w:r>
      <w:r w:rsidR="002037D1" w:rsidRPr="00B11FFF">
        <w:rPr>
          <w:szCs w:val="26"/>
        </w:rPr>
        <w:t xml:space="preserve"> rates, the revenue effects of </w:t>
      </w:r>
      <w:r w:rsidR="00FB3E7A" w:rsidRPr="00B11FFF">
        <w:rPr>
          <w:szCs w:val="26"/>
        </w:rPr>
        <w:t xml:space="preserve">the </w:t>
      </w:r>
      <w:r w:rsidR="002037D1" w:rsidRPr="00B11FFF">
        <w:rPr>
          <w:szCs w:val="26"/>
        </w:rPr>
        <w:t xml:space="preserve">gas-on-gas </w:t>
      </w:r>
      <w:r w:rsidR="00FB3E7A" w:rsidRPr="00B11FFF">
        <w:rPr>
          <w:szCs w:val="26"/>
        </w:rPr>
        <w:t xml:space="preserve">discounted rates </w:t>
      </w:r>
      <w:r w:rsidR="00025F1B" w:rsidRPr="00B11FFF">
        <w:rPr>
          <w:szCs w:val="26"/>
        </w:rPr>
        <w:t>should</w:t>
      </w:r>
      <w:r w:rsidR="002037D1" w:rsidRPr="00B11FFF">
        <w:rPr>
          <w:szCs w:val="26"/>
        </w:rPr>
        <w:t xml:space="preserve"> fall</w:t>
      </w:r>
      <w:r w:rsidR="00025F1B" w:rsidRPr="00B11FFF">
        <w:rPr>
          <w:szCs w:val="26"/>
        </w:rPr>
        <w:t xml:space="preserve"> significantly</w:t>
      </w:r>
      <w:r w:rsidR="002037D1" w:rsidRPr="00B11FFF">
        <w:rPr>
          <w:szCs w:val="26"/>
        </w:rPr>
        <w:t xml:space="preserve"> below the $4.3 million estimate.  </w:t>
      </w:r>
      <w:r w:rsidR="00B04CD8">
        <w:rPr>
          <w:szCs w:val="26"/>
        </w:rPr>
        <w:t xml:space="preserve">We would also anticipate that the division of overlapping service territories may entail complex proceedings and </w:t>
      </w:r>
      <w:r w:rsidR="00370739" w:rsidRPr="00B11FFF">
        <w:rPr>
          <w:szCs w:val="26"/>
        </w:rPr>
        <w:t>we would expect challenges from large C&amp;I customers if they were assigned to an NGDC with higher rates</w:t>
      </w:r>
      <w:r w:rsidR="00631C2E">
        <w:rPr>
          <w:szCs w:val="26"/>
        </w:rPr>
        <w:t xml:space="preserve"> or undesirable pipeline </w:t>
      </w:r>
      <w:r w:rsidR="001E705E">
        <w:rPr>
          <w:szCs w:val="26"/>
        </w:rPr>
        <w:t>access</w:t>
      </w:r>
      <w:r w:rsidR="00370739" w:rsidRPr="00B11FFF">
        <w:rPr>
          <w:szCs w:val="26"/>
        </w:rPr>
        <w:t xml:space="preserve">. </w:t>
      </w:r>
      <w:r w:rsidR="00370739">
        <w:rPr>
          <w:szCs w:val="26"/>
        </w:rPr>
        <w:t xml:space="preserve"> </w:t>
      </w:r>
      <w:r w:rsidR="0081722F" w:rsidRPr="00B11FFF">
        <w:rPr>
          <w:szCs w:val="26"/>
        </w:rPr>
        <w:t xml:space="preserve">Consequently, </w:t>
      </w:r>
      <w:r w:rsidR="00F263E2" w:rsidRPr="00B11FFF">
        <w:rPr>
          <w:szCs w:val="26"/>
        </w:rPr>
        <w:t xml:space="preserve">as a result of the significant reduction in the scope of gas-on-gas competition, </w:t>
      </w:r>
      <w:r w:rsidR="0081722F" w:rsidRPr="00B11FFF">
        <w:rPr>
          <w:szCs w:val="26"/>
        </w:rPr>
        <w:t>we find that</w:t>
      </w:r>
      <w:r w:rsidR="00F263E2" w:rsidRPr="00B11FFF">
        <w:rPr>
          <w:szCs w:val="26"/>
        </w:rPr>
        <w:t xml:space="preserve"> the anticipated litigation </w:t>
      </w:r>
      <w:r w:rsidR="00353697" w:rsidRPr="00B11FFF">
        <w:rPr>
          <w:szCs w:val="26"/>
        </w:rPr>
        <w:t xml:space="preserve">associated with </w:t>
      </w:r>
      <w:r w:rsidR="00F263E2" w:rsidRPr="00B11FFF">
        <w:rPr>
          <w:szCs w:val="26"/>
        </w:rPr>
        <w:t>allocat</w:t>
      </w:r>
      <w:r w:rsidR="00353697" w:rsidRPr="00B11FFF">
        <w:rPr>
          <w:szCs w:val="26"/>
        </w:rPr>
        <w:t>ing</w:t>
      </w:r>
      <w:r w:rsidR="00F263E2" w:rsidRPr="00B11FFF">
        <w:rPr>
          <w:szCs w:val="26"/>
        </w:rPr>
        <w:t xml:space="preserve"> the overlapping service territories </w:t>
      </w:r>
      <w:r w:rsidR="00FB3E7A" w:rsidRPr="00B11FFF">
        <w:rPr>
          <w:szCs w:val="26"/>
        </w:rPr>
        <w:t xml:space="preserve">and assigning customers to NGDCs </w:t>
      </w:r>
      <w:r w:rsidR="00F263E2" w:rsidRPr="00B11FFF">
        <w:rPr>
          <w:szCs w:val="26"/>
        </w:rPr>
        <w:t>i</w:t>
      </w:r>
      <w:r w:rsidR="00FB3E7A" w:rsidRPr="00B11FFF">
        <w:rPr>
          <w:szCs w:val="26"/>
        </w:rPr>
        <w:t>s</w:t>
      </w:r>
      <w:r w:rsidR="00F263E2" w:rsidRPr="00B11FFF">
        <w:rPr>
          <w:szCs w:val="26"/>
        </w:rPr>
        <w:t xml:space="preserve"> not warranted and would not be in the public interest.  </w:t>
      </w:r>
      <w:r w:rsidR="00025F1B" w:rsidRPr="00B11FFF">
        <w:rPr>
          <w:szCs w:val="26"/>
        </w:rPr>
        <w:t xml:space="preserve">Therefore, we </w:t>
      </w:r>
      <w:r w:rsidR="00D51C92">
        <w:rPr>
          <w:szCs w:val="26"/>
        </w:rPr>
        <w:t xml:space="preserve">shall </w:t>
      </w:r>
      <w:r w:rsidR="00025F1B" w:rsidRPr="00B11FFF">
        <w:rPr>
          <w:szCs w:val="26"/>
        </w:rPr>
        <w:t>reject the recommendations to divide the remaining overlapping service territories</w:t>
      </w:r>
      <w:r w:rsidR="00D51C92">
        <w:rPr>
          <w:szCs w:val="26"/>
        </w:rPr>
        <w:t xml:space="preserve">.  Accordingly, </w:t>
      </w:r>
      <w:r w:rsidR="00025F1B" w:rsidRPr="00B11FFF">
        <w:rPr>
          <w:szCs w:val="26"/>
        </w:rPr>
        <w:t xml:space="preserve">we shall preserve and amend gas-on-gas competition </w:t>
      </w:r>
      <w:r w:rsidR="00D51C92">
        <w:rPr>
          <w:szCs w:val="26"/>
        </w:rPr>
        <w:t xml:space="preserve">consistent with the terms and conditions </w:t>
      </w:r>
      <w:r w:rsidR="00025F1B" w:rsidRPr="00B11FFF">
        <w:rPr>
          <w:szCs w:val="26"/>
        </w:rPr>
        <w:t>described herein.</w:t>
      </w:r>
    </w:p>
    <w:p w:rsidR="00353697" w:rsidRPr="00B11FFF" w:rsidRDefault="00353697" w:rsidP="00B43911">
      <w:pPr>
        <w:widowControl/>
        <w:rPr>
          <w:szCs w:val="26"/>
        </w:rPr>
      </w:pPr>
    </w:p>
    <w:p w:rsidR="00C17227" w:rsidRPr="00B61DC0" w:rsidRDefault="00253138" w:rsidP="00B43911">
      <w:pPr>
        <w:widowControl/>
      </w:pPr>
      <w:r>
        <w:t>E</w:t>
      </w:r>
      <w:r w:rsidR="00FB3E7A" w:rsidRPr="00B11FFF">
        <w:t xml:space="preserve">ven </w:t>
      </w:r>
      <w:r w:rsidR="00353697" w:rsidRPr="00B11FFF">
        <w:t xml:space="preserve">with </w:t>
      </w:r>
      <w:r w:rsidR="00F263E2" w:rsidRPr="00B11FFF">
        <w:t xml:space="preserve">the limited </w:t>
      </w:r>
      <w:r w:rsidR="00353697" w:rsidRPr="00B11FFF">
        <w:t xml:space="preserve">remaining gas-on-gas competition, </w:t>
      </w:r>
      <w:r>
        <w:t xml:space="preserve">we believe </w:t>
      </w:r>
      <w:r w:rsidR="00353697" w:rsidRPr="00B11FFF">
        <w:t xml:space="preserve">there </w:t>
      </w:r>
      <w:r>
        <w:t xml:space="preserve">remains </w:t>
      </w:r>
      <w:r w:rsidR="00353697" w:rsidRPr="00B11FFF">
        <w:t xml:space="preserve">potential for redundant facilities.  However, </w:t>
      </w:r>
      <w:r>
        <w:t xml:space="preserve">in light of the </w:t>
      </w:r>
      <w:r w:rsidR="00353697" w:rsidRPr="00B11FFF">
        <w:t xml:space="preserve">recent NGDC mergers in this region, </w:t>
      </w:r>
      <w:r w:rsidR="00050543" w:rsidRPr="00B11FFF">
        <w:t xml:space="preserve">most of the gas-on-gas competition </w:t>
      </w:r>
      <w:r w:rsidR="00050543">
        <w:t xml:space="preserve">has been </w:t>
      </w:r>
      <w:r w:rsidR="00050543" w:rsidRPr="00B11FFF">
        <w:t>eliminated through NGDC consolidation</w:t>
      </w:r>
      <w:r w:rsidR="00050543">
        <w:t xml:space="preserve"> and </w:t>
      </w:r>
      <w:r>
        <w:t xml:space="preserve">it is likely that </w:t>
      </w:r>
      <w:r w:rsidR="00353697" w:rsidRPr="00B11FFF">
        <w:t>issue</w:t>
      </w:r>
      <w:r w:rsidR="00025F1B" w:rsidRPr="00B11FFF">
        <w:t xml:space="preserve">s </w:t>
      </w:r>
      <w:r w:rsidR="00383AC0" w:rsidRPr="00B11FFF">
        <w:t xml:space="preserve">related to </w:t>
      </w:r>
      <w:r w:rsidR="00025F1B" w:rsidRPr="00B11FFF">
        <w:t>surplus facilities</w:t>
      </w:r>
      <w:r w:rsidR="00353697" w:rsidRPr="00B11FFF">
        <w:t xml:space="preserve"> may be addressed </w:t>
      </w:r>
      <w:r w:rsidR="00620C27" w:rsidRPr="00B11FFF">
        <w:t xml:space="preserve">in </w:t>
      </w:r>
      <w:r w:rsidR="00620C27" w:rsidRPr="00B11FFF">
        <w:lastRenderedPageBreak/>
        <w:t xml:space="preserve">future proceedings </w:t>
      </w:r>
      <w:r w:rsidR="00050543">
        <w:t>involving further NGDC mergers and consolidations</w:t>
      </w:r>
      <w:r w:rsidR="001D3441" w:rsidRPr="00B11FFF">
        <w:t>.</w:t>
      </w:r>
      <w:r w:rsidR="00383AC0" w:rsidRPr="00B11FFF">
        <w:rPr>
          <w:rStyle w:val="FootnoteReference"/>
          <w:szCs w:val="26"/>
        </w:rPr>
        <w:footnoteReference w:id="14"/>
      </w:r>
      <w:r w:rsidR="001D3441" w:rsidRPr="00B11FFF">
        <w:t xml:space="preserve"> </w:t>
      </w:r>
      <w:r w:rsidR="00353697" w:rsidRPr="00B11FFF">
        <w:t xml:space="preserve"> </w:t>
      </w:r>
      <w:r w:rsidR="00E0483D">
        <w:t xml:space="preserve">Nevertheless, </w:t>
      </w:r>
      <w:r w:rsidR="00652DF3" w:rsidRPr="00B11FFF">
        <w:t xml:space="preserve">to the extent that multiple NGDC facilities exist in the </w:t>
      </w:r>
      <w:r w:rsidR="00652DF3" w:rsidRPr="00B61DC0">
        <w:t xml:space="preserve">future to serve the remaining gas-on-gas customers, </w:t>
      </w:r>
      <w:r w:rsidR="007713F0" w:rsidRPr="00B61DC0">
        <w:t xml:space="preserve">the </w:t>
      </w:r>
      <w:r w:rsidR="00652DF3" w:rsidRPr="00B61DC0">
        <w:t xml:space="preserve">NGDCs </w:t>
      </w:r>
      <w:r w:rsidR="00E0483D">
        <w:t xml:space="preserve">still </w:t>
      </w:r>
      <w:r w:rsidR="00652DF3" w:rsidRPr="00B61DC0">
        <w:t>will have the burden of proving that such facilities are used and useful</w:t>
      </w:r>
      <w:r w:rsidR="00E0483D">
        <w:t xml:space="preserve">, </w:t>
      </w:r>
      <w:r w:rsidR="00652DF3" w:rsidRPr="00B61DC0">
        <w:t>should remain in the NGDC</w:t>
      </w:r>
      <w:r w:rsidR="001D074D">
        <w:t>’</w:t>
      </w:r>
      <w:r w:rsidR="00652DF3" w:rsidRPr="00B61DC0">
        <w:t>s rate base</w:t>
      </w:r>
      <w:r w:rsidR="00E0483D">
        <w:t>,</w:t>
      </w:r>
      <w:r w:rsidR="00383AC0" w:rsidRPr="00B61DC0">
        <w:t xml:space="preserve"> and that </w:t>
      </w:r>
      <w:r w:rsidR="00383182" w:rsidRPr="00B61DC0">
        <w:t xml:space="preserve">the </w:t>
      </w:r>
      <w:r w:rsidR="00383AC0" w:rsidRPr="00B61DC0">
        <w:t>associated cost</w:t>
      </w:r>
      <w:r w:rsidR="00E0483D">
        <w:t>s should be recovered from ratepayers.</w:t>
      </w:r>
    </w:p>
    <w:p w:rsidR="00C17227" w:rsidRDefault="00C17227" w:rsidP="00B43911">
      <w:pPr>
        <w:widowControl/>
        <w:rPr>
          <w:color w:val="244061" w:themeColor="accent1" w:themeShade="80"/>
          <w:szCs w:val="26"/>
        </w:rPr>
      </w:pPr>
    </w:p>
    <w:p w:rsidR="00B11FFF" w:rsidRDefault="00B11FFF" w:rsidP="00B43911">
      <w:pPr>
        <w:pStyle w:val="Heading3"/>
        <w:widowControl/>
      </w:pPr>
      <w:bookmarkStart w:id="18" w:name="_Toc404013228"/>
      <w:r>
        <w:t xml:space="preserve">New </w:t>
      </w:r>
      <w:r w:rsidR="00D12C5A">
        <w:t>Gas-on-Gas</w:t>
      </w:r>
      <w:r>
        <w:t xml:space="preserve"> Flex </w:t>
      </w:r>
      <w:r w:rsidR="002F3096">
        <w:t>Tariff Provisions</w:t>
      </w:r>
      <w:bookmarkEnd w:id="18"/>
    </w:p>
    <w:p w:rsidR="00B11FFF" w:rsidRDefault="00B11FFF" w:rsidP="00B43911">
      <w:pPr>
        <w:widowControl/>
        <w:rPr>
          <w:color w:val="244061" w:themeColor="accent1" w:themeShade="80"/>
          <w:szCs w:val="26"/>
        </w:rPr>
      </w:pPr>
    </w:p>
    <w:p w:rsidR="007E0A4F" w:rsidRDefault="005A1A3C" w:rsidP="00B43911">
      <w:pPr>
        <w:widowControl/>
        <w:rPr>
          <w:szCs w:val="26"/>
        </w:rPr>
      </w:pPr>
      <w:r>
        <w:rPr>
          <w:szCs w:val="26"/>
        </w:rPr>
        <w:t xml:space="preserve">As discussed, </w:t>
      </w:r>
      <w:r w:rsidRPr="005A1A3C">
        <w:rPr>
          <w:i/>
          <w:szCs w:val="26"/>
        </w:rPr>
        <w:t>supra</w:t>
      </w:r>
      <w:r>
        <w:rPr>
          <w:szCs w:val="26"/>
        </w:rPr>
        <w:t xml:space="preserve">, we </w:t>
      </w:r>
      <w:r w:rsidR="00E0483D">
        <w:rPr>
          <w:szCs w:val="26"/>
        </w:rPr>
        <w:t xml:space="preserve">shall require that </w:t>
      </w:r>
      <w:r>
        <w:rPr>
          <w:szCs w:val="26"/>
        </w:rPr>
        <w:t>the NGDC tariff provisions</w:t>
      </w:r>
      <w:r w:rsidR="00742A21">
        <w:rPr>
          <w:szCs w:val="26"/>
        </w:rPr>
        <w:t xml:space="preserve">, which pertain to </w:t>
      </w:r>
      <w:r>
        <w:rPr>
          <w:szCs w:val="26"/>
        </w:rPr>
        <w:t>gas-on-gas discounted rates</w:t>
      </w:r>
      <w:r w:rsidR="00742A21">
        <w:rPr>
          <w:szCs w:val="26"/>
        </w:rPr>
        <w:t xml:space="preserve">, </w:t>
      </w:r>
      <w:r>
        <w:rPr>
          <w:szCs w:val="26"/>
        </w:rPr>
        <w:t>be amended to include a floor equal to the lowest tariff</w:t>
      </w:r>
      <w:r w:rsidR="0016099B">
        <w:rPr>
          <w:szCs w:val="26"/>
        </w:rPr>
        <w:t>ed</w:t>
      </w:r>
      <w:r>
        <w:rPr>
          <w:szCs w:val="26"/>
        </w:rPr>
        <w:t xml:space="preserve"> rate under which a customer is capable of receiving service from </w:t>
      </w:r>
      <w:r w:rsidR="0089704E">
        <w:rPr>
          <w:szCs w:val="26"/>
        </w:rPr>
        <w:t xml:space="preserve">a </w:t>
      </w:r>
      <w:r>
        <w:rPr>
          <w:szCs w:val="26"/>
        </w:rPr>
        <w:t>competing NGDC</w:t>
      </w:r>
      <w:r w:rsidR="0089704E">
        <w:rPr>
          <w:szCs w:val="26"/>
        </w:rPr>
        <w:t>(</w:t>
      </w:r>
      <w:r>
        <w:rPr>
          <w:szCs w:val="26"/>
        </w:rPr>
        <w:t>s</w:t>
      </w:r>
      <w:r w:rsidR="0089704E">
        <w:rPr>
          <w:szCs w:val="26"/>
        </w:rPr>
        <w:t>)</w:t>
      </w:r>
      <w:r>
        <w:rPr>
          <w:szCs w:val="26"/>
        </w:rPr>
        <w:t xml:space="preserve">.  </w:t>
      </w:r>
      <w:r w:rsidR="00074F65">
        <w:rPr>
          <w:szCs w:val="26"/>
        </w:rPr>
        <w:t xml:space="preserve">Moreover, </w:t>
      </w:r>
      <w:r w:rsidR="00855DBC">
        <w:rPr>
          <w:szCs w:val="26"/>
        </w:rPr>
        <w:t xml:space="preserve">in order </w:t>
      </w:r>
      <w:r w:rsidR="00074F65">
        <w:rPr>
          <w:szCs w:val="26"/>
        </w:rPr>
        <w:t xml:space="preserve">to ensure that </w:t>
      </w:r>
      <w:r w:rsidR="00074F65" w:rsidRPr="0089704E">
        <w:rPr>
          <w:i/>
          <w:szCs w:val="26"/>
        </w:rPr>
        <w:t>price</w:t>
      </w:r>
      <w:r w:rsidR="00074F65">
        <w:rPr>
          <w:szCs w:val="26"/>
        </w:rPr>
        <w:t xml:space="preserve"> competition among the four NGDCs providing gas-on-gas flex rates is neutralized, </w:t>
      </w:r>
      <w:r w:rsidR="00855DBC">
        <w:rPr>
          <w:szCs w:val="26"/>
        </w:rPr>
        <w:t xml:space="preserve">we shall direct that </w:t>
      </w:r>
      <w:r w:rsidR="00074F65">
        <w:rPr>
          <w:szCs w:val="26"/>
        </w:rPr>
        <w:t xml:space="preserve">the </w:t>
      </w:r>
      <w:r w:rsidR="007E0A4F">
        <w:rPr>
          <w:szCs w:val="26"/>
        </w:rPr>
        <w:t xml:space="preserve">tariff provisions </w:t>
      </w:r>
      <w:r w:rsidR="0089704E">
        <w:rPr>
          <w:szCs w:val="26"/>
        </w:rPr>
        <w:t xml:space="preserve">delineating the terms and conditions </w:t>
      </w:r>
      <w:r w:rsidR="007E0A4F">
        <w:rPr>
          <w:szCs w:val="26"/>
        </w:rPr>
        <w:t>for gas-on-gas rate</w:t>
      </w:r>
      <w:r w:rsidR="004F6B35">
        <w:rPr>
          <w:szCs w:val="26"/>
        </w:rPr>
        <w:t xml:space="preserve"> discounts</w:t>
      </w:r>
      <w:r w:rsidR="00855DBC">
        <w:rPr>
          <w:szCs w:val="26"/>
        </w:rPr>
        <w:t xml:space="preserve"> </w:t>
      </w:r>
      <w:proofErr w:type="gramStart"/>
      <w:r w:rsidR="007E0A4F">
        <w:rPr>
          <w:szCs w:val="26"/>
        </w:rPr>
        <w:t>be</w:t>
      </w:r>
      <w:proofErr w:type="gramEnd"/>
      <w:r w:rsidR="007E0A4F">
        <w:rPr>
          <w:szCs w:val="26"/>
        </w:rPr>
        <w:t xml:space="preserve"> uniform.</w:t>
      </w:r>
    </w:p>
    <w:p w:rsidR="007E0A4F" w:rsidRDefault="007E0A4F" w:rsidP="00B43911">
      <w:pPr>
        <w:widowControl/>
        <w:rPr>
          <w:szCs w:val="26"/>
        </w:rPr>
      </w:pPr>
    </w:p>
    <w:p w:rsidR="007E0A4F" w:rsidRDefault="00EA530A" w:rsidP="00B43911">
      <w:pPr>
        <w:widowControl/>
        <w:rPr>
          <w:szCs w:val="26"/>
        </w:rPr>
      </w:pPr>
      <w:r>
        <w:rPr>
          <w:szCs w:val="26"/>
        </w:rPr>
        <w:t xml:space="preserve">We note that the </w:t>
      </w:r>
      <w:r w:rsidR="007E0A4F">
        <w:rPr>
          <w:szCs w:val="26"/>
        </w:rPr>
        <w:t xml:space="preserve">current </w:t>
      </w:r>
      <w:r>
        <w:rPr>
          <w:szCs w:val="26"/>
        </w:rPr>
        <w:t>provisions in the individual NGDC tariffs</w:t>
      </w:r>
      <w:r w:rsidR="00855DBC">
        <w:rPr>
          <w:szCs w:val="26"/>
        </w:rPr>
        <w:t>, which</w:t>
      </w:r>
      <w:r>
        <w:rPr>
          <w:szCs w:val="26"/>
        </w:rPr>
        <w:t xml:space="preserve"> </w:t>
      </w:r>
      <w:r w:rsidR="00B61DC0">
        <w:rPr>
          <w:szCs w:val="26"/>
        </w:rPr>
        <w:t xml:space="preserve">enable </w:t>
      </w:r>
      <w:r>
        <w:rPr>
          <w:szCs w:val="26"/>
        </w:rPr>
        <w:t>gas-on-gas discounts</w:t>
      </w:r>
      <w:r w:rsidR="00855DBC">
        <w:rPr>
          <w:szCs w:val="26"/>
        </w:rPr>
        <w:t>,</w:t>
      </w:r>
      <w:r>
        <w:rPr>
          <w:szCs w:val="26"/>
        </w:rPr>
        <w:t xml:space="preserve"> </w:t>
      </w:r>
      <w:r w:rsidR="00B61DC0">
        <w:rPr>
          <w:szCs w:val="26"/>
        </w:rPr>
        <w:t>are very brief</w:t>
      </w:r>
      <w:r w:rsidR="00074F65">
        <w:rPr>
          <w:szCs w:val="26"/>
        </w:rPr>
        <w:t xml:space="preserve"> and </w:t>
      </w:r>
      <w:r>
        <w:rPr>
          <w:szCs w:val="26"/>
        </w:rPr>
        <w:t>not uniform</w:t>
      </w:r>
      <w:r w:rsidR="00074F65">
        <w:rPr>
          <w:szCs w:val="26"/>
        </w:rPr>
        <w:t xml:space="preserve">.  </w:t>
      </w:r>
      <w:r w:rsidR="00855DBC">
        <w:rPr>
          <w:szCs w:val="26"/>
        </w:rPr>
        <w:t xml:space="preserve">We also note that </w:t>
      </w:r>
      <w:r>
        <w:rPr>
          <w:szCs w:val="26"/>
        </w:rPr>
        <w:t>the record in this proceeding d</w:t>
      </w:r>
      <w:r w:rsidR="00F7168E">
        <w:rPr>
          <w:szCs w:val="26"/>
        </w:rPr>
        <w:t xml:space="preserve">id not address specific tariff provisions.  </w:t>
      </w:r>
      <w:r w:rsidR="00742A21">
        <w:rPr>
          <w:szCs w:val="26"/>
        </w:rPr>
        <w:t xml:space="preserve">For these reasons, we </w:t>
      </w:r>
      <w:r w:rsidR="00F7168E">
        <w:rPr>
          <w:szCs w:val="26"/>
        </w:rPr>
        <w:t xml:space="preserve">shall </w:t>
      </w:r>
      <w:r w:rsidR="00742A21">
        <w:rPr>
          <w:szCs w:val="26"/>
        </w:rPr>
        <w:t xml:space="preserve">first </w:t>
      </w:r>
      <w:r w:rsidR="00074F65">
        <w:rPr>
          <w:szCs w:val="26"/>
        </w:rPr>
        <w:t xml:space="preserve">solicit comments </w:t>
      </w:r>
      <w:r w:rsidR="004F3283">
        <w:rPr>
          <w:szCs w:val="26"/>
        </w:rPr>
        <w:t xml:space="preserve">and reply comments </w:t>
      </w:r>
      <w:r w:rsidR="00E2218D">
        <w:rPr>
          <w:szCs w:val="26"/>
        </w:rPr>
        <w:t xml:space="preserve">from the affected NGDCs and interested parties </w:t>
      </w:r>
      <w:r w:rsidR="00742A21">
        <w:rPr>
          <w:szCs w:val="26"/>
        </w:rPr>
        <w:t xml:space="preserve">concerning </w:t>
      </w:r>
      <w:r w:rsidR="007E0A4F">
        <w:rPr>
          <w:szCs w:val="26"/>
        </w:rPr>
        <w:t xml:space="preserve">the </w:t>
      </w:r>
      <w:r w:rsidR="00512C6B">
        <w:rPr>
          <w:szCs w:val="26"/>
        </w:rPr>
        <w:t xml:space="preserve">uniform </w:t>
      </w:r>
      <w:r w:rsidR="007E0A4F">
        <w:rPr>
          <w:szCs w:val="26"/>
        </w:rPr>
        <w:t xml:space="preserve">tariff provisions that should </w:t>
      </w:r>
      <w:r w:rsidR="009603B5">
        <w:rPr>
          <w:szCs w:val="26"/>
        </w:rPr>
        <w:t xml:space="preserve">be </w:t>
      </w:r>
      <w:r w:rsidR="007E0A4F">
        <w:rPr>
          <w:szCs w:val="26"/>
        </w:rPr>
        <w:t xml:space="preserve">utilized </w:t>
      </w:r>
      <w:r w:rsidR="00603620">
        <w:rPr>
          <w:szCs w:val="26"/>
        </w:rPr>
        <w:t xml:space="preserve">prospectively </w:t>
      </w:r>
      <w:r w:rsidR="007E0A4F">
        <w:rPr>
          <w:szCs w:val="26"/>
        </w:rPr>
        <w:t xml:space="preserve">by the four NGDCs </w:t>
      </w:r>
      <w:r w:rsidR="00603620">
        <w:rPr>
          <w:szCs w:val="26"/>
        </w:rPr>
        <w:t>with regard to their offering of g</w:t>
      </w:r>
      <w:r w:rsidR="007E0A4F">
        <w:rPr>
          <w:szCs w:val="26"/>
        </w:rPr>
        <w:t>as-on-gas flex rates</w:t>
      </w:r>
      <w:r w:rsidR="00603620">
        <w:rPr>
          <w:szCs w:val="26"/>
        </w:rPr>
        <w:t>.</w:t>
      </w:r>
      <w:r w:rsidR="007E0A4F">
        <w:rPr>
          <w:szCs w:val="26"/>
        </w:rPr>
        <w:t xml:space="preserve">  </w:t>
      </w:r>
      <w:r w:rsidR="009603B5">
        <w:rPr>
          <w:szCs w:val="26"/>
        </w:rPr>
        <w:t>In addition</w:t>
      </w:r>
      <w:r w:rsidR="00512C6B">
        <w:rPr>
          <w:szCs w:val="26"/>
        </w:rPr>
        <w:t xml:space="preserve"> to any </w:t>
      </w:r>
      <w:r w:rsidR="00617557">
        <w:rPr>
          <w:szCs w:val="26"/>
        </w:rPr>
        <w:lastRenderedPageBreak/>
        <w:t xml:space="preserve">other </w:t>
      </w:r>
      <w:r w:rsidR="00512C6B">
        <w:rPr>
          <w:szCs w:val="26"/>
        </w:rPr>
        <w:t>recommendations</w:t>
      </w:r>
      <w:r w:rsidR="0089704E">
        <w:rPr>
          <w:szCs w:val="26"/>
        </w:rPr>
        <w:t xml:space="preserve"> offered by the parties</w:t>
      </w:r>
      <w:r w:rsidR="00617557">
        <w:rPr>
          <w:szCs w:val="26"/>
        </w:rPr>
        <w:t>,</w:t>
      </w:r>
      <w:r w:rsidR="004F3283">
        <w:rPr>
          <w:szCs w:val="26"/>
        </w:rPr>
        <w:t xml:space="preserve"> the </w:t>
      </w:r>
      <w:r w:rsidR="00617557">
        <w:rPr>
          <w:szCs w:val="26"/>
        </w:rPr>
        <w:t xml:space="preserve">comments </w:t>
      </w:r>
      <w:r w:rsidR="004F3283">
        <w:rPr>
          <w:szCs w:val="26"/>
        </w:rPr>
        <w:t>should address the following issues:</w:t>
      </w:r>
    </w:p>
    <w:p w:rsidR="004F3283" w:rsidRDefault="004F3283" w:rsidP="00B43911">
      <w:pPr>
        <w:widowControl/>
        <w:rPr>
          <w:szCs w:val="26"/>
        </w:rPr>
      </w:pPr>
    </w:p>
    <w:p w:rsidR="00855DBC" w:rsidRDefault="004F3283" w:rsidP="002712A4">
      <w:pPr>
        <w:pStyle w:val="ListParagraph"/>
        <w:keepNext/>
        <w:widowControl/>
        <w:numPr>
          <w:ilvl w:val="0"/>
          <w:numId w:val="11"/>
        </w:numPr>
        <w:ind w:left="720" w:firstLine="432"/>
        <w:rPr>
          <w:szCs w:val="26"/>
        </w:rPr>
      </w:pPr>
      <w:r w:rsidRPr="004F3283">
        <w:rPr>
          <w:szCs w:val="26"/>
        </w:rPr>
        <w:t>Which customer classes should be offered gas-on-gas flex rates</w:t>
      </w:r>
      <w:r w:rsidR="00855DBC">
        <w:rPr>
          <w:szCs w:val="26"/>
        </w:rPr>
        <w:t>?</w:t>
      </w:r>
    </w:p>
    <w:p w:rsidR="00855DBC" w:rsidRDefault="00855DBC" w:rsidP="002712A4">
      <w:pPr>
        <w:pStyle w:val="ListParagraph"/>
        <w:keepNext/>
        <w:widowControl/>
        <w:spacing w:line="240" w:lineRule="auto"/>
        <w:ind w:firstLine="432"/>
        <w:rPr>
          <w:szCs w:val="26"/>
        </w:rPr>
      </w:pPr>
    </w:p>
    <w:p w:rsidR="004F3283" w:rsidRDefault="00855DBC" w:rsidP="002712A4">
      <w:pPr>
        <w:pStyle w:val="ListParagraph"/>
        <w:keepNext/>
        <w:widowControl/>
        <w:numPr>
          <w:ilvl w:val="0"/>
          <w:numId w:val="11"/>
        </w:numPr>
        <w:ind w:left="720" w:firstLine="432"/>
        <w:rPr>
          <w:szCs w:val="26"/>
        </w:rPr>
      </w:pPr>
      <w:r>
        <w:rPr>
          <w:szCs w:val="26"/>
        </w:rPr>
        <w:t>S</w:t>
      </w:r>
      <w:r w:rsidR="004F3283" w:rsidRPr="004F3283">
        <w:rPr>
          <w:szCs w:val="26"/>
        </w:rPr>
        <w:t xml:space="preserve">hould </w:t>
      </w:r>
      <w:r w:rsidR="00991DC1">
        <w:rPr>
          <w:szCs w:val="26"/>
        </w:rPr>
        <w:t xml:space="preserve">uniform </w:t>
      </w:r>
      <w:r w:rsidR="004F3283" w:rsidRPr="004F3283">
        <w:rPr>
          <w:szCs w:val="26"/>
        </w:rPr>
        <w:t>minimum consumption thresholds be established?</w:t>
      </w:r>
    </w:p>
    <w:p w:rsidR="004F3283" w:rsidRPr="004F3283" w:rsidRDefault="004F3283" w:rsidP="002712A4">
      <w:pPr>
        <w:widowControl/>
        <w:spacing w:line="240" w:lineRule="auto"/>
        <w:ind w:left="720" w:firstLine="432"/>
        <w:rPr>
          <w:szCs w:val="26"/>
        </w:rPr>
      </w:pPr>
    </w:p>
    <w:p w:rsidR="004F3283" w:rsidRDefault="004F3283" w:rsidP="002712A4">
      <w:pPr>
        <w:pStyle w:val="ListParagraph"/>
        <w:widowControl/>
        <w:numPr>
          <w:ilvl w:val="0"/>
          <w:numId w:val="11"/>
        </w:numPr>
        <w:ind w:left="720" w:firstLine="432"/>
        <w:rPr>
          <w:szCs w:val="26"/>
        </w:rPr>
      </w:pPr>
      <w:r w:rsidRPr="004F3283">
        <w:rPr>
          <w:szCs w:val="26"/>
        </w:rPr>
        <w:t xml:space="preserve">Should new customers locating in overlapping service areas be </w:t>
      </w:r>
      <w:r>
        <w:rPr>
          <w:szCs w:val="26"/>
        </w:rPr>
        <w:t>offered gas-on-gas flex rate</w:t>
      </w:r>
      <w:r w:rsidR="00855DBC">
        <w:rPr>
          <w:szCs w:val="26"/>
        </w:rPr>
        <w:t>s</w:t>
      </w:r>
      <w:r w:rsidR="00617557">
        <w:rPr>
          <w:szCs w:val="26"/>
        </w:rPr>
        <w:t xml:space="preserve"> or</w:t>
      </w:r>
      <w:r>
        <w:rPr>
          <w:szCs w:val="26"/>
        </w:rPr>
        <w:t xml:space="preserve"> </w:t>
      </w:r>
      <w:r w:rsidR="00617557">
        <w:rPr>
          <w:szCs w:val="26"/>
        </w:rPr>
        <w:t>s</w:t>
      </w:r>
      <w:r w:rsidRPr="004F3283">
        <w:rPr>
          <w:szCs w:val="26"/>
        </w:rPr>
        <w:t>hould these rates be limited to existing customers being ser</w:t>
      </w:r>
      <w:r>
        <w:rPr>
          <w:szCs w:val="26"/>
        </w:rPr>
        <w:t>v</w:t>
      </w:r>
      <w:r w:rsidRPr="004F3283">
        <w:rPr>
          <w:szCs w:val="26"/>
        </w:rPr>
        <w:t>ed under gas-on-gas flex rate contracts?</w:t>
      </w:r>
    </w:p>
    <w:p w:rsidR="00617557" w:rsidRPr="00617557" w:rsidRDefault="00617557" w:rsidP="002712A4">
      <w:pPr>
        <w:pStyle w:val="ListParagraph"/>
        <w:widowControl/>
        <w:spacing w:line="240" w:lineRule="auto"/>
        <w:ind w:firstLine="432"/>
        <w:rPr>
          <w:szCs w:val="26"/>
        </w:rPr>
      </w:pPr>
    </w:p>
    <w:p w:rsidR="00617557" w:rsidRPr="004F3283" w:rsidRDefault="00617557" w:rsidP="002712A4">
      <w:pPr>
        <w:pStyle w:val="ListParagraph"/>
        <w:widowControl/>
        <w:numPr>
          <w:ilvl w:val="0"/>
          <w:numId w:val="11"/>
        </w:numPr>
        <w:ind w:left="720" w:firstLine="432"/>
        <w:rPr>
          <w:szCs w:val="26"/>
        </w:rPr>
      </w:pPr>
      <w:r>
        <w:rPr>
          <w:szCs w:val="26"/>
        </w:rPr>
        <w:t>What should be the criteria</w:t>
      </w:r>
      <w:r w:rsidR="00582BC1">
        <w:rPr>
          <w:szCs w:val="26"/>
        </w:rPr>
        <w:t xml:space="preserve"> and associated documentation </w:t>
      </w:r>
      <w:r>
        <w:rPr>
          <w:szCs w:val="26"/>
        </w:rPr>
        <w:t xml:space="preserve">for customers to demonstrate that they are capable of receiving service from another NGDC? </w:t>
      </w:r>
    </w:p>
    <w:p w:rsidR="00512C6B" w:rsidRDefault="00512C6B" w:rsidP="002712A4">
      <w:pPr>
        <w:widowControl/>
        <w:spacing w:line="240" w:lineRule="auto"/>
        <w:ind w:left="720" w:firstLine="432"/>
        <w:rPr>
          <w:szCs w:val="26"/>
        </w:rPr>
      </w:pPr>
    </w:p>
    <w:p w:rsidR="00582BC1" w:rsidRDefault="00D02FA2" w:rsidP="002712A4">
      <w:pPr>
        <w:pStyle w:val="ListParagraph"/>
        <w:widowControl/>
        <w:numPr>
          <w:ilvl w:val="0"/>
          <w:numId w:val="11"/>
        </w:numPr>
        <w:ind w:left="720" w:firstLine="432"/>
        <w:rPr>
          <w:szCs w:val="26"/>
        </w:rPr>
      </w:pPr>
      <w:r>
        <w:rPr>
          <w:szCs w:val="26"/>
        </w:rPr>
        <w:t xml:space="preserve">Should there be a limit on the duration of contracts between gas-on-gas flex rate customers and NGDCs?  </w:t>
      </w:r>
    </w:p>
    <w:p w:rsidR="00BD100B" w:rsidRDefault="00BD100B" w:rsidP="00B43911">
      <w:pPr>
        <w:widowControl/>
        <w:spacing w:line="240" w:lineRule="auto"/>
        <w:ind w:firstLine="0"/>
        <w:rPr>
          <w:szCs w:val="26"/>
        </w:rPr>
      </w:pPr>
    </w:p>
    <w:p w:rsidR="009C6776" w:rsidRDefault="003D257B" w:rsidP="00B43911">
      <w:pPr>
        <w:widowControl/>
        <w:rPr>
          <w:szCs w:val="26"/>
        </w:rPr>
      </w:pPr>
      <w:r w:rsidRPr="00617557">
        <w:rPr>
          <w:szCs w:val="26"/>
        </w:rPr>
        <w:t xml:space="preserve">Depending on the nature of the comments that are received, we envision that we may issue </w:t>
      </w:r>
      <w:r w:rsidR="009232E7" w:rsidRPr="00617557">
        <w:rPr>
          <w:szCs w:val="26"/>
        </w:rPr>
        <w:t xml:space="preserve">either </w:t>
      </w:r>
      <w:r w:rsidRPr="00617557">
        <w:rPr>
          <w:szCs w:val="26"/>
        </w:rPr>
        <w:t xml:space="preserve">a Final Order or Tentative Order that would delineate specific tariff language.  </w:t>
      </w:r>
      <w:r w:rsidR="004F3283" w:rsidRPr="00617557">
        <w:rPr>
          <w:szCs w:val="26"/>
        </w:rPr>
        <w:t>T</w:t>
      </w:r>
      <w:r w:rsidR="00D5456E" w:rsidRPr="00617557">
        <w:rPr>
          <w:szCs w:val="26"/>
        </w:rPr>
        <w:t xml:space="preserve">o avoid a migration of customers to an NGDC because of timing differences in the approval </w:t>
      </w:r>
      <w:r w:rsidR="005F33E4" w:rsidRPr="00617557">
        <w:rPr>
          <w:szCs w:val="26"/>
        </w:rPr>
        <w:t xml:space="preserve">and implementation of new gas-on-gas </w:t>
      </w:r>
      <w:r w:rsidR="00D5456E" w:rsidRPr="00617557">
        <w:rPr>
          <w:szCs w:val="26"/>
        </w:rPr>
        <w:t xml:space="preserve">tariff revisions, the amendments to </w:t>
      </w:r>
      <w:r w:rsidR="009C6776" w:rsidRPr="00F55029">
        <w:rPr>
          <w:szCs w:val="26"/>
        </w:rPr>
        <w:t xml:space="preserve">NGDC tariffs must be filed and become effective simultaneously. </w:t>
      </w:r>
      <w:r w:rsidR="00B11FFF" w:rsidRPr="00F55029">
        <w:rPr>
          <w:szCs w:val="26"/>
        </w:rPr>
        <w:t xml:space="preserve"> </w:t>
      </w:r>
      <w:r w:rsidR="009C6776" w:rsidRPr="00F55029">
        <w:rPr>
          <w:szCs w:val="26"/>
        </w:rPr>
        <w:t xml:space="preserve">Therefore, </w:t>
      </w:r>
      <w:r w:rsidR="005F33E4">
        <w:rPr>
          <w:szCs w:val="26"/>
        </w:rPr>
        <w:t xml:space="preserve">following the development of uniform gas-on-gas tariff provisions, </w:t>
      </w:r>
      <w:r w:rsidR="009C6776" w:rsidRPr="00F55029">
        <w:rPr>
          <w:szCs w:val="26"/>
        </w:rPr>
        <w:t xml:space="preserve">we shall </w:t>
      </w:r>
      <w:r w:rsidR="002712A4">
        <w:rPr>
          <w:szCs w:val="26"/>
        </w:rPr>
        <w:t xml:space="preserve">proceed to </w:t>
      </w:r>
      <w:r w:rsidR="005F33E4">
        <w:rPr>
          <w:szCs w:val="26"/>
        </w:rPr>
        <w:t xml:space="preserve">develop </w:t>
      </w:r>
      <w:r w:rsidR="00515758">
        <w:rPr>
          <w:szCs w:val="26"/>
        </w:rPr>
        <w:t xml:space="preserve">a </w:t>
      </w:r>
      <w:r w:rsidR="005F33E4">
        <w:rPr>
          <w:szCs w:val="26"/>
        </w:rPr>
        <w:t>uniform timetable for the filing and implementation of the revised gas-on-gas flex rate tariffs.</w:t>
      </w:r>
    </w:p>
    <w:p w:rsidR="005F33E4" w:rsidRPr="00F55029" w:rsidRDefault="005F33E4" w:rsidP="00B43911">
      <w:pPr>
        <w:widowControl/>
        <w:rPr>
          <w:szCs w:val="26"/>
        </w:rPr>
      </w:pPr>
    </w:p>
    <w:p w:rsidR="00B11FFF" w:rsidRPr="00F55029" w:rsidRDefault="009C6776" w:rsidP="00B43911">
      <w:pPr>
        <w:widowControl/>
        <w:rPr>
          <w:szCs w:val="26"/>
        </w:rPr>
      </w:pPr>
      <w:r w:rsidRPr="00F55029">
        <w:rPr>
          <w:szCs w:val="26"/>
        </w:rPr>
        <w:t xml:space="preserve">PSU and </w:t>
      </w:r>
      <w:r w:rsidR="006D16AD">
        <w:rPr>
          <w:szCs w:val="26"/>
        </w:rPr>
        <w:t>Peoples/PTWP</w:t>
      </w:r>
      <w:r w:rsidRPr="00F55029">
        <w:rPr>
          <w:szCs w:val="26"/>
        </w:rPr>
        <w:t xml:space="preserve"> raised concerns about the due process </w:t>
      </w:r>
      <w:r w:rsidR="00F55029" w:rsidRPr="00F55029">
        <w:rPr>
          <w:szCs w:val="26"/>
        </w:rPr>
        <w:t xml:space="preserve">rights </w:t>
      </w:r>
      <w:r w:rsidRPr="00F55029">
        <w:rPr>
          <w:szCs w:val="26"/>
        </w:rPr>
        <w:t>of those parties</w:t>
      </w:r>
      <w:r w:rsidR="00A71AEE">
        <w:rPr>
          <w:szCs w:val="26"/>
        </w:rPr>
        <w:t xml:space="preserve"> who</w:t>
      </w:r>
      <w:r w:rsidRPr="00F55029">
        <w:rPr>
          <w:szCs w:val="26"/>
        </w:rPr>
        <w:t xml:space="preserve"> may be affected by a change in gas-on-gas flex rates and </w:t>
      </w:r>
      <w:r w:rsidR="00A71AEE">
        <w:rPr>
          <w:szCs w:val="26"/>
        </w:rPr>
        <w:t xml:space="preserve">who </w:t>
      </w:r>
      <w:r w:rsidRPr="00F55029">
        <w:rPr>
          <w:szCs w:val="26"/>
        </w:rPr>
        <w:t xml:space="preserve">were either not aware of this investigation or chose not to participate.  </w:t>
      </w:r>
      <w:r w:rsidR="003D257B">
        <w:rPr>
          <w:szCs w:val="26"/>
        </w:rPr>
        <w:t>To that end</w:t>
      </w:r>
      <w:r w:rsidR="00BD100B">
        <w:rPr>
          <w:szCs w:val="26"/>
        </w:rPr>
        <w:t>,</w:t>
      </w:r>
      <w:r w:rsidR="003D257B">
        <w:rPr>
          <w:szCs w:val="26"/>
        </w:rPr>
        <w:t xml:space="preserve"> </w:t>
      </w:r>
      <w:r w:rsidR="00BD100B">
        <w:rPr>
          <w:szCs w:val="26"/>
        </w:rPr>
        <w:t xml:space="preserve">as with other Commission Orders, </w:t>
      </w:r>
      <w:r w:rsidR="00A71AEE">
        <w:rPr>
          <w:szCs w:val="26"/>
        </w:rPr>
        <w:t xml:space="preserve">we shall post this </w:t>
      </w:r>
      <w:r w:rsidR="003D257B">
        <w:rPr>
          <w:szCs w:val="26"/>
        </w:rPr>
        <w:t>Opinion and Order on the Commission</w:t>
      </w:r>
      <w:r w:rsidR="00747B54">
        <w:rPr>
          <w:szCs w:val="26"/>
        </w:rPr>
        <w:t>’s</w:t>
      </w:r>
      <w:r w:rsidR="003D257B">
        <w:rPr>
          <w:szCs w:val="26"/>
        </w:rPr>
        <w:t xml:space="preserve"> </w:t>
      </w:r>
      <w:r w:rsidR="003D257B">
        <w:rPr>
          <w:szCs w:val="26"/>
        </w:rPr>
        <w:lastRenderedPageBreak/>
        <w:t xml:space="preserve">website.  </w:t>
      </w:r>
      <w:r w:rsidRPr="00F55029">
        <w:rPr>
          <w:szCs w:val="26"/>
        </w:rPr>
        <w:t>Since</w:t>
      </w:r>
      <w:r w:rsidR="003725D9">
        <w:rPr>
          <w:szCs w:val="26"/>
        </w:rPr>
        <w:t>, based on the record in this proceeding,</w:t>
      </w:r>
      <w:r w:rsidRPr="00F55029">
        <w:rPr>
          <w:szCs w:val="26"/>
        </w:rPr>
        <w:t xml:space="preserve"> there are only seventy-four </w:t>
      </w:r>
      <w:r w:rsidR="003D257B">
        <w:rPr>
          <w:szCs w:val="26"/>
        </w:rPr>
        <w:t xml:space="preserve">existing </w:t>
      </w:r>
      <w:r w:rsidRPr="00F55029">
        <w:rPr>
          <w:szCs w:val="26"/>
        </w:rPr>
        <w:t xml:space="preserve">customers that </w:t>
      </w:r>
      <w:r w:rsidR="008B16E2">
        <w:rPr>
          <w:szCs w:val="26"/>
        </w:rPr>
        <w:t xml:space="preserve">likely </w:t>
      </w:r>
      <w:r w:rsidRPr="00F55029">
        <w:rPr>
          <w:szCs w:val="26"/>
        </w:rPr>
        <w:t xml:space="preserve">will continue to </w:t>
      </w:r>
      <w:r w:rsidR="003D257B">
        <w:rPr>
          <w:szCs w:val="26"/>
        </w:rPr>
        <w:t xml:space="preserve">utilize </w:t>
      </w:r>
      <w:r w:rsidRPr="00F55029">
        <w:rPr>
          <w:szCs w:val="26"/>
        </w:rPr>
        <w:t xml:space="preserve">gas-on-gas flex rates, we shall direct </w:t>
      </w:r>
      <w:r w:rsidR="00F55029" w:rsidRPr="00F55029">
        <w:rPr>
          <w:szCs w:val="26"/>
        </w:rPr>
        <w:t xml:space="preserve">each </w:t>
      </w:r>
      <w:r w:rsidRPr="00F55029">
        <w:rPr>
          <w:szCs w:val="26"/>
        </w:rPr>
        <w:t xml:space="preserve">NGDC to provide notice </w:t>
      </w:r>
      <w:r w:rsidR="009232E7">
        <w:rPr>
          <w:szCs w:val="26"/>
        </w:rPr>
        <w:t xml:space="preserve">to </w:t>
      </w:r>
      <w:r w:rsidR="00F55029" w:rsidRPr="00F55029">
        <w:rPr>
          <w:szCs w:val="26"/>
        </w:rPr>
        <w:t>their respective customers</w:t>
      </w:r>
      <w:r w:rsidR="009232E7">
        <w:rPr>
          <w:szCs w:val="26"/>
        </w:rPr>
        <w:t xml:space="preserve"> </w:t>
      </w:r>
      <w:r w:rsidR="00F55029" w:rsidRPr="00F55029">
        <w:rPr>
          <w:szCs w:val="26"/>
        </w:rPr>
        <w:t>receiving gas-on-gas discounted rates</w:t>
      </w:r>
      <w:r w:rsidR="003D257B">
        <w:rPr>
          <w:szCs w:val="26"/>
        </w:rPr>
        <w:t xml:space="preserve"> that this Opinion and Order </w:t>
      </w:r>
      <w:r w:rsidR="009232E7">
        <w:rPr>
          <w:szCs w:val="26"/>
        </w:rPr>
        <w:t>is available on the Commission</w:t>
      </w:r>
      <w:r w:rsidR="001D074D">
        <w:rPr>
          <w:szCs w:val="26"/>
        </w:rPr>
        <w:t>’</w:t>
      </w:r>
      <w:r w:rsidR="009232E7">
        <w:rPr>
          <w:szCs w:val="26"/>
        </w:rPr>
        <w:t xml:space="preserve">s website </w:t>
      </w:r>
      <w:r w:rsidR="003D257B">
        <w:rPr>
          <w:szCs w:val="26"/>
        </w:rPr>
        <w:t>and that they have an opportunity to submit comments</w:t>
      </w:r>
      <w:r w:rsidR="00991DC1">
        <w:rPr>
          <w:szCs w:val="26"/>
        </w:rPr>
        <w:t xml:space="preserve"> on tariff provisions</w:t>
      </w:r>
      <w:r w:rsidR="00A71AEE">
        <w:rPr>
          <w:szCs w:val="26"/>
        </w:rPr>
        <w:t xml:space="preserve"> consistent with this Opinion and Order</w:t>
      </w:r>
      <w:r w:rsidR="003D257B">
        <w:rPr>
          <w:szCs w:val="26"/>
        </w:rPr>
        <w:t xml:space="preserve">. </w:t>
      </w:r>
      <w:r w:rsidR="00F55029" w:rsidRPr="00F55029">
        <w:rPr>
          <w:szCs w:val="26"/>
        </w:rPr>
        <w:t xml:space="preserve"> </w:t>
      </w:r>
      <w:r w:rsidR="009232E7">
        <w:rPr>
          <w:szCs w:val="26"/>
        </w:rPr>
        <w:t xml:space="preserve">In addition, when uniform tariff provisions are ultimately developed and the NGDCs are required to file </w:t>
      </w:r>
      <w:r w:rsidR="00A71AEE">
        <w:rPr>
          <w:szCs w:val="26"/>
        </w:rPr>
        <w:t xml:space="preserve">individual tariff supplements containing revisions in accordance with our directives, </w:t>
      </w:r>
      <w:r w:rsidR="009232E7">
        <w:rPr>
          <w:szCs w:val="26"/>
        </w:rPr>
        <w:t>we shall direct the NGDCs to notify</w:t>
      </w:r>
      <w:r w:rsidR="00991DC1">
        <w:rPr>
          <w:szCs w:val="26"/>
        </w:rPr>
        <w:t xml:space="preserve"> each of </w:t>
      </w:r>
      <w:r w:rsidR="00BD100B">
        <w:rPr>
          <w:szCs w:val="26"/>
        </w:rPr>
        <w:t xml:space="preserve">their </w:t>
      </w:r>
      <w:r w:rsidR="009232E7">
        <w:rPr>
          <w:szCs w:val="26"/>
        </w:rPr>
        <w:t xml:space="preserve">gas-on-gas customers that </w:t>
      </w:r>
      <w:r w:rsidR="00A71AEE">
        <w:rPr>
          <w:szCs w:val="26"/>
        </w:rPr>
        <w:t xml:space="preserve">the </w:t>
      </w:r>
      <w:r w:rsidR="009232E7">
        <w:rPr>
          <w:szCs w:val="26"/>
        </w:rPr>
        <w:t xml:space="preserve">tariff revisions </w:t>
      </w:r>
      <w:r w:rsidR="00991DC1">
        <w:rPr>
          <w:szCs w:val="26"/>
        </w:rPr>
        <w:t xml:space="preserve">are being </w:t>
      </w:r>
      <w:r w:rsidR="009232E7">
        <w:rPr>
          <w:szCs w:val="26"/>
        </w:rPr>
        <w:t>filed with the Commission.</w:t>
      </w:r>
    </w:p>
    <w:p w:rsidR="00B11FFF" w:rsidRDefault="00B11FFF" w:rsidP="00B43911">
      <w:pPr>
        <w:widowControl/>
        <w:rPr>
          <w:color w:val="244061" w:themeColor="accent1" w:themeShade="80"/>
          <w:szCs w:val="26"/>
        </w:rPr>
      </w:pPr>
    </w:p>
    <w:p w:rsidR="004F3B4E" w:rsidRDefault="00991DC1" w:rsidP="00A71AEE">
      <w:pPr>
        <w:pStyle w:val="Heading3"/>
        <w:widowControl/>
      </w:pPr>
      <w:bookmarkStart w:id="19" w:name="_Toc404013229"/>
      <w:r>
        <w:t xml:space="preserve">Existing </w:t>
      </w:r>
      <w:r w:rsidR="00FF185D">
        <w:t xml:space="preserve">Customer </w:t>
      </w:r>
      <w:r w:rsidR="004F3B4E">
        <w:t>Contracts</w:t>
      </w:r>
      <w:bookmarkEnd w:id="19"/>
    </w:p>
    <w:p w:rsidR="004F3B4E" w:rsidRDefault="004F3B4E" w:rsidP="00A71AEE">
      <w:pPr>
        <w:keepNext/>
        <w:keepLines/>
        <w:widowControl/>
        <w:rPr>
          <w:color w:val="244061" w:themeColor="accent1" w:themeShade="80"/>
          <w:szCs w:val="26"/>
        </w:rPr>
      </w:pPr>
    </w:p>
    <w:p w:rsidR="002F3096" w:rsidRPr="002F3096" w:rsidRDefault="004F3B4E" w:rsidP="00B43911">
      <w:pPr>
        <w:widowControl/>
      </w:pPr>
      <w:r w:rsidRPr="002F3096">
        <w:rPr>
          <w:szCs w:val="26"/>
        </w:rPr>
        <w:t xml:space="preserve">With the expectation that the Commission </w:t>
      </w:r>
      <w:r w:rsidR="00E21833">
        <w:rPr>
          <w:szCs w:val="26"/>
        </w:rPr>
        <w:t>might</w:t>
      </w:r>
      <w:r w:rsidRPr="002F3096">
        <w:rPr>
          <w:szCs w:val="26"/>
        </w:rPr>
        <w:t xml:space="preserve"> enter an order in this proceeding by December 31, 2014, the ALJ recommended that ratepayer funded gas-on-gas rate discounts be abolished no later than December 31, 2018.  </w:t>
      </w:r>
      <w:r w:rsidR="002F3096">
        <w:rPr>
          <w:szCs w:val="26"/>
        </w:rPr>
        <w:t>T</w:t>
      </w:r>
      <w:r w:rsidR="002F3096" w:rsidRPr="002F3096">
        <w:t xml:space="preserve">he ALJ opined that a reasonable transition </w:t>
      </w:r>
      <w:r w:rsidR="00023761">
        <w:t xml:space="preserve">period </w:t>
      </w:r>
      <w:r w:rsidR="002F3096" w:rsidRPr="002F3096">
        <w:t>will enable businesses to prepare for the coming changes through budgeting, operational forecasting</w:t>
      </w:r>
      <w:r w:rsidR="00A71AEE">
        <w:t xml:space="preserve">, </w:t>
      </w:r>
      <w:r w:rsidR="002F3096" w:rsidRPr="002F3096">
        <w:t>and decision making</w:t>
      </w:r>
      <w:r w:rsidR="00A71AEE">
        <w:t>,</w:t>
      </w:r>
      <w:r w:rsidR="002F3096" w:rsidRPr="002F3096">
        <w:t xml:space="preserve"> and should serve to address the concerns over any possible economic disruptions.  </w:t>
      </w:r>
      <w:proofErr w:type="gramStart"/>
      <w:r w:rsidR="002F3096" w:rsidRPr="002F3096">
        <w:t>R.D. at 30.</w:t>
      </w:r>
      <w:proofErr w:type="gramEnd"/>
    </w:p>
    <w:p w:rsidR="002F3096" w:rsidRDefault="002F3096" w:rsidP="00B43911">
      <w:pPr>
        <w:widowControl/>
        <w:rPr>
          <w:color w:val="244061" w:themeColor="accent1" w:themeShade="80"/>
          <w:szCs w:val="26"/>
        </w:rPr>
      </w:pPr>
    </w:p>
    <w:p w:rsidR="002F3096" w:rsidRDefault="002F3096" w:rsidP="00B43911">
      <w:pPr>
        <w:widowControl/>
        <w:rPr>
          <w:color w:val="244061" w:themeColor="accent1" w:themeShade="80"/>
          <w:szCs w:val="26"/>
        </w:rPr>
      </w:pPr>
      <w:r>
        <w:rPr>
          <w:szCs w:val="26"/>
        </w:rPr>
        <w:t xml:space="preserve">The OSBA noted that the contract termination dates for the </w:t>
      </w:r>
      <w:r w:rsidR="001D074D">
        <w:rPr>
          <w:szCs w:val="26"/>
        </w:rPr>
        <w:t>“</w:t>
      </w:r>
      <w:r>
        <w:rPr>
          <w:szCs w:val="26"/>
        </w:rPr>
        <w:t>vast majority</w:t>
      </w:r>
      <w:r w:rsidR="001D074D">
        <w:rPr>
          <w:szCs w:val="26"/>
        </w:rPr>
        <w:t>”</w:t>
      </w:r>
      <w:r>
        <w:rPr>
          <w:szCs w:val="26"/>
        </w:rPr>
        <w:t xml:space="preserve"> of contracts reviewed by the OSBA have end dates prior to December 31, 2016.  </w:t>
      </w:r>
      <w:proofErr w:type="gramStart"/>
      <w:r>
        <w:rPr>
          <w:szCs w:val="26"/>
        </w:rPr>
        <w:t xml:space="preserve">OSBA M.B. at </w:t>
      </w:r>
      <w:r w:rsidR="00F11C25">
        <w:rPr>
          <w:szCs w:val="26"/>
        </w:rPr>
        <w:t>1</w:t>
      </w:r>
      <w:r>
        <w:rPr>
          <w:szCs w:val="26"/>
        </w:rPr>
        <w:t>8.</w:t>
      </w:r>
      <w:proofErr w:type="gramEnd"/>
      <w:r>
        <w:rPr>
          <w:szCs w:val="26"/>
        </w:rPr>
        <w:t xml:space="preserve"> </w:t>
      </w:r>
      <w:r w:rsidR="004E76C5">
        <w:rPr>
          <w:szCs w:val="26"/>
        </w:rPr>
        <w:t xml:space="preserve"> The OSBA averred that upon the entry of an order in this </w:t>
      </w:r>
      <w:r w:rsidR="00A71AEE">
        <w:rPr>
          <w:szCs w:val="26"/>
        </w:rPr>
        <w:t>proceeding,</w:t>
      </w:r>
      <w:r w:rsidR="004E76C5">
        <w:rPr>
          <w:szCs w:val="26"/>
        </w:rPr>
        <w:t xml:space="preserve"> NGDCs should not be permitted to renew or exten</w:t>
      </w:r>
      <w:r w:rsidR="00397D7A">
        <w:rPr>
          <w:szCs w:val="26"/>
        </w:rPr>
        <w:t>d</w:t>
      </w:r>
      <w:r w:rsidR="004E76C5">
        <w:rPr>
          <w:szCs w:val="26"/>
        </w:rPr>
        <w:t xml:space="preserve"> any agreement for gas-on-gas discounted rates. </w:t>
      </w:r>
      <w:r w:rsidR="00F15CEB">
        <w:rPr>
          <w:szCs w:val="26"/>
        </w:rPr>
        <w:t xml:space="preserve"> </w:t>
      </w:r>
      <w:r w:rsidR="004E76C5">
        <w:rPr>
          <w:szCs w:val="26"/>
        </w:rPr>
        <w:t xml:space="preserve">The OSBA also recommended that NGDCs </w:t>
      </w:r>
      <w:r w:rsidR="001D074D">
        <w:rPr>
          <w:szCs w:val="26"/>
        </w:rPr>
        <w:t xml:space="preserve">should </w:t>
      </w:r>
      <w:r w:rsidR="004E76C5">
        <w:rPr>
          <w:szCs w:val="26"/>
        </w:rPr>
        <w:t xml:space="preserve">not be permitted to recover any revenue shortfall associated with gas-on-gas rates after December 31, 2016, even if the customer has an agreement that extends beyond December 31, 2016.  </w:t>
      </w:r>
      <w:r w:rsidR="00F11C25" w:rsidRPr="00F11C25">
        <w:rPr>
          <w:i/>
          <w:szCs w:val="26"/>
        </w:rPr>
        <w:t>Id.</w:t>
      </w:r>
      <w:r w:rsidR="00F11C25">
        <w:rPr>
          <w:szCs w:val="26"/>
        </w:rPr>
        <w:t xml:space="preserve"> at</w:t>
      </w:r>
      <w:r w:rsidR="001D074D">
        <w:rPr>
          <w:szCs w:val="26"/>
        </w:rPr>
        <w:t> </w:t>
      </w:r>
      <w:r w:rsidR="00F11C25">
        <w:rPr>
          <w:szCs w:val="26"/>
        </w:rPr>
        <w:t xml:space="preserve">18-19. </w:t>
      </w:r>
    </w:p>
    <w:p w:rsidR="002F3096" w:rsidRDefault="002F3096" w:rsidP="00B43911">
      <w:pPr>
        <w:widowControl/>
        <w:rPr>
          <w:color w:val="244061" w:themeColor="accent1" w:themeShade="80"/>
          <w:szCs w:val="26"/>
        </w:rPr>
      </w:pPr>
    </w:p>
    <w:p w:rsidR="002F3096" w:rsidRDefault="000B74BE" w:rsidP="00B43911">
      <w:pPr>
        <w:widowControl/>
        <w:rPr>
          <w:szCs w:val="26"/>
        </w:rPr>
      </w:pPr>
      <w:r>
        <w:rPr>
          <w:szCs w:val="26"/>
        </w:rPr>
        <w:lastRenderedPageBreak/>
        <w:t xml:space="preserve">The December 31, 2016 </w:t>
      </w:r>
      <w:r w:rsidR="003A2A6D">
        <w:rPr>
          <w:szCs w:val="26"/>
        </w:rPr>
        <w:t>date has since passed.  Nevertheless, i</w:t>
      </w:r>
      <w:r w:rsidR="004E76C5" w:rsidRPr="00E21833">
        <w:rPr>
          <w:szCs w:val="26"/>
        </w:rPr>
        <w:t xml:space="preserve">n light of the </w:t>
      </w:r>
      <w:r w:rsidR="003C1DFF" w:rsidRPr="00E21833">
        <w:rPr>
          <w:szCs w:val="26"/>
        </w:rPr>
        <w:t xml:space="preserve">potential </w:t>
      </w:r>
      <w:r w:rsidR="004E76C5" w:rsidRPr="00E21833">
        <w:rPr>
          <w:szCs w:val="26"/>
        </w:rPr>
        <w:t xml:space="preserve">ramifications of amending contracts between the NGDCs and gas-on-gas flex rate customers, as addressed by PSU, we are not inclined to exercise our authority under Section 508 of the Code, 66 Pa. C.S. § 508, </w:t>
      </w:r>
      <w:r w:rsidR="00E95F7A" w:rsidRPr="00E21833">
        <w:rPr>
          <w:szCs w:val="26"/>
        </w:rPr>
        <w:t xml:space="preserve">to </w:t>
      </w:r>
      <w:r w:rsidR="004E76C5" w:rsidRPr="00E21833">
        <w:rPr>
          <w:szCs w:val="26"/>
        </w:rPr>
        <w:t xml:space="preserve">interfere with existing gas-on-gas contracts.  </w:t>
      </w:r>
      <w:r w:rsidR="00E95F7A" w:rsidRPr="00E21833">
        <w:rPr>
          <w:szCs w:val="26"/>
        </w:rPr>
        <w:t xml:space="preserve">While </w:t>
      </w:r>
      <w:r w:rsidR="001D074D">
        <w:rPr>
          <w:szCs w:val="26"/>
        </w:rPr>
        <w:t xml:space="preserve">we have </w:t>
      </w:r>
      <w:r w:rsidR="00E95F7A" w:rsidRPr="00E21833">
        <w:rPr>
          <w:szCs w:val="26"/>
        </w:rPr>
        <w:t xml:space="preserve">expressed our concerns with gas-on-gas discounts in various orders long before the initiation of this investigation in July 2012, </w:t>
      </w:r>
      <w:r w:rsidR="00397D7A" w:rsidRPr="00E21833">
        <w:rPr>
          <w:szCs w:val="26"/>
        </w:rPr>
        <w:t xml:space="preserve">the </w:t>
      </w:r>
      <w:r w:rsidR="00E95F7A" w:rsidRPr="00E21833">
        <w:rPr>
          <w:szCs w:val="26"/>
        </w:rPr>
        <w:t xml:space="preserve">NGDCs have been </w:t>
      </w:r>
      <w:r w:rsidR="00397D7A" w:rsidRPr="00E21833">
        <w:rPr>
          <w:szCs w:val="26"/>
        </w:rPr>
        <w:t xml:space="preserve">fully </w:t>
      </w:r>
      <w:r w:rsidR="00E95F7A" w:rsidRPr="00E21833">
        <w:rPr>
          <w:szCs w:val="26"/>
        </w:rPr>
        <w:t>aware that the</w:t>
      </w:r>
      <w:r w:rsidR="001D074D">
        <w:rPr>
          <w:szCs w:val="26"/>
        </w:rPr>
        <w:t>re</w:t>
      </w:r>
      <w:r w:rsidR="00E95F7A" w:rsidRPr="00E21833">
        <w:rPr>
          <w:szCs w:val="26"/>
        </w:rPr>
        <w:t xml:space="preserve"> may </w:t>
      </w:r>
      <w:r w:rsidR="00E95F7A" w:rsidRPr="00DF3063">
        <w:rPr>
          <w:szCs w:val="26"/>
        </w:rPr>
        <w:t>be changes in gas-on-gas discount</w:t>
      </w:r>
      <w:r w:rsidR="001D074D" w:rsidRPr="00DF3063">
        <w:rPr>
          <w:szCs w:val="26"/>
        </w:rPr>
        <w:t xml:space="preserve">s </w:t>
      </w:r>
      <w:r w:rsidR="00E95F7A" w:rsidRPr="00DF3063">
        <w:rPr>
          <w:szCs w:val="26"/>
        </w:rPr>
        <w:t xml:space="preserve">since </w:t>
      </w:r>
      <w:r w:rsidR="00991DC1" w:rsidRPr="00DF3063">
        <w:rPr>
          <w:szCs w:val="26"/>
        </w:rPr>
        <w:t xml:space="preserve">at least </w:t>
      </w:r>
      <w:r w:rsidR="00E95F7A" w:rsidRPr="00DF3063">
        <w:rPr>
          <w:szCs w:val="26"/>
        </w:rPr>
        <w:t xml:space="preserve">July 2012.  Consequently, NGDCs knew there may be some risk in entering into </w:t>
      </w:r>
      <w:r w:rsidR="00E95F7A" w:rsidRPr="00DF3063">
        <w:rPr>
          <w:i/>
          <w:szCs w:val="26"/>
        </w:rPr>
        <w:t>long-term</w:t>
      </w:r>
      <w:r w:rsidR="00E95F7A" w:rsidRPr="00DF3063">
        <w:rPr>
          <w:szCs w:val="26"/>
        </w:rPr>
        <w:t xml:space="preserve"> contracts </w:t>
      </w:r>
      <w:r w:rsidR="00F15CEB" w:rsidRPr="00DF3063">
        <w:rPr>
          <w:szCs w:val="26"/>
        </w:rPr>
        <w:t>once</w:t>
      </w:r>
      <w:r w:rsidR="00E95F7A" w:rsidRPr="00DF3063">
        <w:rPr>
          <w:szCs w:val="26"/>
        </w:rPr>
        <w:t xml:space="preserve"> this proceeding began.  </w:t>
      </w:r>
      <w:r w:rsidR="00AF6E4C" w:rsidRPr="00DF3063">
        <w:rPr>
          <w:szCs w:val="26"/>
        </w:rPr>
        <w:t xml:space="preserve">Therefore, </w:t>
      </w:r>
      <w:r w:rsidR="003C1DFF" w:rsidRPr="00DF3063">
        <w:rPr>
          <w:szCs w:val="26"/>
        </w:rPr>
        <w:t xml:space="preserve">we concur with the ALJ that December </w:t>
      </w:r>
      <w:r w:rsidR="001D074D" w:rsidRPr="00DF3063">
        <w:rPr>
          <w:szCs w:val="26"/>
        </w:rPr>
        <w:t xml:space="preserve">31, </w:t>
      </w:r>
      <w:r w:rsidR="003C1DFF" w:rsidRPr="00DF3063">
        <w:rPr>
          <w:szCs w:val="26"/>
        </w:rPr>
        <w:t>2018</w:t>
      </w:r>
      <w:r w:rsidR="00E21833" w:rsidRPr="00DF3063">
        <w:rPr>
          <w:szCs w:val="26"/>
        </w:rPr>
        <w:t>,</w:t>
      </w:r>
      <w:r w:rsidR="003C1DFF" w:rsidRPr="00DF3063">
        <w:rPr>
          <w:szCs w:val="26"/>
        </w:rPr>
        <w:t xml:space="preserve"> may be a reasonable </w:t>
      </w:r>
      <w:r w:rsidR="001D074D" w:rsidRPr="00DF3063">
        <w:rPr>
          <w:szCs w:val="26"/>
        </w:rPr>
        <w:t xml:space="preserve">date </w:t>
      </w:r>
      <w:r w:rsidR="003C1DFF" w:rsidRPr="00DF3063">
        <w:rPr>
          <w:szCs w:val="26"/>
        </w:rPr>
        <w:t xml:space="preserve">to end ratepayer subsidies of gas-on-gas discounts </w:t>
      </w:r>
      <w:r w:rsidR="00512C6B" w:rsidRPr="00DF3063">
        <w:rPr>
          <w:szCs w:val="26"/>
        </w:rPr>
        <w:t xml:space="preserve">that exceed applicable rates of competing NGDCs.  </w:t>
      </w:r>
      <w:r w:rsidR="00F11C25" w:rsidRPr="00DF3063">
        <w:rPr>
          <w:szCs w:val="26"/>
        </w:rPr>
        <w:t>Accordingly, t</w:t>
      </w:r>
      <w:r w:rsidR="00512C6B" w:rsidRPr="00DF3063">
        <w:rPr>
          <w:szCs w:val="26"/>
        </w:rPr>
        <w:t>h</w:t>
      </w:r>
      <w:r w:rsidR="001934AB" w:rsidRPr="00DF3063">
        <w:rPr>
          <w:szCs w:val="26"/>
        </w:rPr>
        <w:t xml:space="preserve">e </w:t>
      </w:r>
      <w:r w:rsidR="003C1DFF" w:rsidRPr="00DF3063">
        <w:rPr>
          <w:szCs w:val="26"/>
        </w:rPr>
        <w:t xml:space="preserve">NGDCs </w:t>
      </w:r>
      <w:r w:rsidR="00E21833" w:rsidRPr="00DF3063">
        <w:rPr>
          <w:szCs w:val="26"/>
        </w:rPr>
        <w:t xml:space="preserve">are </w:t>
      </w:r>
      <w:r w:rsidR="001D074D" w:rsidRPr="00DF3063">
        <w:rPr>
          <w:szCs w:val="26"/>
        </w:rPr>
        <w:t xml:space="preserve">placed </w:t>
      </w:r>
      <w:r w:rsidR="00E21833" w:rsidRPr="00DF3063">
        <w:rPr>
          <w:szCs w:val="26"/>
        </w:rPr>
        <w:t xml:space="preserve">on notice that they </w:t>
      </w:r>
      <w:r w:rsidR="003C1DFF" w:rsidRPr="00DF3063">
        <w:rPr>
          <w:szCs w:val="26"/>
        </w:rPr>
        <w:t xml:space="preserve">may not be able to recover </w:t>
      </w:r>
      <w:r w:rsidR="001D074D" w:rsidRPr="00DF3063">
        <w:rPr>
          <w:szCs w:val="26"/>
        </w:rPr>
        <w:t>any</w:t>
      </w:r>
      <w:r w:rsidR="00512C6B" w:rsidRPr="00DF3063">
        <w:rPr>
          <w:szCs w:val="26"/>
        </w:rPr>
        <w:t xml:space="preserve"> </w:t>
      </w:r>
      <w:r w:rsidR="003C1DFF" w:rsidRPr="00DF3063">
        <w:rPr>
          <w:szCs w:val="26"/>
        </w:rPr>
        <w:t xml:space="preserve">foregone revenue beyond </w:t>
      </w:r>
      <w:r w:rsidR="00512C6B" w:rsidRPr="00DF3063">
        <w:rPr>
          <w:szCs w:val="26"/>
        </w:rPr>
        <w:t xml:space="preserve">December 31, 2018, </w:t>
      </w:r>
      <w:r w:rsidR="003C1DFF" w:rsidRPr="00DF3063">
        <w:rPr>
          <w:szCs w:val="26"/>
        </w:rPr>
        <w:t>in future rate proceedings.</w:t>
      </w:r>
      <w:r w:rsidR="00E21833" w:rsidRPr="00DF3063">
        <w:rPr>
          <w:szCs w:val="26"/>
        </w:rPr>
        <w:t xml:space="preserve"> </w:t>
      </w:r>
      <w:r w:rsidR="003C1DFF" w:rsidRPr="00DF3063">
        <w:rPr>
          <w:szCs w:val="26"/>
        </w:rPr>
        <w:t xml:space="preserve"> </w:t>
      </w:r>
      <w:r w:rsidR="00581E2A" w:rsidRPr="00DF3063">
        <w:rPr>
          <w:szCs w:val="26"/>
        </w:rPr>
        <w:t xml:space="preserve">As noted by </w:t>
      </w:r>
      <w:proofErr w:type="gramStart"/>
      <w:r w:rsidR="00581E2A" w:rsidRPr="00DF3063">
        <w:rPr>
          <w:szCs w:val="26"/>
        </w:rPr>
        <w:t>I&amp;E</w:t>
      </w:r>
      <w:proofErr w:type="gramEnd"/>
      <w:r w:rsidR="00581E2A" w:rsidRPr="00DF3063">
        <w:rPr>
          <w:szCs w:val="26"/>
        </w:rPr>
        <w:t>, t</w:t>
      </w:r>
      <w:r w:rsidR="00D91AD0" w:rsidRPr="00DF3063">
        <w:rPr>
          <w:szCs w:val="26"/>
        </w:rPr>
        <w:t>he likelihood that NGDCs would have to absorb the for</w:t>
      </w:r>
      <w:r w:rsidR="00791E11" w:rsidRPr="00DF3063">
        <w:rPr>
          <w:szCs w:val="26"/>
        </w:rPr>
        <w:t>e</w:t>
      </w:r>
      <w:r w:rsidR="00D91AD0" w:rsidRPr="00DF3063">
        <w:rPr>
          <w:szCs w:val="26"/>
        </w:rPr>
        <w:t xml:space="preserve">gone revenue resulting from gas-on-gas discounted rates </w:t>
      </w:r>
      <w:r w:rsidR="00423CB1" w:rsidRPr="00DF3063">
        <w:rPr>
          <w:szCs w:val="26"/>
        </w:rPr>
        <w:t xml:space="preserve">was also addressed in the Settlement Agreement in the </w:t>
      </w:r>
      <w:r w:rsidR="00581E2A" w:rsidRPr="00DF3063">
        <w:rPr>
          <w:szCs w:val="26"/>
        </w:rPr>
        <w:t>Peoples/Equitable Merger Application</w:t>
      </w:r>
      <w:r w:rsidR="00423CB1" w:rsidRPr="00DF3063">
        <w:rPr>
          <w:szCs w:val="26"/>
        </w:rPr>
        <w:t>.</w:t>
      </w:r>
      <w:r w:rsidR="00581E2A" w:rsidRPr="00DF3063">
        <w:rPr>
          <w:szCs w:val="26"/>
        </w:rPr>
        <w:t xml:space="preserve">  The </w:t>
      </w:r>
      <w:r w:rsidR="008B16E2" w:rsidRPr="00DF3063">
        <w:rPr>
          <w:szCs w:val="26"/>
        </w:rPr>
        <w:t>Peoples/</w:t>
      </w:r>
      <w:r w:rsidR="008B16E2">
        <w:rPr>
          <w:szCs w:val="26"/>
        </w:rPr>
        <w:t xml:space="preserve">Equitable </w:t>
      </w:r>
      <w:r w:rsidR="00581E2A">
        <w:rPr>
          <w:szCs w:val="26"/>
        </w:rPr>
        <w:t>Settlement Agreement provided in pertinent p</w:t>
      </w:r>
      <w:r w:rsidR="007D5152">
        <w:rPr>
          <w:szCs w:val="26"/>
        </w:rPr>
        <w:t>ar</w:t>
      </w:r>
      <w:r w:rsidR="00581E2A">
        <w:rPr>
          <w:szCs w:val="26"/>
        </w:rPr>
        <w:t xml:space="preserve">t as follows: </w:t>
      </w:r>
    </w:p>
    <w:p w:rsidR="008B16E2" w:rsidRDefault="008B16E2" w:rsidP="00B43911">
      <w:pPr>
        <w:widowControl/>
        <w:rPr>
          <w:szCs w:val="26"/>
        </w:rPr>
      </w:pPr>
    </w:p>
    <w:p w:rsidR="000B74BE" w:rsidRDefault="00581E2A" w:rsidP="00B43911">
      <w:pPr>
        <w:widowControl/>
        <w:spacing w:line="240" w:lineRule="auto"/>
        <w:ind w:left="1440" w:right="1440" w:firstLine="720"/>
        <w:rPr>
          <w:rFonts w:eastAsiaTheme="minorHAnsi"/>
          <w:szCs w:val="26"/>
        </w:rPr>
      </w:pPr>
      <w:proofErr w:type="gramStart"/>
      <w:r w:rsidRPr="00C63FF4">
        <w:rPr>
          <w:rFonts w:eastAsiaTheme="minorHAnsi"/>
          <w:szCs w:val="26"/>
        </w:rPr>
        <w:t>If the Commission determines in the Investigation at Docket No.</w:t>
      </w:r>
      <w:proofErr w:type="gramEnd"/>
      <w:r w:rsidRPr="00C63FF4">
        <w:rPr>
          <w:rFonts w:eastAsiaTheme="minorHAnsi"/>
          <w:szCs w:val="26"/>
        </w:rPr>
        <w:t xml:space="preserve"> I-2012-2320323,</w:t>
      </w:r>
      <w:r>
        <w:rPr>
          <w:rFonts w:eastAsiaTheme="minorHAnsi"/>
          <w:szCs w:val="26"/>
        </w:rPr>
        <w:t xml:space="preserve"> </w:t>
      </w:r>
      <w:r w:rsidRPr="00C63FF4">
        <w:rPr>
          <w:rFonts w:eastAsiaTheme="minorHAnsi"/>
          <w:szCs w:val="26"/>
        </w:rPr>
        <w:t>that all natural gas distribution companies that offer discounted distribution rates must absorb all</w:t>
      </w:r>
      <w:r>
        <w:rPr>
          <w:rFonts w:eastAsiaTheme="minorHAnsi"/>
          <w:szCs w:val="26"/>
        </w:rPr>
        <w:t xml:space="preserve"> </w:t>
      </w:r>
      <w:r w:rsidRPr="00C63FF4">
        <w:rPr>
          <w:rFonts w:eastAsiaTheme="minorHAnsi"/>
          <w:szCs w:val="26"/>
        </w:rPr>
        <w:t>or a portion of gas on gas discounts by the effective date of Peoples</w:t>
      </w:r>
      <w:r w:rsidR="001D074D">
        <w:rPr>
          <w:rFonts w:eastAsiaTheme="minorHAnsi"/>
          <w:szCs w:val="26"/>
        </w:rPr>
        <w:t>’</w:t>
      </w:r>
      <w:r w:rsidRPr="00C63FF4">
        <w:rPr>
          <w:rFonts w:eastAsiaTheme="minorHAnsi"/>
          <w:szCs w:val="26"/>
        </w:rPr>
        <w:t xml:space="preserve"> or Peoples TWP</w:t>
      </w:r>
      <w:r w:rsidR="001D074D">
        <w:rPr>
          <w:rFonts w:eastAsiaTheme="minorHAnsi"/>
          <w:szCs w:val="26"/>
        </w:rPr>
        <w:t>’</w:t>
      </w:r>
      <w:r w:rsidRPr="00C63FF4">
        <w:rPr>
          <w:rFonts w:eastAsiaTheme="minorHAnsi"/>
          <w:szCs w:val="26"/>
        </w:rPr>
        <w:t>s next</w:t>
      </w:r>
      <w:r>
        <w:rPr>
          <w:rFonts w:eastAsiaTheme="minorHAnsi"/>
          <w:szCs w:val="26"/>
        </w:rPr>
        <w:t xml:space="preserve"> </w:t>
      </w:r>
      <w:r w:rsidRPr="00C63FF4">
        <w:rPr>
          <w:rFonts w:eastAsiaTheme="minorHAnsi"/>
          <w:szCs w:val="26"/>
        </w:rPr>
        <w:t>general rate proceeding, Peoples and Peoples TWP agree to impute revenues for those</w:t>
      </w:r>
      <w:r>
        <w:rPr>
          <w:rFonts w:eastAsiaTheme="minorHAnsi"/>
          <w:szCs w:val="26"/>
        </w:rPr>
        <w:t xml:space="preserve"> </w:t>
      </w:r>
      <w:r w:rsidRPr="00C63FF4">
        <w:rPr>
          <w:rFonts w:eastAsiaTheme="minorHAnsi"/>
          <w:szCs w:val="26"/>
        </w:rPr>
        <w:t>competitive service customers whose rate discounts are solely the result of competition between</w:t>
      </w:r>
      <w:r>
        <w:rPr>
          <w:rFonts w:eastAsiaTheme="minorHAnsi"/>
          <w:szCs w:val="26"/>
        </w:rPr>
        <w:t xml:space="preserve"> </w:t>
      </w:r>
      <w:r w:rsidRPr="00C63FF4">
        <w:rPr>
          <w:rFonts w:eastAsiaTheme="minorHAnsi"/>
          <w:szCs w:val="26"/>
        </w:rPr>
        <w:t>the Joint Applicants (Peoples, Peoples TWP and Equitable), to the extent required, and at the</w:t>
      </w:r>
      <w:r>
        <w:rPr>
          <w:rFonts w:eastAsiaTheme="minorHAnsi"/>
          <w:szCs w:val="26"/>
        </w:rPr>
        <w:t xml:space="preserve"> </w:t>
      </w:r>
      <w:r w:rsidRPr="00C63FF4">
        <w:rPr>
          <w:rFonts w:eastAsiaTheme="minorHAnsi"/>
          <w:szCs w:val="26"/>
        </w:rPr>
        <w:t>levels proscribed, by the Commission</w:t>
      </w:r>
      <w:r w:rsidR="001D074D">
        <w:rPr>
          <w:rFonts w:eastAsiaTheme="minorHAnsi"/>
          <w:szCs w:val="26"/>
        </w:rPr>
        <w:t>’</w:t>
      </w:r>
      <w:r w:rsidRPr="00C63FF4">
        <w:rPr>
          <w:rFonts w:eastAsiaTheme="minorHAnsi"/>
          <w:szCs w:val="26"/>
        </w:rPr>
        <w:t>s action at Docket No. I-2012-2320323, in the test period</w:t>
      </w:r>
      <w:r>
        <w:rPr>
          <w:rFonts w:eastAsiaTheme="minorHAnsi"/>
          <w:szCs w:val="26"/>
        </w:rPr>
        <w:t xml:space="preserve"> </w:t>
      </w:r>
      <w:r w:rsidRPr="00C63FF4">
        <w:rPr>
          <w:rFonts w:eastAsiaTheme="minorHAnsi"/>
          <w:szCs w:val="26"/>
        </w:rPr>
        <w:t xml:space="preserve">used to establish rates. </w:t>
      </w:r>
      <w:r w:rsidR="001D074D">
        <w:rPr>
          <w:rFonts w:eastAsiaTheme="minorHAnsi"/>
          <w:szCs w:val="26"/>
        </w:rPr>
        <w:t xml:space="preserve"> </w:t>
      </w:r>
      <w:r w:rsidR="00D02FA2" w:rsidRPr="00C63FF4">
        <w:rPr>
          <w:rFonts w:eastAsiaTheme="minorHAnsi"/>
          <w:szCs w:val="26"/>
        </w:rPr>
        <w:t>Nothing in this paragraph shall be construed to prohibit Peoples or</w:t>
      </w:r>
      <w:r w:rsidR="00D02FA2">
        <w:rPr>
          <w:rFonts w:eastAsiaTheme="minorHAnsi"/>
          <w:szCs w:val="26"/>
        </w:rPr>
        <w:t xml:space="preserve"> </w:t>
      </w:r>
      <w:r w:rsidR="00D02FA2" w:rsidRPr="00C63FF4">
        <w:rPr>
          <w:rFonts w:eastAsiaTheme="minorHAnsi"/>
          <w:szCs w:val="26"/>
        </w:rPr>
        <w:t xml:space="preserve">Peoples TWP from contending in such </w:t>
      </w:r>
    </w:p>
    <w:p w:rsidR="00581E2A" w:rsidRDefault="00D02FA2" w:rsidP="000B74BE">
      <w:pPr>
        <w:keepNext/>
        <w:keepLines/>
        <w:widowControl/>
        <w:spacing w:line="240" w:lineRule="auto"/>
        <w:ind w:left="1440" w:right="1440" w:firstLine="0"/>
        <w:rPr>
          <w:rFonts w:eastAsiaTheme="minorHAnsi"/>
          <w:szCs w:val="26"/>
        </w:rPr>
      </w:pPr>
      <w:proofErr w:type="gramStart"/>
      <w:r w:rsidRPr="00C63FF4">
        <w:rPr>
          <w:rFonts w:eastAsiaTheme="minorHAnsi"/>
          <w:szCs w:val="26"/>
        </w:rPr>
        <w:lastRenderedPageBreak/>
        <w:t>proce</w:t>
      </w:r>
      <w:r>
        <w:rPr>
          <w:rFonts w:eastAsiaTheme="minorHAnsi"/>
          <w:szCs w:val="26"/>
        </w:rPr>
        <w:t>e</w:t>
      </w:r>
      <w:r w:rsidRPr="00C63FF4">
        <w:rPr>
          <w:rFonts w:eastAsiaTheme="minorHAnsi"/>
          <w:szCs w:val="26"/>
        </w:rPr>
        <w:t>ding</w:t>
      </w:r>
      <w:proofErr w:type="gramEnd"/>
      <w:r w:rsidRPr="00C63FF4">
        <w:rPr>
          <w:rFonts w:eastAsiaTheme="minorHAnsi"/>
          <w:szCs w:val="26"/>
        </w:rPr>
        <w:t xml:space="preserve"> that the tariff rates for classes of customers</w:t>
      </w:r>
      <w:r>
        <w:rPr>
          <w:rFonts w:eastAsiaTheme="minorHAnsi"/>
          <w:szCs w:val="26"/>
        </w:rPr>
        <w:t xml:space="preserve"> </w:t>
      </w:r>
      <w:r w:rsidRPr="00C63FF4">
        <w:rPr>
          <w:rFonts w:eastAsiaTheme="minorHAnsi"/>
          <w:szCs w:val="26"/>
        </w:rPr>
        <w:t>receiving such discounts be set at the cost to serve tariff rate.</w:t>
      </w:r>
    </w:p>
    <w:p w:rsidR="000B74BE" w:rsidRPr="000B74BE" w:rsidRDefault="000B74BE" w:rsidP="000B74BE">
      <w:pPr>
        <w:keepNext/>
        <w:keepLines/>
        <w:widowControl/>
        <w:spacing w:line="240" w:lineRule="auto"/>
        <w:rPr>
          <w:color w:val="244061" w:themeColor="accent1" w:themeShade="80"/>
          <w:szCs w:val="26"/>
        </w:rPr>
      </w:pPr>
    </w:p>
    <w:p w:rsidR="00397D7A" w:rsidRDefault="00397D7A" w:rsidP="000B74BE">
      <w:pPr>
        <w:keepNext/>
        <w:keepLines/>
        <w:widowControl/>
        <w:spacing w:line="240" w:lineRule="auto"/>
        <w:rPr>
          <w:color w:val="244061" w:themeColor="accent1" w:themeShade="80"/>
          <w:szCs w:val="26"/>
        </w:rPr>
      </w:pPr>
    </w:p>
    <w:p w:rsidR="008B16E2" w:rsidRPr="007B3D65" w:rsidRDefault="008B16E2" w:rsidP="00B43911">
      <w:pPr>
        <w:widowControl/>
        <w:ind w:firstLine="0"/>
        <w:rPr>
          <w:szCs w:val="26"/>
        </w:rPr>
      </w:pPr>
      <w:proofErr w:type="gramStart"/>
      <w:r w:rsidRPr="007B3D65">
        <w:rPr>
          <w:szCs w:val="26"/>
        </w:rPr>
        <w:t xml:space="preserve">Peoples/Equitable Merger Settlement at </w:t>
      </w:r>
      <w:r w:rsidR="007B3D65" w:rsidRPr="007B3D65">
        <w:rPr>
          <w:szCs w:val="26"/>
        </w:rPr>
        <w:t>9.</w:t>
      </w:r>
      <w:proofErr w:type="gramEnd"/>
    </w:p>
    <w:p w:rsidR="008B16E2" w:rsidRDefault="008B16E2" w:rsidP="00B43911">
      <w:pPr>
        <w:widowControl/>
        <w:ind w:firstLine="0"/>
        <w:rPr>
          <w:color w:val="244061" w:themeColor="accent1" w:themeShade="80"/>
          <w:szCs w:val="26"/>
        </w:rPr>
      </w:pPr>
    </w:p>
    <w:p w:rsidR="00991DC1" w:rsidRDefault="00991DC1" w:rsidP="001D074D">
      <w:pPr>
        <w:pStyle w:val="Heading3"/>
        <w:widowControl/>
      </w:pPr>
      <w:bookmarkStart w:id="20" w:name="_Toc404013230"/>
      <w:r>
        <w:t>New Base Rate Proceedings</w:t>
      </w:r>
      <w:bookmarkEnd w:id="20"/>
    </w:p>
    <w:p w:rsidR="00991DC1" w:rsidRDefault="00991DC1" w:rsidP="001D074D">
      <w:pPr>
        <w:keepNext/>
        <w:keepLines/>
        <w:widowControl/>
      </w:pPr>
    </w:p>
    <w:p w:rsidR="008B16E2" w:rsidRDefault="007B3D65" w:rsidP="00B43911">
      <w:pPr>
        <w:widowControl/>
      </w:pPr>
      <w:r>
        <w:t xml:space="preserve">As discussed, </w:t>
      </w:r>
      <w:r w:rsidRPr="007B3D65">
        <w:rPr>
          <w:i/>
        </w:rPr>
        <w:t>supra</w:t>
      </w:r>
      <w:r>
        <w:t>, IECPA argue</w:t>
      </w:r>
      <w:r w:rsidR="00270C17">
        <w:t>s</w:t>
      </w:r>
      <w:r>
        <w:t xml:space="preserve"> that the Commission</w:t>
      </w:r>
      <w:r w:rsidR="001D074D">
        <w:t>’</w:t>
      </w:r>
      <w:r>
        <w:t xml:space="preserve">s base rate proceedings </w:t>
      </w:r>
      <w:r w:rsidR="00E311CB">
        <w:t xml:space="preserve">may be </w:t>
      </w:r>
      <w:r>
        <w:t xml:space="preserve">ineffective in developing cost-based rates.  </w:t>
      </w:r>
      <w:r w:rsidR="009F4C69">
        <w:t xml:space="preserve">Nonetheless, </w:t>
      </w:r>
      <w:r w:rsidR="00BB6DD0">
        <w:t xml:space="preserve">IECPA </w:t>
      </w:r>
      <w:r w:rsidR="009F4C69">
        <w:t xml:space="preserve">submits in its Exceptions </w:t>
      </w:r>
      <w:r w:rsidR="00BB6DD0">
        <w:t xml:space="preserve">that all NGDCs should initiate base rate proceedings and receive new Commission-approved rates before a floor based on tariffed rates is established.  IECPA Exc. at 18-19.  IECPA submitted that through a base rate case, all customer classes could weigh in on the appropriate rates for former gas-on-gas customers and the participation of many stakeholders would increase the likelihood that just and reasonable rates would be established.  IECPA M.B. at 22-24. </w:t>
      </w:r>
    </w:p>
    <w:p w:rsidR="00BB6DD0" w:rsidRDefault="00BB6DD0" w:rsidP="00B43911">
      <w:pPr>
        <w:widowControl/>
      </w:pPr>
    </w:p>
    <w:p w:rsidR="00270C17" w:rsidRDefault="00270C17" w:rsidP="00B43911">
      <w:pPr>
        <w:widowControl/>
      </w:pPr>
      <w:r>
        <w:t>We reject IECPA</w:t>
      </w:r>
      <w:r w:rsidR="001D074D">
        <w:t>’</w:t>
      </w:r>
      <w:r>
        <w:t xml:space="preserve">s arguments on this issue and concur with the response of </w:t>
      </w:r>
      <w:proofErr w:type="gramStart"/>
      <w:r>
        <w:t>I&amp;E</w:t>
      </w:r>
      <w:proofErr w:type="gramEnd"/>
      <w:r w:rsidR="00F11C25">
        <w:t xml:space="preserve">, </w:t>
      </w:r>
      <w:r w:rsidR="00F11C25" w:rsidRPr="00F11C25">
        <w:rPr>
          <w:i/>
        </w:rPr>
        <w:t>supra</w:t>
      </w:r>
      <w:r>
        <w:t>.</w:t>
      </w:r>
      <w:r w:rsidR="00B91BD0">
        <w:rPr>
          <w:rStyle w:val="FootnoteReference"/>
        </w:rPr>
        <w:footnoteReference w:id="15"/>
      </w:r>
      <w:r>
        <w:t xml:space="preserve">  </w:t>
      </w:r>
      <w:r w:rsidR="00D02FA2">
        <w:t>The NGDCs</w:t>
      </w:r>
      <w:r w:rsidR="001D074D">
        <w:t>’</w:t>
      </w:r>
      <w:r w:rsidR="00D02FA2">
        <w:t xml:space="preserve"> prevailing rates were established following individual NGDC rate proceedings and Commission review of those proceedings, including any settlements of those proceedings.  </w:t>
      </w:r>
      <w:r>
        <w:t>Section 1301 of the Code, 66 Pa. C.S.</w:t>
      </w:r>
      <w:r w:rsidR="000342D3">
        <w:t xml:space="preserve"> </w:t>
      </w:r>
      <w:r w:rsidR="00991DC1">
        <w:t xml:space="preserve">§ </w:t>
      </w:r>
      <w:r>
        <w:t>1301</w:t>
      </w:r>
      <w:r w:rsidR="00D3512B">
        <w:t>,</w:t>
      </w:r>
      <w:r>
        <w:t xml:space="preserve"> requires that rates be just and reasonable and there is a presumption of reasonableness to any rates that have been approved by the Commission.</w:t>
      </w:r>
    </w:p>
    <w:p w:rsidR="005E02AC" w:rsidRDefault="005E02AC">
      <w:pPr>
        <w:widowControl/>
        <w:spacing w:after="200" w:line="276" w:lineRule="auto"/>
        <w:ind w:firstLine="0"/>
      </w:pPr>
      <w:r>
        <w:br w:type="page"/>
      </w:r>
    </w:p>
    <w:p w:rsidR="00F11C25" w:rsidRDefault="00F11C25" w:rsidP="001D074D">
      <w:pPr>
        <w:pStyle w:val="Heading1"/>
        <w:widowControl/>
        <w:jc w:val="center"/>
      </w:pPr>
      <w:bookmarkStart w:id="21" w:name="_Toc404013231"/>
      <w:r>
        <w:lastRenderedPageBreak/>
        <w:t>Conclusion</w:t>
      </w:r>
      <w:bookmarkEnd w:id="21"/>
    </w:p>
    <w:p w:rsidR="00F11C25" w:rsidRPr="00F11C25" w:rsidRDefault="00F11C25" w:rsidP="00B43911">
      <w:pPr>
        <w:widowControl/>
      </w:pPr>
    </w:p>
    <w:p w:rsidR="00CA43A5" w:rsidRPr="00CA43A5" w:rsidRDefault="00CA43A5" w:rsidP="00B43911">
      <w:pPr>
        <w:widowControl/>
        <w:rPr>
          <w:szCs w:val="26"/>
        </w:rPr>
      </w:pPr>
      <w:r w:rsidRPr="00CA43A5">
        <w:rPr>
          <w:szCs w:val="26"/>
        </w:rPr>
        <w:t xml:space="preserve">Based upon the foregoing discussion, we </w:t>
      </w:r>
      <w:r w:rsidR="001D074D">
        <w:rPr>
          <w:szCs w:val="26"/>
        </w:rPr>
        <w:t>conclude</w:t>
      </w:r>
      <w:r w:rsidR="00E2218D">
        <w:rPr>
          <w:szCs w:val="26"/>
        </w:rPr>
        <w:t>,</w:t>
      </w:r>
      <w:r w:rsidR="007F7984">
        <w:rPr>
          <w:szCs w:val="26"/>
        </w:rPr>
        <w:t xml:space="preserve"> </w:t>
      </w:r>
      <w:r w:rsidR="00E2218D" w:rsidRPr="00E2218D">
        <w:rPr>
          <w:i/>
          <w:szCs w:val="26"/>
        </w:rPr>
        <w:t>inter alia</w:t>
      </w:r>
      <w:r w:rsidR="00E2218D">
        <w:rPr>
          <w:szCs w:val="26"/>
        </w:rPr>
        <w:t xml:space="preserve">: (1) </w:t>
      </w:r>
      <w:r w:rsidR="007F7984">
        <w:rPr>
          <w:szCs w:val="26"/>
        </w:rPr>
        <w:t xml:space="preserve">that </w:t>
      </w:r>
      <w:r w:rsidR="00E2218D">
        <w:rPr>
          <w:szCs w:val="26"/>
        </w:rPr>
        <w:t>gas-on-gas discounted rates should continue to be offered</w:t>
      </w:r>
      <w:r w:rsidR="001D074D">
        <w:rPr>
          <w:szCs w:val="26"/>
        </w:rPr>
        <w:t xml:space="preserve"> by the affected NGDCs</w:t>
      </w:r>
      <w:r w:rsidR="00E2218D">
        <w:rPr>
          <w:szCs w:val="26"/>
        </w:rPr>
        <w:t xml:space="preserve">, subject to the conditions set forth in this Opinion and Order; </w:t>
      </w:r>
      <w:r w:rsidR="00191C07">
        <w:rPr>
          <w:szCs w:val="26"/>
        </w:rPr>
        <w:t xml:space="preserve">and </w:t>
      </w:r>
      <w:r w:rsidR="00E2218D">
        <w:rPr>
          <w:szCs w:val="26"/>
        </w:rPr>
        <w:t xml:space="preserve">(2) that the affected NGDCs </w:t>
      </w:r>
      <w:r w:rsidR="008707F7">
        <w:rPr>
          <w:szCs w:val="26"/>
        </w:rPr>
        <w:t xml:space="preserve">shall, </w:t>
      </w:r>
      <w:r w:rsidR="00E2218D">
        <w:rPr>
          <w:szCs w:val="26"/>
        </w:rPr>
        <w:t xml:space="preserve">and interested parties </w:t>
      </w:r>
      <w:r w:rsidR="00EA09BB">
        <w:rPr>
          <w:szCs w:val="26"/>
        </w:rPr>
        <w:t>may</w:t>
      </w:r>
      <w:r w:rsidR="00E2218D">
        <w:rPr>
          <w:szCs w:val="26"/>
        </w:rPr>
        <w:t xml:space="preserve"> file </w:t>
      </w:r>
      <w:r w:rsidR="008707F7">
        <w:rPr>
          <w:szCs w:val="26"/>
        </w:rPr>
        <w:t>C</w:t>
      </w:r>
      <w:r w:rsidR="00E2218D">
        <w:rPr>
          <w:szCs w:val="26"/>
        </w:rPr>
        <w:t>omments on the uniform tariff provisions that should be utilized to implement gas-on-gas flex rates going forward</w:t>
      </w:r>
      <w:r w:rsidR="00191C07">
        <w:rPr>
          <w:szCs w:val="26"/>
        </w:rPr>
        <w:t>.  Accordingly, we shall adopt, in part</w:t>
      </w:r>
      <w:r w:rsidR="00752251">
        <w:rPr>
          <w:szCs w:val="26"/>
        </w:rPr>
        <w:t xml:space="preserve">, and deny in part, the Exceptions of Columbia, IECPA, OSBA, PSU and Peoples/PTWP to the extent consistent with this Opinion and Order.  We shall also </w:t>
      </w:r>
      <w:r w:rsidR="00EA09BB">
        <w:rPr>
          <w:szCs w:val="26"/>
        </w:rPr>
        <w:t xml:space="preserve">modify </w:t>
      </w:r>
      <w:r w:rsidR="00752251">
        <w:rPr>
          <w:szCs w:val="26"/>
        </w:rPr>
        <w:t>the ALJ</w:t>
      </w:r>
      <w:r w:rsidR="001D074D">
        <w:rPr>
          <w:szCs w:val="26"/>
        </w:rPr>
        <w:t>’</w:t>
      </w:r>
      <w:r w:rsidR="00752251">
        <w:rPr>
          <w:szCs w:val="26"/>
        </w:rPr>
        <w:t>s Recommended Decision</w:t>
      </w:r>
      <w:r w:rsidR="00EF5133">
        <w:rPr>
          <w:szCs w:val="26"/>
        </w:rPr>
        <w:t>, consistent</w:t>
      </w:r>
      <w:r w:rsidR="00752251">
        <w:rPr>
          <w:szCs w:val="26"/>
        </w:rPr>
        <w:t xml:space="preserve"> with this Opinion and Order</w:t>
      </w:r>
      <w:r w:rsidRPr="00CA43A5">
        <w:rPr>
          <w:szCs w:val="26"/>
        </w:rPr>
        <w:t xml:space="preserve">; </w:t>
      </w:r>
      <w:r w:rsidRPr="00CA43A5">
        <w:rPr>
          <w:b/>
          <w:szCs w:val="26"/>
        </w:rPr>
        <w:t>THEREFORE,</w:t>
      </w:r>
    </w:p>
    <w:p w:rsidR="00CA43A5" w:rsidRPr="00CA43A5" w:rsidRDefault="00CA43A5" w:rsidP="00B43911">
      <w:pPr>
        <w:widowControl/>
        <w:rPr>
          <w:szCs w:val="26"/>
        </w:rPr>
      </w:pPr>
    </w:p>
    <w:p w:rsidR="00CA43A5" w:rsidRDefault="00CA43A5" w:rsidP="00B43911">
      <w:pPr>
        <w:keepNext/>
        <w:widowControl/>
        <w:rPr>
          <w:b/>
          <w:szCs w:val="26"/>
        </w:rPr>
      </w:pPr>
      <w:r w:rsidRPr="00CA43A5">
        <w:rPr>
          <w:b/>
          <w:szCs w:val="26"/>
        </w:rPr>
        <w:t>IT IS ORDERED:</w:t>
      </w:r>
    </w:p>
    <w:p w:rsidR="00CE3F2A" w:rsidRPr="00CA43A5" w:rsidRDefault="00CE3F2A" w:rsidP="00B43911">
      <w:pPr>
        <w:keepNext/>
        <w:widowControl/>
        <w:rPr>
          <w:b/>
          <w:szCs w:val="26"/>
        </w:rPr>
      </w:pPr>
    </w:p>
    <w:p w:rsidR="009155F7" w:rsidRDefault="009155F7" w:rsidP="00B43911">
      <w:pPr>
        <w:keepNext/>
        <w:widowControl/>
        <w:numPr>
          <w:ilvl w:val="0"/>
          <w:numId w:val="1"/>
        </w:numPr>
        <w:tabs>
          <w:tab w:val="clear" w:pos="2160"/>
          <w:tab w:val="num" w:pos="0"/>
        </w:tabs>
        <w:ind w:left="0" w:firstLine="1440"/>
        <w:rPr>
          <w:szCs w:val="26"/>
        </w:rPr>
      </w:pPr>
      <w:r>
        <w:rPr>
          <w:szCs w:val="26"/>
        </w:rPr>
        <w:t xml:space="preserve">That the Exceptions of </w:t>
      </w:r>
      <w:r w:rsidR="00752251">
        <w:rPr>
          <w:szCs w:val="26"/>
        </w:rPr>
        <w:t>Columbia Gas of Pennsylvania</w:t>
      </w:r>
      <w:r w:rsidR="00B42BAA">
        <w:rPr>
          <w:szCs w:val="26"/>
        </w:rPr>
        <w:t>,</w:t>
      </w:r>
      <w:r w:rsidR="00752251">
        <w:rPr>
          <w:szCs w:val="26"/>
        </w:rPr>
        <w:t xml:space="preserve"> filed on July</w:t>
      </w:r>
      <w:r w:rsidR="001D074D">
        <w:rPr>
          <w:szCs w:val="26"/>
        </w:rPr>
        <w:t> </w:t>
      </w:r>
      <w:r w:rsidR="00752251">
        <w:rPr>
          <w:szCs w:val="26"/>
        </w:rPr>
        <w:t xml:space="preserve"> 14, 2014, to the Recommended Decision of Administrative Law Judge </w:t>
      </w:r>
      <w:r w:rsidR="002F32DA">
        <w:rPr>
          <w:szCs w:val="26"/>
        </w:rPr>
        <w:t>Elizabeth</w:t>
      </w:r>
      <w:r w:rsidR="00B42BAA">
        <w:rPr>
          <w:szCs w:val="26"/>
        </w:rPr>
        <w:t> </w:t>
      </w:r>
      <w:r w:rsidR="002F32DA">
        <w:rPr>
          <w:szCs w:val="26"/>
        </w:rPr>
        <w:t>H.</w:t>
      </w:r>
      <w:r w:rsidR="00B42BAA">
        <w:rPr>
          <w:szCs w:val="26"/>
        </w:rPr>
        <w:t> </w:t>
      </w:r>
      <w:r w:rsidR="002F32DA">
        <w:rPr>
          <w:szCs w:val="26"/>
        </w:rPr>
        <w:t xml:space="preserve">Barnes </w:t>
      </w:r>
      <w:r>
        <w:rPr>
          <w:szCs w:val="26"/>
        </w:rPr>
        <w:t xml:space="preserve">are </w:t>
      </w:r>
      <w:r w:rsidR="001D074D">
        <w:rPr>
          <w:szCs w:val="26"/>
        </w:rPr>
        <w:t>granted</w:t>
      </w:r>
      <w:r w:rsidR="002F32DA">
        <w:rPr>
          <w:szCs w:val="26"/>
        </w:rPr>
        <w:t xml:space="preserve">, in part, and </w:t>
      </w:r>
      <w:r w:rsidR="0058575A">
        <w:rPr>
          <w:szCs w:val="26"/>
        </w:rPr>
        <w:t>denied</w:t>
      </w:r>
      <w:r w:rsidR="002F32DA">
        <w:rPr>
          <w:szCs w:val="26"/>
        </w:rPr>
        <w:t xml:space="preserve">, in part, </w:t>
      </w:r>
      <w:r w:rsidR="003F51F4">
        <w:rPr>
          <w:szCs w:val="26"/>
        </w:rPr>
        <w:t xml:space="preserve">consistent with this Opinion </w:t>
      </w:r>
      <w:r w:rsidR="00B80C43">
        <w:rPr>
          <w:szCs w:val="26"/>
        </w:rPr>
        <w:t>and Order</w:t>
      </w:r>
      <w:r>
        <w:rPr>
          <w:szCs w:val="26"/>
        </w:rPr>
        <w:t>.</w:t>
      </w:r>
    </w:p>
    <w:p w:rsidR="002F32DA" w:rsidRDefault="002F32DA" w:rsidP="00B43911">
      <w:pPr>
        <w:keepNext/>
        <w:widowControl/>
        <w:rPr>
          <w:szCs w:val="26"/>
        </w:rPr>
      </w:pPr>
    </w:p>
    <w:p w:rsidR="002F32DA" w:rsidRDefault="002F32DA" w:rsidP="00B43911">
      <w:pPr>
        <w:widowControl/>
        <w:numPr>
          <w:ilvl w:val="0"/>
          <w:numId w:val="1"/>
        </w:numPr>
        <w:ind w:left="0" w:firstLine="1440"/>
        <w:rPr>
          <w:szCs w:val="26"/>
        </w:rPr>
      </w:pPr>
      <w:r>
        <w:rPr>
          <w:szCs w:val="26"/>
        </w:rPr>
        <w:t>That the Exceptions of the Industrial Energy Consumers of Pennsylvania</w:t>
      </w:r>
      <w:r w:rsidR="001D074D">
        <w:rPr>
          <w:szCs w:val="26"/>
        </w:rPr>
        <w:t>,</w:t>
      </w:r>
      <w:r>
        <w:rPr>
          <w:szCs w:val="26"/>
        </w:rPr>
        <w:t xml:space="preserve"> filed on July 14, 2014, to the Recommended Decision of Administrative Law Judge Elizabeth H. Barnes are </w:t>
      </w:r>
      <w:r w:rsidR="001D074D">
        <w:rPr>
          <w:szCs w:val="26"/>
        </w:rPr>
        <w:t>granted</w:t>
      </w:r>
      <w:r>
        <w:rPr>
          <w:szCs w:val="26"/>
        </w:rPr>
        <w:t xml:space="preserve">, in part, and </w:t>
      </w:r>
      <w:r w:rsidR="0058575A">
        <w:rPr>
          <w:szCs w:val="26"/>
        </w:rPr>
        <w:t>denied</w:t>
      </w:r>
      <w:r>
        <w:rPr>
          <w:szCs w:val="26"/>
        </w:rPr>
        <w:t>, in part, consistent with this Opinion and Order.</w:t>
      </w:r>
    </w:p>
    <w:p w:rsidR="002F32DA" w:rsidRDefault="002F32DA" w:rsidP="00B43911">
      <w:pPr>
        <w:widowControl/>
        <w:rPr>
          <w:szCs w:val="26"/>
        </w:rPr>
      </w:pPr>
    </w:p>
    <w:p w:rsidR="002F32DA" w:rsidRDefault="002F32DA" w:rsidP="00B43911">
      <w:pPr>
        <w:widowControl/>
        <w:numPr>
          <w:ilvl w:val="0"/>
          <w:numId w:val="1"/>
        </w:numPr>
        <w:ind w:left="0" w:firstLine="1440"/>
        <w:rPr>
          <w:szCs w:val="26"/>
        </w:rPr>
      </w:pPr>
      <w:r>
        <w:rPr>
          <w:szCs w:val="26"/>
        </w:rPr>
        <w:t xml:space="preserve">That the Exceptions of the </w:t>
      </w:r>
      <w:r w:rsidR="0058575A">
        <w:rPr>
          <w:szCs w:val="26"/>
        </w:rPr>
        <w:t>Office of Small Business Advocate</w:t>
      </w:r>
      <w:r w:rsidR="00B42BAA">
        <w:rPr>
          <w:szCs w:val="26"/>
        </w:rPr>
        <w:t>,</w:t>
      </w:r>
      <w:r w:rsidR="0058575A">
        <w:rPr>
          <w:szCs w:val="26"/>
        </w:rPr>
        <w:t xml:space="preserve"> </w:t>
      </w:r>
      <w:r>
        <w:rPr>
          <w:szCs w:val="26"/>
        </w:rPr>
        <w:t>filed on July 14, 2014, to the Recommended Decision of Administrative Law Judge Elizabeth</w:t>
      </w:r>
      <w:r w:rsidR="00B42BAA">
        <w:rPr>
          <w:szCs w:val="26"/>
        </w:rPr>
        <w:t> </w:t>
      </w:r>
      <w:r>
        <w:rPr>
          <w:szCs w:val="26"/>
        </w:rPr>
        <w:t>H.</w:t>
      </w:r>
      <w:r w:rsidR="00B42BAA">
        <w:rPr>
          <w:szCs w:val="26"/>
        </w:rPr>
        <w:t> </w:t>
      </w:r>
      <w:r w:rsidR="003F2307">
        <w:rPr>
          <w:szCs w:val="26"/>
        </w:rPr>
        <w:t>Barnes are granted</w:t>
      </w:r>
      <w:r>
        <w:rPr>
          <w:szCs w:val="26"/>
        </w:rPr>
        <w:t xml:space="preserve">, in part, and </w:t>
      </w:r>
      <w:r w:rsidR="0058575A">
        <w:rPr>
          <w:szCs w:val="26"/>
        </w:rPr>
        <w:t>denied</w:t>
      </w:r>
      <w:r>
        <w:rPr>
          <w:szCs w:val="26"/>
        </w:rPr>
        <w:t>, in part, consistent with this Opinion and Order.</w:t>
      </w:r>
    </w:p>
    <w:p w:rsidR="0058575A" w:rsidRDefault="0058575A" w:rsidP="00B43911">
      <w:pPr>
        <w:widowControl/>
        <w:rPr>
          <w:szCs w:val="26"/>
        </w:rPr>
      </w:pPr>
    </w:p>
    <w:p w:rsidR="0058575A" w:rsidRDefault="0058575A" w:rsidP="00B43911">
      <w:pPr>
        <w:widowControl/>
        <w:numPr>
          <w:ilvl w:val="0"/>
          <w:numId w:val="1"/>
        </w:numPr>
        <w:ind w:left="0" w:firstLine="1440"/>
        <w:rPr>
          <w:szCs w:val="26"/>
        </w:rPr>
      </w:pPr>
      <w:r>
        <w:rPr>
          <w:szCs w:val="26"/>
        </w:rPr>
        <w:lastRenderedPageBreak/>
        <w:t>That the Exceptions of the Pennsylvania State University</w:t>
      </w:r>
      <w:r w:rsidR="00B42BAA">
        <w:rPr>
          <w:szCs w:val="26"/>
        </w:rPr>
        <w:t>,</w:t>
      </w:r>
      <w:r>
        <w:rPr>
          <w:szCs w:val="26"/>
        </w:rPr>
        <w:t xml:space="preserve"> filed on July 14, 2014, to the Recommended Decision of Administrative Law Judge Elizabeth</w:t>
      </w:r>
      <w:r w:rsidR="00B42BAA">
        <w:rPr>
          <w:szCs w:val="26"/>
        </w:rPr>
        <w:t> </w:t>
      </w:r>
      <w:r>
        <w:rPr>
          <w:szCs w:val="26"/>
        </w:rPr>
        <w:t>H.</w:t>
      </w:r>
      <w:r w:rsidR="00B42BAA">
        <w:rPr>
          <w:szCs w:val="26"/>
        </w:rPr>
        <w:t> </w:t>
      </w:r>
      <w:r w:rsidR="003F2307">
        <w:rPr>
          <w:szCs w:val="26"/>
        </w:rPr>
        <w:t>Barnes are granted</w:t>
      </w:r>
      <w:r>
        <w:rPr>
          <w:szCs w:val="26"/>
        </w:rPr>
        <w:t>, in part, and denied, in part, consistent with this Opinion and Order.</w:t>
      </w:r>
    </w:p>
    <w:p w:rsidR="0058575A" w:rsidRDefault="0058575A" w:rsidP="00B43911">
      <w:pPr>
        <w:widowControl/>
        <w:rPr>
          <w:szCs w:val="26"/>
        </w:rPr>
      </w:pPr>
    </w:p>
    <w:p w:rsidR="0058575A" w:rsidRDefault="0058575A" w:rsidP="00B43911">
      <w:pPr>
        <w:widowControl/>
        <w:numPr>
          <w:ilvl w:val="0"/>
          <w:numId w:val="1"/>
        </w:numPr>
        <w:ind w:left="0" w:firstLine="1440"/>
        <w:rPr>
          <w:szCs w:val="26"/>
        </w:rPr>
      </w:pPr>
      <w:r>
        <w:rPr>
          <w:szCs w:val="26"/>
        </w:rPr>
        <w:t>That the Exceptions of the Peoples Natural Gas Company, LLC and Peoples TWP, LLC</w:t>
      </w:r>
      <w:r w:rsidR="00B42BAA">
        <w:rPr>
          <w:szCs w:val="26"/>
        </w:rPr>
        <w:t>,</w:t>
      </w:r>
      <w:r>
        <w:rPr>
          <w:szCs w:val="26"/>
        </w:rPr>
        <w:t xml:space="preserve"> filed on July 14, 2014, to the Recommended Decision of Administrative Law Judge Elizabeth</w:t>
      </w:r>
      <w:r w:rsidR="00B42BAA">
        <w:rPr>
          <w:szCs w:val="26"/>
        </w:rPr>
        <w:t> </w:t>
      </w:r>
      <w:r>
        <w:rPr>
          <w:szCs w:val="26"/>
        </w:rPr>
        <w:t>H.</w:t>
      </w:r>
      <w:r w:rsidR="00B42BAA">
        <w:rPr>
          <w:szCs w:val="26"/>
        </w:rPr>
        <w:t> B</w:t>
      </w:r>
      <w:r w:rsidR="003F2307">
        <w:rPr>
          <w:szCs w:val="26"/>
        </w:rPr>
        <w:t>arnes are granted</w:t>
      </w:r>
      <w:r>
        <w:rPr>
          <w:szCs w:val="26"/>
        </w:rPr>
        <w:t>, in part, and denied, in part, consistent with this Opinion and Order.</w:t>
      </w:r>
    </w:p>
    <w:p w:rsidR="0058575A" w:rsidRDefault="0058575A" w:rsidP="00B43911">
      <w:pPr>
        <w:widowControl/>
        <w:ind w:left="1440" w:firstLine="0"/>
        <w:rPr>
          <w:szCs w:val="26"/>
        </w:rPr>
      </w:pPr>
    </w:p>
    <w:p w:rsidR="00CA43A5" w:rsidRDefault="00D02FA2" w:rsidP="00B43911">
      <w:pPr>
        <w:widowControl/>
        <w:numPr>
          <w:ilvl w:val="0"/>
          <w:numId w:val="1"/>
        </w:numPr>
        <w:tabs>
          <w:tab w:val="clear" w:pos="2160"/>
          <w:tab w:val="num" w:pos="0"/>
        </w:tabs>
        <w:ind w:left="0" w:firstLine="1440"/>
        <w:rPr>
          <w:szCs w:val="26"/>
        </w:rPr>
      </w:pPr>
      <w:r w:rsidRPr="00CA43A5">
        <w:rPr>
          <w:szCs w:val="26"/>
        </w:rPr>
        <w:t xml:space="preserve">That the Initial Decision of Administrative Law Judge </w:t>
      </w:r>
      <w:r>
        <w:rPr>
          <w:szCs w:val="26"/>
        </w:rPr>
        <w:t>Elizabeth</w:t>
      </w:r>
      <w:r w:rsidR="00B42BAA">
        <w:rPr>
          <w:szCs w:val="26"/>
        </w:rPr>
        <w:t> </w:t>
      </w:r>
      <w:r>
        <w:rPr>
          <w:szCs w:val="26"/>
        </w:rPr>
        <w:t>H.</w:t>
      </w:r>
      <w:r w:rsidR="00B42BAA">
        <w:rPr>
          <w:szCs w:val="26"/>
        </w:rPr>
        <w:t> </w:t>
      </w:r>
      <w:r>
        <w:rPr>
          <w:szCs w:val="26"/>
        </w:rPr>
        <w:t>Barnes</w:t>
      </w:r>
      <w:r w:rsidR="00B42BAA">
        <w:rPr>
          <w:szCs w:val="26"/>
        </w:rPr>
        <w:t>,</w:t>
      </w:r>
      <w:r>
        <w:rPr>
          <w:szCs w:val="26"/>
        </w:rPr>
        <w:t xml:space="preserve"> issued on June 24, 2014, </w:t>
      </w:r>
      <w:r w:rsidRPr="00CA43A5">
        <w:rPr>
          <w:szCs w:val="26"/>
        </w:rPr>
        <w:t>is</w:t>
      </w:r>
      <w:r>
        <w:rPr>
          <w:szCs w:val="26"/>
        </w:rPr>
        <w:t xml:space="preserve"> </w:t>
      </w:r>
      <w:r w:rsidR="00803EFB">
        <w:rPr>
          <w:szCs w:val="26"/>
        </w:rPr>
        <w:t>modified</w:t>
      </w:r>
      <w:r>
        <w:rPr>
          <w:szCs w:val="26"/>
        </w:rPr>
        <w:t xml:space="preserve">, </w:t>
      </w:r>
      <w:r w:rsidRPr="00CA43A5">
        <w:rPr>
          <w:szCs w:val="26"/>
        </w:rPr>
        <w:t>consistent with this Opinion and Order.</w:t>
      </w:r>
    </w:p>
    <w:p w:rsidR="003F51F4" w:rsidRDefault="003F51F4" w:rsidP="00B43911">
      <w:pPr>
        <w:widowControl/>
        <w:ind w:left="1440"/>
        <w:rPr>
          <w:szCs w:val="26"/>
        </w:rPr>
      </w:pPr>
    </w:p>
    <w:p w:rsidR="009C37DB" w:rsidRDefault="009C37DB" w:rsidP="00B43911">
      <w:pPr>
        <w:widowControl/>
        <w:numPr>
          <w:ilvl w:val="0"/>
          <w:numId w:val="1"/>
        </w:numPr>
        <w:tabs>
          <w:tab w:val="clear" w:pos="2160"/>
          <w:tab w:val="num" w:pos="0"/>
        </w:tabs>
        <w:ind w:left="0" w:firstLine="1440"/>
        <w:rPr>
          <w:szCs w:val="26"/>
        </w:rPr>
      </w:pPr>
      <w:r>
        <w:rPr>
          <w:szCs w:val="26"/>
        </w:rPr>
        <w:t>That within</w:t>
      </w:r>
      <w:r w:rsidR="00F15A37">
        <w:rPr>
          <w:szCs w:val="26"/>
        </w:rPr>
        <w:t xml:space="preserve"> </w:t>
      </w:r>
      <w:r w:rsidR="00986E49">
        <w:rPr>
          <w:szCs w:val="26"/>
        </w:rPr>
        <w:t>thirty</w:t>
      </w:r>
      <w:r w:rsidR="00F15A37">
        <w:rPr>
          <w:szCs w:val="26"/>
        </w:rPr>
        <w:t xml:space="preserve"> </w:t>
      </w:r>
      <w:r>
        <w:rPr>
          <w:szCs w:val="26"/>
        </w:rPr>
        <w:t>(</w:t>
      </w:r>
      <w:r w:rsidR="00986E49">
        <w:rPr>
          <w:szCs w:val="26"/>
        </w:rPr>
        <w:t>3</w:t>
      </w:r>
      <w:r>
        <w:rPr>
          <w:szCs w:val="26"/>
        </w:rPr>
        <w:t xml:space="preserve">0) days of the </w:t>
      </w:r>
      <w:r w:rsidR="00B42BAA">
        <w:rPr>
          <w:szCs w:val="26"/>
        </w:rPr>
        <w:t xml:space="preserve">date of </w:t>
      </w:r>
      <w:r>
        <w:rPr>
          <w:szCs w:val="26"/>
        </w:rPr>
        <w:t xml:space="preserve">entry of this Opinion and Order, </w:t>
      </w:r>
      <w:r w:rsidR="00A563C4">
        <w:rPr>
          <w:szCs w:val="26"/>
        </w:rPr>
        <w:t xml:space="preserve">Columbia Gas of Pennsylvania, Inc., Peoples Natural Gas Company, LLC, Peoples Natural Gas Company, LLC- Equitable Division, and Peoples TWC, LLP, shall </w:t>
      </w:r>
      <w:r w:rsidR="00CE3F2A">
        <w:rPr>
          <w:szCs w:val="26"/>
        </w:rPr>
        <w:t xml:space="preserve">mail to </w:t>
      </w:r>
      <w:r w:rsidR="00803EFB">
        <w:rPr>
          <w:szCs w:val="26"/>
        </w:rPr>
        <w:t>each</w:t>
      </w:r>
      <w:r>
        <w:rPr>
          <w:szCs w:val="26"/>
        </w:rPr>
        <w:t xml:space="preserve"> customer </w:t>
      </w:r>
      <w:r w:rsidR="00A563C4">
        <w:rPr>
          <w:szCs w:val="26"/>
        </w:rPr>
        <w:t xml:space="preserve">that </w:t>
      </w:r>
      <w:r w:rsidR="00803EFB">
        <w:rPr>
          <w:szCs w:val="26"/>
        </w:rPr>
        <w:t>is</w:t>
      </w:r>
      <w:r w:rsidR="00A563C4">
        <w:rPr>
          <w:szCs w:val="26"/>
        </w:rPr>
        <w:t xml:space="preserve"> </w:t>
      </w:r>
      <w:r w:rsidR="00F15A37">
        <w:rPr>
          <w:szCs w:val="26"/>
        </w:rPr>
        <w:t>currently receiving discounted rates</w:t>
      </w:r>
      <w:r w:rsidR="00A563C4">
        <w:rPr>
          <w:szCs w:val="26"/>
        </w:rPr>
        <w:t xml:space="preserve"> because </w:t>
      </w:r>
      <w:r w:rsidR="00803EFB">
        <w:rPr>
          <w:szCs w:val="26"/>
        </w:rPr>
        <w:t>i</w:t>
      </w:r>
      <w:r w:rsidR="00A563C4">
        <w:rPr>
          <w:szCs w:val="26"/>
        </w:rPr>
        <w:t>t</w:t>
      </w:r>
      <w:r w:rsidR="008707F7">
        <w:rPr>
          <w:szCs w:val="26"/>
        </w:rPr>
        <w:t xml:space="preserve"> </w:t>
      </w:r>
      <w:r w:rsidR="00803EFB">
        <w:rPr>
          <w:szCs w:val="26"/>
        </w:rPr>
        <w:t>is</w:t>
      </w:r>
      <w:r w:rsidR="00A563C4">
        <w:rPr>
          <w:szCs w:val="26"/>
        </w:rPr>
        <w:t xml:space="preserve"> capable of being served by more than one natural gas distribution</w:t>
      </w:r>
      <w:r w:rsidR="009E473E">
        <w:rPr>
          <w:szCs w:val="26"/>
        </w:rPr>
        <w:t xml:space="preserve"> company, a written notice that</w:t>
      </w:r>
      <w:r>
        <w:rPr>
          <w:szCs w:val="26"/>
        </w:rPr>
        <w:t xml:space="preserve"> this Opinion and Order is available on the Commission</w:t>
      </w:r>
      <w:r w:rsidR="001D074D">
        <w:rPr>
          <w:szCs w:val="26"/>
        </w:rPr>
        <w:t>’</w:t>
      </w:r>
      <w:r>
        <w:rPr>
          <w:szCs w:val="26"/>
        </w:rPr>
        <w:t xml:space="preserve">s website </w:t>
      </w:r>
      <w:r w:rsidR="00000106">
        <w:rPr>
          <w:szCs w:val="26"/>
        </w:rPr>
        <w:t xml:space="preserve">at Docket No. </w:t>
      </w:r>
      <w:r w:rsidR="00000106" w:rsidRPr="00DD2468">
        <w:rPr>
          <w:szCs w:val="26"/>
        </w:rPr>
        <w:t>P</w:t>
      </w:r>
      <w:r w:rsidR="00B42BAA">
        <w:rPr>
          <w:szCs w:val="26"/>
        </w:rPr>
        <w:noBreakHyphen/>
      </w:r>
      <w:r w:rsidR="00000106" w:rsidRPr="00DD2468">
        <w:rPr>
          <w:szCs w:val="26"/>
        </w:rPr>
        <w:t>2011</w:t>
      </w:r>
      <w:r w:rsidR="00B42BAA">
        <w:rPr>
          <w:szCs w:val="26"/>
        </w:rPr>
        <w:noBreakHyphen/>
      </w:r>
      <w:r w:rsidR="00000106" w:rsidRPr="00DD2468">
        <w:rPr>
          <w:szCs w:val="26"/>
        </w:rPr>
        <w:t>2277868</w:t>
      </w:r>
      <w:r w:rsidR="00000106">
        <w:rPr>
          <w:szCs w:val="26"/>
        </w:rPr>
        <w:t xml:space="preserve">, </w:t>
      </w:r>
      <w:r>
        <w:rPr>
          <w:szCs w:val="26"/>
        </w:rPr>
        <w:t xml:space="preserve">and that the Commission is </w:t>
      </w:r>
      <w:r w:rsidR="006F71AF">
        <w:rPr>
          <w:szCs w:val="26"/>
        </w:rPr>
        <w:t xml:space="preserve">inviting interested parties to file </w:t>
      </w:r>
      <w:r>
        <w:rPr>
          <w:szCs w:val="26"/>
        </w:rPr>
        <w:t>comments</w:t>
      </w:r>
      <w:r w:rsidR="006F71AF">
        <w:rPr>
          <w:szCs w:val="26"/>
        </w:rPr>
        <w:t xml:space="preserve"> and reply comments </w:t>
      </w:r>
      <w:r w:rsidR="00253966">
        <w:rPr>
          <w:szCs w:val="26"/>
        </w:rPr>
        <w:t xml:space="preserve">on the uniform tariff provisions that should be utilized to implement gas-on-gas flex rates going forward, </w:t>
      </w:r>
      <w:r w:rsidR="00F15A37">
        <w:rPr>
          <w:szCs w:val="26"/>
        </w:rPr>
        <w:t>pursuant to Ordering Paragraph</w:t>
      </w:r>
      <w:r>
        <w:rPr>
          <w:szCs w:val="26"/>
        </w:rPr>
        <w:t xml:space="preserve"> No</w:t>
      </w:r>
      <w:r w:rsidR="00DD2468">
        <w:rPr>
          <w:szCs w:val="26"/>
        </w:rPr>
        <w:t>s</w:t>
      </w:r>
      <w:r>
        <w:rPr>
          <w:szCs w:val="26"/>
        </w:rPr>
        <w:t>. 8</w:t>
      </w:r>
      <w:r w:rsidR="00DD2468">
        <w:rPr>
          <w:szCs w:val="26"/>
        </w:rPr>
        <w:t xml:space="preserve"> and 9</w:t>
      </w:r>
      <w:r w:rsidR="00A563C4">
        <w:rPr>
          <w:i/>
          <w:szCs w:val="26"/>
        </w:rPr>
        <w:t>, infra.</w:t>
      </w:r>
      <w:r w:rsidR="008E64BA" w:rsidRPr="008E64BA">
        <w:rPr>
          <w:color w:val="C00000"/>
          <w:szCs w:val="26"/>
        </w:rPr>
        <w:t xml:space="preserve"> </w:t>
      </w:r>
    </w:p>
    <w:p w:rsidR="009C37DB" w:rsidRDefault="009C37DB" w:rsidP="00B43911">
      <w:pPr>
        <w:widowControl/>
        <w:ind w:left="1440" w:firstLine="0"/>
        <w:rPr>
          <w:szCs w:val="26"/>
        </w:rPr>
      </w:pPr>
    </w:p>
    <w:p w:rsidR="006F71AF" w:rsidRDefault="005E38B2" w:rsidP="00B43911">
      <w:pPr>
        <w:widowControl/>
        <w:numPr>
          <w:ilvl w:val="0"/>
          <w:numId w:val="1"/>
        </w:numPr>
        <w:tabs>
          <w:tab w:val="clear" w:pos="2160"/>
          <w:tab w:val="num" w:pos="0"/>
        </w:tabs>
        <w:ind w:left="0" w:firstLine="1440"/>
        <w:rPr>
          <w:szCs w:val="26"/>
        </w:rPr>
      </w:pPr>
      <w:r w:rsidRPr="00DD2468">
        <w:rPr>
          <w:szCs w:val="26"/>
        </w:rPr>
        <w:t xml:space="preserve">That within </w:t>
      </w:r>
      <w:r w:rsidR="006F71AF" w:rsidRPr="00DD2468">
        <w:rPr>
          <w:szCs w:val="26"/>
        </w:rPr>
        <w:t xml:space="preserve">ninety </w:t>
      </w:r>
      <w:r w:rsidRPr="00DD2468">
        <w:rPr>
          <w:szCs w:val="26"/>
        </w:rPr>
        <w:t>(</w:t>
      </w:r>
      <w:r w:rsidR="006F71AF" w:rsidRPr="00DD2468">
        <w:rPr>
          <w:szCs w:val="26"/>
        </w:rPr>
        <w:t>90</w:t>
      </w:r>
      <w:r w:rsidRPr="00DD2468">
        <w:rPr>
          <w:szCs w:val="26"/>
        </w:rPr>
        <w:t xml:space="preserve">) days of the </w:t>
      </w:r>
      <w:r w:rsidR="00B42BAA">
        <w:rPr>
          <w:szCs w:val="26"/>
        </w:rPr>
        <w:t xml:space="preserve">date of </w:t>
      </w:r>
      <w:r w:rsidRPr="00DD2468">
        <w:rPr>
          <w:szCs w:val="26"/>
        </w:rPr>
        <w:t xml:space="preserve">entry of this Opinion and Order, </w:t>
      </w:r>
      <w:r w:rsidR="00A563C4" w:rsidRPr="00DD2468">
        <w:rPr>
          <w:szCs w:val="26"/>
        </w:rPr>
        <w:t xml:space="preserve">Columbia Gas of Pennsylvania, Inc., Peoples Natural Gas Company, LLC, Peoples Natural Gas Company, LLC- Equitable Division, and Peoples TWC, LLC </w:t>
      </w:r>
      <w:r w:rsidRPr="00DD2468">
        <w:rPr>
          <w:szCs w:val="26"/>
        </w:rPr>
        <w:t xml:space="preserve">shall file </w:t>
      </w:r>
      <w:r w:rsidR="00A563C4" w:rsidRPr="00DD2468">
        <w:rPr>
          <w:szCs w:val="26"/>
        </w:rPr>
        <w:t xml:space="preserve">individual or joint </w:t>
      </w:r>
      <w:r w:rsidR="008707F7">
        <w:rPr>
          <w:szCs w:val="26"/>
        </w:rPr>
        <w:t>C</w:t>
      </w:r>
      <w:r w:rsidRPr="00DD2468">
        <w:rPr>
          <w:szCs w:val="26"/>
        </w:rPr>
        <w:t xml:space="preserve">omments on </w:t>
      </w:r>
      <w:r w:rsidR="00DD2468" w:rsidRPr="00DD2468">
        <w:rPr>
          <w:szCs w:val="26"/>
        </w:rPr>
        <w:t>future</w:t>
      </w:r>
      <w:r w:rsidR="00F15A37" w:rsidRPr="00DD2468">
        <w:rPr>
          <w:szCs w:val="26"/>
        </w:rPr>
        <w:t xml:space="preserve"> </w:t>
      </w:r>
      <w:r w:rsidRPr="00DD2468">
        <w:rPr>
          <w:szCs w:val="26"/>
        </w:rPr>
        <w:t>uniform tariff provisions that sh</w:t>
      </w:r>
      <w:r w:rsidR="00DD2468" w:rsidRPr="00DD2468">
        <w:rPr>
          <w:szCs w:val="26"/>
        </w:rPr>
        <w:t>all</w:t>
      </w:r>
      <w:r w:rsidRPr="00DD2468">
        <w:rPr>
          <w:szCs w:val="26"/>
        </w:rPr>
        <w:t xml:space="preserve"> be used by natural gas distribution companies to </w:t>
      </w:r>
      <w:r w:rsidR="00DD2468" w:rsidRPr="00DD2468">
        <w:rPr>
          <w:szCs w:val="26"/>
        </w:rPr>
        <w:t xml:space="preserve">offer discounted rates to customers that are capable </w:t>
      </w:r>
      <w:r w:rsidR="00DD2468" w:rsidRPr="00DD2468">
        <w:rPr>
          <w:szCs w:val="26"/>
        </w:rPr>
        <w:lastRenderedPageBreak/>
        <w:t>of being served by more than one natural gas distribution company.</w:t>
      </w:r>
      <w:r w:rsidRPr="00DD2468">
        <w:rPr>
          <w:szCs w:val="26"/>
        </w:rPr>
        <w:t xml:space="preserve">  </w:t>
      </w:r>
      <w:r w:rsidR="00253966">
        <w:rPr>
          <w:szCs w:val="26"/>
        </w:rPr>
        <w:t>T</w:t>
      </w:r>
      <w:r w:rsidR="00F15A37" w:rsidRPr="00DD2468">
        <w:rPr>
          <w:szCs w:val="26"/>
        </w:rPr>
        <w:t xml:space="preserve">he </w:t>
      </w:r>
      <w:r w:rsidR="008707F7">
        <w:rPr>
          <w:szCs w:val="26"/>
        </w:rPr>
        <w:t>C</w:t>
      </w:r>
      <w:r w:rsidR="00F15A37" w:rsidRPr="00DD2468">
        <w:rPr>
          <w:szCs w:val="26"/>
        </w:rPr>
        <w:t>omments sh</w:t>
      </w:r>
      <w:r w:rsidR="00253966">
        <w:rPr>
          <w:szCs w:val="26"/>
        </w:rPr>
        <w:t>all address the specific issues on the uniform tariff provisions that should be utilized to implement gas-on-gas flex rates going forward consistent with the discussion in the body of this Opinion and Order.</w:t>
      </w:r>
      <w:r w:rsidRPr="00DD2468">
        <w:rPr>
          <w:szCs w:val="26"/>
        </w:rPr>
        <w:t xml:space="preserve">  </w:t>
      </w:r>
      <w:r w:rsidR="00B42BAA">
        <w:rPr>
          <w:szCs w:val="26"/>
        </w:rPr>
        <w:t xml:space="preserve">Other </w:t>
      </w:r>
      <w:r w:rsidR="008707F7">
        <w:rPr>
          <w:szCs w:val="26"/>
        </w:rPr>
        <w:t>i</w:t>
      </w:r>
      <w:r w:rsidR="00F15A37" w:rsidRPr="00DD2468">
        <w:rPr>
          <w:szCs w:val="26"/>
        </w:rPr>
        <w:t xml:space="preserve">nterested parties are also invited to file </w:t>
      </w:r>
      <w:r w:rsidR="008707F7">
        <w:rPr>
          <w:szCs w:val="26"/>
        </w:rPr>
        <w:t>C</w:t>
      </w:r>
      <w:r w:rsidR="00F15A37" w:rsidRPr="00DD2468">
        <w:rPr>
          <w:szCs w:val="26"/>
        </w:rPr>
        <w:t>omments</w:t>
      </w:r>
      <w:r w:rsidR="00DD2468" w:rsidRPr="00DD2468">
        <w:rPr>
          <w:szCs w:val="26"/>
        </w:rPr>
        <w:t xml:space="preserve"> within ninety </w:t>
      </w:r>
      <w:r w:rsidR="00B42BAA">
        <w:rPr>
          <w:szCs w:val="26"/>
        </w:rPr>
        <w:t xml:space="preserve">(90) </w:t>
      </w:r>
      <w:r w:rsidR="00DD2468" w:rsidRPr="00DD2468">
        <w:rPr>
          <w:szCs w:val="26"/>
        </w:rPr>
        <w:t>days of the entry of this Opinion and Order.</w:t>
      </w:r>
    </w:p>
    <w:p w:rsidR="00DD2468" w:rsidRPr="00DD2468" w:rsidRDefault="00DD2468" w:rsidP="00B43911">
      <w:pPr>
        <w:widowControl/>
        <w:ind w:left="1440" w:firstLine="0"/>
        <w:rPr>
          <w:szCs w:val="26"/>
        </w:rPr>
      </w:pPr>
    </w:p>
    <w:p w:rsidR="006F71AF" w:rsidRPr="00DD2468" w:rsidRDefault="00B42BAA" w:rsidP="00B43911">
      <w:pPr>
        <w:widowControl/>
        <w:numPr>
          <w:ilvl w:val="0"/>
          <w:numId w:val="1"/>
        </w:numPr>
        <w:tabs>
          <w:tab w:val="clear" w:pos="2160"/>
          <w:tab w:val="num" w:pos="0"/>
        </w:tabs>
        <w:ind w:left="0" w:firstLine="1440"/>
        <w:rPr>
          <w:szCs w:val="26"/>
        </w:rPr>
      </w:pPr>
      <w:r>
        <w:rPr>
          <w:szCs w:val="26"/>
        </w:rPr>
        <w:t xml:space="preserve">That </w:t>
      </w:r>
      <w:r w:rsidR="006F71AF" w:rsidRPr="00DD2468">
        <w:rPr>
          <w:szCs w:val="26"/>
        </w:rPr>
        <w:t xml:space="preserve">Replies to the Comments set forth in Ordering Paragraph </w:t>
      </w:r>
      <w:r w:rsidR="008E64BA" w:rsidRPr="00DD2468">
        <w:rPr>
          <w:szCs w:val="26"/>
        </w:rPr>
        <w:t xml:space="preserve">No. 8, </w:t>
      </w:r>
      <w:r w:rsidR="008E64BA" w:rsidRPr="00B20BE9">
        <w:rPr>
          <w:i/>
          <w:szCs w:val="26"/>
        </w:rPr>
        <w:t>supra</w:t>
      </w:r>
      <w:r w:rsidR="008E64BA" w:rsidRPr="00DD2468">
        <w:rPr>
          <w:szCs w:val="26"/>
        </w:rPr>
        <w:t xml:space="preserve">, shall be filed within twenty </w:t>
      </w:r>
      <w:r>
        <w:rPr>
          <w:szCs w:val="26"/>
        </w:rPr>
        <w:t xml:space="preserve">(20) </w:t>
      </w:r>
      <w:r w:rsidR="008E64BA" w:rsidRPr="00DD2468">
        <w:rPr>
          <w:szCs w:val="26"/>
        </w:rPr>
        <w:t xml:space="preserve">days of the deadline for </w:t>
      </w:r>
      <w:r w:rsidR="00253966">
        <w:rPr>
          <w:szCs w:val="26"/>
        </w:rPr>
        <w:t>filing C</w:t>
      </w:r>
      <w:r w:rsidR="008E64BA" w:rsidRPr="00DD2468">
        <w:rPr>
          <w:szCs w:val="26"/>
        </w:rPr>
        <w:t xml:space="preserve">omments. </w:t>
      </w:r>
    </w:p>
    <w:p w:rsidR="00CA43A5" w:rsidRDefault="00CA43A5" w:rsidP="00B43911">
      <w:pPr>
        <w:widowControl/>
        <w:ind w:left="1440" w:firstLine="0"/>
        <w:rPr>
          <w:szCs w:val="26"/>
        </w:rPr>
      </w:pPr>
    </w:p>
    <w:p w:rsidR="00DD2468" w:rsidRPr="008E64BA" w:rsidRDefault="00DD2468" w:rsidP="00B43911">
      <w:pPr>
        <w:widowControl/>
        <w:numPr>
          <w:ilvl w:val="0"/>
          <w:numId w:val="1"/>
        </w:numPr>
        <w:tabs>
          <w:tab w:val="clear" w:pos="2160"/>
          <w:tab w:val="num" w:pos="0"/>
        </w:tabs>
        <w:ind w:left="0" w:firstLine="1440"/>
        <w:rPr>
          <w:szCs w:val="26"/>
        </w:rPr>
      </w:pPr>
      <w:r>
        <w:rPr>
          <w:szCs w:val="26"/>
        </w:rPr>
        <w:t>Th</w:t>
      </w:r>
      <w:r w:rsidR="00B42BAA">
        <w:rPr>
          <w:szCs w:val="26"/>
        </w:rPr>
        <w:t>at</w:t>
      </w:r>
      <w:r>
        <w:rPr>
          <w:szCs w:val="26"/>
        </w:rPr>
        <w:t xml:space="preserve"> </w:t>
      </w:r>
      <w:r w:rsidR="00B42BAA">
        <w:rPr>
          <w:szCs w:val="26"/>
        </w:rPr>
        <w:t xml:space="preserve">the Secretary of the </w:t>
      </w:r>
      <w:r>
        <w:rPr>
          <w:szCs w:val="26"/>
        </w:rPr>
        <w:t xml:space="preserve">Commission shall post </w:t>
      </w:r>
      <w:r w:rsidR="00B42BAA">
        <w:rPr>
          <w:szCs w:val="26"/>
        </w:rPr>
        <w:t>all C</w:t>
      </w:r>
      <w:r>
        <w:rPr>
          <w:szCs w:val="26"/>
        </w:rPr>
        <w:t xml:space="preserve">omments and </w:t>
      </w:r>
      <w:r w:rsidR="00B42BAA">
        <w:rPr>
          <w:szCs w:val="26"/>
        </w:rPr>
        <w:t>R</w:t>
      </w:r>
      <w:r>
        <w:rPr>
          <w:szCs w:val="26"/>
        </w:rPr>
        <w:t xml:space="preserve">eply </w:t>
      </w:r>
      <w:r w:rsidR="00B42BAA">
        <w:rPr>
          <w:szCs w:val="26"/>
        </w:rPr>
        <w:t>C</w:t>
      </w:r>
      <w:r>
        <w:rPr>
          <w:szCs w:val="26"/>
        </w:rPr>
        <w:t xml:space="preserve">omments on the Commission website at Docket No. </w:t>
      </w:r>
      <w:r w:rsidRPr="00DD2468">
        <w:rPr>
          <w:szCs w:val="26"/>
        </w:rPr>
        <w:t>P-2011-2277868.</w:t>
      </w:r>
    </w:p>
    <w:p w:rsidR="00F15A37" w:rsidRDefault="00F15A37" w:rsidP="00B43911">
      <w:pPr>
        <w:widowControl/>
        <w:ind w:firstLine="0"/>
        <w:rPr>
          <w:szCs w:val="26"/>
        </w:rPr>
      </w:pPr>
    </w:p>
    <w:p w:rsidR="00CA43A5" w:rsidRPr="00B648D2" w:rsidRDefault="00B20BE9" w:rsidP="00B648D2">
      <w:pPr>
        <w:widowControl/>
        <w:numPr>
          <w:ilvl w:val="0"/>
          <w:numId w:val="1"/>
        </w:numPr>
        <w:tabs>
          <w:tab w:val="clear" w:pos="2160"/>
          <w:tab w:val="num" w:pos="0"/>
        </w:tabs>
        <w:ind w:left="0" w:firstLine="1440"/>
        <w:rPr>
          <w:szCs w:val="26"/>
        </w:rPr>
      </w:pPr>
      <w:r>
        <w:rPr>
          <w:szCs w:val="26"/>
        </w:rPr>
        <w:t>That</w:t>
      </w:r>
      <w:r w:rsidR="00CE3F2A">
        <w:rPr>
          <w:szCs w:val="26"/>
        </w:rPr>
        <w:t xml:space="preserve"> </w:t>
      </w:r>
      <w:r w:rsidR="00253966">
        <w:rPr>
          <w:szCs w:val="26"/>
        </w:rPr>
        <w:t xml:space="preserve">subsequent to the receipt and evaluation of Comments filed in accordance with this Opinion and Order, we shall enter </w:t>
      </w:r>
      <w:r w:rsidR="00CE3F2A">
        <w:rPr>
          <w:szCs w:val="26"/>
        </w:rPr>
        <w:t xml:space="preserve">either </w:t>
      </w:r>
      <w:r>
        <w:rPr>
          <w:szCs w:val="26"/>
        </w:rPr>
        <w:t>a Tentative Order or Final Order</w:t>
      </w:r>
      <w:r w:rsidR="00253966">
        <w:rPr>
          <w:szCs w:val="26"/>
        </w:rPr>
        <w:t xml:space="preserve"> addressing the uniform tariff provisions to be utilized in implementing gas-on-gas flex rates</w:t>
      </w:r>
      <w:r w:rsidR="00C47774">
        <w:rPr>
          <w:szCs w:val="26"/>
        </w:rPr>
        <w:t>.</w:t>
      </w:r>
    </w:p>
    <w:p w:rsidR="00B20BE9" w:rsidRPr="00CA43A5" w:rsidRDefault="006E2581" w:rsidP="00B648D2">
      <w:pPr>
        <w:keepNext/>
        <w:keepLines/>
        <w:widowControl/>
        <w:numPr>
          <w:ilvl w:val="0"/>
          <w:numId w:val="1"/>
        </w:numPr>
        <w:tabs>
          <w:tab w:val="clear" w:pos="2160"/>
          <w:tab w:val="num" w:pos="0"/>
        </w:tabs>
        <w:ind w:left="0" w:firstLine="1440"/>
        <w:rPr>
          <w:szCs w:val="26"/>
        </w:rPr>
      </w:pPr>
      <w:r>
        <w:rPr>
          <w:szCs w:val="26"/>
        </w:rPr>
        <w:lastRenderedPageBreak/>
        <w:t xml:space="preserve">That any directive, requirement, disposition, or the like contained in the body of this Opinion and Order, which is not the subject of an individual Ordering Paragraph, shall have the full force and effect as if fully contained in this part. </w:t>
      </w:r>
    </w:p>
    <w:p w:rsidR="00B20BE9" w:rsidRDefault="00B20BE9" w:rsidP="00B648D2">
      <w:pPr>
        <w:keepNext/>
        <w:keepLines/>
        <w:widowControl/>
        <w:ind w:left="1440" w:firstLine="0"/>
        <w:rPr>
          <w:szCs w:val="26"/>
        </w:rPr>
      </w:pPr>
    </w:p>
    <w:p w:rsidR="00CE3F2A" w:rsidRDefault="00CE3F2A" w:rsidP="00B648D2">
      <w:pPr>
        <w:keepNext/>
        <w:keepLines/>
        <w:widowControl/>
        <w:tabs>
          <w:tab w:val="left" w:pos="-720"/>
        </w:tabs>
        <w:ind w:firstLine="5040"/>
        <w:rPr>
          <w:b/>
          <w:szCs w:val="26"/>
        </w:rPr>
      </w:pPr>
    </w:p>
    <w:p w:rsidR="00CA43A5" w:rsidRPr="00CA43A5" w:rsidRDefault="00026CFA" w:rsidP="00B648D2">
      <w:pPr>
        <w:keepNext/>
        <w:keepLines/>
        <w:widowControl/>
        <w:tabs>
          <w:tab w:val="left" w:pos="-720"/>
        </w:tabs>
        <w:ind w:firstLine="5040"/>
        <w:rPr>
          <w:szCs w:val="26"/>
        </w:rPr>
      </w:pPr>
      <w:bookmarkStart w:id="22" w:name="_GoBack"/>
      <w:r w:rsidRPr="009F01BA">
        <w:rPr>
          <w:b/>
          <w:noProof/>
          <w:sz w:val="20"/>
        </w:rPr>
        <w:drawing>
          <wp:anchor distT="0" distB="0" distL="114300" distR="114300" simplePos="0" relativeHeight="251659264" behindDoc="1" locked="0" layoutInCell="1" allowOverlap="1" wp14:anchorId="2111D138" wp14:editId="43941275">
            <wp:simplePos x="0" y="0"/>
            <wp:positionH relativeFrom="column">
              <wp:posOffset>2942590</wp:posOffset>
            </wp:positionH>
            <wp:positionV relativeFrom="paragraph">
              <wp:posOffset>80010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22"/>
      <w:r w:rsidR="00CA43A5" w:rsidRPr="00CA43A5">
        <w:rPr>
          <w:b/>
          <w:szCs w:val="26"/>
        </w:rPr>
        <w:t>BY THE COMMISSION,</w:t>
      </w:r>
    </w:p>
    <w:p w:rsidR="00CA43A5" w:rsidRPr="00CA43A5" w:rsidRDefault="00CA43A5" w:rsidP="00B648D2">
      <w:pPr>
        <w:keepNext/>
        <w:keepLines/>
        <w:widowControl/>
        <w:tabs>
          <w:tab w:val="left" w:pos="-720"/>
        </w:tabs>
        <w:rPr>
          <w:szCs w:val="26"/>
        </w:rPr>
      </w:pPr>
    </w:p>
    <w:p w:rsidR="00CA43A5" w:rsidRPr="00CA43A5" w:rsidRDefault="00CA43A5" w:rsidP="00B648D2">
      <w:pPr>
        <w:keepNext/>
        <w:keepLines/>
        <w:widowControl/>
        <w:tabs>
          <w:tab w:val="left" w:pos="-720"/>
        </w:tabs>
        <w:rPr>
          <w:szCs w:val="26"/>
        </w:rPr>
      </w:pPr>
    </w:p>
    <w:p w:rsidR="00CA43A5" w:rsidRPr="00CA43A5" w:rsidRDefault="00564565" w:rsidP="00B648D2">
      <w:pPr>
        <w:keepNext/>
        <w:keepLines/>
        <w:widowControl/>
        <w:tabs>
          <w:tab w:val="left" w:pos="-720"/>
        </w:tabs>
        <w:spacing w:line="240" w:lineRule="auto"/>
        <w:ind w:firstLine="5040"/>
        <w:rPr>
          <w:b/>
          <w:szCs w:val="26"/>
        </w:rPr>
      </w:pPr>
      <w:r>
        <w:rPr>
          <w:szCs w:val="26"/>
        </w:rPr>
        <w:t>Rosemary Chiavetta</w:t>
      </w:r>
    </w:p>
    <w:p w:rsidR="00CA43A5" w:rsidRPr="00CA43A5" w:rsidRDefault="00CA43A5" w:rsidP="00B648D2">
      <w:pPr>
        <w:keepNext/>
        <w:keepLines/>
        <w:widowControl/>
        <w:tabs>
          <w:tab w:val="left" w:pos="-720"/>
        </w:tabs>
        <w:ind w:firstLine="5040"/>
        <w:rPr>
          <w:szCs w:val="26"/>
        </w:rPr>
      </w:pPr>
      <w:r w:rsidRPr="00CA43A5">
        <w:rPr>
          <w:szCs w:val="26"/>
        </w:rPr>
        <w:t>Secretary</w:t>
      </w:r>
    </w:p>
    <w:p w:rsidR="00CA43A5" w:rsidRPr="00CA43A5" w:rsidRDefault="00CA43A5" w:rsidP="00B648D2">
      <w:pPr>
        <w:keepNext/>
        <w:keepLines/>
        <w:widowControl/>
        <w:tabs>
          <w:tab w:val="left" w:pos="-720"/>
        </w:tabs>
        <w:rPr>
          <w:szCs w:val="26"/>
        </w:rPr>
      </w:pPr>
    </w:p>
    <w:p w:rsidR="00CA43A5" w:rsidRPr="00CA43A5" w:rsidRDefault="00CA43A5" w:rsidP="00B648D2">
      <w:pPr>
        <w:keepNext/>
        <w:keepLines/>
        <w:widowControl/>
        <w:tabs>
          <w:tab w:val="left" w:pos="-720"/>
        </w:tabs>
        <w:ind w:firstLine="0"/>
        <w:rPr>
          <w:szCs w:val="26"/>
        </w:rPr>
      </w:pPr>
      <w:r w:rsidRPr="00CA43A5">
        <w:rPr>
          <w:szCs w:val="26"/>
        </w:rPr>
        <w:t>(SEAL)</w:t>
      </w:r>
    </w:p>
    <w:p w:rsidR="00CA43A5" w:rsidRPr="00DF3063" w:rsidRDefault="00CA43A5" w:rsidP="00B648D2">
      <w:pPr>
        <w:keepNext/>
        <w:keepLines/>
        <w:widowControl/>
        <w:tabs>
          <w:tab w:val="left" w:pos="-720"/>
        </w:tabs>
        <w:ind w:firstLine="0"/>
        <w:rPr>
          <w:szCs w:val="26"/>
        </w:rPr>
      </w:pPr>
      <w:r w:rsidRPr="00DF3063">
        <w:rPr>
          <w:szCs w:val="26"/>
        </w:rPr>
        <w:t>ORDER ADOPTED:</w:t>
      </w:r>
      <w:r w:rsidR="00FB0D03" w:rsidRPr="00DF3063">
        <w:rPr>
          <w:szCs w:val="26"/>
        </w:rPr>
        <w:t xml:space="preserve"> </w:t>
      </w:r>
      <w:r w:rsidR="00506FE4">
        <w:rPr>
          <w:szCs w:val="26"/>
        </w:rPr>
        <w:t>May 4, 2017</w:t>
      </w:r>
    </w:p>
    <w:p w:rsidR="00CA43A5" w:rsidRPr="00CA43A5" w:rsidRDefault="00CA43A5" w:rsidP="00B648D2">
      <w:pPr>
        <w:keepNext/>
        <w:keepLines/>
        <w:widowControl/>
        <w:tabs>
          <w:tab w:val="left" w:pos="-720"/>
        </w:tabs>
        <w:ind w:firstLine="0"/>
        <w:rPr>
          <w:szCs w:val="26"/>
        </w:rPr>
      </w:pPr>
      <w:r w:rsidRPr="00DF3063">
        <w:rPr>
          <w:szCs w:val="26"/>
        </w:rPr>
        <w:t>ORDER ENTERED:</w:t>
      </w:r>
      <w:r w:rsidRPr="00CA43A5">
        <w:rPr>
          <w:szCs w:val="26"/>
        </w:rPr>
        <w:t xml:space="preserve">  </w:t>
      </w:r>
      <w:r w:rsidR="00026CFA">
        <w:rPr>
          <w:szCs w:val="26"/>
        </w:rPr>
        <w:t>May 4, 2017</w:t>
      </w:r>
    </w:p>
    <w:p w:rsidR="00344804" w:rsidRPr="00CA43A5" w:rsidRDefault="00344804" w:rsidP="00B43911">
      <w:pPr>
        <w:widowControl/>
        <w:ind w:right="360"/>
        <w:rPr>
          <w:szCs w:val="26"/>
        </w:rPr>
      </w:pPr>
    </w:p>
    <w:sectPr w:rsidR="00344804" w:rsidRPr="00CA43A5" w:rsidSect="009A5FB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56F" w:rsidRDefault="00BF156F" w:rsidP="002201DD">
      <w:r>
        <w:separator/>
      </w:r>
    </w:p>
  </w:endnote>
  <w:endnote w:type="continuationSeparator" w:id="0">
    <w:p w:rsidR="00BF156F" w:rsidRDefault="00BF156F" w:rsidP="00220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4839778"/>
      <w:docPartObj>
        <w:docPartGallery w:val="Page Numbers (Bottom of Page)"/>
        <w:docPartUnique/>
      </w:docPartObj>
    </w:sdtPr>
    <w:sdtEndPr>
      <w:rPr>
        <w:noProof/>
      </w:rPr>
    </w:sdtEndPr>
    <w:sdtContent>
      <w:p w:rsidR="00FC5FE4" w:rsidRDefault="00FC5FE4" w:rsidP="009A5FB5">
        <w:pPr>
          <w:pStyle w:val="Footer"/>
          <w:ind w:firstLine="0"/>
          <w:jc w:val="center"/>
        </w:pPr>
        <w:r>
          <w:fldChar w:fldCharType="begin"/>
        </w:r>
        <w:r>
          <w:instrText xml:space="preserve"> PAGE   \* MERGEFORMAT </w:instrText>
        </w:r>
        <w:r>
          <w:fldChar w:fldCharType="separate"/>
        </w:r>
        <w:r w:rsidR="00026CFA">
          <w:rPr>
            <w:noProof/>
          </w:rPr>
          <w:t>63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56F" w:rsidRDefault="00BF156F" w:rsidP="00141639">
      <w:pPr>
        <w:ind w:firstLine="0"/>
      </w:pPr>
      <w:r>
        <w:separator/>
      </w:r>
    </w:p>
  </w:footnote>
  <w:footnote w:type="continuationSeparator" w:id="0">
    <w:p w:rsidR="00BF156F" w:rsidRDefault="00BF156F" w:rsidP="002201DD">
      <w:r>
        <w:continuationSeparator/>
      </w:r>
    </w:p>
  </w:footnote>
  <w:footnote w:id="1">
    <w:p w:rsidR="00FC5FE4" w:rsidRPr="002201DD" w:rsidRDefault="00FC5FE4" w:rsidP="00FF61DC">
      <w:pPr>
        <w:spacing w:line="240" w:lineRule="auto"/>
        <w:ind w:firstLine="720"/>
        <w:rPr>
          <w:szCs w:val="26"/>
        </w:rPr>
      </w:pPr>
      <w:r w:rsidRPr="002201DD">
        <w:rPr>
          <w:rStyle w:val="FootnoteReference"/>
          <w:szCs w:val="26"/>
        </w:rPr>
        <w:footnoteRef/>
      </w:r>
      <w:r w:rsidRPr="002201DD">
        <w:rPr>
          <w:szCs w:val="26"/>
        </w:rPr>
        <w:t xml:space="preserve"> </w:t>
      </w:r>
      <w:r>
        <w:rPr>
          <w:szCs w:val="26"/>
        </w:rPr>
        <w:tab/>
      </w:r>
      <w:r w:rsidRPr="00B33626">
        <w:rPr>
          <w:szCs w:val="26"/>
        </w:rPr>
        <w:t xml:space="preserve">Peoples and PTWP filed joint Exceptions </w:t>
      </w:r>
      <w:r w:rsidRPr="000918E6">
        <w:rPr>
          <w:szCs w:val="26"/>
        </w:rPr>
        <w:t xml:space="preserve">and Reply Exceptions. </w:t>
      </w:r>
      <w:r>
        <w:rPr>
          <w:szCs w:val="26"/>
        </w:rPr>
        <w:t xml:space="preserve"> </w:t>
      </w:r>
      <w:r w:rsidRPr="00B33626">
        <w:rPr>
          <w:szCs w:val="26"/>
        </w:rPr>
        <w:t>During this proceeding, Equitable Gas Company, LLC (Equitable) became an operating division of Peoples</w:t>
      </w:r>
      <w:r>
        <w:rPr>
          <w:szCs w:val="26"/>
        </w:rPr>
        <w:t xml:space="preserve"> (that still files separate tariffs with the Commission)</w:t>
      </w:r>
      <w:r w:rsidRPr="00B33626">
        <w:rPr>
          <w:szCs w:val="26"/>
        </w:rPr>
        <w:t xml:space="preserve">.  The Joint Application seeking approval of the merger of Equitable with Peoples was addressed at Docket Nos. </w:t>
      </w:r>
      <w:proofErr w:type="gramStart"/>
      <w:r w:rsidRPr="00B33626">
        <w:rPr>
          <w:szCs w:val="26"/>
        </w:rPr>
        <w:t>A-2013-2353647, A-2013-2353649 and A-2013-2353651.</w:t>
      </w:r>
      <w:proofErr w:type="gramEnd"/>
      <w:r w:rsidRPr="00B33626">
        <w:rPr>
          <w:szCs w:val="26"/>
        </w:rPr>
        <w:t xml:space="preserve"> </w:t>
      </w:r>
    </w:p>
  </w:footnote>
  <w:footnote w:id="2">
    <w:p w:rsidR="00FC5FE4" w:rsidRDefault="00FC5FE4" w:rsidP="00492567">
      <w:pPr>
        <w:pStyle w:val="FootnoteText"/>
        <w:keepLines/>
        <w:widowControl/>
        <w:spacing w:line="240" w:lineRule="auto"/>
        <w:ind w:firstLine="720"/>
      </w:pPr>
      <w:r>
        <w:rPr>
          <w:rStyle w:val="FootnoteReference"/>
        </w:rPr>
        <w:footnoteRef/>
      </w:r>
      <w:r>
        <w:t xml:space="preserve"> </w:t>
      </w:r>
      <w:r>
        <w:tab/>
        <w:t xml:space="preserve">The OCA reported that 855 customers or accounts received gas-on-gas discounted rates resulting in annual discounts of $45.2 million.  </w:t>
      </w:r>
      <w:proofErr w:type="gramStart"/>
      <w:r>
        <w:t>OCA St. 1 at 10.</w:t>
      </w:r>
      <w:proofErr w:type="gramEnd"/>
      <w:r>
        <w:t xml:space="preserve">  Similarly, I&amp;E calculated that the difference between full tariff revenue and the total discounted flex rate revenue resulted in a $45.2 million shortfall.  </w:t>
      </w:r>
      <w:proofErr w:type="gramStart"/>
      <w:r>
        <w:t>I&amp;E St. 1 at 6.</w:t>
      </w:r>
      <w:proofErr w:type="gramEnd"/>
      <w:r>
        <w:t xml:space="preserve">  Mr. Knecht explained that his estimates are lower than those offered by the OCA and I&amp;E because he excluded discounts offered by Equitable that were also related to other factors including alternative fuel, local gas supplies, interstate pipeline bypass and economic development.  He stated that he excluded these discounts recognizing that some or all of these flex rate discounts might continue even if gas-on-gas discounts were ended.  OSBA St. No. 2 at 1.</w:t>
      </w:r>
    </w:p>
  </w:footnote>
  <w:footnote w:id="3">
    <w:p w:rsidR="00FC5FE4" w:rsidRDefault="00FC5FE4" w:rsidP="003E1F53">
      <w:pPr>
        <w:pStyle w:val="FootnoteText"/>
        <w:keepLines/>
        <w:widowControl/>
        <w:spacing w:line="240" w:lineRule="auto"/>
        <w:ind w:firstLine="720"/>
      </w:pPr>
      <w:r>
        <w:rPr>
          <w:rStyle w:val="FootnoteReference"/>
        </w:rPr>
        <w:footnoteRef/>
      </w:r>
      <w:r>
        <w:t xml:space="preserve"> </w:t>
      </w:r>
      <w:r>
        <w:tab/>
        <w:t xml:space="preserve">As noted, </w:t>
      </w:r>
      <w:r w:rsidRPr="003E1F53">
        <w:rPr>
          <w:i/>
        </w:rPr>
        <w:t>supra</w:t>
      </w:r>
      <w:r>
        <w:t xml:space="preserve">, during this proceeding Equitable became an operating division of Peoples.  </w:t>
      </w:r>
    </w:p>
  </w:footnote>
  <w:footnote w:id="4">
    <w:p w:rsidR="00FC5FE4" w:rsidRDefault="00FC5FE4" w:rsidP="00087769">
      <w:pPr>
        <w:pStyle w:val="FootnoteText"/>
        <w:spacing w:line="240" w:lineRule="auto"/>
        <w:ind w:firstLine="720"/>
      </w:pPr>
      <w:r>
        <w:rPr>
          <w:rStyle w:val="FootnoteReference"/>
        </w:rPr>
        <w:footnoteRef/>
      </w:r>
      <w:r>
        <w:t xml:space="preserve"> </w:t>
      </w:r>
      <w:r>
        <w:tab/>
        <w:t>A complete history of this proceeding is set forth in the Recommended Decision at 3-9.</w:t>
      </w:r>
    </w:p>
  </w:footnote>
  <w:footnote w:id="5">
    <w:p w:rsidR="00FC5FE4" w:rsidRDefault="00FC5FE4" w:rsidP="00756902">
      <w:pPr>
        <w:pStyle w:val="FootnoteText"/>
        <w:spacing w:line="240" w:lineRule="auto"/>
        <w:ind w:firstLine="720"/>
      </w:pPr>
      <w:r>
        <w:rPr>
          <w:rStyle w:val="FootnoteReference"/>
        </w:rPr>
        <w:footnoteRef/>
      </w:r>
      <w:r>
        <w:t xml:space="preserve"> </w:t>
      </w:r>
      <w:r>
        <w:tab/>
        <w:t>We note that the Recommended Decision referenced Section 60.3 while the ALJ’s findings here are applicable to Section 60.1.</w:t>
      </w:r>
    </w:p>
  </w:footnote>
  <w:footnote w:id="6">
    <w:p w:rsidR="00FC5FE4" w:rsidRDefault="00FC5FE4" w:rsidP="000002F0">
      <w:pPr>
        <w:keepNext/>
        <w:widowControl/>
        <w:spacing w:line="240" w:lineRule="auto"/>
        <w:ind w:firstLine="720"/>
        <w:rPr>
          <w:rFonts w:eastAsiaTheme="minorHAnsi"/>
          <w:szCs w:val="24"/>
        </w:rPr>
      </w:pPr>
      <w:r>
        <w:rPr>
          <w:rStyle w:val="FootnoteReference"/>
        </w:rPr>
        <w:footnoteRef/>
      </w:r>
      <w:r>
        <w:tab/>
        <w:t>As noted</w:t>
      </w:r>
      <w:r w:rsidRPr="000002F0">
        <w:rPr>
          <w:i/>
        </w:rPr>
        <w:t>, supra</w:t>
      </w:r>
      <w:r>
        <w:t xml:space="preserve">, </w:t>
      </w:r>
      <w:r>
        <w:rPr>
          <w:rFonts w:eastAsiaTheme="minorHAnsi"/>
          <w:szCs w:val="24"/>
        </w:rPr>
        <w:t xml:space="preserve">we shall address the ALJ’s recommendations and the Parties’ positions related to the process of maintaining, modifying or eliminating gas-on-gas incentive rates, </w:t>
      </w:r>
      <w:r w:rsidRPr="000002F0">
        <w:rPr>
          <w:rFonts w:eastAsiaTheme="minorHAnsi"/>
          <w:i/>
          <w:szCs w:val="24"/>
        </w:rPr>
        <w:t>infra</w:t>
      </w:r>
      <w:r>
        <w:rPr>
          <w:rFonts w:eastAsiaTheme="minorHAnsi"/>
          <w:szCs w:val="24"/>
        </w:rPr>
        <w:t>.</w:t>
      </w:r>
    </w:p>
    <w:p w:rsidR="00FC5FE4" w:rsidRDefault="00FC5FE4">
      <w:pPr>
        <w:pStyle w:val="FootnoteText"/>
      </w:pPr>
    </w:p>
  </w:footnote>
  <w:footnote w:id="7">
    <w:p w:rsidR="00FC5FE4" w:rsidRDefault="00FC5FE4" w:rsidP="00084C33">
      <w:pPr>
        <w:pStyle w:val="FootnoteText"/>
        <w:spacing w:line="240" w:lineRule="auto"/>
        <w:ind w:firstLine="720"/>
      </w:pPr>
      <w:r>
        <w:rPr>
          <w:rStyle w:val="FootnoteReference"/>
        </w:rPr>
        <w:footnoteRef/>
      </w:r>
      <w:r>
        <w:t xml:space="preserve"> </w:t>
      </w:r>
      <w:r>
        <w:tab/>
      </w:r>
      <w:r>
        <w:rPr>
          <w:rFonts w:eastAsiaTheme="minorHAnsi"/>
        </w:rPr>
        <w:t>PSU Exc. at 11 (citing R.D. at 30).</w:t>
      </w:r>
    </w:p>
  </w:footnote>
  <w:footnote w:id="8">
    <w:p w:rsidR="00FC5FE4" w:rsidRPr="00A132F3" w:rsidRDefault="00FC5FE4" w:rsidP="00A132F3">
      <w:pPr>
        <w:pStyle w:val="FootnoteText"/>
        <w:spacing w:line="240" w:lineRule="auto"/>
        <w:ind w:firstLine="720"/>
      </w:pPr>
      <w:r>
        <w:rPr>
          <w:rStyle w:val="FootnoteReference"/>
        </w:rPr>
        <w:footnoteRef/>
      </w:r>
      <w:r>
        <w:t xml:space="preserve"> </w:t>
      </w:r>
      <w:r>
        <w:tab/>
        <w:t xml:space="preserve">Peoples/PTWP points to </w:t>
      </w:r>
      <w:r w:rsidRPr="00A132F3">
        <w:rPr>
          <w:i/>
        </w:rPr>
        <w:t>The Peoples Natural Gas Co. v. Pa. Pub. Util. Co</w:t>
      </w:r>
      <w:r>
        <w:rPr>
          <w:i/>
        </w:rPr>
        <w:t>mm’</w:t>
      </w:r>
      <w:r w:rsidRPr="00A132F3">
        <w:rPr>
          <w:i/>
        </w:rPr>
        <w:t>n</w:t>
      </w:r>
      <w:r>
        <w:rPr>
          <w:i/>
        </w:rPr>
        <w:t>,</w:t>
      </w:r>
      <w:r w:rsidRPr="00A132F3">
        <w:rPr>
          <w:i/>
        </w:rPr>
        <w:t xml:space="preserve"> </w:t>
      </w:r>
      <w:r>
        <w:t xml:space="preserve">554 A.2d 585 (Pa. Cmwlth. 1998) which Peoples/PTWP avers affirms the Commission’s decision that gas-on-gas competition spurs efficiencies. </w:t>
      </w:r>
    </w:p>
  </w:footnote>
  <w:footnote w:id="9">
    <w:p w:rsidR="00FC5FE4" w:rsidRDefault="00FC5FE4" w:rsidP="00554728">
      <w:pPr>
        <w:pStyle w:val="FootnoteText"/>
        <w:keepNext/>
        <w:keepLines/>
        <w:spacing w:line="240" w:lineRule="auto"/>
        <w:ind w:firstLine="720"/>
      </w:pPr>
      <w:r>
        <w:rPr>
          <w:rStyle w:val="FootnoteReference"/>
        </w:rPr>
        <w:footnoteRef/>
      </w:r>
      <w:r>
        <w:t xml:space="preserve"> </w:t>
      </w:r>
      <w:r>
        <w:tab/>
        <w:t xml:space="preserve">Joint Petition for Approval of Non-Unanimous Settlement in </w:t>
      </w:r>
      <w:r w:rsidRPr="00261DB4">
        <w:rPr>
          <w:i/>
        </w:rPr>
        <w:t>Joint Application of Peoples Natural Gas Company LLC, Peoples TWP LLC, and Equitable Gas Company, LLC for All of the Authority and the Necessary Certificates of Public Convenience (1) to Transfer All of the Issued and Outstanding Limited Liability Company Membership Interest of Equitable Gas Company, LLC to PNG Companies LLC, (2) to Merge Equitable Gas Company, LLC with Peoples Natural Gas Company LLC, (3) to Transfer Certain Storage and Transmission Assets of Peoples Natural Gas Company LLC to Affiliates of EQT Corporation, (4) to Transfer Certain Assets between Equitable Gas Company, LLC and Affiliates of EQT Corporation, (5) for Approval of Certain Ownership Changes Associated with the Transaction, (6) for Approval of Certain Associated Gas Capacity and Supply Agreements, and (7) for Approval of Certain Changes in the Tariff of Peoples Natural Gas Company LLC</w:t>
      </w:r>
      <w:r>
        <w:t xml:space="preserve"> (</w:t>
      </w:r>
      <w:r w:rsidRPr="00C66997">
        <w:rPr>
          <w:i/>
        </w:rPr>
        <w:t>Peoples/Equitable Merger Settlement</w:t>
      </w:r>
      <w:r>
        <w:t xml:space="preserve">).  The Settlement was approved by Order entered November 14, 2013 at Docket No. </w:t>
      </w:r>
      <w:proofErr w:type="gramStart"/>
      <w:r>
        <w:t>A-2013-2353647.</w:t>
      </w:r>
      <w:proofErr w:type="gramEnd"/>
    </w:p>
  </w:footnote>
  <w:footnote w:id="10">
    <w:p w:rsidR="00FC5FE4" w:rsidRDefault="00FC5FE4" w:rsidP="00FA1ABF">
      <w:pPr>
        <w:pStyle w:val="FootnoteText"/>
        <w:spacing w:line="240" w:lineRule="auto"/>
        <w:ind w:firstLine="720"/>
      </w:pPr>
      <w:r>
        <w:rPr>
          <w:rStyle w:val="FootnoteReference"/>
        </w:rPr>
        <w:footnoteRef/>
      </w:r>
      <w:r>
        <w:t xml:space="preserve"> </w:t>
      </w:r>
      <w:r>
        <w:tab/>
      </w:r>
      <w:proofErr w:type="gramStart"/>
      <w:r>
        <w:t xml:space="preserve">45 P.S. §§ 1102 </w:t>
      </w:r>
      <w:r w:rsidRPr="00FA1ABF">
        <w:rPr>
          <w:i/>
        </w:rPr>
        <w:t>et seq</w:t>
      </w:r>
      <w:r>
        <w:t>.</w:t>
      </w:r>
      <w:proofErr w:type="gramEnd"/>
    </w:p>
  </w:footnote>
  <w:footnote w:id="11">
    <w:p w:rsidR="00FC5FE4" w:rsidRDefault="00FC5FE4" w:rsidP="00FA1ABF">
      <w:pPr>
        <w:pStyle w:val="FootnoteText"/>
        <w:spacing w:line="240" w:lineRule="auto"/>
        <w:ind w:firstLine="720"/>
      </w:pPr>
      <w:r>
        <w:rPr>
          <w:rStyle w:val="FootnoteReference"/>
        </w:rPr>
        <w:footnoteRef/>
      </w:r>
      <w:r>
        <w:t xml:space="preserve"> </w:t>
      </w:r>
      <w:r>
        <w:tab/>
      </w:r>
      <w:proofErr w:type="gramStart"/>
      <w:r>
        <w:t>71 P.S. §§ 745.1-745.15.</w:t>
      </w:r>
      <w:proofErr w:type="gramEnd"/>
    </w:p>
  </w:footnote>
  <w:footnote w:id="12">
    <w:p w:rsidR="00FC5FE4" w:rsidRDefault="00FC5FE4" w:rsidP="00C345AD">
      <w:pPr>
        <w:pStyle w:val="FootnoteText"/>
        <w:spacing w:line="240" w:lineRule="auto"/>
        <w:ind w:firstLine="720"/>
      </w:pPr>
      <w:r>
        <w:rPr>
          <w:rStyle w:val="FootnoteReference"/>
        </w:rPr>
        <w:footnoteRef/>
      </w:r>
      <w:r>
        <w:tab/>
        <w:t xml:space="preserve">In support of its position, I&amp;E cites </w:t>
      </w:r>
      <w:r w:rsidRPr="00C345AD">
        <w:rPr>
          <w:i/>
        </w:rPr>
        <w:t>Zucker v. Pa. PUC</w:t>
      </w:r>
      <w:r>
        <w:t xml:space="preserve">, 401 A.2d 1377 (Pa. Cmwlth. 1979), </w:t>
      </w:r>
      <w:r w:rsidRPr="00C345AD">
        <w:rPr>
          <w:i/>
        </w:rPr>
        <w:t>Shenango Township Board of Supervisors v. Pa. PUC</w:t>
      </w:r>
      <w:r>
        <w:t xml:space="preserve">, 686 A.2d. </w:t>
      </w:r>
      <w:proofErr w:type="gramStart"/>
      <w:r>
        <w:t xml:space="preserve">910, 914 (Pa. Cmwlth. 1996), and </w:t>
      </w:r>
      <w:r w:rsidRPr="00C345AD">
        <w:rPr>
          <w:i/>
        </w:rPr>
        <w:t>Kossman v. Pa. PUC</w:t>
      </w:r>
      <w:r>
        <w:t>, 694 A.2d.</w:t>
      </w:r>
      <w:proofErr w:type="gramEnd"/>
      <w:r>
        <w:t xml:space="preserve"> </w:t>
      </w:r>
      <w:proofErr w:type="gramStart"/>
      <w:r>
        <w:t>1147, 1151 (Pa. Cmwlth. 1997).</w:t>
      </w:r>
      <w:proofErr w:type="gramEnd"/>
    </w:p>
  </w:footnote>
  <w:footnote w:id="13">
    <w:p w:rsidR="00FC5FE4" w:rsidRPr="00733B33" w:rsidRDefault="00FC5FE4" w:rsidP="00733B33">
      <w:pPr>
        <w:pStyle w:val="FootnoteText"/>
        <w:spacing w:line="240" w:lineRule="auto"/>
        <w:ind w:firstLine="720"/>
      </w:pPr>
      <w:r>
        <w:rPr>
          <w:rStyle w:val="FootnoteReference"/>
        </w:rPr>
        <w:footnoteRef/>
      </w:r>
      <w:r>
        <w:t xml:space="preserve"> </w:t>
      </w:r>
      <w:r>
        <w:tab/>
      </w:r>
      <w:r w:rsidRPr="00733B33">
        <w:rPr>
          <w:szCs w:val="26"/>
        </w:rPr>
        <w:t>Schedule GAW-2 is a highly confidential exhibit</w:t>
      </w:r>
      <w:r w:rsidR="00BC0450">
        <w:rPr>
          <w:szCs w:val="26"/>
        </w:rPr>
        <w:t xml:space="preserve">, subject to the ALJ’s Protective Order dated May 2, 2013, </w:t>
      </w:r>
      <w:r w:rsidRPr="00733B33">
        <w:rPr>
          <w:szCs w:val="26"/>
        </w:rPr>
        <w:t xml:space="preserve">that reflects </w:t>
      </w:r>
      <w:r>
        <w:rPr>
          <w:szCs w:val="26"/>
        </w:rPr>
        <w:t xml:space="preserve">annual </w:t>
      </w:r>
      <w:r w:rsidRPr="00733B33">
        <w:rPr>
          <w:szCs w:val="26"/>
        </w:rPr>
        <w:t>gas-on-gas discounts offered by the four NGDCs o</w:t>
      </w:r>
      <w:r w:rsidR="00BC0450">
        <w:rPr>
          <w:szCs w:val="26"/>
        </w:rPr>
        <w:t>n an individual customer basis.</w:t>
      </w:r>
    </w:p>
  </w:footnote>
  <w:footnote w:id="14">
    <w:p w:rsidR="00FC5FE4" w:rsidRDefault="00FC5FE4" w:rsidP="00582BC1">
      <w:pPr>
        <w:pStyle w:val="FootnoteText"/>
        <w:keepLines/>
        <w:spacing w:line="240" w:lineRule="auto"/>
        <w:ind w:firstLine="720"/>
      </w:pPr>
      <w:r>
        <w:rPr>
          <w:rStyle w:val="FootnoteReference"/>
        </w:rPr>
        <w:footnoteRef/>
      </w:r>
      <w:r>
        <w:tab/>
        <w:t xml:space="preserve">For example, we note that on June 26, 2014, Peoples/PTWP filed a Petition for Accounting and Regulatory Approvals and Approval of Related Tariff Revisions Associated with Implementation of Revised Long Term Infrastructure Plan.  Peoples/PTWP explained that this Petition was filed to avoid the replacement of duplicative, overlapping pipelines of the Peoples’ and Equitable Divisions of Peoples and PTWP.  By Order entered December 18, 2014 at Docket Nos. P-2014-2429346 </w:t>
      </w:r>
      <w:r w:rsidRPr="00BE71B8">
        <w:rPr>
          <w:i/>
        </w:rPr>
        <w:t>et al</w:t>
      </w:r>
      <w:r>
        <w:t>., the Commission approved a</w:t>
      </w:r>
      <w:r w:rsidRPr="002F158E">
        <w:t xml:space="preserve"> </w:t>
      </w:r>
      <w:r>
        <w:t>Joint Settlement Agreement between Peoples/PTWP and the OCA with regard to the Petition of Peoples/PTWP, and granted the Petition, consistent with the terms of the Order and the Joint Settlement Agreement.</w:t>
      </w:r>
    </w:p>
  </w:footnote>
  <w:footnote w:id="15">
    <w:p w:rsidR="00FC5FE4" w:rsidRPr="00D90105" w:rsidRDefault="00FC5FE4" w:rsidP="00D90105">
      <w:pPr>
        <w:pStyle w:val="FootnoteText"/>
        <w:ind w:firstLine="720"/>
        <w:rPr>
          <w:sz w:val="24"/>
        </w:rPr>
      </w:pPr>
      <w:r w:rsidRPr="00D90105">
        <w:rPr>
          <w:rStyle w:val="FootnoteReference"/>
          <w:sz w:val="24"/>
        </w:rPr>
        <w:footnoteRef/>
      </w:r>
      <w:r w:rsidRPr="00D90105">
        <w:rPr>
          <w:sz w:val="24"/>
        </w:rPr>
        <w:t xml:space="preserve"> </w:t>
      </w:r>
      <w:r w:rsidRPr="00D90105">
        <w:rPr>
          <w:sz w:val="24"/>
        </w:rPr>
        <w:tab/>
      </w:r>
      <w:r w:rsidRPr="00D90105">
        <w:rPr>
          <w:i/>
          <w:sz w:val="24"/>
        </w:rPr>
        <w:t>See</w:t>
      </w:r>
      <w:r w:rsidRPr="00D90105">
        <w:rPr>
          <w:sz w:val="24"/>
        </w:rPr>
        <w:t xml:space="preserve"> </w:t>
      </w:r>
      <w:proofErr w:type="gramStart"/>
      <w:r w:rsidRPr="00D90105">
        <w:rPr>
          <w:sz w:val="24"/>
        </w:rPr>
        <w:t>I&amp;E</w:t>
      </w:r>
      <w:proofErr w:type="gramEnd"/>
      <w:r w:rsidRPr="00D90105">
        <w:rPr>
          <w:sz w:val="24"/>
        </w:rPr>
        <w:t xml:space="preserve"> R. Exc. at 14.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420D2"/>
    <w:multiLevelType w:val="hybridMultilevel"/>
    <w:tmpl w:val="A2CE2D88"/>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1856497D"/>
    <w:multiLevelType w:val="hybridMultilevel"/>
    <w:tmpl w:val="150CCFE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206C15FB"/>
    <w:multiLevelType w:val="hybridMultilevel"/>
    <w:tmpl w:val="E138B3B2"/>
    <w:lvl w:ilvl="0" w:tplc="E17871CC">
      <w:start w:val="1"/>
      <w:numFmt w:val="upperLetter"/>
      <w:pStyle w:val="Heading2"/>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25C93AA2"/>
    <w:multiLevelType w:val="hybridMultilevel"/>
    <w:tmpl w:val="9FF2B3E6"/>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2E0237CD"/>
    <w:multiLevelType w:val="hybridMultilevel"/>
    <w:tmpl w:val="E4400F1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4A1A7B18"/>
    <w:multiLevelType w:val="hybridMultilevel"/>
    <w:tmpl w:val="41E8CED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4CC97BBB"/>
    <w:multiLevelType w:val="hybridMultilevel"/>
    <w:tmpl w:val="21B8F8B4"/>
    <w:lvl w:ilvl="0" w:tplc="482C45BC">
      <w:start w:val="1"/>
      <w:numFmt w:val="decimal"/>
      <w:pStyle w:val="Heading3"/>
      <w:lvlText w:val="%1."/>
      <w:lvlJc w:val="left"/>
      <w:pPr>
        <w:ind w:left="39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4E501D13"/>
    <w:multiLevelType w:val="hybridMultilevel"/>
    <w:tmpl w:val="3E50E212"/>
    <w:lvl w:ilvl="0" w:tplc="D5B62700">
      <w:start w:val="1"/>
      <w:numFmt w:val="upperRoman"/>
      <w:pStyle w:val="Heading1"/>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5FC96C3D"/>
    <w:multiLevelType w:val="hybridMultilevel"/>
    <w:tmpl w:val="467C7F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394C07"/>
    <w:multiLevelType w:val="hybridMultilevel"/>
    <w:tmpl w:val="D92AA6B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
  </w:num>
  <w:num w:numId="2">
    <w:abstractNumId w:val="7"/>
  </w:num>
  <w:num w:numId="3">
    <w:abstractNumId w:val="2"/>
  </w:num>
  <w:num w:numId="4">
    <w:abstractNumId w:val="6"/>
  </w:num>
  <w:num w:numId="5">
    <w:abstractNumId w:val="6"/>
    <w:lvlOverride w:ilvl="0">
      <w:startOverride w:val="1"/>
    </w:lvlOverride>
  </w:num>
  <w:num w:numId="6">
    <w:abstractNumId w:val="4"/>
  </w:num>
  <w:num w:numId="7">
    <w:abstractNumId w:val="1"/>
  </w:num>
  <w:num w:numId="8">
    <w:abstractNumId w:val="0"/>
  </w:num>
  <w:num w:numId="9">
    <w:abstractNumId w:val="8"/>
  </w:num>
  <w:num w:numId="10">
    <w:abstractNumId w:val="6"/>
    <w:lvlOverride w:ilvl="0">
      <w:startOverride w:val="1"/>
    </w:lvlOverride>
  </w:num>
  <w:num w:numId="11">
    <w:abstractNumId w:val="5"/>
  </w:num>
  <w:num w:numId="12">
    <w:abstractNumId w:val="6"/>
    <w:lvlOverride w:ilvl="0">
      <w:startOverride w:val="1"/>
    </w:lvlOverride>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106"/>
    <w:rsid w:val="000002F0"/>
    <w:rsid w:val="00000A1D"/>
    <w:rsid w:val="00000D47"/>
    <w:rsid w:val="00001FC8"/>
    <w:rsid w:val="000026AC"/>
    <w:rsid w:val="000028E4"/>
    <w:rsid w:val="00006685"/>
    <w:rsid w:val="00006F35"/>
    <w:rsid w:val="00007320"/>
    <w:rsid w:val="000110DD"/>
    <w:rsid w:val="0001119F"/>
    <w:rsid w:val="000127C2"/>
    <w:rsid w:val="000150A5"/>
    <w:rsid w:val="00016334"/>
    <w:rsid w:val="00016D57"/>
    <w:rsid w:val="000170AA"/>
    <w:rsid w:val="00017852"/>
    <w:rsid w:val="00021D70"/>
    <w:rsid w:val="00021E46"/>
    <w:rsid w:val="000226AB"/>
    <w:rsid w:val="00022B74"/>
    <w:rsid w:val="00023761"/>
    <w:rsid w:val="00023BEE"/>
    <w:rsid w:val="0002524C"/>
    <w:rsid w:val="00025B14"/>
    <w:rsid w:val="00025F1B"/>
    <w:rsid w:val="00025F3F"/>
    <w:rsid w:val="00026CD2"/>
    <w:rsid w:val="00026CFA"/>
    <w:rsid w:val="00027552"/>
    <w:rsid w:val="00032BE0"/>
    <w:rsid w:val="000342D3"/>
    <w:rsid w:val="00034F1D"/>
    <w:rsid w:val="00036132"/>
    <w:rsid w:val="0003618C"/>
    <w:rsid w:val="00037A60"/>
    <w:rsid w:val="00037B4B"/>
    <w:rsid w:val="00040A8E"/>
    <w:rsid w:val="00040AEA"/>
    <w:rsid w:val="0004152C"/>
    <w:rsid w:val="00041DB8"/>
    <w:rsid w:val="000433AC"/>
    <w:rsid w:val="00047874"/>
    <w:rsid w:val="00047A30"/>
    <w:rsid w:val="00047F4A"/>
    <w:rsid w:val="00050543"/>
    <w:rsid w:val="00051322"/>
    <w:rsid w:val="00051F76"/>
    <w:rsid w:val="000523D1"/>
    <w:rsid w:val="0005278E"/>
    <w:rsid w:val="00052B8F"/>
    <w:rsid w:val="0005339C"/>
    <w:rsid w:val="00054612"/>
    <w:rsid w:val="0005572E"/>
    <w:rsid w:val="00055FBC"/>
    <w:rsid w:val="00056286"/>
    <w:rsid w:val="000576C8"/>
    <w:rsid w:val="0006069C"/>
    <w:rsid w:val="00060865"/>
    <w:rsid w:val="000612FD"/>
    <w:rsid w:val="00063FDB"/>
    <w:rsid w:val="000642AA"/>
    <w:rsid w:val="000649EC"/>
    <w:rsid w:val="00066EE5"/>
    <w:rsid w:val="00067260"/>
    <w:rsid w:val="00070BBA"/>
    <w:rsid w:val="00072808"/>
    <w:rsid w:val="00074BCC"/>
    <w:rsid w:val="00074F65"/>
    <w:rsid w:val="00076F35"/>
    <w:rsid w:val="00080A0F"/>
    <w:rsid w:val="0008352E"/>
    <w:rsid w:val="000843CA"/>
    <w:rsid w:val="00084573"/>
    <w:rsid w:val="00084AF9"/>
    <w:rsid w:val="00084C33"/>
    <w:rsid w:val="000850C7"/>
    <w:rsid w:val="00087769"/>
    <w:rsid w:val="000918D4"/>
    <w:rsid w:val="000918E6"/>
    <w:rsid w:val="00093164"/>
    <w:rsid w:val="0009612D"/>
    <w:rsid w:val="0009669A"/>
    <w:rsid w:val="000966D1"/>
    <w:rsid w:val="00097504"/>
    <w:rsid w:val="00097614"/>
    <w:rsid w:val="000A0BDB"/>
    <w:rsid w:val="000A0CA1"/>
    <w:rsid w:val="000A365D"/>
    <w:rsid w:val="000A4D2A"/>
    <w:rsid w:val="000A5C25"/>
    <w:rsid w:val="000A6103"/>
    <w:rsid w:val="000B0BC1"/>
    <w:rsid w:val="000B216D"/>
    <w:rsid w:val="000B22D5"/>
    <w:rsid w:val="000B2755"/>
    <w:rsid w:val="000B2917"/>
    <w:rsid w:val="000B349B"/>
    <w:rsid w:val="000B38BF"/>
    <w:rsid w:val="000B3A49"/>
    <w:rsid w:val="000B3C9D"/>
    <w:rsid w:val="000B3DC1"/>
    <w:rsid w:val="000B4EAE"/>
    <w:rsid w:val="000B4F78"/>
    <w:rsid w:val="000B5238"/>
    <w:rsid w:val="000B52FB"/>
    <w:rsid w:val="000B5A39"/>
    <w:rsid w:val="000B607A"/>
    <w:rsid w:val="000B6B15"/>
    <w:rsid w:val="000B74BE"/>
    <w:rsid w:val="000C1246"/>
    <w:rsid w:val="000C2AE3"/>
    <w:rsid w:val="000C65B2"/>
    <w:rsid w:val="000C709A"/>
    <w:rsid w:val="000D2E9F"/>
    <w:rsid w:val="000D5557"/>
    <w:rsid w:val="000E0258"/>
    <w:rsid w:val="000E63AD"/>
    <w:rsid w:val="000F179E"/>
    <w:rsid w:val="000F2C6D"/>
    <w:rsid w:val="000F32DC"/>
    <w:rsid w:val="000F4307"/>
    <w:rsid w:val="0010158F"/>
    <w:rsid w:val="00101F51"/>
    <w:rsid w:val="001026CA"/>
    <w:rsid w:val="00104750"/>
    <w:rsid w:val="00104D9B"/>
    <w:rsid w:val="00107032"/>
    <w:rsid w:val="00107855"/>
    <w:rsid w:val="0011611F"/>
    <w:rsid w:val="001173EC"/>
    <w:rsid w:val="00117CB2"/>
    <w:rsid w:val="00120B39"/>
    <w:rsid w:val="00121BF5"/>
    <w:rsid w:val="00123517"/>
    <w:rsid w:val="001238E5"/>
    <w:rsid w:val="00123A2E"/>
    <w:rsid w:val="00124071"/>
    <w:rsid w:val="00124299"/>
    <w:rsid w:val="001267D4"/>
    <w:rsid w:val="00135972"/>
    <w:rsid w:val="001360FC"/>
    <w:rsid w:val="00141639"/>
    <w:rsid w:val="001433A9"/>
    <w:rsid w:val="001447A0"/>
    <w:rsid w:val="0014497F"/>
    <w:rsid w:val="00145168"/>
    <w:rsid w:val="00146DDD"/>
    <w:rsid w:val="00146E58"/>
    <w:rsid w:val="00147145"/>
    <w:rsid w:val="00150096"/>
    <w:rsid w:val="001508E4"/>
    <w:rsid w:val="001514D5"/>
    <w:rsid w:val="0015380A"/>
    <w:rsid w:val="00154CB6"/>
    <w:rsid w:val="00156493"/>
    <w:rsid w:val="00157D5F"/>
    <w:rsid w:val="0016099B"/>
    <w:rsid w:val="00164DA4"/>
    <w:rsid w:val="00166298"/>
    <w:rsid w:val="001663C8"/>
    <w:rsid w:val="00166FD8"/>
    <w:rsid w:val="0016713F"/>
    <w:rsid w:val="00174D3D"/>
    <w:rsid w:val="0017778E"/>
    <w:rsid w:val="00181075"/>
    <w:rsid w:val="0018140A"/>
    <w:rsid w:val="00182478"/>
    <w:rsid w:val="0018366A"/>
    <w:rsid w:val="00185C7F"/>
    <w:rsid w:val="00186A97"/>
    <w:rsid w:val="00191C07"/>
    <w:rsid w:val="001934AB"/>
    <w:rsid w:val="0019530E"/>
    <w:rsid w:val="00195579"/>
    <w:rsid w:val="00195F2E"/>
    <w:rsid w:val="00197424"/>
    <w:rsid w:val="00197966"/>
    <w:rsid w:val="00197C48"/>
    <w:rsid w:val="001A4F32"/>
    <w:rsid w:val="001A6498"/>
    <w:rsid w:val="001B1DB4"/>
    <w:rsid w:val="001B31EA"/>
    <w:rsid w:val="001B3B94"/>
    <w:rsid w:val="001B511E"/>
    <w:rsid w:val="001B7B8B"/>
    <w:rsid w:val="001C0BC6"/>
    <w:rsid w:val="001C41B7"/>
    <w:rsid w:val="001C4978"/>
    <w:rsid w:val="001D074D"/>
    <w:rsid w:val="001D0ED2"/>
    <w:rsid w:val="001D3441"/>
    <w:rsid w:val="001D36B3"/>
    <w:rsid w:val="001D39F0"/>
    <w:rsid w:val="001E0B61"/>
    <w:rsid w:val="001E1276"/>
    <w:rsid w:val="001E19C7"/>
    <w:rsid w:val="001E2BDD"/>
    <w:rsid w:val="001E6573"/>
    <w:rsid w:val="001E705E"/>
    <w:rsid w:val="001F285E"/>
    <w:rsid w:val="001F6606"/>
    <w:rsid w:val="001F66FA"/>
    <w:rsid w:val="00202524"/>
    <w:rsid w:val="002037D1"/>
    <w:rsid w:val="00204508"/>
    <w:rsid w:val="0020555A"/>
    <w:rsid w:val="002077D5"/>
    <w:rsid w:val="00210736"/>
    <w:rsid w:val="00210F81"/>
    <w:rsid w:val="00211622"/>
    <w:rsid w:val="0021322B"/>
    <w:rsid w:val="00213E9C"/>
    <w:rsid w:val="00213F92"/>
    <w:rsid w:val="00214181"/>
    <w:rsid w:val="00214B3E"/>
    <w:rsid w:val="00217516"/>
    <w:rsid w:val="002201DD"/>
    <w:rsid w:val="00221DFD"/>
    <w:rsid w:val="00222C20"/>
    <w:rsid w:val="00222C79"/>
    <w:rsid w:val="00224BEA"/>
    <w:rsid w:val="0022698E"/>
    <w:rsid w:val="00227912"/>
    <w:rsid w:val="002311EE"/>
    <w:rsid w:val="00233AD4"/>
    <w:rsid w:val="002370F5"/>
    <w:rsid w:val="00240ACA"/>
    <w:rsid w:val="00240D7B"/>
    <w:rsid w:val="00240ED0"/>
    <w:rsid w:val="00241299"/>
    <w:rsid w:val="00246D70"/>
    <w:rsid w:val="002476E9"/>
    <w:rsid w:val="00250327"/>
    <w:rsid w:val="00250449"/>
    <w:rsid w:val="00250528"/>
    <w:rsid w:val="00251494"/>
    <w:rsid w:val="00251580"/>
    <w:rsid w:val="0025188E"/>
    <w:rsid w:val="00253138"/>
    <w:rsid w:val="002537C6"/>
    <w:rsid w:val="00253966"/>
    <w:rsid w:val="00253A25"/>
    <w:rsid w:val="00255462"/>
    <w:rsid w:val="00260957"/>
    <w:rsid w:val="00261DB4"/>
    <w:rsid w:val="00264646"/>
    <w:rsid w:val="00265587"/>
    <w:rsid w:val="00270C17"/>
    <w:rsid w:val="002712A4"/>
    <w:rsid w:val="0027232D"/>
    <w:rsid w:val="00274D0F"/>
    <w:rsid w:val="00277500"/>
    <w:rsid w:val="00281A5F"/>
    <w:rsid w:val="002823F4"/>
    <w:rsid w:val="002857FA"/>
    <w:rsid w:val="0028744E"/>
    <w:rsid w:val="002875A7"/>
    <w:rsid w:val="00290C46"/>
    <w:rsid w:val="00291D20"/>
    <w:rsid w:val="00291F68"/>
    <w:rsid w:val="00293B6B"/>
    <w:rsid w:val="0029517E"/>
    <w:rsid w:val="002A04F8"/>
    <w:rsid w:val="002A060A"/>
    <w:rsid w:val="002A2260"/>
    <w:rsid w:val="002A33DB"/>
    <w:rsid w:val="002A4450"/>
    <w:rsid w:val="002A6750"/>
    <w:rsid w:val="002A75EE"/>
    <w:rsid w:val="002B2296"/>
    <w:rsid w:val="002B4407"/>
    <w:rsid w:val="002B67B7"/>
    <w:rsid w:val="002B793E"/>
    <w:rsid w:val="002B7C79"/>
    <w:rsid w:val="002C0429"/>
    <w:rsid w:val="002C19E4"/>
    <w:rsid w:val="002C543F"/>
    <w:rsid w:val="002C6CC4"/>
    <w:rsid w:val="002D13C4"/>
    <w:rsid w:val="002D2204"/>
    <w:rsid w:val="002D275E"/>
    <w:rsid w:val="002D3779"/>
    <w:rsid w:val="002D6357"/>
    <w:rsid w:val="002D7584"/>
    <w:rsid w:val="002E3026"/>
    <w:rsid w:val="002E3F06"/>
    <w:rsid w:val="002E61B4"/>
    <w:rsid w:val="002E6FFA"/>
    <w:rsid w:val="002E7F8F"/>
    <w:rsid w:val="002F076C"/>
    <w:rsid w:val="002F158E"/>
    <w:rsid w:val="002F18B7"/>
    <w:rsid w:val="002F3096"/>
    <w:rsid w:val="002F32DA"/>
    <w:rsid w:val="002F3F04"/>
    <w:rsid w:val="002F41BA"/>
    <w:rsid w:val="002F6560"/>
    <w:rsid w:val="003018AA"/>
    <w:rsid w:val="00303B99"/>
    <w:rsid w:val="00307027"/>
    <w:rsid w:val="0030714F"/>
    <w:rsid w:val="003073E2"/>
    <w:rsid w:val="00307DDF"/>
    <w:rsid w:val="00314A43"/>
    <w:rsid w:val="00315F71"/>
    <w:rsid w:val="00322040"/>
    <w:rsid w:val="003240B8"/>
    <w:rsid w:val="00325422"/>
    <w:rsid w:val="00326510"/>
    <w:rsid w:val="003269CC"/>
    <w:rsid w:val="003270B5"/>
    <w:rsid w:val="00330B74"/>
    <w:rsid w:val="00333FDA"/>
    <w:rsid w:val="003340DE"/>
    <w:rsid w:val="00337F4C"/>
    <w:rsid w:val="00340C53"/>
    <w:rsid w:val="00340D19"/>
    <w:rsid w:val="00344804"/>
    <w:rsid w:val="00346D12"/>
    <w:rsid w:val="003518C8"/>
    <w:rsid w:val="00351E8A"/>
    <w:rsid w:val="003533B5"/>
    <w:rsid w:val="00353697"/>
    <w:rsid w:val="00354F0B"/>
    <w:rsid w:val="00357FAC"/>
    <w:rsid w:val="0036165E"/>
    <w:rsid w:val="003622CA"/>
    <w:rsid w:val="00362A4B"/>
    <w:rsid w:val="00363030"/>
    <w:rsid w:val="00363697"/>
    <w:rsid w:val="0036462C"/>
    <w:rsid w:val="00364A42"/>
    <w:rsid w:val="00365B4C"/>
    <w:rsid w:val="00366A9D"/>
    <w:rsid w:val="003671E6"/>
    <w:rsid w:val="00370739"/>
    <w:rsid w:val="003720A7"/>
    <w:rsid w:val="003725D9"/>
    <w:rsid w:val="00372691"/>
    <w:rsid w:val="003742E1"/>
    <w:rsid w:val="003750AB"/>
    <w:rsid w:val="003755FB"/>
    <w:rsid w:val="0037577C"/>
    <w:rsid w:val="003803CE"/>
    <w:rsid w:val="00383182"/>
    <w:rsid w:val="00383AC0"/>
    <w:rsid w:val="00385502"/>
    <w:rsid w:val="00391A43"/>
    <w:rsid w:val="00395133"/>
    <w:rsid w:val="00397AD6"/>
    <w:rsid w:val="00397D7A"/>
    <w:rsid w:val="003A05B2"/>
    <w:rsid w:val="003A2A6D"/>
    <w:rsid w:val="003A6837"/>
    <w:rsid w:val="003A7218"/>
    <w:rsid w:val="003B0611"/>
    <w:rsid w:val="003B341B"/>
    <w:rsid w:val="003B42D9"/>
    <w:rsid w:val="003C138E"/>
    <w:rsid w:val="003C1DFF"/>
    <w:rsid w:val="003C3140"/>
    <w:rsid w:val="003C32E2"/>
    <w:rsid w:val="003C3E02"/>
    <w:rsid w:val="003C3FE8"/>
    <w:rsid w:val="003C70DD"/>
    <w:rsid w:val="003C73F9"/>
    <w:rsid w:val="003D1962"/>
    <w:rsid w:val="003D257B"/>
    <w:rsid w:val="003D5F07"/>
    <w:rsid w:val="003D6AB5"/>
    <w:rsid w:val="003D736D"/>
    <w:rsid w:val="003E0999"/>
    <w:rsid w:val="003E1F53"/>
    <w:rsid w:val="003E3FF5"/>
    <w:rsid w:val="003E5354"/>
    <w:rsid w:val="003E6745"/>
    <w:rsid w:val="003F1669"/>
    <w:rsid w:val="003F2307"/>
    <w:rsid w:val="003F2DBA"/>
    <w:rsid w:val="003F51F4"/>
    <w:rsid w:val="003F52C6"/>
    <w:rsid w:val="003F558E"/>
    <w:rsid w:val="003F5BB4"/>
    <w:rsid w:val="004015FD"/>
    <w:rsid w:val="00403D6E"/>
    <w:rsid w:val="00407AC0"/>
    <w:rsid w:val="00412E30"/>
    <w:rsid w:val="00414C07"/>
    <w:rsid w:val="00414DE3"/>
    <w:rsid w:val="004170AF"/>
    <w:rsid w:val="00423CB1"/>
    <w:rsid w:val="004271AB"/>
    <w:rsid w:val="00432BB7"/>
    <w:rsid w:val="004331E9"/>
    <w:rsid w:val="0043328F"/>
    <w:rsid w:val="00433B89"/>
    <w:rsid w:val="00433E8D"/>
    <w:rsid w:val="0043592C"/>
    <w:rsid w:val="00436C3E"/>
    <w:rsid w:val="004411B9"/>
    <w:rsid w:val="00441207"/>
    <w:rsid w:val="004422CA"/>
    <w:rsid w:val="004437C6"/>
    <w:rsid w:val="00443807"/>
    <w:rsid w:val="004444AE"/>
    <w:rsid w:val="004462F7"/>
    <w:rsid w:val="00455135"/>
    <w:rsid w:val="00456782"/>
    <w:rsid w:val="0046019D"/>
    <w:rsid w:val="00464536"/>
    <w:rsid w:val="00464E9E"/>
    <w:rsid w:val="0046514E"/>
    <w:rsid w:val="004655AF"/>
    <w:rsid w:val="00465A20"/>
    <w:rsid w:val="0046623C"/>
    <w:rsid w:val="004675F3"/>
    <w:rsid w:val="00467739"/>
    <w:rsid w:val="00467E51"/>
    <w:rsid w:val="00470D0C"/>
    <w:rsid w:val="004719C5"/>
    <w:rsid w:val="00471ABD"/>
    <w:rsid w:val="00471AEA"/>
    <w:rsid w:val="00474E22"/>
    <w:rsid w:val="0047608F"/>
    <w:rsid w:val="004760EA"/>
    <w:rsid w:val="00476554"/>
    <w:rsid w:val="00477891"/>
    <w:rsid w:val="004813D4"/>
    <w:rsid w:val="0048378E"/>
    <w:rsid w:val="004839F4"/>
    <w:rsid w:val="004907ED"/>
    <w:rsid w:val="00491160"/>
    <w:rsid w:val="00491D91"/>
    <w:rsid w:val="00492567"/>
    <w:rsid w:val="00494311"/>
    <w:rsid w:val="004952DA"/>
    <w:rsid w:val="0049580C"/>
    <w:rsid w:val="00496057"/>
    <w:rsid w:val="0049768F"/>
    <w:rsid w:val="004A04E5"/>
    <w:rsid w:val="004A1495"/>
    <w:rsid w:val="004A2165"/>
    <w:rsid w:val="004A2B6C"/>
    <w:rsid w:val="004A37B4"/>
    <w:rsid w:val="004A4CC6"/>
    <w:rsid w:val="004A5F74"/>
    <w:rsid w:val="004A77D0"/>
    <w:rsid w:val="004B1052"/>
    <w:rsid w:val="004B16B7"/>
    <w:rsid w:val="004B1EEC"/>
    <w:rsid w:val="004B541F"/>
    <w:rsid w:val="004B6B14"/>
    <w:rsid w:val="004C3217"/>
    <w:rsid w:val="004C5514"/>
    <w:rsid w:val="004C56DF"/>
    <w:rsid w:val="004D4190"/>
    <w:rsid w:val="004D4CC5"/>
    <w:rsid w:val="004D6774"/>
    <w:rsid w:val="004D736F"/>
    <w:rsid w:val="004E15F4"/>
    <w:rsid w:val="004E47EC"/>
    <w:rsid w:val="004E514F"/>
    <w:rsid w:val="004E737F"/>
    <w:rsid w:val="004E76C5"/>
    <w:rsid w:val="004F03DE"/>
    <w:rsid w:val="004F0AD8"/>
    <w:rsid w:val="004F1E99"/>
    <w:rsid w:val="004F22DA"/>
    <w:rsid w:val="004F2390"/>
    <w:rsid w:val="004F3283"/>
    <w:rsid w:val="004F3B4E"/>
    <w:rsid w:val="004F6B35"/>
    <w:rsid w:val="005005F5"/>
    <w:rsid w:val="00500F02"/>
    <w:rsid w:val="00502159"/>
    <w:rsid w:val="00502165"/>
    <w:rsid w:val="00502E47"/>
    <w:rsid w:val="00504834"/>
    <w:rsid w:val="00504C7A"/>
    <w:rsid w:val="00505AEE"/>
    <w:rsid w:val="0050632E"/>
    <w:rsid w:val="00506FE4"/>
    <w:rsid w:val="0050752D"/>
    <w:rsid w:val="00511EF3"/>
    <w:rsid w:val="00512C6B"/>
    <w:rsid w:val="00514507"/>
    <w:rsid w:val="00515758"/>
    <w:rsid w:val="00521350"/>
    <w:rsid w:val="005230F4"/>
    <w:rsid w:val="00523734"/>
    <w:rsid w:val="00530445"/>
    <w:rsid w:val="00530CD0"/>
    <w:rsid w:val="00530DEC"/>
    <w:rsid w:val="00534F52"/>
    <w:rsid w:val="005351B9"/>
    <w:rsid w:val="0053560F"/>
    <w:rsid w:val="00536011"/>
    <w:rsid w:val="00543FF3"/>
    <w:rsid w:val="00550B79"/>
    <w:rsid w:val="0055150B"/>
    <w:rsid w:val="005532F9"/>
    <w:rsid w:val="0055440B"/>
    <w:rsid w:val="00554728"/>
    <w:rsid w:val="00555057"/>
    <w:rsid w:val="0055708D"/>
    <w:rsid w:val="005572F2"/>
    <w:rsid w:val="00560435"/>
    <w:rsid w:val="00560670"/>
    <w:rsid w:val="00561CA6"/>
    <w:rsid w:val="00562A03"/>
    <w:rsid w:val="00564565"/>
    <w:rsid w:val="005647BE"/>
    <w:rsid w:val="00564EF9"/>
    <w:rsid w:val="00566299"/>
    <w:rsid w:val="00570437"/>
    <w:rsid w:val="005725F6"/>
    <w:rsid w:val="005746BD"/>
    <w:rsid w:val="00581271"/>
    <w:rsid w:val="00581E2A"/>
    <w:rsid w:val="00582BC1"/>
    <w:rsid w:val="005837B5"/>
    <w:rsid w:val="00583F99"/>
    <w:rsid w:val="005853A5"/>
    <w:rsid w:val="0058575A"/>
    <w:rsid w:val="00586817"/>
    <w:rsid w:val="00586D92"/>
    <w:rsid w:val="0058746F"/>
    <w:rsid w:val="00587507"/>
    <w:rsid w:val="00591602"/>
    <w:rsid w:val="005922E7"/>
    <w:rsid w:val="00592555"/>
    <w:rsid w:val="005949E8"/>
    <w:rsid w:val="00596A0B"/>
    <w:rsid w:val="00596E05"/>
    <w:rsid w:val="00596F85"/>
    <w:rsid w:val="005970FA"/>
    <w:rsid w:val="005A0176"/>
    <w:rsid w:val="005A088E"/>
    <w:rsid w:val="005A1A3C"/>
    <w:rsid w:val="005A2298"/>
    <w:rsid w:val="005A28C1"/>
    <w:rsid w:val="005A305E"/>
    <w:rsid w:val="005A35EA"/>
    <w:rsid w:val="005A394D"/>
    <w:rsid w:val="005A3C01"/>
    <w:rsid w:val="005A72FC"/>
    <w:rsid w:val="005B0034"/>
    <w:rsid w:val="005B0388"/>
    <w:rsid w:val="005B0BDB"/>
    <w:rsid w:val="005B109A"/>
    <w:rsid w:val="005B27ED"/>
    <w:rsid w:val="005B6297"/>
    <w:rsid w:val="005C2FD5"/>
    <w:rsid w:val="005C4EA1"/>
    <w:rsid w:val="005C5378"/>
    <w:rsid w:val="005C5481"/>
    <w:rsid w:val="005C6932"/>
    <w:rsid w:val="005C74F6"/>
    <w:rsid w:val="005C7A31"/>
    <w:rsid w:val="005D1141"/>
    <w:rsid w:val="005D2AB9"/>
    <w:rsid w:val="005D34E2"/>
    <w:rsid w:val="005D496E"/>
    <w:rsid w:val="005D66EB"/>
    <w:rsid w:val="005D7C20"/>
    <w:rsid w:val="005E02AC"/>
    <w:rsid w:val="005E1CF9"/>
    <w:rsid w:val="005E2ED5"/>
    <w:rsid w:val="005E30D3"/>
    <w:rsid w:val="005E38B2"/>
    <w:rsid w:val="005E3ADC"/>
    <w:rsid w:val="005E4815"/>
    <w:rsid w:val="005E6960"/>
    <w:rsid w:val="005E7EB8"/>
    <w:rsid w:val="005F089D"/>
    <w:rsid w:val="005F0B7D"/>
    <w:rsid w:val="005F18D6"/>
    <w:rsid w:val="005F21CF"/>
    <w:rsid w:val="005F2868"/>
    <w:rsid w:val="005F33E4"/>
    <w:rsid w:val="005F3817"/>
    <w:rsid w:val="005F47BA"/>
    <w:rsid w:val="005F5954"/>
    <w:rsid w:val="00603024"/>
    <w:rsid w:val="00603620"/>
    <w:rsid w:val="006050F5"/>
    <w:rsid w:val="0060559B"/>
    <w:rsid w:val="00606867"/>
    <w:rsid w:val="006116E3"/>
    <w:rsid w:val="0061172F"/>
    <w:rsid w:val="00617557"/>
    <w:rsid w:val="00620C27"/>
    <w:rsid w:val="00622772"/>
    <w:rsid w:val="00622F45"/>
    <w:rsid w:val="00624400"/>
    <w:rsid w:val="00624E51"/>
    <w:rsid w:val="00626162"/>
    <w:rsid w:val="00627072"/>
    <w:rsid w:val="00631C2E"/>
    <w:rsid w:val="006338F7"/>
    <w:rsid w:val="00634719"/>
    <w:rsid w:val="00636F1E"/>
    <w:rsid w:val="00640049"/>
    <w:rsid w:val="006419D3"/>
    <w:rsid w:val="00645236"/>
    <w:rsid w:val="0064569F"/>
    <w:rsid w:val="0064673D"/>
    <w:rsid w:val="006503E8"/>
    <w:rsid w:val="00652DF3"/>
    <w:rsid w:val="00654A4A"/>
    <w:rsid w:val="0065545A"/>
    <w:rsid w:val="00662A35"/>
    <w:rsid w:val="0066386E"/>
    <w:rsid w:val="00666026"/>
    <w:rsid w:val="006661CF"/>
    <w:rsid w:val="0066761D"/>
    <w:rsid w:val="00667E6E"/>
    <w:rsid w:val="00670BFD"/>
    <w:rsid w:val="00671E4C"/>
    <w:rsid w:val="006721FD"/>
    <w:rsid w:val="006736C8"/>
    <w:rsid w:val="00674295"/>
    <w:rsid w:val="006750C0"/>
    <w:rsid w:val="00676BF8"/>
    <w:rsid w:val="00680220"/>
    <w:rsid w:val="006818A8"/>
    <w:rsid w:val="00681A51"/>
    <w:rsid w:val="00682469"/>
    <w:rsid w:val="00683D97"/>
    <w:rsid w:val="00684FCA"/>
    <w:rsid w:val="00686B5C"/>
    <w:rsid w:val="00695858"/>
    <w:rsid w:val="00696997"/>
    <w:rsid w:val="006A1C55"/>
    <w:rsid w:val="006A2DB7"/>
    <w:rsid w:val="006A6B98"/>
    <w:rsid w:val="006A758C"/>
    <w:rsid w:val="006C1EEC"/>
    <w:rsid w:val="006C3FEA"/>
    <w:rsid w:val="006C69E7"/>
    <w:rsid w:val="006C73AE"/>
    <w:rsid w:val="006D10AE"/>
    <w:rsid w:val="006D16AD"/>
    <w:rsid w:val="006D29F2"/>
    <w:rsid w:val="006D337E"/>
    <w:rsid w:val="006D6992"/>
    <w:rsid w:val="006D7CA2"/>
    <w:rsid w:val="006E065B"/>
    <w:rsid w:val="006E09D3"/>
    <w:rsid w:val="006E1E6C"/>
    <w:rsid w:val="006E2581"/>
    <w:rsid w:val="006E2DD1"/>
    <w:rsid w:val="006E3345"/>
    <w:rsid w:val="006E5505"/>
    <w:rsid w:val="006F0041"/>
    <w:rsid w:val="006F1E59"/>
    <w:rsid w:val="006F240A"/>
    <w:rsid w:val="006F2FB3"/>
    <w:rsid w:val="006F31EE"/>
    <w:rsid w:val="006F4A3A"/>
    <w:rsid w:val="006F4A6B"/>
    <w:rsid w:val="006F531B"/>
    <w:rsid w:val="006F62BC"/>
    <w:rsid w:val="006F71AF"/>
    <w:rsid w:val="006F7EFA"/>
    <w:rsid w:val="0070086D"/>
    <w:rsid w:val="00702493"/>
    <w:rsid w:val="00704A8E"/>
    <w:rsid w:val="007059C3"/>
    <w:rsid w:val="00707776"/>
    <w:rsid w:val="00714396"/>
    <w:rsid w:val="00714F3B"/>
    <w:rsid w:val="007166F7"/>
    <w:rsid w:val="00716AEF"/>
    <w:rsid w:val="00717076"/>
    <w:rsid w:val="00717296"/>
    <w:rsid w:val="00723A24"/>
    <w:rsid w:val="007271C7"/>
    <w:rsid w:val="00727370"/>
    <w:rsid w:val="00733B33"/>
    <w:rsid w:val="007344DD"/>
    <w:rsid w:val="00735D9E"/>
    <w:rsid w:val="00737FDC"/>
    <w:rsid w:val="0074109C"/>
    <w:rsid w:val="00742335"/>
    <w:rsid w:val="00742842"/>
    <w:rsid w:val="00742A21"/>
    <w:rsid w:val="00747B54"/>
    <w:rsid w:val="00752251"/>
    <w:rsid w:val="00753376"/>
    <w:rsid w:val="0075366E"/>
    <w:rsid w:val="007543B0"/>
    <w:rsid w:val="007568A9"/>
    <w:rsid w:val="00756902"/>
    <w:rsid w:val="00761514"/>
    <w:rsid w:val="00763CE7"/>
    <w:rsid w:val="00767A20"/>
    <w:rsid w:val="007709A2"/>
    <w:rsid w:val="007713F0"/>
    <w:rsid w:val="00772177"/>
    <w:rsid w:val="00772D05"/>
    <w:rsid w:val="00775C65"/>
    <w:rsid w:val="0077639A"/>
    <w:rsid w:val="0078100C"/>
    <w:rsid w:val="0078157F"/>
    <w:rsid w:val="007822C0"/>
    <w:rsid w:val="00782993"/>
    <w:rsid w:val="00786B11"/>
    <w:rsid w:val="00786F48"/>
    <w:rsid w:val="0078772C"/>
    <w:rsid w:val="007878E4"/>
    <w:rsid w:val="00791175"/>
    <w:rsid w:val="00791869"/>
    <w:rsid w:val="00791E11"/>
    <w:rsid w:val="00795495"/>
    <w:rsid w:val="00795528"/>
    <w:rsid w:val="007958A4"/>
    <w:rsid w:val="007963BD"/>
    <w:rsid w:val="00796CB8"/>
    <w:rsid w:val="007A28EE"/>
    <w:rsid w:val="007A3D8C"/>
    <w:rsid w:val="007A4783"/>
    <w:rsid w:val="007A5191"/>
    <w:rsid w:val="007B0500"/>
    <w:rsid w:val="007B0514"/>
    <w:rsid w:val="007B073D"/>
    <w:rsid w:val="007B111B"/>
    <w:rsid w:val="007B3069"/>
    <w:rsid w:val="007B3AE8"/>
    <w:rsid w:val="007B3D65"/>
    <w:rsid w:val="007B4418"/>
    <w:rsid w:val="007B5F62"/>
    <w:rsid w:val="007B62CC"/>
    <w:rsid w:val="007B66B3"/>
    <w:rsid w:val="007B7077"/>
    <w:rsid w:val="007B7F78"/>
    <w:rsid w:val="007C3003"/>
    <w:rsid w:val="007C5CC3"/>
    <w:rsid w:val="007C668B"/>
    <w:rsid w:val="007C6B60"/>
    <w:rsid w:val="007C6CBD"/>
    <w:rsid w:val="007C6F85"/>
    <w:rsid w:val="007D1336"/>
    <w:rsid w:val="007D2725"/>
    <w:rsid w:val="007D3AA0"/>
    <w:rsid w:val="007D3FE2"/>
    <w:rsid w:val="007D5152"/>
    <w:rsid w:val="007D5690"/>
    <w:rsid w:val="007D69FA"/>
    <w:rsid w:val="007D7170"/>
    <w:rsid w:val="007E0112"/>
    <w:rsid w:val="007E03CF"/>
    <w:rsid w:val="007E0A4F"/>
    <w:rsid w:val="007E0D88"/>
    <w:rsid w:val="007E1600"/>
    <w:rsid w:val="007E3313"/>
    <w:rsid w:val="007E5892"/>
    <w:rsid w:val="007F0AB0"/>
    <w:rsid w:val="007F125A"/>
    <w:rsid w:val="007F62B3"/>
    <w:rsid w:val="007F7984"/>
    <w:rsid w:val="007F7B89"/>
    <w:rsid w:val="00803EFB"/>
    <w:rsid w:val="00805745"/>
    <w:rsid w:val="00805F69"/>
    <w:rsid w:val="00810603"/>
    <w:rsid w:val="00814283"/>
    <w:rsid w:val="0081616F"/>
    <w:rsid w:val="0081722F"/>
    <w:rsid w:val="00820209"/>
    <w:rsid w:val="00820BE5"/>
    <w:rsid w:val="00820F35"/>
    <w:rsid w:val="00820FEC"/>
    <w:rsid w:val="00823112"/>
    <w:rsid w:val="0082330D"/>
    <w:rsid w:val="0082393D"/>
    <w:rsid w:val="0083324D"/>
    <w:rsid w:val="00835607"/>
    <w:rsid w:val="00841733"/>
    <w:rsid w:val="0084491A"/>
    <w:rsid w:val="00844D38"/>
    <w:rsid w:val="00844D85"/>
    <w:rsid w:val="00845F12"/>
    <w:rsid w:val="00846DC7"/>
    <w:rsid w:val="008472CD"/>
    <w:rsid w:val="00847661"/>
    <w:rsid w:val="008502D9"/>
    <w:rsid w:val="008524BE"/>
    <w:rsid w:val="00853BC2"/>
    <w:rsid w:val="00854003"/>
    <w:rsid w:val="008540D7"/>
    <w:rsid w:val="00854278"/>
    <w:rsid w:val="0085595B"/>
    <w:rsid w:val="00855DBC"/>
    <w:rsid w:val="00856063"/>
    <w:rsid w:val="00857172"/>
    <w:rsid w:val="00857E04"/>
    <w:rsid w:val="0086236A"/>
    <w:rsid w:val="00862C11"/>
    <w:rsid w:val="0086694F"/>
    <w:rsid w:val="0087035A"/>
    <w:rsid w:val="008707F7"/>
    <w:rsid w:val="0087347D"/>
    <w:rsid w:val="00875351"/>
    <w:rsid w:val="00881E9F"/>
    <w:rsid w:val="00882DAD"/>
    <w:rsid w:val="008839DF"/>
    <w:rsid w:val="00885263"/>
    <w:rsid w:val="008875B6"/>
    <w:rsid w:val="00892DA5"/>
    <w:rsid w:val="00893269"/>
    <w:rsid w:val="008949B1"/>
    <w:rsid w:val="0089704E"/>
    <w:rsid w:val="0089713E"/>
    <w:rsid w:val="008A0E9F"/>
    <w:rsid w:val="008A10F3"/>
    <w:rsid w:val="008A2129"/>
    <w:rsid w:val="008A5C0F"/>
    <w:rsid w:val="008A7B13"/>
    <w:rsid w:val="008B1596"/>
    <w:rsid w:val="008B16E2"/>
    <w:rsid w:val="008B69F2"/>
    <w:rsid w:val="008C09C4"/>
    <w:rsid w:val="008C1F44"/>
    <w:rsid w:val="008C5067"/>
    <w:rsid w:val="008C646F"/>
    <w:rsid w:val="008D55EF"/>
    <w:rsid w:val="008E3E4B"/>
    <w:rsid w:val="008E4EF9"/>
    <w:rsid w:val="008E64BA"/>
    <w:rsid w:val="008E6DFC"/>
    <w:rsid w:val="008E7710"/>
    <w:rsid w:val="008F2512"/>
    <w:rsid w:val="00900D4D"/>
    <w:rsid w:val="009016BB"/>
    <w:rsid w:val="00903F34"/>
    <w:rsid w:val="009040CC"/>
    <w:rsid w:val="009047F2"/>
    <w:rsid w:val="00904A00"/>
    <w:rsid w:val="00905C0A"/>
    <w:rsid w:val="00907292"/>
    <w:rsid w:val="00911007"/>
    <w:rsid w:val="009122F8"/>
    <w:rsid w:val="00913A53"/>
    <w:rsid w:val="009140D0"/>
    <w:rsid w:val="00915520"/>
    <w:rsid w:val="009155F7"/>
    <w:rsid w:val="009169AC"/>
    <w:rsid w:val="00920792"/>
    <w:rsid w:val="00921131"/>
    <w:rsid w:val="009218EF"/>
    <w:rsid w:val="009232E7"/>
    <w:rsid w:val="009247F5"/>
    <w:rsid w:val="009252F7"/>
    <w:rsid w:val="0092665F"/>
    <w:rsid w:val="00926AB2"/>
    <w:rsid w:val="00934403"/>
    <w:rsid w:val="00935508"/>
    <w:rsid w:val="009367BD"/>
    <w:rsid w:val="009407FE"/>
    <w:rsid w:val="009415CF"/>
    <w:rsid w:val="00942436"/>
    <w:rsid w:val="00943740"/>
    <w:rsid w:val="009547A3"/>
    <w:rsid w:val="00954A97"/>
    <w:rsid w:val="0095548D"/>
    <w:rsid w:val="00955B64"/>
    <w:rsid w:val="00957603"/>
    <w:rsid w:val="00957A1D"/>
    <w:rsid w:val="00957BC0"/>
    <w:rsid w:val="009603B5"/>
    <w:rsid w:val="0096487B"/>
    <w:rsid w:val="0097056D"/>
    <w:rsid w:val="009723A7"/>
    <w:rsid w:val="00972954"/>
    <w:rsid w:val="009738F5"/>
    <w:rsid w:val="009757D1"/>
    <w:rsid w:val="009763AD"/>
    <w:rsid w:val="00980754"/>
    <w:rsid w:val="00981535"/>
    <w:rsid w:val="009825C8"/>
    <w:rsid w:val="0098409F"/>
    <w:rsid w:val="00985537"/>
    <w:rsid w:val="009863CA"/>
    <w:rsid w:val="00986E49"/>
    <w:rsid w:val="00991698"/>
    <w:rsid w:val="00991C17"/>
    <w:rsid w:val="00991DC1"/>
    <w:rsid w:val="00992D1E"/>
    <w:rsid w:val="0099406D"/>
    <w:rsid w:val="00997EB2"/>
    <w:rsid w:val="009A06F5"/>
    <w:rsid w:val="009A0788"/>
    <w:rsid w:val="009A0E92"/>
    <w:rsid w:val="009A17A9"/>
    <w:rsid w:val="009A17EC"/>
    <w:rsid w:val="009A5434"/>
    <w:rsid w:val="009A5FB5"/>
    <w:rsid w:val="009A60A4"/>
    <w:rsid w:val="009B03DF"/>
    <w:rsid w:val="009B1538"/>
    <w:rsid w:val="009B24D1"/>
    <w:rsid w:val="009B50EC"/>
    <w:rsid w:val="009B6199"/>
    <w:rsid w:val="009B62B2"/>
    <w:rsid w:val="009B6AF0"/>
    <w:rsid w:val="009C1852"/>
    <w:rsid w:val="009C292D"/>
    <w:rsid w:val="009C3528"/>
    <w:rsid w:val="009C37DB"/>
    <w:rsid w:val="009C3D58"/>
    <w:rsid w:val="009C45E7"/>
    <w:rsid w:val="009C4768"/>
    <w:rsid w:val="009C5F0C"/>
    <w:rsid w:val="009C6776"/>
    <w:rsid w:val="009C67C0"/>
    <w:rsid w:val="009D1035"/>
    <w:rsid w:val="009D13D0"/>
    <w:rsid w:val="009D1511"/>
    <w:rsid w:val="009D2068"/>
    <w:rsid w:val="009D4529"/>
    <w:rsid w:val="009D7D33"/>
    <w:rsid w:val="009E160E"/>
    <w:rsid w:val="009E1AEE"/>
    <w:rsid w:val="009E29FE"/>
    <w:rsid w:val="009E473E"/>
    <w:rsid w:val="009E4DD4"/>
    <w:rsid w:val="009E4E3F"/>
    <w:rsid w:val="009E4E64"/>
    <w:rsid w:val="009E54E7"/>
    <w:rsid w:val="009E55E8"/>
    <w:rsid w:val="009E698B"/>
    <w:rsid w:val="009E74F6"/>
    <w:rsid w:val="009F1547"/>
    <w:rsid w:val="009F49B3"/>
    <w:rsid w:val="009F4ABA"/>
    <w:rsid w:val="009F4C69"/>
    <w:rsid w:val="009F5E8D"/>
    <w:rsid w:val="00A01539"/>
    <w:rsid w:val="00A02552"/>
    <w:rsid w:val="00A05F1F"/>
    <w:rsid w:val="00A066AE"/>
    <w:rsid w:val="00A10DD9"/>
    <w:rsid w:val="00A116A5"/>
    <w:rsid w:val="00A12C6B"/>
    <w:rsid w:val="00A132F3"/>
    <w:rsid w:val="00A1344A"/>
    <w:rsid w:val="00A14117"/>
    <w:rsid w:val="00A149FA"/>
    <w:rsid w:val="00A17DF0"/>
    <w:rsid w:val="00A20449"/>
    <w:rsid w:val="00A20CFB"/>
    <w:rsid w:val="00A20F78"/>
    <w:rsid w:val="00A218F1"/>
    <w:rsid w:val="00A2399A"/>
    <w:rsid w:val="00A23FE0"/>
    <w:rsid w:val="00A26C8C"/>
    <w:rsid w:val="00A27DEE"/>
    <w:rsid w:val="00A31B93"/>
    <w:rsid w:val="00A33664"/>
    <w:rsid w:val="00A33DF5"/>
    <w:rsid w:val="00A342AF"/>
    <w:rsid w:val="00A375EF"/>
    <w:rsid w:val="00A4162A"/>
    <w:rsid w:val="00A41F00"/>
    <w:rsid w:val="00A429CD"/>
    <w:rsid w:val="00A51CF6"/>
    <w:rsid w:val="00A528C2"/>
    <w:rsid w:val="00A5349C"/>
    <w:rsid w:val="00A54AFD"/>
    <w:rsid w:val="00A54E69"/>
    <w:rsid w:val="00A563C4"/>
    <w:rsid w:val="00A57DBF"/>
    <w:rsid w:val="00A61B06"/>
    <w:rsid w:val="00A62113"/>
    <w:rsid w:val="00A64CCE"/>
    <w:rsid w:val="00A66BEF"/>
    <w:rsid w:val="00A66F19"/>
    <w:rsid w:val="00A6759C"/>
    <w:rsid w:val="00A67923"/>
    <w:rsid w:val="00A713ED"/>
    <w:rsid w:val="00A714B8"/>
    <w:rsid w:val="00A71AEE"/>
    <w:rsid w:val="00A74901"/>
    <w:rsid w:val="00A75733"/>
    <w:rsid w:val="00A76308"/>
    <w:rsid w:val="00A77C08"/>
    <w:rsid w:val="00A77C10"/>
    <w:rsid w:val="00A81527"/>
    <w:rsid w:val="00A81B05"/>
    <w:rsid w:val="00A82058"/>
    <w:rsid w:val="00A84AE7"/>
    <w:rsid w:val="00A869B0"/>
    <w:rsid w:val="00A900F9"/>
    <w:rsid w:val="00A907E3"/>
    <w:rsid w:val="00A927DE"/>
    <w:rsid w:val="00A9289F"/>
    <w:rsid w:val="00A92C1D"/>
    <w:rsid w:val="00A9358C"/>
    <w:rsid w:val="00A95633"/>
    <w:rsid w:val="00A9607A"/>
    <w:rsid w:val="00A97BC5"/>
    <w:rsid w:val="00AA0675"/>
    <w:rsid w:val="00AA0C77"/>
    <w:rsid w:val="00AA1D27"/>
    <w:rsid w:val="00AA204C"/>
    <w:rsid w:val="00AA2D57"/>
    <w:rsid w:val="00AA3941"/>
    <w:rsid w:val="00AA40F4"/>
    <w:rsid w:val="00AA5080"/>
    <w:rsid w:val="00AA56D0"/>
    <w:rsid w:val="00AB0C9F"/>
    <w:rsid w:val="00AB11A3"/>
    <w:rsid w:val="00AB143A"/>
    <w:rsid w:val="00AC003C"/>
    <w:rsid w:val="00AC0103"/>
    <w:rsid w:val="00AC1404"/>
    <w:rsid w:val="00AC17AF"/>
    <w:rsid w:val="00AC1D68"/>
    <w:rsid w:val="00AC522C"/>
    <w:rsid w:val="00AC5EF9"/>
    <w:rsid w:val="00AC6CA9"/>
    <w:rsid w:val="00AD039F"/>
    <w:rsid w:val="00AD20E6"/>
    <w:rsid w:val="00AD3902"/>
    <w:rsid w:val="00AD3E7A"/>
    <w:rsid w:val="00AD56A6"/>
    <w:rsid w:val="00AD6010"/>
    <w:rsid w:val="00AD7138"/>
    <w:rsid w:val="00AE1B9D"/>
    <w:rsid w:val="00AE33FF"/>
    <w:rsid w:val="00AE39E6"/>
    <w:rsid w:val="00AF06D5"/>
    <w:rsid w:val="00AF09DD"/>
    <w:rsid w:val="00AF14D7"/>
    <w:rsid w:val="00AF6E4C"/>
    <w:rsid w:val="00B02655"/>
    <w:rsid w:val="00B04439"/>
    <w:rsid w:val="00B048F0"/>
    <w:rsid w:val="00B04CD8"/>
    <w:rsid w:val="00B05102"/>
    <w:rsid w:val="00B064F9"/>
    <w:rsid w:val="00B117A7"/>
    <w:rsid w:val="00B11817"/>
    <w:rsid w:val="00B1185C"/>
    <w:rsid w:val="00B11CCC"/>
    <w:rsid w:val="00B11E02"/>
    <w:rsid w:val="00B11FFF"/>
    <w:rsid w:val="00B16A34"/>
    <w:rsid w:val="00B16E0C"/>
    <w:rsid w:val="00B20268"/>
    <w:rsid w:val="00B20BE9"/>
    <w:rsid w:val="00B226D9"/>
    <w:rsid w:val="00B237A7"/>
    <w:rsid w:val="00B25453"/>
    <w:rsid w:val="00B25C99"/>
    <w:rsid w:val="00B31B9C"/>
    <w:rsid w:val="00B33626"/>
    <w:rsid w:val="00B34C69"/>
    <w:rsid w:val="00B34D6C"/>
    <w:rsid w:val="00B41C81"/>
    <w:rsid w:val="00B42BAA"/>
    <w:rsid w:val="00B43911"/>
    <w:rsid w:val="00B449A0"/>
    <w:rsid w:val="00B45B4D"/>
    <w:rsid w:val="00B4626A"/>
    <w:rsid w:val="00B473B3"/>
    <w:rsid w:val="00B5544F"/>
    <w:rsid w:val="00B55E5D"/>
    <w:rsid w:val="00B60A36"/>
    <w:rsid w:val="00B61DC0"/>
    <w:rsid w:val="00B62D9B"/>
    <w:rsid w:val="00B648D2"/>
    <w:rsid w:val="00B652BA"/>
    <w:rsid w:val="00B66867"/>
    <w:rsid w:val="00B66994"/>
    <w:rsid w:val="00B71AFB"/>
    <w:rsid w:val="00B71F3A"/>
    <w:rsid w:val="00B72906"/>
    <w:rsid w:val="00B735FA"/>
    <w:rsid w:val="00B73C97"/>
    <w:rsid w:val="00B76340"/>
    <w:rsid w:val="00B77AEF"/>
    <w:rsid w:val="00B80C43"/>
    <w:rsid w:val="00B813FB"/>
    <w:rsid w:val="00B82A49"/>
    <w:rsid w:val="00B85CDC"/>
    <w:rsid w:val="00B91BD0"/>
    <w:rsid w:val="00B925DC"/>
    <w:rsid w:val="00B94786"/>
    <w:rsid w:val="00B95FCD"/>
    <w:rsid w:val="00BA016F"/>
    <w:rsid w:val="00BA1886"/>
    <w:rsid w:val="00BA78B6"/>
    <w:rsid w:val="00BA7B47"/>
    <w:rsid w:val="00BB07C9"/>
    <w:rsid w:val="00BB2479"/>
    <w:rsid w:val="00BB26AD"/>
    <w:rsid w:val="00BB27E1"/>
    <w:rsid w:val="00BB39D2"/>
    <w:rsid w:val="00BB5800"/>
    <w:rsid w:val="00BB6DD0"/>
    <w:rsid w:val="00BB705F"/>
    <w:rsid w:val="00BB79BD"/>
    <w:rsid w:val="00BC0450"/>
    <w:rsid w:val="00BC5F29"/>
    <w:rsid w:val="00BC7208"/>
    <w:rsid w:val="00BD08E7"/>
    <w:rsid w:val="00BD0B48"/>
    <w:rsid w:val="00BD0C5E"/>
    <w:rsid w:val="00BD100B"/>
    <w:rsid w:val="00BD2A0A"/>
    <w:rsid w:val="00BD3E6F"/>
    <w:rsid w:val="00BD5D0F"/>
    <w:rsid w:val="00BD7C68"/>
    <w:rsid w:val="00BE1CBC"/>
    <w:rsid w:val="00BE29DC"/>
    <w:rsid w:val="00BE71B8"/>
    <w:rsid w:val="00BF063C"/>
    <w:rsid w:val="00BF156F"/>
    <w:rsid w:val="00BF255E"/>
    <w:rsid w:val="00BF36C6"/>
    <w:rsid w:val="00BF56C7"/>
    <w:rsid w:val="00BF697A"/>
    <w:rsid w:val="00BF6ADB"/>
    <w:rsid w:val="00C00208"/>
    <w:rsid w:val="00C0092D"/>
    <w:rsid w:val="00C0168E"/>
    <w:rsid w:val="00C03776"/>
    <w:rsid w:val="00C0395E"/>
    <w:rsid w:val="00C04BBF"/>
    <w:rsid w:val="00C0665E"/>
    <w:rsid w:val="00C109D4"/>
    <w:rsid w:val="00C11F0D"/>
    <w:rsid w:val="00C13821"/>
    <w:rsid w:val="00C14051"/>
    <w:rsid w:val="00C15F73"/>
    <w:rsid w:val="00C167E4"/>
    <w:rsid w:val="00C17227"/>
    <w:rsid w:val="00C2037B"/>
    <w:rsid w:val="00C22B84"/>
    <w:rsid w:val="00C22FF7"/>
    <w:rsid w:val="00C232AD"/>
    <w:rsid w:val="00C241B5"/>
    <w:rsid w:val="00C267FC"/>
    <w:rsid w:val="00C27F76"/>
    <w:rsid w:val="00C30DA4"/>
    <w:rsid w:val="00C314C6"/>
    <w:rsid w:val="00C31A3C"/>
    <w:rsid w:val="00C345AD"/>
    <w:rsid w:val="00C35D18"/>
    <w:rsid w:val="00C4026A"/>
    <w:rsid w:val="00C402AC"/>
    <w:rsid w:val="00C428B3"/>
    <w:rsid w:val="00C44719"/>
    <w:rsid w:val="00C461BD"/>
    <w:rsid w:val="00C47774"/>
    <w:rsid w:val="00C4796B"/>
    <w:rsid w:val="00C50108"/>
    <w:rsid w:val="00C55CAD"/>
    <w:rsid w:val="00C63FF4"/>
    <w:rsid w:val="00C64D1B"/>
    <w:rsid w:val="00C6572C"/>
    <w:rsid w:val="00C66997"/>
    <w:rsid w:val="00C70CFF"/>
    <w:rsid w:val="00C7119F"/>
    <w:rsid w:val="00C75655"/>
    <w:rsid w:val="00C75E7F"/>
    <w:rsid w:val="00C82083"/>
    <w:rsid w:val="00C837B0"/>
    <w:rsid w:val="00C837C3"/>
    <w:rsid w:val="00C84497"/>
    <w:rsid w:val="00C857B9"/>
    <w:rsid w:val="00C868F6"/>
    <w:rsid w:val="00C9137C"/>
    <w:rsid w:val="00C91644"/>
    <w:rsid w:val="00C92062"/>
    <w:rsid w:val="00C9441E"/>
    <w:rsid w:val="00C95CF2"/>
    <w:rsid w:val="00C9663B"/>
    <w:rsid w:val="00CA2704"/>
    <w:rsid w:val="00CA43A5"/>
    <w:rsid w:val="00CA4523"/>
    <w:rsid w:val="00CA6E6A"/>
    <w:rsid w:val="00CA7C0B"/>
    <w:rsid w:val="00CB1179"/>
    <w:rsid w:val="00CB2B2D"/>
    <w:rsid w:val="00CB6E2B"/>
    <w:rsid w:val="00CB6FF7"/>
    <w:rsid w:val="00CB7302"/>
    <w:rsid w:val="00CC0C61"/>
    <w:rsid w:val="00CC1E9F"/>
    <w:rsid w:val="00CC5896"/>
    <w:rsid w:val="00CD4641"/>
    <w:rsid w:val="00CD58F8"/>
    <w:rsid w:val="00CD6BEB"/>
    <w:rsid w:val="00CE0C35"/>
    <w:rsid w:val="00CE10A7"/>
    <w:rsid w:val="00CE3810"/>
    <w:rsid w:val="00CE3F2A"/>
    <w:rsid w:val="00CE52B4"/>
    <w:rsid w:val="00CE5DCD"/>
    <w:rsid w:val="00CE701C"/>
    <w:rsid w:val="00CE7599"/>
    <w:rsid w:val="00CF1363"/>
    <w:rsid w:val="00CF138B"/>
    <w:rsid w:val="00CF1D41"/>
    <w:rsid w:val="00CF414A"/>
    <w:rsid w:val="00CF4FF0"/>
    <w:rsid w:val="00CF5033"/>
    <w:rsid w:val="00CF5B47"/>
    <w:rsid w:val="00CF61C7"/>
    <w:rsid w:val="00D0250A"/>
    <w:rsid w:val="00D02FA2"/>
    <w:rsid w:val="00D06E57"/>
    <w:rsid w:val="00D104F9"/>
    <w:rsid w:val="00D10596"/>
    <w:rsid w:val="00D12C5A"/>
    <w:rsid w:val="00D13244"/>
    <w:rsid w:val="00D14323"/>
    <w:rsid w:val="00D14A63"/>
    <w:rsid w:val="00D16008"/>
    <w:rsid w:val="00D166D4"/>
    <w:rsid w:val="00D17733"/>
    <w:rsid w:val="00D22255"/>
    <w:rsid w:val="00D30254"/>
    <w:rsid w:val="00D33768"/>
    <w:rsid w:val="00D33D87"/>
    <w:rsid w:val="00D35077"/>
    <w:rsid w:val="00D3512B"/>
    <w:rsid w:val="00D35A6E"/>
    <w:rsid w:val="00D35E13"/>
    <w:rsid w:val="00D37898"/>
    <w:rsid w:val="00D4041E"/>
    <w:rsid w:val="00D40484"/>
    <w:rsid w:val="00D408A8"/>
    <w:rsid w:val="00D41F5C"/>
    <w:rsid w:val="00D44215"/>
    <w:rsid w:val="00D4576E"/>
    <w:rsid w:val="00D46DAE"/>
    <w:rsid w:val="00D50736"/>
    <w:rsid w:val="00D5102D"/>
    <w:rsid w:val="00D51C8F"/>
    <w:rsid w:val="00D51C92"/>
    <w:rsid w:val="00D5204B"/>
    <w:rsid w:val="00D53CDE"/>
    <w:rsid w:val="00D5456E"/>
    <w:rsid w:val="00D54C10"/>
    <w:rsid w:val="00D55191"/>
    <w:rsid w:val="00D55CD0"/>
    <w:rsid w:val="00D56F25"/>
    <w:rsid w:val="00D57544"/>
    <w:rsid w:val="00D57973"/>
    <w:rsid w:val="00D60CE2"/>
    <w:rsid w:val="00D612EC"/>
    <w:rsid w:val="00D6153E"/>
    <w:rsid w:val="00D623C4"/>
    <w:rsid w:val="00D63CE1"/>
    <w:rsid w:val="00D66241"/>
    <w:rsid w:val="00D6628B"/>
    <w:rsid w:val="00D70A94"/>
    <w:rsid w:val="00D722DF"/>
    <w:rsid w:val="00D74835"/>
    <w:rsid w:val="00D773DE"/>
    <w:rsid w:val="00D82792"/>
    <w:rsid w:val="00D82A26"/>
    <w:rsid w:val="00D83DDE"/>
    <w:rsid w:val="00D84675"/>
    <w:rsid w:val="00D8526A"/>
    <w:rsid w:val="00D8591F"/>
    <w:rsid w:val="00D86252"/>
    <w:rsid w:val="00D90105"/>
    <w:rsid w:val="00D917F3"/>
    <w:rsid w:val="00D91AD0"/>
    <w:rsid w:val="00D97765"/>
    <w:rsid w:val="00D97BAA"/>
    <w:rsid w:val="00DA1A69"/>
    <w:rsid w:val="00DA3AF3"/>
    <w:rsid w:val="00DA5455"/>
    <w:rsid w:val="00DA5C2B"/>
    <w:rsid w:val="00DA666E"/>
    <w:rsid w:val="00DA7CC2"/>
    <w:rsid w:val="00DB5EFB"/>
    <w:rsid w:val="00DB6EF1"/>
    <w:rsid w:val="00DB735F"/>
    <w:rsid w:val="00DB7457"/>
    <w:rsid w:val="00DC19BB"/>
    <w:rsid w:val="00DC3691"/>
    <w:rsid w:val="00DC6404"/>
    <w:rsid w:val="00DD10C2"/>
    <w:rsid w:val="00DD2468"/>
    <w:rsid w:val="00DD262E"/>
    <w:rsid w:val="00DD425F"/>
    <w:rsid w:val="00DD4DB1"/>
    <w:rsid w:val="00DD7FDF"/>
    <w:rsid w:val="00DE0715"/>
    <w:rsid w:val="00DE1703"/>
    <w:rsid w:val="00DE25AC"/>
    <w:rsid w:val="00DE3F77"/>
    <w:rsid w:val="00DF2213"/>
    <w:rsid w:val="00DF288F"/>
    <w:rsid w:val="00DF3063"/>
    <w:rsid w:val="00DF4F35"/>
    <w:rsid w:val="00DF568D"/>
    <w:rsid w:val="00DF6C5C"/>
    <w:rsid w:val="00E00CCB"/>
    <w:rsid w:val="00E03403"/>
    <w:rsid w:val="00E034AA"/>
    <w:rsid w:val="00E042C7"/>
    <w:rsid w:val="00E0483D"/>
    <w:rsid w:val="00E06959"/>
    <w:rsid w:val="00E06DBD"/>
    <w:rsid w:val="00E0781A"/>
    <w:rsid w:val="00E07978"/>
    <w:rsid w:val="00E104F4"/>
    <w:rsid w:val="00E11475"/>
    <w:rsid w:val="00E143A0"/>
    <w:rsid w:val="00E175A7"/>
    <w:rsid w:val="00E17B02"/>
    <w:rsid w:val="00E20168"/>
    <w:rsid w:val="00E20740"/>
    <w:rsid w:val="00E20E92"/>
    <w:rsid w:val="00E21833"/>
    <w:rsid w:val="00E2218D"/>
    <w:rsid w:val="00E22DB2"/>
    <w:rsid w:val="00E235E5"/>
    <w:rsid w:val="00E245DA"/>
    <w:rsid w:val="00E24645"/>
    <w:rsid w:val="00E2498A"/>
    <w:rsid w:val="00E260F4"/>
    <w:rsid w:val="00E27A2E"/>
    <w:rsid w:val="00E311CB"/>
    <w:rsid w:val="00E31BCB"/>
    <w:rsid w:val="00E32963"/>
    <w:rsid w:val="00E337BC"/>
    <w:rsid w:val="00E350CD"/>
    <w:rsid w:val="00E372A9"/>
    <w:rsid w:val="00E4001B"/>
    <w:rsid w:val="00E50B9F"/>
    <w:rsid w:val="00E51FDE"/>
    <w:rsid w:val="00E534B2"/>
    <w:rsid w:val="00E5659C"/>
    <w:rsid w:val="00E56B66"/>
    <w:rsid w:val="00E579AF"/>
    <w:rsid w:val="00E62299"/>
    <w:rsid w:val="00E625F0"/>
    <w:rsid w:val="00E62CCB"/>
    <w:rsid w:val="00E64D5F"/>
    <w:rsid w:val="00E66B6C"/>
    <w:rsid w:val="00E705B7"/>
    <w:rsid w:val="00E7086E"/>
    <w:rsid w:val="00E70ECC"/>
    <w:rsid w:val="00E71205"/>
    <w:rsid w:val="00E71A89"/>
    <w:rsid w:val="00E746F9"/>
    <w:rsid w:val="00E74829"/>
    <w:rsid w:val="00E75047"/>
    <w:rsid w:val="00E77197"/>
    <w:rsid w:val="00E81B1A"/>
    <w:rsid w:val="00E8276B"/>
    <w:rsid w:val="00E83671"/>
    <w:rsid w:val="00E84FB3"/>
    <w:rsid w:val="00E87037"/>
    <w:rsid w:val="00E91419"/>
    <w:rsid w:val="00E93197"/>
    <w:rsid w:val="00E95F7A"/>
    <w:rsid w:val="00EA09BB"/>
    <w:rsid w:val="00EA0F03"/>
    <w:rsid w:val="00EA1EF9"/>
    <w:rsid w:val="00EA2CA0"/>
    <w:rsid w:val="00EA3F40"/>
    <w:rsid w:val="00EA530A"/>
    <w:rsid w:val="00EA7237"/>
    <w:rsid w:val="00EB055B"/>
    <w:rsid w:val="00EB112A"/>
    <w:rsid w:val="00EC009C"/>
    <w:rsid w:val="00EC1010"/>
    <w:rsid w:val="00EC1212"/>
    <w:rsid w:val="00EC125E"/>
    <w:rsid w:val="00EC1D3D"/>
    <w:rsid w:val="00EC23F5"/>
    <w:rsid w:val="00EC3331"/>
    <w:rsid w:val="00EC44C9"/>
    <w:rsid w:val="00EC4E1F"/>
    <w:rsid w:val="00EC5A10"/>
    <w:rsid w:val="00EC677E"/>
    <w:rsid w:val="00EC7E67"/>
    <w:rsid w:val="00ED1D30"/>
    <w:rsid w:val="00ED5B5C"/>
    <w:rsid w:val="00ED70BD"/>
    <w:rsid w:val="00ED7CE5"/>
    <w:rsid w:val="00EE06D3"/>
    <w:rsid w:val="00EE0B3E"/>
    <w:rsid w:val="00EE0B8F"/>
    <w:rsid w:val="00EE37BB"/>
    <w:rsid w:val="00EE474A"/>
    <w:rsid w:val="00EE4BC1"/>
    <w:rsid w:val="00EF0ECD"/>
    <w:rsid w:val="00EF3A2A"/>
    <w:rsid w:val="00EF4099"/>
    <w:rsid w:val="00EF5030"/>
    <w:rsid w:val="00EF5133"/>
    <w:rsid w:val="00EF596D"/>
    <w:rsid w:val="00EF6BDC"/>
    <w:rsid w:val="00F00FAB"/>
    <w:rsid w:val="00F0117B"/>
    <w:rsid w:val="00F01478"/>
    <w:rsid w:val="00F01C4C"/>
    <w:rsid w:val="00F02650"/>
    <w:rsid w:val="00F02786"/>
    <w:rsid w:val="00F02CBB"/>
    <w:rsid w:val="00F03ABB"/>
    <w:rsid w:val="00F0434F"/>
    <w:rsid w:val="00F0670F"/>
    <w:rsid w:val="00F06C10"/>
    <w:rsid w:val="00F07FA6"/>
    <w:rsid w:val="00F11BB3"/>
    <w:rsid w:val="00F11C25"/>
    <w:rsid w:val="00F13036"/>
    <w:rsid w:val="00F15A37"/>
    <w:rsid w:val="00F15CEB"/>
    <w:rsid w:val="00F20A7A"/>
    <w:rsid w:val="00F21D1A"/>
    <w:rsid w:val="00F22865"/>
    <w:rsid w:val="00F24D75"/>
    <w:rsid w:val="00F261E3"/>
    <w:rsid w:val="00F263E2"/>
    <w:rsid w:val="00F3270E"/>
    <w:rsid w:val="00F3486A"/>
    <w:rsid w:val="00F34B2F"/>
    <w:rsid w:val="00F34F33"/>
    <w:rsid w:val="00F36D1F"/>
    <w:rsid w:val="00F3769E"/>
    <w:rsid w:val="00F3794A"/>
    <w:rsid w:val="00F379D9"/>
    <w:rsid w:val="00F40F06"/>
    <w:rsid w:val="00F42669"/>
    <w:rsid w:val="00F44BF2"/>
    <w:rsid w:val="00F45974"/>
    <w:rsid w:val="00F45CC3"/>
    <w:rsid w:val="00F4749B"/>
    <w:rsid w:val="00F47C5E"/>
    <w:rsid w:val="00F50187"/>
    <w:rsid w:val="00F50A47"/>
    <w:rsid w:val="00F514FB"/>
    <w:rsid w:val="00F522C0"/>
    <w:rsid w:val="00F52302"/>
    <w:rsid w:val="00F54ED3"/>
    <w:rsid w:val="00F55029"/>
    <w:rsid w:val="00F56CE9"/>
    <w:rsid w:val="00F61151"/>
    <w:rsid w:val="00F63CC7"/>
    <w:rsid w:val="00F63CE6"/>
    <w:rsid w:val="00F64536"/>
    <w:rsid w:val="00F64ECE"/>
    <w:rsid w:val="00F67B6E"/>
    <w:rsid w:val="00F7168E"/>
    <w:rsid w:val="00F740F4"/>
    <w:rsid w:val="00F74106"/>
    <w:rsid w:val="00F7484A"/>
    <w:rsid w:val="00F769C7"/>
    <w:rsid w:val="00F76A4A"/>
    <w:rsid w:val="00F77765"/>
    <w:rsid w:val="00F77EC3"/>
    <w:rsid w:val="00F80AED"/>
    <w:rsid w:val="00F85E98"/>
    <w:rsid w:val="00F9461D"/>
    <w:rsid w:val="00F94CBC"/>
    <w:rsid w:val="00F95E42"/>
    <w:rsid w:val="00F9643C"/>
    <w:rsid w:val="00F96D36"/>
    <w:rsid w:val="00FA02D5"/>
    <w:rsid w:val="00FA1ABF"/>
    <w:rsid w:val="00FA6569"/>
    <w:rsid w:val="00FA7C8B"/>
    <w:rsid w:val="00FB0249"/>
    <w:rsid w:val="00FB0D03"/>
    <w:rsid w:val="00FB1085"/>
    <w:rsid w:val="00FB228A"/>
    <w:rsid w:val="00FB2A4B"/>
    <w:rsid w:val="00FB3E18"/>
    <w:rsid w:val="00FB3E7A"/>
    <w:rsid w:val="00FB47DF"/>
    <w:rsid w:val="00FB793A"/>
    <w:rsid w:val="00FC140A"/>
    <w:rsid w:val="00FC2027"/>
    <w:rsid w:val="00FC27FE"/>
    <w:rsid w:val="00FC422A"/>
    <w:rsid w:val="00FC4242"/>
    <w:rsid w:val="00FC5915"/>
    <w:rsid w:val="00FC5D6D"/>
    <w:rsid w:val="00FC5FE4"/>
    <w:rsid w:val="00FD6657"/>
    <w:rsid w:val="00FE0007"/>
    <w:rsid w:val="00FE2943"/>
    <w:rsid w:val="00FE2D45"/>
    <w:rsid w:val="00FE5508"/>
    <w:rsid w:val="00FF185D"/>
    <w:rsid w:val="00FF1A54"/>
    <w:rsid w:val="00FF2BD5"/>
    <w:rsid w:val="00FF61DC"/>
    <w:rsid w:val="00FF6CEA"/>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76E"/>
    <w:pPr>
      <w:widowControl w:val="0"/>
      <w:spacing w:after="0" w:line="360" w:lineRule="auto"/>
      <w:ind w:firstLine="1440"/>
    </w:pPr>
    <w:rPr>
      <w:rFonts w:ascii="Times New Roman" w:eastAsia="Times New Roman" w:hAnsi="Times New Roman" w:cs="Times New Roman"/>
      <w:sz w:val="26"/>
      <w:szCs w:val="20"/>
    </w:rPr>
  </w:style>
  <w:style w:type="paragraph" w:styleId="Heading1">
    <w:name w:val="heading 1"/>
    <w:basedOn w:val="Normal"/>
    <w:next w:val="Normal"/>
    <w:link w:val="Heading1Char"/>
    <w:uiPriority w:val="9"/>
    <w:qFormat/>
    <w:rsid w:val="007D5152"/>
    <w:pPr>
      <w:keepNext/>
      <w:keepLines/>
      <w:numPr>
        <w:numId w:val="2"/>
      </w:numPr>
      <w:spacing w:line="240" w:lineRule="auto"/>
      <w:ind w:left="720" w:hanging="72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2875A7"/>
    <w:pPr>
      <w:keepNext/>
      <w:keepLines/>
      <w:numPr>
        <w:numId w:val="3"/>
      </w:numPr>
      <w:spacing w:line="240" w:lineRule="auto"/>
      <w:ind w:left="1440" w:hanging="7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A907E3"/>
    <w:pPr>
      <w:keepNext/>
      <w:keepLines/>
      <w:numPr>
        <w:numId w:val="4"/>
      </w:numPr>
      <w:spacing w:line="240" w:lineRule="auto"/>
      <w:ind w:left="2160" w:hanging="720"/>
      <w:outlineLvl w:val="2"/>
    </w:pPr>
    <w:rPr>
      <w:rFonts w:eastAsiaTheme="majorEastAsia" w:cstheme="majorBidi"/>
      <w:b/>
      <w:bCs/>
      <w:color w:val="000000" w:themeColor="text1"/>
    </w:rPr>
  </w:style>
  <w:style w:type="paragraph" w:styleId="Heading4">
    <w:name w:val="heading 4"/>
    <w:basedOn w:val="Normal"/>
    <w:next w:val="Normal"/>
    <w:link w:val="Heading4Char"/>
    <w:uiPriority w:val="9"/>
    <w:unhideWhenUsed/>
    <w:qFormat/>
    <w:rsid w:val="00346D1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fr,o,Style 6,Style 20,Style 9"/>
    <w:basedOn w:val="DefaultParagraphFont"/>
    <w:rsid w:val="00671E4C"/>
    <w:rPr>
      <w:vertAlign w:val="superscript"/>
    </w:rPr>
  </w:style>
  <w:style w:type="character" w:styleId="Hyperlink">
    <w:name w:val="Hyperlink"/>
    <w:basedOn w:val="DefaultParagraphFont"/>
    <w:uiPriority w:val="99"/>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Footnote Text Cha"/>
    <w:basedOn w:val="Normal"/>
    <w:link w:val="FootnoteTextChar"/>
    <w:unhideWhenUsed/>
    <w:qFormat/>
    <w:rsid w:val="002201DD"/>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f Char"/>
    <w:basedOn w:val="DefaultParagraphFont"/>
    <w:link w:val="FootnoteText"/>
    <w:rsid w:val="002201DD"/>
    <w:rPr>
      <w:rFonts w:ascii="Times New Roman" w:eastAsia="Times New Roman" w:hAnsi="Times New Roman" w:cs="Times New Roman"/>
      <w:sz w:val="20"/>
      <w:szCs w:val="20"/>
    </w:rPr>
  </w:style>
  <w:style w:type="paragraph" w:customStyle="1" w:styleId="Default">
    <w:name w:val="Default"/>
    <w:rsid w:val="00032BE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eader">
    <w:name w:val="header"/>
    <w:basedOn w:val="Normal"/>
    <w:link w:val="HeaderChar"/>
    <w:uiPriority w:val="99"/>
    <w:unhideWhenUsed/>
    <w:rsid w:val="003803CE"/>
    <w:pPr>
      <w:tabs>
        <w:tab w:val="center" w:pos="4680"/>
        <w:tab w:val="right" w:pos="9360"/>
      </w:tabs>
      <w:spacing w:line="240" w:lineRule="auto"/>
    </w:pPr>
  </w:style>
  <w:style w:type="character" w:customStyle="1" w:styleId="HeaderChar">
    <w:name w:val="Header Char"/>
    <w:basedOn w:val="DefaultParagraphFont"/>
    <w:link w:val="Header"/>
    <w:uiPriority w:val="99"/>
    <w:rsid w:val="003803CE"/>
    <w:rPr>
      <w:rFonts w:ascii="Times New Roman" w:eastAsia="Times New Roman" w:hAnsi="Times New Roman" w:cs="Times New Roman"/>
      <w:sz w:val="26"/>
      <w:szCs w:val="20"/>
    </w:rPr>
  </w:style>
  <w:style w:type="paragraph" w:styleId="Footer">
    <w:name w:val="footer"/>
    <w:basedOn w:val="Normal"/>
    <w:link w:val="FooterChar"/>
    <w:uiPriority w:val="99"/>
    <w:unhideWhenUsed/>
    <w:rsid w:val="003803CE"/>
    <w:pPr>
      <w:tabs>
        <w:tab w:val="center" w:pos="4680"/>
        <w:tab w:val="right" w:pos="9360"/>
      </w:tabs>
      <w:spacing w:line="240" w:lineRule="auto"/>
    </w:pPr>
  </w:style>
  <w:style w:type="character" w:customStyle="1" w:styleId="FooterChar">
    <w:name w:val="Footer Char"/>
    <w:basedOn w:val="DefaultParagraphFont"/>
    <w:link w:val="Footer"/>
    <w:uiPriority w:val="99"/>
    <w:rsid w:val="003803CE"/>
    <w:rPr>
      <w:rFonts w:ascii="Times New Roman" w:eastAsia="Times New Roman" w:hAnsi="Times New Roman" w:cs="Times New Roman"/>
      <w:sz w:val="26"/>
      <w:szCs w:val="20"/>
    </w:rPr>
  </w:style>
  <w:style w:type="paragraph" w:styleId="EndnoteText">
    <w:name w:val="endnote text"/>
    <w:basedOn w:val="Normal"/>
    <w:link w:val="EndnoteTextChar"/>
    <w:uiPriority w:val="99"/>
    <w:semiHidden/>
    <w:unhideWhenUsed/>
    <w:rsid w:val="003C32E2"/>
    <w:pPr>
      <w:spacing w:line="240" w:lineRule="auto"/>
    </w:pPr>
    <w:rPr>
      <w:sz w:val="20"/>
    </w:rPr>
  </w:style>
  <w:style w:type="character" w:customStyle="1" w:styleId="EndnoteTextChar">
    <w:name w:val="Endnote Text Char"/>
    <w:basedOn w:val="DefaultParagraphFont"/>
    <w:link w:val="EndnoteText"/>
    <w:uiPriority w:val="99"/>
    <w:semiHidden/>
    <w:rsid w:val="003C32E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C32E2"/>
    <w:rPr>
      <w:vertAlign w:val="superscript"/>
    </w:rPr>
  </w:style>
  <w:style w:type="character" w:customStyle="1" w:styleId="Heading1Char">
    <w:name w:val="Heading 1 Char"/>
    <w:basedOn w:val="DefaultParagraphFont"/>
    <w:link w:val="Heading1"/>
    <w:uiPriority w:val="9"/>
    <w:rsid w:val="007D5152"/>
    <w:rPr>
      <w:rFonts w:ascii="Times New Roman" w:eastAsiaTheme="majorEastAsia" w:hAnsi="Times New Roman" w:cstheme="majorBidi"/>
      <w:b/>
      <w:bCs/>
      <w:sz w:val="26"/>
      <w:szCs w:val="28"/>
    </w:rPr>
  </w:style>
  <w:style w:type="character" w:customStyle="1" w:styleId="Heading2Char">
    <w:name w:val="Heading 2 Char"/>
    <w:basedOn w:val="DefaultParagraphFont"/>
    <w:link w:val="Heading2"/>
    <w:uiPriority w:val="9"/>
    <w:rsid w:val="002875A7"/>
    <w:rPr>
      <w:rFonts w:ascii="Times New Roman" w:eastAsiaTheme="majorEastAsia" w:hAnsi="Times New Roman" w:cstheme="majorBidi"/>
      <w:b/>
      <w:bCs/>
      <w:sz w:val="26"/>
      <w:szCs w:val="26"/>
    </w:rPr>
  </w:style>
  <w:style w:type="character" w:customStyle="1" w:styleId="Heading3Char">
    <w:name w:val="Heading 3 Char"/>
    <w:basedOn w:val="DefaultParagraphFont"/>
    <w:link w:val="Heading3"/>
    <w:uiPriority w:val="9"/>
    <w:rsid w:val="00A907E3"/>
    <w:rPr>
      <w:rFonts w:ascii="Times New Roman" w:eastAsiaTheme="majorEastAsia" w:hAnsi="Times New Roman" w:cstheme="majorBidi"/>
      <w:b/>
      <w:bCs/>
      <w:color w:val="000000" w:themeColor="text1"/>
      <w:sz w:val="26"/>
      <w:szCs w:val="20"/>
    </w:rPr>
  </w:style>
  <w:style w:type="character" w:customStyle="1" w:styleId="Heading4Char">
    <w:name w:val="Heading 4 Char"/>
    <w:basedOn w:val="DefaultParagraphFont"/>
    <w:link w:val="Heading4"/>
    <w:uiPriority w:val="9"/>
    <w:rsid w:val="00346D12"/>
    <w:rPr>
      <w:rFonts w:asciiTheme="majorHAnsi" w:eastAsiaTheme="majorEastAsia" w:hAnsiTheme="majorHAnsi" w:cstheme="majorBidi"/>
      <w:b/>
      <w:bCs/>
      <w:i/>
      <w:iCs/>
      <w:color w:val="4F81BD" w:themeColor="accent1"/>
      <w:sz w:val="26"/>
      <w:szCs w:val="20"/>
    </w:rPr>
  </w:style>
  <w:style w:type="paragraph" w:styleId="NormalWeb">
    <w:name w:val="Normal (Web)"/>
    <w:basedOn w:val="Normal"/>
    <w:uiPriority w:val="99"/>
    <w:rsid w:val="004760EA"/>
    <w:pPr>
      <w:widowControl/>
      <w:spacing w:before="100" w:beforeAutospacing="1" w:after="100" w:afterAutospacing="1" w:line="240" w:lineRule="auto"/>
      <w:ind w:firstLine="0"/>
    </w:pPr>
    <w:rPr>
      <w:sz w:val="24"/>
      <w:szCs w:val="24"/>
    </w:rPr>
  </w:style>
  <w:style w:type="paragraph" w:styleId="ListParagraph">
    <w:name w:val="List Paragraph"/>
    <w:basedOn w:val="Normal"/>
    <w:uiPriority w:val="34"/>
    <w:qFormat/>
    <w:rsid w:val="00B11817"/>
    <w:pPr>
      <w:ind w:left="720"/>
      <w:contextualSpacing/>
    </w:pPr>
  </w:style>
  <w:style w:type="paragraph" w:styleId="TOCHeading">
    <w:name w:val="TOC Heading"/>
    <w:basedOn w:val="Heading1"/>
    <w:next w:val="Normal"/>
    <w:uiPriority w:val="39"/>
    <w:semiHidden/>
    <w:unhideWhenUsed/>
    <w:qFormat/>
    <w:rsid w:val="00E5659C"/>
    <w:pPr>
      <w:widowControl/>
      <w:numPr>
        <w:numId w:val="0"/>
      </w:numPr>
      <w:spacing w:before="480"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1E705E"/>
    <w:pPr>
      <w:tabs>
        <w:tab w:val="left" w:pos="2160"/>
        <w:tab w:val="right" w:leader="dot" w:pos="9350"/>
      </w:tabs>
      <w:spacing w:after="100"/>
      <w:ind w:firstLine="720"/>
      <w:jc w:val="both"/>
    </w:pPr>
  </w:style>
  <w:style w:type="paragraph" w:styleId="TOC2">
    <w:name w:val="toc 2"/>
    <w:basedOn w:val="Normal"/>
    <w:next w:val="Normal"/>
    <w:autoRedefine/>
    <w:uiPriority w:val="39"/>
    <w:unhideWhenUsed/>
    <w:rsid w:val="00E5659C"/>
    <w:pPr>
      <w:tabs>
        <w:tab w:val="left" w:pos="660"/>
        <w:tab w:val="right" w:leader="dot" w:pos="9350"/>
      </w:tabs>
      <w:spacing w:after="100" w:line="240" w:lineRule="auto"/>
      <w:ind w:left="1800" w:hanging="720"/>
    </w:pPr>
  </w:style>
  <w:style w:type="paragraph" w:styleId="TOC3">
    <w:name w:val="toc 3"/>
    <w:basedOn w:val="Normal"/>
    <w:next w:val="Normal"/>
    <w:autoRedefine/>
    <w:uiPriority w:val="39"/>
    <w:unhideWhenUsed/>
    <w:rsid w:val="00E5659C"/>
    <w:pPr>
      <w:tabs>
        <w:tab w:val="left" w:pos="880"/>
        <w:tab w:val="right" w:leader="dot" w:pos="9350"/>
      </w:tabs>
      <w:spacing w:after="240" w:line="240" w:lineRule="auto"/>
      <w:ind w:left="2160" w:hanging="720"/>
    </w:pPr>
  </w:style>
  <w:style w:type="character" w:styleId="CommentReference">
    <w:name w:val="annotation reference"/>
    <w:basedOn w:val="DefaultParagraphFont"/>
    <w:uiPriority w:val="99"/>
    <w:semiHidden/>
    <w:unhideWhenUsed/>
    <w:rsid w:val="00A20CFB"/>
    <w:rPr>
      <w:sz w:val="16"/>
      <w:szCs w:val="16"/>
    </w:rPr>
  </w:style>
  <w:style w:type="paragraph" w:styleId="CommentText">
    <w:name w:val="annotation text"/>
    <w:basedOn w:val="Normal"/>
    <w:link w:val="CommentTextChar"/>
    <w:uiPriority w:val="99"/>
    <w:semiHidden/>
    <w:unhideWhenUsed/>
    <w:rsid w:val="00A20CFB"/>
    <w:pPr>
      <w:spacing w:line="240" w:lineRule="auto"/>
    </w:pPr>
    <w:rPr>
      <w:sz w:val="20"/>
    </w:rPr>
  </w:style>
  <w:style w:type="character" w:customStyle="1" w:styleId="CommentTextChar">
    <w:name w:val="Comment Text Char"/>
    <w:basedOn w:val="DefaultParagraphFont"/>
    <w:link w:val="CommentText"/>
    <w:uiPriority w:val="99"/>
    <w:semiHidden/>
    <w:rsid w:val="00A20CF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20CFB"/>
    <w:rPr>
      <w:b/>
      <w:bCs/>
    </w:rPr>
  </w:style>
  <w:style w:type="character" w:customStyle="1" w:styleId="CommentSubjectChar">
    <w:name w:val="Comment Subject Char"/>
    <w:basedOn w:val="CommentTextChar"/>
    <w:link w:val="CommentSubject"/>
    <w:uiPriority w:val="99"/>
    <w:semiHidden/>
    <w:rsid w:val="00A20CFB"/>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76E"/>
    <w:pPr>
      <w:widowControl w:val="0"/>
      <w:spacing w:after="0" w:line="360" w:lineRule="auto"/>
      <w:ind w:firstLine="1440"/>
    </w:pPr>
    <w:rPr>
      <w:rFonts w:ascii="Times New Roman" w:eastAsia="Times New Roman" w:hAnsi="Times New Roman" w:cs="Times New Roman"/>
      <w:sz w:val="26"/>
      <w:szCs w:val="20"/>
    </w:rPr>
  </w:style>
  <w:style w:type="paragraph" w:styleId="Heading1">
    <w:name w:val="heading 1"/>
    <w:basedOn w:val="Normal"/>
    <w:next w:val="Normal"/>
    <w:link w:val="Heading1Char"/>
    <w:uiPriority w:val="9"/>
    <w:qFormat/>
    <w:rsid w:val="007D5152"/>
    <w:pPr>
      <w:keepNext/>
      <w:keepLines/>
      <w:numPr>
        <w:numId w:val="2"/>
      </w:numPr>
      <w:spacing w:line="240" w:lineRule="auto"/>
      <w:ind w:left="720" w:hanging="72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2875A7"/>
    <w:pPr>
      <w:keepNext/>
      <w:keepLines/>
      <w:numPr>
        <w:numId w:val="3"/>
      </w:numPr>
      <w:spacing w:line="240" w:lineRule="auto"/>
      <w:ind w:left="1440" w:hanging="72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A907E3"/>
    <w:pPr>
      <w:keepNext/>
      <w:keepLines/>
      <w:numPr>
        <w:numId w:val="4"/>
      </w:numPr>
      <w:spacing w:line="240" w:lineRule="auto"/>
      <w:ind w:left="2160" w:hanging="720"/>
      <w:outlineLvl w:val="2"/>
    </w:pPr>
    <w:rPr>
      <w:rFonts w:eastAsiaTheme="majorEastAsia" w:cstheme="majorBidi"/>
      <w:b/>
      <w:bCs/>
      <w:color w:val="000000" w:themeColor="text1"/>
    </w:rPr>
  </w:style>
  <w:style w:type="paragraph" w:styleId="Heading4">
    <w:name w:val="heading 4"/>
    <w:basedOn w:val="Normal"/>
    <w:next w:val="Normal"/>
    <w:link w:val="Heading4Char"/>
    <w:uiPriority w:val="9"/>
    <w:unhideWhenUsed/>
    <w:qFormat/>
    <w:rsid w:val="00346D1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fr,o,Style 6,Style 20,Style 9"/>
    <w:basedOn w:val="DefaultParagraphFont"/>
    <w:rsid w:val="00671E4C"/>
    <w:rPr>
      <w:vertAlign w:val="superscript"/>
    </w:rPr>
  </w:style>
  <w:style w:type="character" w:styleId="Hyperlink">
    <w:name w:val="Hyperlink"/>
    <w:basedOn w:val="DefaultParagraphFont"/>
    <w:uiPriority w:val="99"/>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f,Footnote Text Cha"/>
    <w:basedOn w:val="Normal"/>
    <w:link w:val="FootnoteTextChar"/>
    <w:unhideWhenUsed/>
    <w:qFormat/>
    <w:rsid w:val="002201DD"/>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f Char"/>
    <w:basedOn w:val="DefaultParagraphFont"/>
    <w:link w:val="FootnoteText"/>
    <w:rsid w:val="002201DD"/>
    <w:rPr>
      <w:rFonts w:ascii="Times New Roman" w:eastAsia="Times New Roman" w:hAnsi="Times New Roman" w:cs="Times New Roman"/>
      <w:sz w:val="20"/>
      <w:szCs w:val="20"/>
    </w:rPr>
  </w:style>
  <w:style w:type="paragraph" w:customStyle="1" w:styleId="Default">
    <w:name w:val="Default"/>
    <w:rsid w:val="00032BE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eader">
    <w:name w:val="header"/>
    <w:basedOn w:val="Normal"/>
    <w:link w:val="HeaderChar"/>
    <w:uiPriority w:val="99"/>
    <w:unhideWhenUsed/>
    <w:rsid w:val="003803CE"/>
    <w:pPr>
      <w:tabs>
        <w:tab w:val="center" w:pos="4680"/>
        <w:tab w:val="right" w:pos="9360"/>
      </w:tabs>
      <w:spacing w:line="240" w:lineRule="auto"/>
    </w:pPr>
  </w:style>
  <w:style w:type="character" w:customStyle="1" w:styleId="HeaderChar">
    <w:name w:val="Header Char"/>
    <w:basedOn w:val="DefaultParagraphFont"/>
    <w:link w:val="Header"/>
    <w:uiPriority w:val="99"/>
    <w:rsid w:val="003803CE"/>
    <w:rPr>
      <w:rFonts w:ascii="Times New Roman" w:eastAsia="Times New Roman" w:hAnsi="Times New Roman" w:cs="Times New Roman"/>
      <w:sz w:val="26"/>
      <w:szCs w:val="20"/>
    </w:rPr>
  </w:style>
  <w:style w:type="paragraph" w:styleId="Footer">
    <w:name w:val="footer"/>
    <w:basedOn w:val="Normal"/>
    <w:link w:val="FooterChar"/>
    <w:uiPriority w:val="99"/>
    <w:unhideWhenUsed/>
    <w:rsid w:val="003803CE"/>
    <w:pPr>
      <w:tabs>
        <w:tab w:val="center" w:pos="4680"/>
        <w:tab w:val="right" w:pos="9360"/>
      </w:tabs>
      <w:spacing w:line="240" w:lineRule="auto"/>
    </w:pPr>
  </w:style>
  <w:style w:type="character" w:customStyle="1" w:styleId="FooterChar">
    <w:name w:val="Footer Char"/>
    <w:basedOn w:val="DefaultParagraphFont"/>
    <w:link w:val="Footer"/>
    <w:uiPriority w:val="99"/>
    <w:rsid w:val="003803CE"/>
    <w:rPr>
      <w:rFonts w:ascii="Times New Roman" w:eastAsia="Times New Roman" w:hAnsi="Times New Roman" w:cs="Times New Roman"/>
      <w:sz w:val="26"/>
      <w:szCs w:val="20"/>
    </w:rPr>
  </w:style>
  <w:style w:type="paragraph" w:styleId="EndnoteText">
    <w:name w:val="endnote text"/>
    <w:basedOn w:val="Normal"/>
    <w:link w:val="EndnoteTextChar"/>
    <w:uiPriority w:val="99"/>
    <w:semiHidden/>
    <w:unhideWhenUsed/>
    <w:rsid w:val="003C32E2"/>
    <w:pPr>
      <w:spacing w:line="240" w:lineRule="auto"/>
    </w:pPr>
    <w:rPr>
      <w:sz w:val="20"/>
    </w:rPr>
  </w:style>
  <w:style w:type="character" w:customStyle="1" w:styleId="EndnoteTextChar">
    <w:name w:val="Endnote Text Char"/>
    <w:basedOn w:val="DefaultParagraphFont"/>
    <w:link w:val="EndnoteText"/>
    <w:uiPriority w:val="99"/>
    <w:semiHidden/>
    <w:rsid w:val="003C32E2"/>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C32E2"/>
    <w:rPr>
      <w:vertAlign w:val="superscript"/>
    </w:rPr>
  </w:style>
  <w:style w:type="character" w:customStyle="1" w:styleId="Heading1Char">
    <w:name w:val="Heading 1 Char"/>
    <w:basedOn w:val="DefaultParagraphFont"/>
    <w:link w:val="Heading1"/>
    <w:uiPriority w:val="9"/>
    <w:rsid w:val="007D5152"/>
    <w:rPr>
      <w:rFonts w:ascii="Times New Roman" w:eastAsiaTheme="majorEastAsia" w:hAnsi="Times New Roman" w:cstheme="majorBidi"/>
      <w:b/>
      <w:bCs/>
      <w:sz w:val="26"/>
      <w:szCs w:val="28"/>
    </w:rPr>
  </w:style>
  <w:style w:type="character" w:customStyle="1" w:styleId="Heading2Char">
    <w:name w:val="Heading 2 Char"/>
    <w:basedOn w:val="DefaultParagraphFont"/>
    <w:link w:val="Heading2"/>
    <w:uiPriority w:val="9"/>
    <w:rsid w:val="002875A7"/>
    <w:rPr>
      <w:rFonts w:ascii="Times New Roman" w:eastAsiaTheme="majorEastAsia" w:hAnsi="Times New Roman" w:cstheme="majorBidi"/>
      <w:b/>
      <w:bCs/>
      <w:sz w:val="26"/>
      <w:szCs w:val="26"/>
    </w:rPr>
  </w:style>
  <w:style w:type="character" w:customStyle="1" w:styleId="Heading3Char">
    <w:name w:val="Heading 3 Char"/>
    <w:basedOn w:val="DefaultParagraphFont"/>
    <w:link w:val="Heading3"/>
    <w:uiPriority w:val="9"/>
    <w:rsid w:val="00A907E3"/>
    <w:rPr>
      <w:rFonts w:ascii="Times New Roman" w:eastAsiaTheme="majorEastAsia" w:hAnsi="Times New Roman" w:cstheme="majorBidi"/>
      <w:b/>
      <w:bCs/>
      <w:color w:val="000000" w:themeColor="text1"/>
      <w:sz w:val="26"/>
      <w:szCs w:val="20"/>
    </w:rPr>
  </w:style>
  <w:style w:type="character" w:customStyle="1" w:styleId="Heading4Char">
    <w:name w:val="Heading 4 Char"/>
    <w:basedOn w:val="DefaultParagraphFont"/>
    <w:link w:val="Heading4"/>
    <w:uiPriority w:val="9"/>
    <w:rsid w:val="00346D12"/>
    <w:rPr>
      <w:rFonts w:asciiTheme="majorHAnsi" w:eastAsiaTheme="majorEastAsia" w:hAnsiTheme="majorHAnsi" w:cstheme="majorBidi"/>
      <w:b/>
      <w:bCs/>
      <w:i/>
      <w:iCs/>
      <w:color w:val="4F81BD" w:themeColor="accent1"/>
      <w:sz w:val="26"/>
      <w:szCs w:val="20"/>
    </w:rPr>
  </w:style>
  <w:style w:type="paragraph" w:styleId="NormalWeb">
    <w:name w:val="Normal (Web)"/>
    <w:basedOn w:val="Normal"/>
    <w:uiPriority w:val="99"/>
    <w:rsid w:val="004760EA"/>
    <w:pPr>
      <w:widowControl/>
      <w:spacing w:before="100" w:beforeAutospacing="1" w:after="100" w:afterAutospacing="1" w:line="240" w:lineRule="auto"/>
      <w:ind w:firstLine="0"/>
    </w:pPr>
    <w:rPr>
      <w:sz w:val="24"/>
      <w:szCs w:val="24"/>
    </w:rPr>
  </w:style>
  <w:style w:type="paragraph" w:styleId="ListParagraph">
    <w:name w:val="List Paragraph"/>
    <w:basedOn w:val="Normal"/>
    <w:uiPriority w:val="34"/>
    <w:qFormat/>
    <w:rsid w:val="00B11817"/>
    <w:pPr>
      <w:ind w:left="720"/>
      <w:contextualSpacing/>
    </w:pPr>
  </w:style>
  <w:style w:type="paragraph" w:styleId="TOCHeading">
    <w:name w:val="TOC Heading"/>
    <w:basedOn w:val="Heading1"/>
    <w:next w:val="Normal"/>
    <w:uiPriority w:val="39"/>
    <w:semiHidden/>
    <w:unhideWhenUsed/>
    <w:qFormat/>
    <w:rsid w:val="00E5659C"/>
    <w:pPr>
      <w:widowControl/>
      <w:numPr>
        <w:numId w:val="0"/>
      </w:numPr>
      <w:spacing w:before="480"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1E705E"/>
    <w:pPr>
      <w:tabs>
        <w:tab w:val="left" w:pos="2160"/>
        <w:tab w:val="right" w:leader="dot" w:pos="9350"/>
      </w:tabs>
      <w:spacing w:after="100"/>
      <w:ind w:firstLine="720"/>
      <w:jc w:val="both"/>
    </w:pPr>
  </w:style>
  <w:style w:type="paragraph" w:styleId="TOC2">
    <w:name w:val="toc 2"/>
    <w:basedOn w:val="Normal"/>
    <w:next w:val="Normal"/>
    <w:autoRedefine/>
    <w:uiPriority w:val="39"/>
    <w:unhideWhenUsed/>
    <w:rsid w:val="00E5659C"/>
    <w:pPr>
      <w:tabs>
        <w:tab w:val="left" w:pos="660"/>
        <w:tab w:val="right" w:leader="dot" w:pos="9350"/>
      </w:tabs>
      <w:spacing w:after="100" w:line="240" w:lineRule="auto"/>
      <w:ind w:left="1800" w:hanging="720"/>
    </w:pPr>
  </w:style>
  <w:style w:type="paragraph" w:styleId="TOC3">
    <w:name w:val="toc 3"/>
    <w:basedOn w:val="Normal"/>
    <w:next w:val="Normal"/>
    <w:autoRedefine/>
    <w:uiPriority w:val="39"/>
    <w:unhideWhenUsed/>
    <w:rsid w:val="00E5659C"/>
    <w:pPr>
      <w:tabs>
        <w:tab w:val="left" w:pos="880"/>
        <w:tab w:val="right" w:leader="dot" w:pos="9350"/>
      </w:tabs>
      <w:spacing w:after="240" w:line="240" w:lineRule="auto"/>
      <w:ind w:left="2160" w:hanging="720"/>
    </w:pPr>
  </w:style>
  <w:style w:type="character" w:styleId="CommentReference">
    <w:name w:val="annotation reference"/>
    <w:basedOn w:val="DefaultParagraphFont"/>
    <w:uiPriority w:val="99"/>
    <w:semiHidden/>
    <w:unhideWhenUsed/>
    <w:rsid w:val="00A20CFB"/>
    <w:rPr>
      <w:sz w:val="16"/>
      <w:szCs w:val="16"/>
    </w:rPr>
  </w:style>
  <w:style w:type="paragraph" w:styleId="CommentText">
    <w:name w:val="annotation text"/>
    <w:basedOn w:val="Normal"/>
    <w:link w:val="CommentTextChar"/>
    <w:uiPriority w:val="99"/>
    <w:semiHidden/>
    <w:unhideWhenUsed/>
    <w:rsid w:val="00A20CFB"/>
    <w:pPr>
      <w:spacing w:line="240" w:lineRule="auto"/>
    </w:pPr>
    <w:rPr>
      <w:sz w:val="20"/>
    </w:rPr>
  </w:style>
  <w:style w:type="character" w:customStyle="1" w:styleId="CommentTextChar">
    <w:name w:val="Comment Text Char"/>
    <w:basedOn w:val="DefaultParagraphFont"/>
    <w:link w:val="CommentText"/>
    <w:uiPriority w:val="99"/>
    <w:semiHidden/>
    <w:rsid w:val="00A20CF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20CFB"/>
    <w:rPr>
      <w:b/>
      <w:bCs/>
    </w:rPr>
  </w:style>
  <w:style w:type="character" w:customStyle="1" w:styleId="CommentSubjectChar">
    <w:name w:val="Comment Subject Char"/>
    <w:basedOn w:val="CommentTextChar"/>
    <w:link w:val="CommentSubject"/>
    <w:uiPriority w:val="99"/>
    <w:semiHidden/>
    <w:rsid w:val="00A20CF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420EF-1586-45F6-8F0C-9B21472F1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65</Pages>
  <Words>17426</Words>
  <Characters>99332</Characters>
  <Application>Microsoft Office Word</Application>
  <DocSecurity>0</DocSecurity>
  <Lines>827</Lines>
  <Paragraphs>233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116525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jnase</dc:creator>
  <cp:lastModifiedBy>Farner, Joyce</cp:lastModifiedBy>
  <cp:revision>3</cp:revision>
  <cp:lastPrinted>2017-05-04T11:27:00Z</cp:lastPrinted>
  <dcterms:created xsi:type="dcterms:W3CDTF">2017-05-01T17:17:00Z</dcterms:created>
  <dcterms:modified xsi:type="dcterms:W3CDTF">2017-05-04T11:27:00Z</dcterms:modified>
</cp:coreProperties>
</file>