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583" w:rsidRPr="005F5149" w:rsidRDefault="009E5583" w:rsidP="009E5583">
      <w:pPr>
        <w:pStyle w:val="Subtitle"/>
        <w:rPr>
          <w:sz w:val="26"/>
          <w:szCs w:val="26"/>
        </w:rPr>
      </w:pPr>
      <w:r w:rsidRPr="005F5149">
        <w:rPr>
          <w:sz w:val="26"/>
          <w:szCs w:val="26"/>
        </w:rPr>
        <w:t>PENNSYLVANIA</w:t>
      </w:r>
    </w:p>
    <w:p w:rsidR="009E5583" w:rsidRPr="005F5149" w:rsidRDefault="009E5583" w:rsidP="009E5583">
      <w:pPr>
        <w:pStyle w:val="Subtitle"/>
        <w:rPr>
          <w:sz w:val="26"/>
          <w:szCs w:val="26"/>
        </w:rPr>
      </w:pPr>
      <w:r w:rsidRPr="005F5149">
        <w:rPr>
          <w:sz w:val="26"/>
          <w:szCs w:val="26"/>
        </w:rPr>
        <w:t>PUBLIC UTILITY COMMISSION</w:t>
      </w:r>
    </w:p>
    <w:p w:rsidR="009E5583" w:rsidRDefault="009E5583" w:rsidP="009E5583">
      <w:pPr>
        <w:pStyle w:val="Subtitle"/>
        <w:rPr>
          <w:sz w:val="26"/>
          <w:szCs w:val="26"/>
        </w:rPr>
      </w:pPr>
      <w:r w:rsidRPr="005F5149">
        <w:rPr>
          <w:sz w:val="26"/>
          <w:szCs w:val="26"/>
        </w:rPr>
        <w:t>Harrisburg, PA 17105-3265</w:t>
      </w:r>
    </w:p>
    <w:p w:rsidR="009E5583" w:rsidRDefault="009E5583" w:rsidP="003F001F">
      <w:pPr>
        <w:pStyle w:val="Subtitle"/>
        <w:spacing w:line="360" w:lineRule="auto"/>
        <w:jc w:val="left"/>
        <w:rPr>
          <w:sz w:val="26"/>
          <w:szCs w:val="26"/>
        </w:rPr>
      </w:pPr>
    </w:p>
    <w:p w:rsidR="009E5583" w:rsidRDefault="009E5583" w:rsidP="003F001F">
      <w:pPr>
        <w:jc w:val="right"/>
        <w:rPr>
          <w:sz w:val="26"/>
          <w:szCs w:val="26"/>
        </w:rPr>
      </w:pPr>
      <w:r>
        <w:rPr>
          <w:sz w:val="26"/>
          <w:szCs w:val="26"/>
        </w:rPr>
        <w:t>Public Meeting held</w:t>
      </w:r>
      <w:r w:rsidR="00D52BB4">
        <w:rPr>
          <w:sz w:val="26"/>
          <w:szCs w:val="26"/>
        </w:rPr>
        <w:t xml:space="preserve"> May 18</w:t>
      </w:r>
      <w:r w:rsidR="00DA15BB">
        <w:rPr>
          <w:sz w:val="26"/>
          <w:szCs w:val="26"/>
        </w:rPr>
        <w:t>, 2017</w:t>
      </w:r>
    </w:p>
    <w:p w:rsidR="009E5583" w:rsidRPr="005F5149" w:rsidRDefault="009E5583" w:rsidP="003F001F">
      <w:pPr>
        <w:jc w:val="right"/>
        <w:rPr>
          <w:sz w:val="26"/>
          <w:szCs w:val="26"/>
        </w:rPr>
      </w:pPr>
    </w:p>
    <w:p w:rsidR="009E5583" w:rsidRDefault="009E5583" w:rsidP="003F001F">
      <w:pPr>
        <w:spacing w:line="240" w:lineRule="auto"/>
        <w:rPr>
          <w:sz w:val="26"/>
          <w:szCs w:val="26"/>
        </w:rPr>
      </w:pPr>
      <w:r w:rsidRPr="005F5149">
        <w:rPr>
          <w:sz w:val="26"/>
          <w:szCs w:val="26"/>
        </w:rPr>
        <w:t>Commissioners Present:</w:t>
      </w:r>
    </w:p>
    <w:p w:rsidR="0036738E" w:rsidRDefault="0036738E" w:rsidP="003F001F">
      <w:pPr>
        <w:spacing w:line="240" w:lineRule="auto"/>
        <w:rPr>
          <w:sz w:val="26"/>
          <w:szCs w:val="26"/>
        </w:rPr>
      </w:pPr>
    </w:p>
    <w:p w:rsidR="009E5583" w:rsidRPr="005F5149" w:rsidRDefault="0036738E" w:rsidP="009E5583">
      <w:pPr>
        <w:spacing w:line="240" w:lineRule="auto"/>
        <w:ind w:firstLine="720"/>
        <w:rPr>
          <w:sz w:val="26"/>
          <w:szCs w:val="26"/>
        </w:rPr>
      </w:pPr>
      <w:r>
        <w:rPr>
          <w:sz w:val="26"/>
          <w:szCs w:val="26"/>
        </w:rPr>
        <w:t>Gladys M. Brown</w:t>
      </w:r>
      <w:r w:rsidR="009E5583" w:rsidRPr="005F5149">
        <w:rPr>
          <w:sz w:val="26"/>
          <w:szCs w:val="26"/>
        </w:rPr>
        <w:t>, Chairman</w:t>
      </w:r>
    </w:p>
    <w:p w:rsidR="009E5583" w:rsidRPr="005F5149" w:rsidRDefault="0036738E" w:rsidP="009E5583">
      <w:pPr>
        <w:spacing w:line="240" w:lineRule="auto"/>
        <w:ind w:firstLine="720"/>
        <w:rPr>
          <w:sz w:val="26"/>
          <w:szCs w:val="26"/>
        </w:rPr>
      </w:pPr>
      <w:r>
        <w:rPr>
          <w:sz w:val="26"/>
          <w:szCs w:val="26"/>
        </w:rPr>
        <w:t>Andrew G. Place</w:t>
      </w:r>
      <w:r w:rsidR="009E5583" w:rsidRPr="005F5149">
        <w:rPr>
          <w:sz w:val="26"/>
          <w:szCs w:val="26"/>
        </w:rPr>
        <w:t>, Vice Chairman</w:t>
      </w:r>
    </w:p>
    <w:p w:rsidR="009E5583" w:rsidRPr="005F5149" w:rsidRDefault="0036738E" w:rsidP="009E5583">
      <w:pPr>
        <w:spacing w:line="240" w:lineRule="auto"/>
        <w:ind w:firstLine="720"/>
        <w:rPr>
          <w:sz w:val="26"/>
          <w:szCs w:val="26"/>
        </w:rPr>
      </w:pPr>
      <w:r>
        <w:rPr>
          <w:sz w:val="26"/>
          <w:szCs w:val="26"/>
        </w:rPr>
        <w:t>John F. Coleman, Jr.</w:t>
      </w:r>
    </w:p>
    <w:p w:rsidR="009E5583" w:rsidRDefault="0036738E" w:rsidP="009E5583">
      <w:pPr>
        <w:spacing w:line="240" w:lineRule="auto"/>
        <w:ind w:firstLine="720"/>
        <w:rPr>
          <w:sz w:val="26"/>
          <w:szCs w:val="26"/>
        </w:rPr>
      </w:pPr>
      <w:r>
        <w:rPr>
          <w:sz w:val="26"/>
          <w:szCs w:val="26"/>
        </w:rPr>
        <w:t>Robert F. Powelson</w:t>
      </w:r>
    </w:p>
    <w:p w:rsidR="009E5583" w:rsidRDefault="0036738E" w:rsidP="009E5583">
      <w:pPr>
        <w:spacing w:line="240" w:lineRule="auto"/>
        <w:ind w:firstLine="720"/>
        <w:rPr>
          <w:sz w:val="26"/>
          <w:szCs w:val="26"/>
        </w:rPr>
      </w:pPr>
      <w:r>
        <w:rPr>
          <w:sz w:val="26"/>
          <w:szCs w:val="26"/>
        </w:rPr>
        <w:t>David W. Sweet</w:t>
      </w:r>
    </w:p>
    <w:p w:rsidR="003F001F" w:rsidRDefault="003F001F" w:rsidP="009E5583">
      <w:pPr>
        <w:rPr>
          <w:sz w:val="26"/>
          <w:szCs w:val="26"/>
        </w:rPr>
      </w:pPr>
    </w:p>
    <w:p w:rsidR="00E05523" w:rsidRDefault="00E05523" w:rsidP="00211EB8">
      <w:pPr>
        <w:autoSpaceDE w:val="0"/>
        <w:autoSpaceDN w:val="0"/>
        <w:spacing w:line="240" w:lineRule="auto"/>
        <w:ind w:right="-14"/>
        <w:rPr>
          <w:sz w:val="26"/>
          <w:szCs w:val="26"/>
        </w:rPr>
      </w:pPr>
      <w:r>
        <w:rPr>
          <w:sz w:val="26"/>
          <w:szCs w:val="26"/>
        </w:rPr>
        <w:t>Pennsylvania Public Utility Commission</w:t>
      </w:r>
      <w:r>
        <w:rPr>
          <w:sz w:val="26"/>
          <w:szCs w:val="26"/>
        </w:rPr>
        <w:tab/>
      </w:r>
      <w:r>
        <w:rPr>
          <w:sz w:val="26"/>
          <w:szCs w:val="26"/>
        </w:rPr>
        <w:tab/>
      </w:r>
      <w:r>
        <w:rPr>
          <w:sz w:val="26"/>
          <w:szCs w:val="26"/>
        </w:rPr>
        <w:tab/>
      </w:r>
      <w:r w:rsidR="00211EB8">
        <w:rPr>
          <w:sz w:val="26"/>
          <w:szCs w:val="26"/>
        </w:rPr>
        <w:tab/>
      </w:r>
      <w:r w:rsidR="00B76A0A">
        <w:rPr>
          <w:sz w:val="26"/>
          <w:szCs w:val="26"/>
        </w:rPr>
        <w:t xml:space="preserve">      </w:t>
      </w:r>
      <w:r w:rsidR="00244A3B">
        <w:rPr>
          <w:sz w:val="26"/>
          <w:szCs w:val="26"/>
        </w:rPr>
        <w:t xml:space="preserve">           </w:t>
      </w:r>
      <w:r>
        <w:rPr>
          <w:sz w:val="26"/>
          <w:szCs w:val="26"/>
        </w:rPr>
        <w:t>R-2016-2537349</w:t>
      </w:r>
    </w:p>
    <w:p w:rsidR="00211EB8" w:rsidRPr="00211EB8" w:rsidRDefault="00211EB8" w:rsidP="00A725FB">
      <w:pPr>
        <w:autoSpaceDE w:val="0"/>
        <w:autoSpaceDN w:val="0"/>
        <w:spacing w:line="240" w:lineRule="auto"/>
        <w:ind w:right="-14"/>
        <w:rPr>
          <w:sz w:val="26"/>
          <w:szCs w:val="26"/>
        </w:rPr>
      </w:pPr>
      <w:r w:rsidRPr="00211EB8">
        <w:rPr>
          <w:sz w:val="26"/>
          <w:szCs w:val="26"/>
        </w:rPr>
        <w:t>Office of Small Business Advocate</w:t>
      </w:r>
      <w:r w:rsidRPr="00211EB8">
        <w:rPr>
          <w:sz w:val="26"/>
          <w:szCs w:val="26"/>
        </w:rPr>
        <w:tab/>
      </w:r>
      <w:r w:rsidRPr="00A725FB">
        <w:rPr>
          <w:sz w:val="26"/>
          <w:szCs w:val="26"/>
        </w:rPr>
        <w:tab/>
      </w:r>
      <w:r w:rsidR="00A725FB">
        <w:rPr>
          <w:sz w:val="26"/>
          <w:szCs w:val="26"/>
        </w:rPr>
        <w:tab/>
      </w:r>
      <w:r w:rsidRPr="00211EB8">
        <w:rPr>
          <w:sz w:val="26"/>
          <w:szCs w:val="26"/>
        </w:rPr>
        <w:tab/>
      </w:r>
      <w:r w:rsidRPr="00211EB8">
        <w:rPr>
          <w:sz w:val="26"/>
          <w:szCs w:val="26"/>
        </w:rPr>
        <w:tab/>
      </w:r>
      <w:r w:rsidR="00B76A0A">
        <w:rPr>
          <w:sz w:val="26"/>
          <w:szCs w:val="26"/>
        </w:rPr>
        <w:t xml:space="preserve">      </w:t>
      </w:r>
      <w:r w:rsidRPr="00211EB8">
        <w:rPr>
          <w:sz w:val="26"/>
          <w:szCs w:val="26"/>
        </w:rPr>
        <w:t>C-2016-2544355</w:t>
      </w:r>
    </w:p>
    <w:p w:rsidR="00211EB8" w:rsidRPr="00211EB8" w:rsidRDefault="00211EB8" w:rsidP="00A725FB">
      <w:pPr>
        <w:autoSpaceDE w:val="0"/>
        <w:autoSpaceDN w:val="0"/>
        <w:spacing w:line="240" w:lineRule="auto"/>
        <w:ind w:right="-14"/>
        <w:rPr>
          <w:sz w:val="26"/>
          <w:szCs w:val="26"/>
        </w:rPr>
      </w:pPr>
      <w:r w:rsidRPr="00211EB8">
        <w:rPr>
          <w:sz w:val="26"/>
          <w:szCs w:val="26"/>
        </w:rPr>
        <w:t>Office of Consumer Advocate</w:t>
      </w:r>
      <w:r w:rsidRPr="00211EB8">
        <w:rPr>
          <w:sz w:val="26"/>
          <w:szCs w:val="26"/>
        </w:rPr>
        <w:tab/>
      </w:r>
      <w:r w:rsidRPr="00211EB8">
        <w:rPr>
          <w:sz w:val="26"/>
          <w:szCs w:val="26"/>
        </w:rPr>
        <w:tab/>
      </w:r>
      <w:r w:rsidR="00A725FB">
        <w:rPr>
          <w:sz w:val="26"/>
          <w:szCs w:val="26"/>
        </w:rPr>
        <w:tab/>
      </w:r>
      <w:r w:rsidR="00A725FB">
        <w:rPr>
          <w:sz w:val="26"/>
          <w:szCs w:val="26"/>
        </w:rPr>
        <w:tab/>
      </w:r>
      <w:r w:rsidRPr="00A725FB">
        <w:rPr>
          <w:sz w:val="26"/>
          <w:szCs w:val="26"/>
        </w:rPr>
        <w:tab/>
      </w:r>
      <w:r w:rsidRPr="00211EB8">
        <w:rPr>
          <w:sz w:val="26"/>
          <w:szCs w:val="26"/>
        </w:rPr>
        <w:tab/>
      </w:r>
      <w:r w:rsidR="00B76A0A">
        <w:rPr>
          <w:sz w:val="26"/>
          <w:szCs w:val="26"/>
        </w:rPr>
        <w:t xml:space="preserve">      </w:t>
      </w:r>
      <w:r w:rsidRPr="00211EB8">
        <w:rPr>
          <w:sz w:val="26"/>
          <w:szCs w:val="26"/>
        </w:rPr>
        <w:t>C-2016-2543247</w:t>
      </w:r>
    </w:p>
    <w:p w:rsidR="00211EB8" w:rsidRPr="00211EB8" w:rsidRDefault="00211EB8" w:rsidP="00A725FB">
      <w:pPr>
        <w:autoSpaceDE w:val="0"/>
        <w:autoSpaceDN w:val="0"/>
        <w:spacing w:line="240" w:lineRule="auto"/>
        <w:ind w:right="-14"/>
        <w:rPr>
          <w:sz w:val="26"/>
          <w:szCs w:val="26"/>
        </w:rPr>
      </w:pPr>
      <w:r w:rsidRPr="00211EB8">
        <w:rPr>
          <w:sz w:val="26"/>
          <w:szCs w:val="26"/>
        </w:rPr>
        <w:t>Met-Ed Industrial Users Group</w:t>
      </w:r>
      <w:r w:rsidRPr="00211EB8">
        <w:rPr>
          <w:sz w:val="26"/>
          <w:szCs w:val="26"/>
        </w:rPr>
        <w:tab/>
      </w:r>
      <w:r w:rsidRPr="00211EB8">
        <w:rPr>
          <w:sz w:val="26"/>
          <w:szCs w:val="26"/>
        </w:rPr>
        <w:tab/>
      </w:r>
      <w:r w:rsidR="00A725FB">
        <w:rPr>
          <w:sz w:val="26"/>
          <w:szCs w:val="26"/>
        </w:rPr>
        <w:tab/>
      </w:r>
      <w:r w:rsidR="00A725FB">
        <w:rPr>
          <w:sz w:val="26"/>
          <w:szCs w:val="26"/>
        </w:rPr>
        <w:tab/>
      </w:r>
      <w:r w:rsidR="00A725FB">
        <w:rPr>
          <w:sz w:val="26"/>
          <w:szCs w:val="26"/>
        </w:rPr>
        <w:tab/>
      </w:r>
      <w:r w:rsidRPr="00A725FB">
        <w:rPr>
          <w:sz w:val="26"/>
          <w:szCs w:val="26"/>
        </w:rPr>
        <w:tab/>
      </w:r>
      <w:r w:rsidR="00B76A0A">
        <w:rPr>
          <w:sz w:val="26"/>
          <w:szCs w:val="26"/>
        </w:rPr>
        <w:t xml:space="preserve">      </w:t>
      </w:r>
      <w:r w:rsidRPr="00211EB8">
        <w:rPr>
          <w:sz w:val="26"/>
          <w:szCs w:val="26"/>
        </w:rPr>
        <w:t>C-2016-2549787</w:t>
      </w:r>
    </w:p>
    <w:p w:rsidR="00211EB8" w:rsidRPr="00B918A7" w:rsidRDefault="00211EB8" w:rsidP="00A725FB">
      <w:pPr>
        <w:autoSpaceDE w:val="0"/>
        <w:autoSpaceDN w:val="0"/>
        <w:spacing w:line="240" w:lineRule="auto"/>
        <w:ind w:right="-14"/>
        <w:rPr>
          <w:sz w:val="26"/>
          <w:szCs w:val="26"/>
          <w:lang w:val="fr-FR"/>
        </w:rPr>
      </w:pPr>
      <w:r w:rsidRPr="00B918A7">
        <w:rPr>
          <w:sz w:val="26"/>
          <w:szCs w:val="26"/>
          <w:lang w:val="fr-FR"/>
        </w:rPr>
        <w:t>David Johnson</w:t>
      </w:r>
      <w:r w:rsidRPr="00B918A7">
        <w:rPr>
          <w:sz w:val="26"/>
          <w:szCs w:val="26"/>
          <w:lang w:val="fr-FR"/>
        </w:rPr>
        <w:tab/>
      </w:r>
      <w:r w:rsidRPr="00B918A7">
        <w:rPr>
          <w:sz w:val="26"/>
          <w:szCs w:val="26"/>
          <w:lang w:val="fr-FR"/>
        </w:rPr>
        <w:tab/>
      </w:r>
      <w:r w:rsidRPr="00B918A7">
        <w:rPr>
          <w:sz w:val="26"/>
          <w:szCs w:val="26"/>
          <w:lang w:val="fr-FR"/>
        </w:rPr>
        <w:tab/>
      </w:r>
      <w:r w:rsidRPr="00B918A7">
        <w:rPr>
          <w:sz w:val="26"/>
          <w:szCs w:val="26"/>
          <w:lang w:val="fr-FR"/>
        </w:rPr>
        <w:tab/>
      </w:r>
      <w:r w:rsidR="00A725FB" w:rsidRPr="00B918A7">
        <w:rPr>
          <w:sz w:val="26"/>
          <w:szCs w:val="26"/>
          <w:lang w:val="fr-FR"/>
        </w:rPr>
        <w:tab/>
      </w:r>
      <w:r w:rsidR="00A725FB" w:rsidRPr="00B918A7">
        <w:rPr>
          <w:sz w:val="26"/>
          <w:szCs w:val="26"/>
          <w:lang w:val="fr-FR"/>
        </w:rPr>
        <w:tab/>
      </w:r>
      <w:r w:rsidR="00A725FB" w:rsidRPr="00B918A7">
        <w:rPr>
          <w:sz w:val="26"/>
          <w:szCs w:val="26"/>
          <w:lang w:val="fr-FR"/>
        </w:rPr>
        <w:tab/>
      </w:r>
      <w:r w:rsidRPr="00B918A7">
        <w:rPr>
          <w:sz w:val="26"/>
          <w:szCs w:val="26"/>
          <w:lang w:val="fr-FR"/>
        </w:rPr>
        <w:tab/>
      </w:r>
      <w:r w:rsidR="00B76A0A" w:rsidRPr="00B918A7">
        <w:rPr>
          <w:sz w:val="26"/>
          <w:szCs w:val="26"/>
          <w:lang w:val="fr-FR"/>
        </w:rPr>
        <w:t xml:space="preserve">      </w:t>
      </w:r>
      <w:r w:rsidRPr="00B918A7">
        <w:rPr>
          <w:sz w:val="26"/>
          <w:szCs w:val="26"/>
          <w:lang w:val="fr-FR"/>
        </w:rPr>
        <w:t>C-2016-2565550</w:t>
      </w:r>
    </w:p>
    <w:p w:rsidR="00211EB8" w:rsidRPr="00B918A7" w:rsidRDefault="00211EB8" w:rsidP="00A725FB">
      <w:pPr>
        <w:autoSpaceDE w:val="0"/>
        <w:autoSpaceDN w:val="0"/>
        <w:spacing w:line="240" w:lineRule="auto"/>
        <w:ind w:right="-14"/>
        <w:rPr>
          <w:sz w:val="26"/>
          <w:szCs w:val="26"/>
          <w:lang w:val="fr-FR"/>
        </w:rPr>
      </w:pPr>
      <w:r w:rsidRPr="00B918A7">
        <w:rPr>
          <w:sz w:val="26"/>
          <w:szCs w:val="26"/>
          <w:lang w:val="fr-FR"/>
        </w:rPr>
        <w:t>Jeanette Lippy</w:t>
      </w:r>
      <w:r w:rsidRPr="00B918A7">
        <w:rPr>
          <w:sz w:val="26"/>
          <w:szCs w:val="26"/>
          <w:lang w:val="fr-FR"/>
        </w:rPr>
        <w:tab/>
      </w:r>
      <w:r w:rsidRPr="00B918A7">
        <w:rPr>
          <w:sz w:val="26"/>
          <w:szCs w:val="26"/>
          <w:lang w:val="fr-FR"/>
        </w:rPr>
        <w:tab/>
      </w:r>
      <w:r w:rsidRPr="00B918A7">
        <w:rPr>
          <w:sz w:val="26"/>
          <w:szCs w:val="26"/>
          <w:lang w:val="fr-FR"/>
        </w:rPr>
        <w:tab/>
      </w:r>
      <w:r w:rsidRPr="00B918A7">
        <w:rPr>
          <w:sz w:val="26"/>
          <w:szCs w:val="26"/>
          <w:lang w:val="fr-FR"/>
        </w:rPr>
        <w:tab/>
      </w:r>
      <w:r w:rsidR="00A725FB" w:rsidRPr="00B918A7">
        <w:rPr>
          <w:sz w:val="26"/>
          <w:szCs w:val="26"/>
          <w:lang w:val="fr-FR"/>
        </w:rPr>
        <w:tab/>
      </w:r>
      <w:r w:rsidR="00A725FB" w:rsidRPr="00B918A7">
        <w:rPr>
          <w:sz w:val="26"/>
          <w:szCs w:val="26"/>
          <w:lang w:val="fr-FR"/>
        </w:rPr>
        <w:tab/>
      </w:r>
      <w:r w:rsidR="00A725FB" w:rsidRPr="00B918A7">
        <w:rPr>
          <w:sz w:val="26"/>
          <w:szCs w:val="26"/>
          <w:lang w:val="fr-FR"/>
        </w:rPr>
        <w:tab/>
      </w:r>
      <w:r w:rsidRPr="00B918A7">
        <w:rPr>
          <w:sz w:val="26"/>
          <w:szCs w:val="26"/>
          <w:lang w:val="fr-FR"/>
        </w:rPr>
        <w:tab/>
      </w:r>
      <w:r w:rsidR="00B76A0A" w:rsidRPr="00B918A7">
        <w:rPr>
          <w:sz w:val="26"/>
          <w:szCs w:val="26"/>
          <w:lang w:val="fr-FR"/>
        </w:rPr>
        <w:t xml:space="preserve">      </w:t>
      </w:r>
      <w:r w:rsidRPr="00B918A7">
        <w:rPr>
          <w:sz w:val="26"/>
          <w:szCs w:val="26"/>
          <w:lang w:val="fr-FR"/>
        </w:rPr>
        <w:t>C-2016-2549370</w:t>
      </w:r>
    </w:p>
    <w:p w:rsidR="00211EB8" w:rsidRPr="00211EB8" w:rsidRDefault="00211EB8" w:rsidP="00A725FB">
      <w:pPr>
        <w:autoSpaceDE w:val="0"/>
        <w:autoSpaceDN w:val="0"/>
        <w:spacing w:line="240" w:lineRule="auto"/>
        <w:ind w:right="-14"/>
        <w:rPr>
          <w:sz w:val="26"/>
          <w:szCs w:val="26"/>
        </w:rPr>
      </w:pPr>
      <w:r w:rsidRPr="00211EB8">
        <w:rPr>
          <w:sz w:val="26"/>
          <w:szCs w:val="26"/>
        </w:rPr>
        <w:t>Dennis Miller</w:t>
      </w:r>
      <w:r w:rsidRPr="00211EB8">
        <w:rPr>
          <w:sz w:val="26"/>
          <w:szCs w:val="26"/>
        </w:rPr>
        <w:tab/>
      </w:r>
      <w:r w:rsidRPr="00211EB8">
        <w:rPr>
          <w:sz w:val="26"/>
          <w:szCs w:val="26"/>
        </w:rPr>
        <w:tab/>
      </w:r>
      <w:r w:rsidRPr="00211EB8">
        <w:rPr>
          <w:sz w:val="26"/>
          <w:szCs w:val="26"/>
        </w:rPr>
        <w:tab/>
      </w:r>
      <w:r w:rsidRPr="00211EB8">
        <w:rPr>
          <w:sz w:val="26"/>
          <w:szCs w:val="26"/>
        </w:rPr>
        <w:tab/>
      </w:r>
      <w:r w:rsidR="00A725FB">
        <w:rPr>
          <w:sz w:val="26"/>
          <w:szCs w:val="26"/>
        </w:rPr>
        <w:tab/>
      </w:r>
      <w:r w:rsidR="00A725FB">
        <w:rPr>
          <w:sz w:val="26"/>
          <w:szCs w:val="26"/>
        </w:rPr>
        <w:tab/>
      </w:r>
      <w:r w:rsidR="00A725FB">
        <w:rPr>
          <w:sz w:val="26"/>
          <w:szCs w:val="26"/>
        </w:rPr>
        <w:tab/>
      </w:r>
      <w:r w:rsidRPr="00A725FB">
        <w:rPr>
          <w:sz w:val="26"/>
          <w:szCs w:val="26"/>
        </w:rPr>
        <w:tab/>
      </w:r>
      <w:r w:rsidR="00B76A0A">
        <w:rPr>
          <w:sz w:val="26"/>
          <w:szCs w:val="26"/>
        </w:rPr>
        <w:t xml:space="preserve">      </w:t>
      </w:r>
      <w:r w:rsidRPr="00211EB8">
        <w:rPr>
          <w:sz w:val="26"/>
          <w:szCs w:val="26"/>
        </w:rPr>
        <w:t>C-2016-2551248</w:t>
      </w:r>
    </w:p>
    <w:p w:rsidR="00211EB8" w:rsidRPr="00211EB8" w:rsidRDefault="00211EB8" w:rsidP="00A725FB">
      <w:pPr>
        <w:autoSpaceDE w:val="0"/>
        <w:autoSpaceDN w:val="0"/>
        <w:spacing w:after="120" w:line="240" w:lineRule="auto"/>
        <w:ind w:right="-14"/>
        <w:rPr>
          <w:sz w:val="26"/>
          <w:szCs w:val="26"/>
        </w:rPr>
      </w:pPr>
      <w:r w:rsidRPr="00211EB8">
        <w:rPr>
          <w:sz w:val="26"/>
          <w:szCs w:val="26"/>
        </w:rPr>
        <w:t>John O’Mara</w:t>
      </w:r>
      <w:r w:rsidRPr="00211EB8">
        <w:rPr>
          <w:sz w:val="26"/>
          <w:szCs w:val="26"/>
        </w:rPr>
        <w:tab/>
      </w:r>
      <w:r w:rsidRPr="00211EB8">
        <w:rPr>
          <w:sz w:val="26"/>
          <w:szCs w:val="26"/>
        </w:rPr>
        <w:tab/>
      </w:r>
      <w:r w:rsidRPr="00211EB8">
        <w:rPr>
          <w:sz w:val="26"/>
          <w:szCs w:val="26"/>
        </w:rPr>
        <w:tab/>
      </w:r>
      <w:r w:rsidRPr="00211EB8">
        <w:rPr>
          <w:sz w:val="26"/>
          <w:szCs w:val="26"/>
        </w:rPr>
        <w:tab/>
      </w:r>
      <w:r w:rsidR="00A725FB">
        <w:rPr>
          <w:sz w:val="26"/>
          <w:szCs w:val="26"/>
        </w:rPr>
        <w:tab/>
      </w:r>
      <w:r w:rsidR="00A725FB">
        <w:rPr>
          <w:sz w:val="26"/>
          <w:szCs w:val="26"/>
        </w:rPr>
        <w:tab/>
      </w:r>
      <w:r w:rsidR="00A725FB">
        <w:rPr>
          <w:sz w:val="26"/>
          <w:szCs w:val="26"/>
        </w:rPr>
        <w:tab/>
      </w:r>
      <w:r w:rsidR="00A725FB">
        <w:rPr>
          <w:sz w:val="26"/>
          <w:szCs w:val="26"/>
        </w:rPr>
        <w:tab/>
      </w:r>
      <w:r w:rsidRPr="00A725FB">
        <w:rPr>
          <w:sz w:val="26"/>
          <w:szCs w:val="26"/>
        </w:rPr>
        <w:tab/>
      </w:r>
      <w:r w:rsidR="00B76A0A">
        <w:rPr>
          <w:sz w:val="26"/>
          <w:szCs w:val="26"/>
        </w:rPr>
        <w:t xml:space="preserve">      </w:t>
      </w:r>
      <w:r w:rsidRPr="00211EB8">
        <w:rPr>
          <w:sz w:val="26"/>
          <w:szCs w:val="26"/>
        </w:rPr>
        <w:t>C-2016-2556970</w:t>
      </w:r>
    </w:p>
    <w:p w:rsidR="00E05523" w:rsidRPr="00815548" w:rsidRDefault="00DA15BB" w:rsidP="00151CED">
      <w:pPr>
        <w:autoSpaceDE w:val="0"/>
        <w:autoSpaceDN w:val="0"/>
        <w:spacing w:after="120" w:line="240" w:lineRule="auto"/>
        <w:ind w:right="-14"/>
        <w:rPr>
          <w:sz w:val="26"/>
          <w:szCs w:val="26"/>
        </w:rPr>
      </w:pPr>
      <w:r>
        <w:rPr>
          <w:sz w:val="26"/>
          <w:szCs w:val="26"/>
        </w:rPr>
        <w:tab/>
      </w:r>
      <w:r>
        <w:rPr>
          <w:sz w:val="26"/>
          <w:szCs w:val="26"/>
        </w:rPr>
        <w:tab/>
      </w:r>
      <w:proofErr w:type="gramStart"/>
      <w:r w:rsidR="00E05523" w:rsidRPr="00815548">
        <w:rPr>
          <w:sz w:val="26"/>
          <w:szCs w:val="26"/>
        </w:rPr>
        <w:t>v</w:t>
      </w:r>
      <w:proofErr w:type="gramEnd"/>
      <w:r w:rsidR="00E05523" w:rsidRPr="00815548">
        <w:rPr>
          <w:sz w:val="26"/>
          <w:szCs w:val="26"/>
        </w:rPr>
        <w:t>.</w:t>
      </w:r>
    </w:p>
    <w:p w:rsidR="00E05523" w:rsidRPr="00815548" w:rsidRDefault="00E05523" w:rsidP="00A725FB">
      <w:pPr>
        <w:autoSpaceDE w:val="0"/>
        <w:autoSpaceDN w:val="0"/>
        <w:spacing w:line="240" w:lineRule="auto"/>
        <w:rPr>
          <w:b/>
          <w:sz w:val="26"/>
          <w:szCs w:val="26"/>
        </w:rPr>
      </w:pPr>
      <w:r>
        <w:rPr>
          <w:sz w:val="26"/>
          <w:szCs w:val="26"/>
        </w:rPr>
        <w:t>Metropolitan Edison Company</w:t>
      </w:r>
    </w:p>
    <w:p w:rsidR="00E05523" w:rsidRDefault="00E05523" w:rsidP="00A725FB">
      <w:pPr>
        <w:autoSpaceDE w:val="0"/>
        <w:autoSpaceDN w:val="0"/>
        <w:spacing w:line="240" w:lineRule="auto"/>
        <w:rPr>
          <w:spacing w:val="-3"/>
          <w:sz w:val="26"/>
          <w:szCs w:val="26"/>
        </w:rPr>
      </w:pPr>
    </w:p>
    <w:p w:rsidR="003F001F" w:rsidRPr="00815548" w:rsidRDefault="003F001F" w:rsidP="00A725FB">
      <w:pPr>
        <w:autoSpaceDE w:val="0"/>
        <w:autoSpaceDN w:val="0"/>
        <w:spacing w:line="240" w:lineRule="auto"/>
        <w:rPr>
          <w:spacing w:val="-3"/>
          <w:sz w:val="26"/>
          <w:szCs w:val="26"/>
        </w:rPr>
      </w:pPr>
    </w:p>
    <w:p w:rsidR="00E05523" w:rsidRDefault="00E05523" w:rsidP="00A725FB">
      <w:pPr>
        <w:autoSpaceDE w:val="0"/>
        <w:autoSpaceDN w:val="0"/>
        <w:spacing w:line="240" w:lineRule="auto"/>
        <w:rPr>
          <w:sz w:val="26"/>
          <w:szCs w:val="26"/>
        </w:rPr>
      </w:pPr>
      <w:r>
        <w:rPr>
          <w:sz w:val="26"/>
          <w:szCs w:val="26"/>
        </w:rPr>
        <w:t>Pennsylvania Public Utility Commission</w:t>
      </w:r>
      <w:r>
        <w:rPr>
          <w:sz w:val="26"/>
          <w:szCs w:val="26"/>
        </w:rPr>
        <w:tab/>
      </w:r>
      <w:r>
        <w:rPr>
          <w:sz w:val="26"/>
          <w:szCs w:val="26"/>
        </w:rPr>
        <w:tab/>
      </w:r>
      <w:r w:rsidR="00A725FB">
        <w:rPr>
          <w:sz w:val="26"/>
          <w:szCs w:val="26"/>
        </w:rPr>
        <w:tab/>
      </w:r>
      <w:r>
        <w:rPr>
          <w:sz w:val="26"/>
          <w:szCs w:val="26"/>
        </w:rPr>
        <w:tab/>
      </w:r>
      <w:r w:rsidR="00B76A0A">
        <w:rPr>
          <w:sz w:val="26"/>
          <w:szCs w:val="26"/>
        </w:rPr>
        <w:t xml:space="preserve">     </w:t>
      </w:r>
      <w:r w:rsidR="00244A3B">
        <w:rPr>
          <w:sz w:val="26"/>
          <w:szCs w:val="26"/>
        </w:rPr>
        <w:t xml:space="preserve">           </w:t>
      </w:r>
      <w:r>
        <w:rPr>
          <w:sz w:val="26"/>
          <w:szCs w:val="26"/>
        </w:rPr>
        <w:t>R-2016-2537352</w:t>
      </w:r>
    </w:p>
    <w:p w:rsidR="00A725FB" w:rsidRPr="00A725FB" w:rsidRDefault="00A725FB" w:rsidP="00A725FB">
      <w:pPr>
        <w:autoSpaceDE w:val="0"/>
        <w:autoSpaceDN w:val="0"/>
        <w:spacing w:line="240" w:lineRule="auto"/>
        <w:rPr>
          <w:sz w:val="26"/>
          <w:szCs w:val="26"/>
        </w:rPr>
      </w:pPr>
      <w:r w:rsidRPr="00A725FB">
        <w:rPr>
          <w:sz w:val="26"/>
          <w:szCs w:val="26"/>
        </w:rPr>
        <w:t>Office of Small Business Advocate</w:t>
      </w:r>
      <w:r w:rsidRPr="00A725FB">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C-2016-2544356</w:t>
      </w:r>
    </w:p>
    <w:p w:rsidR="00A725FB" w:rsidRPr="00A725FB" w:rsidRDefault="00A725FB" w:rsidP="00A725FB">
      <w:pPr>
        <w:autoSpaceDE w:val="0"/>
        <w:autoSpaceDN w:val="0"/>
        <w:spacing w:line="240" w:lineRule="auto"/>
        <w:rPr>
          <w:sz w:val="26"/>
          <w:szCs w:val="26"/>
        </w:rPr>
      </w:pPr>
      <w:r w:rsidRPr="00A725FB">
        <w:rPr>
          <w:sz w:val="26"/>
          <w:szCs w:val="26"/>
        </w:rPr>
        <w:t>Office of Consumer Advocate</w:t>
      </w:r>
      <w:r w:rsidRPr="00A725FB">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C-2016-2543266</w:t>
      </w:r>
    </w:p>
    <w:p w:rsidR="00A725FB" w:rsidRPr="00A725FB" w:rsidRDefault="00A725FB" w:rsidP="00A725FB">
      <w:pPr>
        <w:autoSpaceDE w:val="0"/>
        <w:autoSpaceDN w:val="0"/>
        <w:spacing w:line="240" w:lineRule="auto"/>
        <w:rPr>
          <w:sz w:val="26"/>
          <w:szCs w:val="26"/>
        </w:rPr>
      </w:pPr>
      <w:r w:rsidRPr="00A725FB">
        <w:rPr>
          <w:sz w:val="26"/>
          <w:szCs w:val="26"/>
        </w:rPr>
        <w:t>Penelec Industrial Customer Alliance</w:t>
      </w:r>
      <w:r w:rsidRPr="00A725FB">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C-2016-2549792</w:t>
      </w:r>
    </w:p>
    <w:p w:rsidR="00A725FB" w:rsidRPr="00A725FB" w:rsidRDefault="00A725FB" w:rsidP="00A725FB">
      <w:pPr>
        <w:autoSpaceDE w:val="0"/>
        <w:autoSpaceDN w:val="0"/>
        <w:spacing w:line="240" w:lineRule="auto"/>
        <w:rPr>
          <w:sz w:val="26"/>
          <w:szCs w:val="26"/>
        </w:rPr>
      </w:pPr>
      <w:r w:rsidRPr="00A725FB">
        <w:rPr>
          <w:sz w:val="26"/>
          <w:szCs w:val="26"/>
        </w:rPr>
        <w:t>Borough of Athens</w:t>
      </w:r>
      <w:r w:rsidRPr="00A725FB">
        <w:rPr>
          <w:sz w:val="26"/>
          <w:szCs w:val="26"/>
        </w:rPr>
        <w:tab/>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76A0A">
        <w:rPr>
          <w:sz w:val="26"/>
          <w:szCs w:val="26"/>
        </w:rPr>
        <w:t xml:space="preserve">     </w:t>
      </w:r>
      <w:r>
        <w:rPr>
          <w:sz w:val="26"/>
          <w:szCs w:val="26"/>
        </w:rPr>
        <w:t>C</w:t>
      </w:r>
      <w:r w:rsidRPr="00A725FB">
        <w:rPr>
          <w:sz w:val="26"/>
          <w:szCs w:val="26"/>
        </w:rPr>
        <w:t>-2016-2552366</w:t>
      </w:r>
    </w:p>
    <w:p w:rsidR="00A725FB" w:rsidRPr="00A725FB" w:rsidRDefault="00A725FB" w:rsidP="00A725FB">
      <w:pPr>
        <w:autoSpaceDE w:val="0"/>
        <w:autoSpaceDN w:val="0"/>
        <w:spacing w:line="240" w:lineRule="auto"/>
        <w:rPr>
          <w:sz w:val="26"/>
          <w:szCs w:val="26"/>
        </w:rPr>
      </w:pPr>
      <w:r w:rsidRPr="00A725FB">
        <w:rPr>
          <w:sz w:val="26"/>
          <w:szCs w:val="26"/>
        </w:rPr>
        <w:t>Borough of South Waverly</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C-2016-2552369</w:t>
      </w:r>
    </w:p>
    <w:p w:rsidR="00A725FB" w:rsidRPr="00A725FB" w:rsidRDefault="00A725FB" w:rsidP="00A725FB">
      <w:pPr>
        <w:autoSpaceDE w:val="0"/>
        <w:autoSpaceDN w:val="0"/>
        <w:spacing w:line="240" w:lineRule="auto"/>
        <w:rPr>
          <w:sz w:val="26"/>
          <w:szCs w:val="26"/>
        </w:rPr>
      </w:pPr>
      <w:r w:rsidRPr="00A725FB">
        <w:rPr>
          <w:sz w:val="26"/>
          <w:szCs w:val="26"/>
        </w:rPr>
        <w:t>Borough of Sayre</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C-2016-2553194</w:t>
      </w:r>
    </w:p>
    <w:p w:rsidR="00A725FB" w:rsidRPr="00A725FB" w:rsidRDefault="00A725FB" w:rsidP="00A725FB">
      <w:pPr>
        <w:autoSpaceDE w:val="0"/>
        <w:autoSpaceDN w:val="0"/>
        <w:spacing w:line="240" w:lineRule="auto"/>
        <w:rPr>
          <w:sz w:val="26"/>
          <w:szCs w:val="26"/>
        </w:rPr>
      </w:pPr>
      <w:r w:rsidRPr="00A725FB">
        <w:rPr>
          <w:sz w:val="26"/>
          <w:szCs w:val="26"/>
        </w:rPr>
        <w:t>Larry Cole</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Pr>
          <w:sz w:val="26"/>
          <w:szCs w:val="26"/>
        </w:rPr>
        <w:tab/>
      </w:r>
      <w:r w:rsidRPr="00A725FB">
        <w:rPr>
          <w:sz w:val="26"/>
          <w:szCs w:val="26"/>
        </w:rPr>
        <w:tab/>
      </w:r>
      <w:r w:rsidRPr="00A725FB">
        <w:rPr>
          <w:sz w:val="26"/>
          <w:szCs w:val="26"/>
        </w:rPr>
        <w:tab/>
      </w:r>
      <w:r w:rsidR="00B76A0A">
        <w:rPr>
          <w:sz w:val="26"/>
          <w:szCs w:val="26"/>
        </w:rPr>
        <w:t xml:space="preserve">     </w:t>
      </w:r>
      <w:r w:rsidRPr="00A725FB">
        <w:rPr>
          <w:sz w:val="26"/>
          <w:szCs w:val="26"/>
        </w:rPr>
        <w:t>C-2016-2551244</w:t>
      </w:r>
    </w:p>
    <w:p w:rsidR="00A725FB" w:rsidRPr="00A725FB" w:rsidRDefault="00A725FB" w:rsidP="00A725FB">
      <w:pPr>
        <w:autoSpaceDE w:val="0"/>
        <w:autoSpaceDN w:val="0"/>
        <w:spacing w:line="240" w:lineRule="auto"/>
        <w:rPr>
          <w:sz w:val="26"/>
          <w:szCs w:val="26"/>
        </w:rPr>
      </w:pPr>
      <w:r w:rsidRPr="00A725FB">
        <w:rPr>
          <w:sz w:val="26"/>
          <w:szCs w:val="26"/>
        </w:rPr>
        <w:t>Larry Gates</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Pr>
          <w:sz w:val="26"/>
          <w:szCs w:val="26"/>
        </w:rPr>
        <w:tab/>
      </w:r>
      <w:r w:rsidRPr="00A725FB">
        <w:rPr>
          <w:sz w:val="26"/>
          <w:szCs w:val="26"/>
        </w:rPr>
        <w:tab/>
      </w:r>
      <w:r w:rsidRPr="00A725FB">
        <w:rPr>
          <w:sz w:val="26"/>
          <w:szCs w:val="26"/>
        </w:rPr>
        <w:tab/>
      </w:r>
      <w:r w:rsidR="00B76A0A">
        <w:rPr>
          <w:sz w:val="26"/>
          <w:szCs w:val="26"/>
        </w:rPr>
        <w:t xml:space="preserve">     </w:t>
      </w:r>
      <w:r w:rsidRPr="00A725FB">
        <w:rPr>
          <w:sz w:val="26"/>
          <w:szCs w:val="26"/>
        </w:rPr>
        <w:t>C-2016-2552878</w:t>
      </w:r>
    </w:p>
    <w:p w:rsidR="00A725FB" w:rsidRPr="00A725FB" w:rsidRDefault="00A725FB" w:rsidP="00A725FB">
      <w:pPr>
        <w:autoSpaceDE w:val="0"/>
        <w:autoSpaceDN w:val="0"/>
        <w:spacing w:line="240" w:lineRule="auto"/>
        <w:rPr>
          <w:sz w:val="26"/>
          <w:szCs w:val="26"/>
        </w:rPr>
      </w:pPr>
      <w:r w:rsidRPr="00A725FB">
        <w:rPr>
          <w:sz w:val="26"/>
          <w:szCs w:val="26"/>
        </w:rPr>
        <w:t>Kenneth Hall</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Pr>
          <w:sz w:val="26"/>
          <w:szCs w:val="26"/>
        </w:rPr>
        <w:tab/>
      </w:r>
      <w:r w:rsidRPr="00A725FB">
        <w:rPr>
          <w:sz w:val="26"/>
          <w:szCs w:val="26"/>
        </w:rPr>
        <w:tab/>
      </w:r>
      <w:r w:rsidRPr="00A725FB">
        <w:rPr>
          <w:sz w:val="26"/>
          <w:szCs w:val="26"/>
        </w:rPr>
        <w:tab/>
      </w:r>
      <w:r w:rsidR="00B76A0A">
        <w:rPr>
          <w:sz w:val="26"/>
          <w:szCs w:val="26"/>
        </w:rPr>
        <w:t xml:space="preserve">     </w:t>
      </w:r>
      <w:r w:rsidRPr="00A725FB">
        <w:rPr>
          <w:sz w:val="26"/>
          <w:szCs w:val="26"/>
        </w:rPr>
        <w:t>C-2016-2551643</w:t>
      </w:r>
    </w:p>
    <w:p w:rsidR="00A725FB" w:rsidRPr="00A725FB" w:rsidRDefault="00A725FB" w:rsidP="00A725FB">
      <w:pPr>
        <w:autoSpaceDE w:val="0"/>
        <w:autoSpaceDN w:val="0"/>
        <w:spacing w:line="240" w:lineRule="auto"/>
        <w:rPr>
          <w:sz w:val="26"/>
          <w:szCs w:val="26"/>
        </w:rPr>
      </w:pPr>
      <w:r w:rsidRPr="00A725FB">
        <w:rPr>
          <w:sz w:val="26"/>
          <w:szCs w:val="26"/>
        </w:rPr>
        <w:t>Eric Hetrick</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Pr>
          <w:sz w:val="26"/>
          <w:szCs w:val="26"/>
        </w:rPr>
        <w:tab/>
      </w:r>
      <w:r w:rsidRPr="00A725FB">
        <w:rPr>
          <w:sz w:val="26"/>
          <w:szCs w:val="26"/>
        </w:rPr>
        <w:tab/>
      </w:r>
      <w:r w:rsidRPr="00A725FB">
        <w:rPr>
          <w:sz w:val="26"/>
          <w:szCs w:val="26"/>
        </w:rPr>
        <w:tab/>
      </w:r>
      <w:r w:rsidR="00B76A0A">
        <w:rPr>
          <w:sz w:val="26"/>
          <w:szCs w:val="26"/>
        </w:rPr>
        <w:t xml:space="preserve">     </w:t>
      </w:r>
      <w:r w:rsidRPr="00A725FB">
        <w:rPr>
          <w:sz w:val="26"/>
          <w:szCs w:val="26"/>
        </w:rPr>
        <w:t>C-2016-2551207</w:t>
      </w:r>
    </w:p>
    <w:p w:rsidR="00A725FB" w:rsidRPr="00A725FB" w:rsidRDefault="00A725FB" w:rsidP="00A725FB">
      <w:pPr>
        <w:autoSpaceDE w:val="0"/>
        <w:autoSpaceDN w:val="0"/>
        <w:spacing w:line="240" w:lineRule="auto"/>
        <w:rPr>
          <w:sz w:val="26"/>
          <w:szCs w:val="26"/>
        </w:rPr>
      </w:pPr>
      <w:r w:rsidRPr="00A725FB">
        <w:rPr>
          <w:sz w:val="26"/>
          <w:szCs w:val="26"/>
        </w:rPr>
        <w:t>Kim Hillegass</w:t>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Pr="00A725FB">
        <w:rPr>
          <w:sz w:val="26"/>
          <w:szCs w:val="26"/>
        </w:rPr>
        <w:tab/>
      </w:r>
      <w:r w:rsidR="00B76A0A">
        <w:rPr>
          <w:sz w:val="26"/>
          <w:szCs w:val="26"/>
        </w:rPr>
        <w:t xml:space="preserve">     </w:t>
      </w:r>
      <w:r w:rsidRPr="00A725FB">
        <w:rPr>
          <w:sz w:val="26"/>
          <w:szCs w:val="26"/>
        </w:rPr>
        <w:t>C-2016-2553215</w:t>
      </w:r>
    </w:p>
    <w:p w:rsidR="00A725FB" w:rsidRPr="00A725FB" w:rsidRDefault="00A725FB" w:rsidP="00A725FB">
      <w:pPr>
        <w:autoSpaceDE w:val="0"/>
        <w:autoSpaceDN w:val="0"/>
        <w:spacing w:line="240" w:lineRule="auto"/>
        <w:rPr>
          <w:sz w:val="26"/>
          <w:szCs w:val="26"/>
        </w:rPr>
      </w:pPr>
      <w:r w:rsidRPr="00A725FB">
        <w:rPr>
          <w:sz w:val="26"/>
          <w:szCs w:val="26"/>
        </w:rPr>
        <w:t>Charles Hoover</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C-2016-2560032</w:t>
      </w:r>
    </w:p>
    <w:p w:rsidR="00A725FB" w:rsidRPr="00A725FB" w:rsidRDefault="00A725FB" w:rsidP="00A725FB">
      <w:pPr>
        <w:autoSpaceDE w:val="0"/>
        <w:autoSpaceDN w:val="0"/>
        <w:spacing w:line="240" w:lineRule="auto"/>
        <w:rPr>
          <w:sz w:val="26"/>
          <w:szCs w:val="26"/>
        </w:rPr>
      </w:pPr>
      <w:r w:rsidRPr="00A725FB">
        <w:rPr>
          <w:sz w:val="26"/>
          <w:szCs w:val="26"/>
        </w:rPr>
        <w:t>Maureen Hoover</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76A0A">
        <w:rPr>
          <w:sz w:val="26"/>
          <w:szCs w:val="26"/>
        </w:rPr>
        <w:t xml:space="preserve">     </w:t>
      </w:r>
      <w:r w:rsidRPr="00A725FB">
        <w:rPr>
          <w:sz w:val="26"/>
          <w:szCs w:val="26"/>
        </w:rPr>
        <w:t>C-2016-2552615</w:t>
      </w:r>
    </w:p>
    <w:p w:rsidR="00A725FB" w:rsidRPr="00A725FB" w:rsidRDefault="00A725FB" w:rsidP="00A725FB">
      <w:pPr>
        <w:autoSpaceDE w:val="0"/>
        <w:autoSpaceDN w:val="0"/>
        <w:spacing w:line="240" w:lineRule="auto"/>
        <w:rPr>
          <w:sz w:val="26"/>
          <w:szCs w:val="26"/>
        </w:rPr>
      </w:pPr>
      <w:r w:rsidRPr="00A725FB">
        <w:rPr>
          <w:sz w:val="26"/>
          <w:szCs w:val="26"/>
        </w:rPr>
        <w:lastRenderedPageBreak/>
        <w:t>Robert Moore</w:t>
      </w:r>
      <w:r w:rsidRPr="00A725FB">
        <w:rPr>
          <w:sz w:val="26"/>
          <w:szCs w:val="26"/>
        </w:rPr>
        <w:tab/>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C-2016-2551236</w:t>
      </w:r>
    </w:p>
    <w:p w:rsidR="00A725FB" w:rsidRPr="00A725FB" w:rsidRDefault="00A725FB" w:rsidP="00A725FB">
      <w:pPr>
        <w:autoSpaceDE w:val="0"/>
        <w:autoSpaceDN w:val="0"/>
        <w:spacing w:line="240" w:lineRule="auto"/>
        <w:rPr>
          <w:sz w:val="26"/>
          <w:szCs w:val="26"/>
        </w:rPr>
      </w:pPr>
      <w:r w:rsidRPr="00A725FB">
        <w:rPr>
          <w:sz w:val="26"/>
          <w:szCs w:val="26"/>
        </w:rPr>
        <w:t>Janine &amp; Jeff Riblett</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C-2016-2550110</w:t>
      </w:r>
    </w:p>
    <w:p w:rsidR="00A725FB" w:rsidRPr="00A725FB" w:rsidRDefault="00A725FB" w:rsidP="00A725FB">
      <w:pPr>
        <w:autoSpaceDE w:val="0"/>
        <w:autoSpaceDN w:val="0"/>
        <w:spacing w:line="240" w:lineRule="auto"/>
        <w:rPr>
          <w:sz w:val="26"/>
          <w:szCs w:val="26"/>
        </w:rPr>
      </w:pPr>
      <w:r w:rsidRPr="00A725FB">
        <w:rPr>
          <w:sz w:val="26"/>
          <w:szCs w:val="26"/>
        </w:rPr>
        <w:t>Kenneth Springirth</w:t>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C-2016-2546231</w:t>
      </w:r>
    </w:p>
    <w:p w:rsidR="00A725FB" w:rsidRPr="00A725FB" w:rsidRDefault="00A725FB" w:rsidP="00A725FB">
      <w:pPr>
        <w:autoSpaceDE w:val="0"/>
        <w:autoSpaceDN w:val="0"/>
        <w:spacing w:line="240" w:lineRule="auto"/>
        <w:rPr>
          <w:sz w:val="26"/>
          <w:szCs w:val="26"/>
        </w:rPr>
      </w:pPr>
      <w:r w:rsidRPr="00A725FB">
        <w:rPr>
          <w:sz w:val="26"/>
          <w:szCs w:val="26"/>
        </w:rPr>
        <w:t>Rebecca Stiles</w:t>
      </w:r>
      <w:r w:rsidRPr="00A725FB">
        <w:rPr>
          <w:sz w:val="26"/>
          <w:szCs w:val="26"/>
        </w:rPr>
        <w:tab/>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A725FB">
        <w:rPr>
          <w:sz w:val="26"/>
          <w:szCs w:val="26"/>
        </w:rPr>
        <w:tab/>
      </w:r>
      <w:r w:rsidR="00B76A0A">
        <w:rPr>
          <w:sz w:val="26"/>
          <w:szCs w:val="26"/>
        </w:rPr>
        <w:t xml:space="preserve">     </w:t>
      </w:r>
      <w:r w:rsidRPr="00A725FB">
        <w:rPr>
          <w:sz w:val="26"/>
          <w:szCs w:val="26"/>
        </w:rPr>
        <w:t>C-2016-2551230</w:t>
      </w:r>
    </w:p>
    <w:p w:rsidR="00A725FB" w:rsidRPr="00A725FB" w:rsidRDefault="00A725FB" w:rsidP="00A725FB">
      <w:pPr>
        <w:autoSpaceDE w:val="0"/>
        <w:autoSpaceDN w:val="0"/>
        <w:spacing w:after="120" w:line="240" w:lineRule="auto"/>
        <w:rPr>
          <w:sz w:val="26"/>
          <w:szCs w:val="26"/>
        </w:rPr>
      </w:pPr>
      <w:r w:rsidRPr="00A725FB">
        <w:rPr>
          <w:sz w:val="26"/>
          <w:szCs w:val="26"/>
        </w:rPr>
        <w:t>Nicholson Borough</w:t>
      </w:r>
      <w:r w:rsidRPr="00A725FB">
        <w:rPr>
          <w:sz w:val="26"/>
          <w:szCs w:val="26"/>
        </w:rPr>
        <w:tab/>
      </w:r>
      <w:r w:rsidRPr="00A725FB">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76A0A">
        <w:rPr>
          <w:sz w:val="26"/>
          <w:szCs w:val="26"/>
        </w:rPr>
        <w:t xml:space="preserve">     </w:t>
      </w:r>
      <w:r w:rsidRPr="00A725FB">
        <w:rPr>
          <w:sz w:val="26"/>
          <w:szCs w:val="26"/>
        </w:rPr>
        <w:t>C-2016-2560016</w:t>
      </w:r>
    </w:p>
    <w:p w:rsidR="00E05523" w:rsidRDefault="00DA15BB" w:rsidP="00151CED">
      <w:pPr>
        <w:autoSpaceDE w:val="0"/>
        <w:autoSpaceDN w:val="0"/>
        <w:spacing w:after="120" w:line="240" w:lineRule="auto"/>
        <w:ind w:right="-14"/>
        <w:rPr>
          <w:sz w:val="26"/>
          <w:szCs w:val="26"/>
        </w:rPr>
      </w:pPr>
      <w:r>
        <w:rPr>
          <w:sz w:val="26"/>
          <w:szCs w:val="26"/>
        </w:rPr>
        <w:tab/>
      </w:r>
      <w:r>
        <w:rPr>
          <w:sz w:val="26"/>
          <w:szCs w:val="26"/>
        </w:rPr>
        <w:tab/>
      </w:r>
      <w:proofErr w:type="gramStart"/>
      <w:r w:rsidR="00E05523" w:rsidRPr="00815548">
        <w:rPr>
          <w:sz w:val="26"/>
          <w:szCs w:val="26"/>
        </w:rPr>
        <w:t>v</w:t>
      </w:r>
      <w:proofErr w:type="gramEnd"/>
      <w:r w:rsidR="00E05523" w:rsidRPr="00815548">
        <w:rPr>
          <w:sz w:val="26"/>
          <w:szCs w:val="26"/>
        </w:rPr>
        <w:t>.</w:t>
      </w:r>
    </w:p>
    <w:p w:rsidR="00E05523" w:rsidRDefault="000C7C19" w:rsidP="00151CED">
      <w:pPr>
        <w:autoSpaceDE w:val="0"/>
        <w:autoSpaceDN w:val="0"/>
        <w:spacing w:after="120" w:line="240" w:lineRule="auto"/>
        <w:ind w:right="-14"/>
        <w:rPr>
          <w:sz w:val="26"/>
          <w:szCs w:val="26"/>
        </w:rPr>
      </w:pPr>
      <w:r>
        <w:rPr>
          <w:sz w:val="26"/>
          <w:szCs w:val="26"/>
        </w:rPr>
        <w:t>P</w:t>
      </w:r>
      <w:r w:rsidR="00E05523">
        <w:rPr>
          <w:sz w:val="26"/>
          <w:szCs w:val="26"/>
        </w:rPr>
        <w:t>ennsylvania Electric Company</w:t>
      </w:r>
    </w:p>
    <w:p w:rsidR="00E05523" w:rsidRDefault="00E05523" w:rsidP="00E05523">
      <w:pPr>
        <w:autoSpaceDE w:val="0"/>
        <w:autoSpaceDN w:val="0"/>
        <w:spacing w:line="240" w:lineRule="auto"/>
        <w:ind w:right="-18"/>
        <w:rPr>
          <w:sz w:val="26"/>
          <w:szCs w:val="26"/>
        </w:rPr>
      </w:pPr>
    </w:p>
    <w:p w:rsidR="003F001F" w:rsidRDefault="003F001F" w:rsidP="00E05523">
      <w:pPr>
        <w:autoSpaceDE w:val="0"/>
        <w:autoSpaceDN w:val="0"/>
        <w:spacing w:line="240" w:lineRule="auto"/>
        <w:ind w:right="-18"/>
        <w:rPr>
          <w:sz w:val="26"/>
          <w:szCs w:val="26"/>
        </w:rPr>
      </w:pPr>
    </w:p>
    <w:p w:rsidR="00E05523" w:rsidRDefault="00E05523" w:rsidP="00B276DA">
      <w:pPr>
        <w:autoSpaceDE w:val="0"/>
        <w:autoSpaceDN w:val="0"/>
        <w:spacing w:line="240" w:lineRule="auto"/>
        <w:ind w:right="-14"/>
        <w:rPr>
          <w:sz w:val="26"/>
          <w:szCs w:val="26"/>
        </w:rPr>
      </w:pPr>
      <w:r>
        <w:rPr>
          <w:sz w:val="26"/>
          <w:szCs w:val="26"/>
        </w:rPr>
        <w:t>Pennsylvania Public Utility Commission</w:t>
      </w:r>
      <w:r>
        <w:rPr>
          <w:sz w:val="26"/>
          <w:szCs w:val="26"/>
        </w:rPr>
        <w:tab/>
      </w:r>
      <w:r>
        <w:rPr>
          <w:sz w:val="26"/>
          <w:szCs w:val="26"/>
        </w:rPr>
        <w:tab/>
      </w:r>
      <w:r>
        <w:rPr>
          <w:sz w:val="26"/>
          <w:szCs w:val="26"/>
        </w:rPr>
        <w:tab/>
      </w:r>
      <w:r w:rsidR="00B276DA">
        <w:rPr>
          <w:sz w:val="26"/>
          <w:szCs w:val="26"/>
        </w:rPr>
        <w:tab/>
      </w:r>
      <w:r w:rsidR="00B76A0A">
        <w:rPr>
          <w:sz w:val="26"/>
          <w:szCs w:val="26"/>
        </w:rPr>
        <w:t xml:space="preserve">     </w:t>
      </w:r>
      <w:r w:rsidR="00244A3B">
        <w:rPr>
          <w:sz w:val="26"/>
          <w:szCs w:val="26"/>
        </w:rPr>
        <w:t xml:space="preserve">           </w:t>
      </w:r>
      <w:r>
        <w:rPr>
          <w:sz w:val="26"/>
          <w:szCs w:val="26"/>
        </w:rPr>
        <w:t>R-2016-2537355</w:t>
      </w:r>
    </w:p>
    <w:p w:rsidR="00B276DA" w:rsidRPr="00B276DA" w:rsidRDefault="00B276DA" w:rsidP="00B276DA">
      <w:pPr>
        <w:autoSpaceDE w:val="0"/>
        <w:autoSpaceDN w:val="0"/>
        <w:spacing w:line="240" w:lineRule="auto"/>
        <w:ind w:right="-18"/>
        <w:rPr>
          <w:sz w:val="26"/>
          <w:szCs w:val="26"/>
        </w:rPr>
      </w:pPr>
      <w:r w:rsidRPr="00B276DA">
        <w:rPr>
          <w:sz w:val="26"/>
          <w:szCs w:val="26"/>
        </w:rPr>
        <w:t>Office of Small Business Advocate</w:t>
      </w:r>
      <w:r w:rsidRPr="00B276DA">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C-2016-2544358</w:t>
      </w:r>
    </w:p>
    <w:p w:rsidR="00B276DA" w:rsidRPr="00B276DA" w:rsidRDefault="00B276DA" w:rsidP="00B276DA">
      <w:pPr>
        <w:autoSpaceDE w:val="0"/>
        <w:autoSpaceDN w:val="0"/>
        <w:spacing w:line="240" w:lineRule="auto"/>
        <w:ind w:right="-18"/>
        <w:rPr>
          <w:sz w:val="26"/>
          <w:szCs w:val="26"/>
        </w:rPr>
      </w:pPr>
      <w:r w:rsidRPr="00B276DA">
        <w:rPr>
          <w:sz w:val="26"/>
          <w:szCs w:val="26"/>
        </w:rPr>
        <w:t>Office of Consumer Advocate</w:t>
      </w:r>
      <w:r w:rsidRPr="00B276DA">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C-2016-2543268</w:t>
      </w:r>
    </w:p>
    <w:p w:rsidR="00B276DA" w:rsidRPr="00B276DA" w:rsidRDefault="00B276DA" w:rsidP="00B276DA">
      <w:pPr>
        <w:autoSpaceDE w:val="0"/>
        <w:autoSpaceDN w:val="0"/>
        <w:spacing w:line="240" w:lineRule="auto"/>
        <w:ind w:right="-18"/>
        <w:rPr>
          <w:sz w:val="26"/>
          <w:szCs w:val="26"/>
        </w:rPr>
      </w:pPr>
      <w:r w:rsidRPr="00B276DA">
        <w:rPr>
          <w:sz w:val="26"/>
          <w:szCs w:val="26"/>
        </w:rPr>
        <w:t>John Catterson</w:t>
      </w:r>
      <w:r w:rsidRPr="00B276DA">
        <w:rPr>
          <w:sz w:val="26"/>
          <w:szCs w:val="26"/>
        </w:rPr>
        <w:tab/>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C-2016-2552384</w:t>
      </w:r>
    </w:p>
    <w:p w:rsidR="00B276DA" w:rsidRPr="00B276DA" w:rsidRDefault="00B276DA" w:rsidP="00B276DA">
      <w:pPr>
        <w:autoSpaceDE w:val="0"/>
        <w:autoSpaceDN w:val="0"/>
        <w:spacing w:line="240" w:lineRule="auto"/>
        <w:ind w:right="-18"/>
        <w:rPr>
          <w:sz w:val="26"/>
          <w:szCs w:val="26"/>
        </w:rPr>
      </w:pPr>
      <w:r w:rsidRPr="00B276DA">
        <w:rPr>
          <w:sz w:val="26"/>
          <w:szCs w:val="26"/>
        </w:rPr>
        <w:t>Richard Collins</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C-2016-2547484</w:t>
      </w:r>
    </w:p>
    <w:p w:rsidR="00B276DA" w:rsidRPr="00B276DA" w:rsidRDefault="00B276DA" w:rsidP="00B276DA">
      <w:pPr>
        <w:autoSpaceDE w:val="0"/>
        <w:autoSpaceDN w:val="0"/>
        <w:spacing w:line="240" w:lineRule="auto"/>
        <w:ind w:right="-18"/>
        <w:rPr>
          <w:sz w:val="26"/>
          <w:szCs w:val="26"/>
        </w:rPr>
      </w:pPr>
      <w:r w:rsidRPr="00B276DA">
        <w:rPr>
          <w:sz w:val="26"/>
          <w:szCs w:val="26"/>
        </w:rPr>
        <w:t>Roland Gassman</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C-2016-2553461</w:t>
      </w:r>
    </w:p>
    <w:p w:rsidR="00B276DA" w:rsidRPr="00B276DA" w:rsidRDefault="00B276DA" w:rsidP="00B276DA">
      <w:pPr>
        <w:autoSpaceDE w:val="0"/>
        <w:autoSpaceDN w:val="0"/>
        <w:spacing w:after="120" w:line="240" w:lineRule="auto"/>
        <w:rPr>
          <w:sz w:val="26"/>
          <w:szCs w:val="26"/>
        </w:rPr>
      </w:pPr>
      <w:r w:rsidRPr="00B276DA">
        <w:rPr>
          <w:sz w:val="26"/>
          <w:szCs w:val="26"/>
        </w:rPr>
        <w:t>John McDowell</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C-2016-2551614</w:t>
      </w:r>
    </w:p>
    <w:p w:rsidR="00E05523" w:rsidRDefault="00F60E41" w:rsidP="00151CED">
      <w:pPr>
        <w:autoSpaceDE w:val="0"/>
        <w:autoSpaceDN w:val="0"/>
        <w:spacing w:after="120" w:line="240" w:lineRule="auto"/>
        <w:ind w:right="-14"/>
        <w:rPr>
          <w:sz w:val="26"/>
          <w:szCs w:val="26"/>
        </w:rPr>
      </w:pPr>
      <w:r>
        <w:rPr>
          <w:sz w:val="26"/>
          <w:szCs w:val="26"/>
        </w:rPr>
        <w:tab/>
      </w:r>
      <w:r>
        <w:rPr>
          <w:sz w:val="26"/>
          <w:szCs w:val="26"/>
        </w:rPr>
        <w:tab/>
      </w:r>
      <w:proofErr w:type="gramStart"/>
      <w:r w:rsidR="00E05523" w:rsidRPr="00815548">
        <w:rPr>
          <w:sz w:val="26"/>
          <w:szCs w:val="26"/>
        </w:rPr>
        <w:t>v</w:t>
      </w:r>
      <w:proofErr w:type="gramEnd"/>
      <w:r w:rsidR="00E05523" w:rsidRPr="00815548">
        <w:rPr>
          <w:sz w:val="26"/>
          <w:szCs w:val="26"/>
        </w:rPr>
        <w:t>.</w:t>
      </w:r>
    </w:p>
    <w:p w:rsidR="00E05523" w:rsidRDefault="00E05523" w:rsidP="00B276DA">
      <w:pPr>
        <w:autoSpaceDE w:val="0"/>
        <w:autoSpaceDN w:val="0"/>
        <w:spacing w:after="120" w:line="240" w:lineRule="auto"/>
        <w:ind w:right="-14"/>
        <w:rPr>
          <w:sz w:val="26"/>
          <w:szCs w:val="26"/>
        </w:rPr>
      </w:pPr>
      <w:r>
        <w:rPr>
          <w:sz w:val="26"/>
          <w:szCs w:val="26"/>
        </w:rPr>
        <w:t>Pennsylvania Power Company</w:t>
      </w:r>
    </w:p>
    <w:p w:rsidR="00E05523" w:rsidRDefault="00E05523" w:rsidP="00E05523">
      <w:pPr>
        <w:autoSpaceDE w:val="0"/>
        <w:autoSpaceDN w:val="0"/>
        <w:spacing w:line="240" w:lineRule="auto"/>
        <w:ind w:right="-18"/>
        <w:rPr>
          <w:sz w:val="26"/>
          <w:szCs w:val="26"/>
        </w:rPr>
      </w:pPr>
    </w:p>
    <w:p w:rsidR="003F001F" w:rsidRDefault="003F001F" w:rsidP="00E05523">
      <w:pPr>
        <w:autoSpaceDE w:val="0"/>
        <w:autoSpaceDN w:val="0"/>
        <w:spacing w:line="240" w:lineRule="auto"/>
        <w:ind w:right="-18"/>
        <w:rPr>
          <w:sz w:val="26"/>
          <w:szCs w:val="26"/>
        </w:rPr>
      </w:pPr>
    </w:p>
    <w:p w:rsidR="00E05523" w:rsidRDefault="00E05523" w:rsidP="00B276DA">
      <w:pPr>
        <w:autoSpaceDE w:val="0"/>
        <w:autoSpaceDN w:val="0"/>
        <w:spacing w:line="240" w:lineRule="auto"/>
        <w:rPr>
          <w:sz w:val="26"/>
          <w:szCs w:val="26"/>
        </w:rPr>
      </w:pPr>
      <w:r>
        <w:rPr>
          <w:sz w:val="26"/>
          <w:szCs w:val="26"/>
        </w:rPr>
        <w:t>Pennsylvania Public Utility Commission</w:t>
      </w:r>
      <w:r>
        <w:rPr>
          <w:sz w:val="26"/>
          <w:szCs w:val="26"/>
        </w:rPr>
        <w:tab/>
      </w:r>
      <w:r>
        <w:rPr>
          <w:sz w:val="26"/>
          <w:szCs w:val="26"/>
        </w:rPr>
        <w:tab/>
      </w:r>
      <w:r>
        <w:rPr>
          <w:sz w:val="26"/>
          <w:szCs w:val="26"/>
        </w:rPr>
        <w:tab/>
      </w:r>
      <w:r w:rsidR="00B276DA">
        <w:rPr>
          <w:sz w:val="26"/>
          <w:szCs w:val="26"/>
        </w:rPr>
        <w:tab/>
      </w:r>
      <w:r w:rsidR="00B76A0A">
        <w:rPr>
          <w:sz w:val="26"/>
          <w:szCs w:val="26"/>
        </w:rPr>
        <w:t xml:space="preserve">     </w:t>
      </w:r>
      <w:r w:rsidR="00244A3B">
        <w:rPr>
          <w:sz w:val="26"/>
          <w:szCs w:val="26"/>
        </w:rPr>
        <w:t xml:space="preserve">           </w:t>
      </w:r>
      <w:r>
        <w:rPr>
          <w:sz w:val="26"/>
          <w:szCs w:val="26"/>
        </w:rPr>
        <w:t>R-2016-2537359</w:t>
      </w:r>
    </w:p>
    <w:p w:rsidR="00B276DA" w:rsidRPr="00B276DA" w:rsidRDefault="00B276DA" w:rsidP="00B276DA">
      <w:pPr>
        <w:autoSpaceDE w:val="0"/>
        <w:autoSpaceDN w:val="0"/>
        <w:spacing w:line="240" w:lineRule="auto"/>
        <w:rPr>
          <w:sz w:val="26"/>
          <w:szCs w:val="26"/>
        </w:rPr>
      </w:pPr>
      <w:r w:rsidRPr="00B276DA">
        <w:rPr>
          <w:sz w:val="26"/>
          <w:szCs w:val="26"/>
        </w:rPr>
        <w:t>Office of Small Business Advocate</w:t>
      </w:r>
      <w:r w:rsidRPr="00B276DA">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C-2016-2544359</w:t>
      </w:r>
    </w:p>
    <w:p w:rsidR="00B276DA" w:rsidRPr="00B276DA" w:rsidRDefault="00B276DA" w:rsidP="00B276DA">
      <w:pPr>
        <w:autoSpaceDE w:val="0"/>
        <w:autoSpaceDN w:val="0"/>
        <w:spacing w:line="240" w:lineRule="auto"/>
        <w:rPr>
          <w:sz w:val="26"/>
          <w:szCs w:val="26"/>
        </w:rPr>
      </w:pPr>
      <w:r w:rsidRPr="00B276DA">
        <w:rPr>
          <w:sz w:val="26"/>
          <w:szCs w:val="26"/>
        </w:rPr>
        <w:t>Office of Consumer Advocate</w:t>
      </w:r>
      <w:r w:rsidRPr="00B276DA">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C-2016-2543315</w:t>
      </w:r>
    </w:p>
    <w:p w:rsidR="00B276DA" w:rsidRPr="00B276DA" w:rsidRDefault="00B276DA" w:rsidP="00B276DA">
      <w:pPr>
        <w:autoSpaceDE w:val="0"/>
        <w:autoSpaceDN w:val="0"/>
        <w:spacing w:line="240" w:lineRule="auto"/>
        <w:rPr>
          <w:sz w:val="26"/>
          <w:szCs w:val="26"/>
        </w:rPr>
      </w:pPr>
      <w:r w:rsidRPr="00B276DA">
        <w:rPr>
          <w:sz w:val="26"/>
          <w:szCs w:val="26"/>
        </w:rPr>
        <w:t>West Penn Power Industrial Intervenors</w:t>
      </w:r>
      <w:r w:rsidRPr="00B276DA">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C-2016-2549413</w:t>
      </w:r>
    </w:p>
    <w:p w:rsidR="00B276DA" w:rsidRPr="00B276DA" w:rsidRDefault="00B276DA" w:rsidP="00B276DA">
      <w:pPr>
        <w:autoSpaceDE w:val="0"/>
        <w:autoSpaceDN w:val="0"/>
        <w:spacing w:line="240" w:lineRule="auto"/>
        <w:rPr>
          <w:sz w:val="26"/>
          <w:szCs w:val="26"/>
        </w:rPr>
      </w:pPr>
      <w:r w:rsidRPr="00B276DA">
        <w:rPr>
          <w:sz w:val="26"/>
          <w:szCs w:val="26"/>
        </w:rPr>
        <w:t>Jean Bitner</w:t>
      </w:r>
      <w:r w:rsidRPr="00B276DA">
        <w:rPr>
          <w:sz w:val="26"/>
          <w:szCs w:val="26"/>
        </w:rPr>
        <w:tab/>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C-2016-2554871</w:t>
      </w:r>
    </w:p>
    <w:p w:rsidR="00B276DA" w:rsidRPr="00B276DA" w:rsidRDefault="00B276DA" w:rsidP="00B276DA">
      <w:pPr>
        <w:autoSpaceDE w:val="0"/>
        <w:autoSpaceDN w:val="0"/>
        <w:spacing w:line="240" w:lineRule="auto"/>
        <w:rPr>
          <w:sz w:val="26"/>
          <w:szCs w:val="26"/>
        </w:rPr>
      </w:pPr>
      <w:r w:rsidRPr="00B276DA">
        <w:rPr>
          <w:sz w:val="26"/>
          <w:szCs w:val="26"/>
        </w:rPr>
        <w:t>Mary Ellen McConnell</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76A0A">
        <w:rPr>
          <w:sz w:val="26"/>
          <w:szCs w:val="26"/>
        </w:rPr>
        <w:t xml:space="preserve">     </w:t>
      </w:r>
      <w:r w:rsidRPr="00B276DA">
        <w:rPr>
          <w:sz w:val="26"/>
          <w:szCs w:val="26"/>
        </w:rPr>
        <w:t>C-2016-2552601</w:t>
      </w:r>
    </w:p>
    <w:p w:rsidR="00B276DA" w:rsidRPr="00B276DA" w:rsidRDefault="00B276DA" w:rsidP="00B276DA">
      <w:pPr>
        <w:autoSpaceDE w:val="0"/>
        <w:autoSpaceDN w:val="0"/>
        <w:spacing w:line="240" w:lineRule="auto"/>
        <w:rPr>
          <w:sz w:val="26"/>
          <w:szCs w:val="26"/>
        </w:rPr>
      </w:pPr>
      <w:r w:rsidRPr="00B276DA">
        <w:rPr>
          <w:sz w:val="26"/>
          <w:szCs w:val="26"/>
        </w:rPr>
        <w:t>Troy Mckenzie</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C-2016-2553313</w:t>
      </w:r>
    </w:p>
    <w:p w:rsidR="00B276DA" w:rsidRPr="00B276DA" w:rsidRDefault="00B276DA" w:rsidP="00B276DA">
      <w:pPr>
        <w:autoSpaceDE w:val="0"/>
        <w:autoSpaceDN w:val="0"/>
        <w:spacing w:line="240" w:lineRule="auto"/>
        <w:rPr>
          <w:sz w:val="26"/>
          <w:szCs w:val="26"/>
        </w:rPr>
      </w:pPr>
      <w:r w:rsidRPr="00B276DA">
        <w:rPr>
          <w:sz w:val="26"/>
          <w:szCs w:val="26"/>
        </w:rPr>
        <w:t>Eleanor Pinchok</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C-2016-2555095</w:t>
      </w:r>
    </w:p>
    <w:p w:rsidR="00B276DA" w:rsidRPr="00B276DA" w:rsidRDefault="00B276DA" w:rsidP="00B276DA">
      <w:pPr>
        <w:autoSpaceDE w:val="0"/>
        <w:autoSpaceDN w:val="0"/>
        <w:spacing w:line="240" w:lineRule="auto"/>
        <w:rPr>
          <w:sz w:val="26"/>
          <w:szCs w:val="26"/>
        </w:rPr>
      </w:pPr>
      <w:r w:rsidRPr="00B276DA">
        <w:rPr>
          <w:sz w:val="26"/>
          <w:szCs w:val="26"/>
        </w:rPr>
        <w:t>Robert Redinger, Jr.</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C-2016-2542278</w:t>
      </w:r>
    </w:p>
    <w:p w:rsidR="00B276DA" w:rsidRPr="00B276DA" w:rsidRDefault="00B276DA" w:rsidP="00B276DA">
      <w:pPr>
        <w:autoSpaceDE w:val="0"/>
        <w:autoSpaceDN w:val="0"/>
        <w:spacing w:line="240" w:lineRule="auto"/>
        <w:rPr>
          <w:sz w:val="26"/>
          <w:szCs w:val="26"/>
        </w:rPr>
      </w:pPr>
      <w:r w:rsidRPr="00B276DA">
        <w:rPr>
          <w:sz w:val="26"/>
          <w:szCs w:val="26"/>
        </w:rPr>
        <w:t>Kathleen Tretinik</w:t>
      </w:r>
      <w:r w:rsidRPr="00B276DA">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76A0A">
        <w:rPr>
          <w:sz w:val="26"/>
          <w:szCs w:val="26"/>
        </w:rPr>
        <w:t xml:space="preserve">     </w:t>
      </w:r>
      <w:r w:rsidRPr="00B276DA">
        <w:rPr>
          <w:sz w:val="26"/>
          <w:szCs w:val="26"/>
        </w:rPr>
        <w:t>C-2016-2552271</w:t>
      </w:r>
    </w:p>
    <w:p w:rsidR="00B276DA" w:rsidRPr="00B276DA" w:rsidRDefault="00B276DA" w:rsidP="00B276DA">
      <w:pPr>
        <w:autoSpaceDE w:val="0"/>
        <w:autoSpaceDN w:val="0"/>
        <w:spacing w:after="120" w:line="240" w:lineRule="auto"/>
        <w:rPr>
          <w:sz w:val="26"/>
          <w:szCs w:val="26"/>
        </w:rPr>
      </w:pPr>
      <w:r w:rsidRPr="00B276DA">
        <w:rPr>
          <w:sz w:val="26"/>
          <w:szCs w:val="26"/>
        </w:rPr>
        <w:t>Worthington Boro Street Lights</w:t>
      </w:r>
      <w:r w:rsidRPr="00B276DA">
        <w:rPr>
          <w:sz w:val="26"/>
          <w:szCs w:val="26"/>
        </w:rPr>
        <w:tab/>
      </w:r>
      <w:r>
        <w:rPr>
          <w:sz w:val="26"/>
          <w:szCs w:val="26"/>
        </w:rPr>
        <w:tab/>
      </w:r>
      <w:r>
        <w:rPr>
          <w:sz w:val="26"/>
          <w:szCs w:val="26"/>
        </w:rPr>
        <w:tab/>
      </w:r>
      <w:r>
        <w:rPr>
          <w:sz w:val="26"/>
          <w:szCs w:val="26"/>
        </w:rPr>
        <w:tab/>
      </w:r>
      <w:r>
        <w:rPr>
          <w:sz w:val="26"/>
          <w:szCs w:val="26"/>
        </w:rPr>
        <w:tab/>
      </w:r>
      <w:r w:rsidRPr="00B276DA">
        <w:rPr>
          <w:sz w:val="26"/>
          <w:szCs w:val="26"/>
        </w:rPr>
        <w:tab/>
      </w:r>
      <w:r w:rsidR="00B76A0A">
        <w:rPr>
          <w:sz w:val="26"/>
          <w:szCs w:val="26"/>
        </w:rPr>
        <w:t xml:space="preserve">     </w:t>
      </w:r>
      <w:r w:rsidRPr="00B276DA">
        <w:rPr>
          <w:sz w:val="26"/>
          <w:szCs w:val="26"/>
        </w:rPr>
        <w:t>C-2016-2548424</w:t>
      </w:r>
    </w:p>
    <w:p w:rsidR="00E05523" w:rsidRDefault="00F60E41" w:rsidP="00151CED">
      <w:pPr>
        <w:autoSpaceDE w:val="0"/>
        <w:autoSpaceDN w:val="0"/>
        <w:spacing w:after="120" w:line="240" w:lineRule="auto"/>
        <w:ind w:right="-14"/>
        <w:rPr>
          <w:sz w:val="26"/>
          <w:szCs w:val="26"/>
        </w:rPr>
      </w:pPr>
      <w:r>
        <w:rPr>
          <w:sz w:val="26"/>
          <w:szCs w:val="26"/>
        </w:rPr>
        <w:tab/>
      </w:r>
      <w:r>
        <w:rPr>
          <w:sz w:val="26"/>
          <w:szCs w:val="26"/>
        </w:rPr>
        <w:tab/>
      </w:r>
      <w:proofErr w:type="gramStart"/>
      <w:r w:rsidR="00E05523" w:rsidRPr="00815548">
        <w:rPr>
          <w:sz w:val="26"/>
          <w:szCs w:val="26"/>
        </w:rPr>
        <w:t>v</w:t>
      </w:r>
      <w:proofErr w:type="gramEnd"/>
      <w:r w:rsidR="00E05523" w:rsidRPr="00815548">
        <w:rPr>
          <w:sz w:val="26"/>
          <w:szCs w:val="26"/>
        </w:rPr>
        <w:t>.</w:t>
      </w:r>
    </w:p>
    <w:p w:rsidR="00E05523" w:rsidRDefault="00E05523" w:rsidP="00151CED">
      <w:pPr>
        <w:autoSpaceDE w:val="0"/>
        <w:autoSpaceDN w:val="0"/>
        <w:spacing w:after="120" w:line="240" w:lineRule="auto"/>
        <w:ind w:right="-14"/>
        <w:rPr>
          <w:sz w:val="26"/>
          <w:szCs w:val="26"/>
        </w:rPr>
      </w:pPr>
      <w:r>
        <w:rPr>
          <w:sz w:val="26"/>
          <w:szCs w:val="26"/>
        </w:rPr>
        <w:t>West Penn Power Company</w:t>
      </w:r>
    </w:p>
    <w:p w:rsidR="003F001F" w:rsidRDefault="003F001F" w:rsidP="00151CED">
      <w:pPr>
        <w:autoSpaceDE w:val="0"/>
        <w:autoSpaceDN w:val="0"/>
        <w:spacing w:after="120" w:line="240" w:lineRule="auto"/>
        <w:ind w:right="-14"/>
        <w:rPr>
          <w:sz w:val="26"/>
          <w:szCs w:val="26"/>
        </w:rPr>
      </w:pPr>
    </w:p>
    <w:p w:rsidR="00A96FB4" w:rsidRDefault="00A96FB4" w:rsidP="00151CED">
      <w:pPr>
        <w:autoSpaceDE w:val="0"/>
        <w:autoSpaceDN w:val="0"/>
        <w:spacing w:after="120" w:line="240" w:lineRule="auto"/>
        <w:ind w:right="-14"/>
        <w:rPr>
          <w:sz w:val="26"/>
          <w:szCs w:val="26"/>
        </w:rPr>
      </w:pPr>
    </w:p>
    <w:p w:rsidR="00A96FB4" w:rsidRDefault="009E5583" w:rsidP="00A96FB4">
      <w:pPr>
        <w:jc w:val="center"/>
        <w:rPr>
          <w:b/>
          <w:sz w:val="26"/>
          <w:szCs w:val="26"/>
        </w:rPr>
        <w:sectPr w:rsidR="00A96FB4" w:rsidSect="00C209FC">
          <w:footerReference w:type="default" r:id="rId9"/>
          <w:pgSz w:w="12240" w:h="15840"/>
          <w:pgMar w:top="1440" w:right="1440" w:bottom="1440" w:left="1440" w:header="720" w:footer="720" w:gutter="0"/>
          <w:cols w:space="720"/>
          <w:titlePg/>
          <w:docGrid w:linePitch="360"/>
        </w:sectPr>
      </w:pPr>
      <w:r w:rsidRPr="005F5149">
        <w:rPr>
          <w:b/>
          <w:sz w:val="26"/>
          <w:szCs w:val="26"/>
        </w:rPr>
        <w:t>OPINION AND ORDER</w:t>
      </w:r>
    </w:p>
    <w:p w:rsidR="009E5583" w:rsidRPr="00A24778" w:rsidRDefault="009E5583" w:rsidP="00A90A8B">
      <w:pPr>
        <w:pStyle w:val="BodyTextIndent"/>
        <w:keepNext/>
        <w:keepLines/>
        <w:spacing w:after="0"/>
        <w:ind w:left="0"/>
        <w:rPr>
          <w:b/>
          <w:sz w:val="26"/>
          <w:szCs w:val="26"/>
        </w:rPr>
      </w:pPr>
      <w:r w:rsidRPr="00A24778">
        <w:rPr>
          <w:b/>
          <w:sz w:val="26"/>
          <w:szCs w:val="26"/>
        </w:rPr>
        <w:lastRenderedPageBreak/>
        <w:t>BY THE COMMISSION:</w:t>
      </w:r>
    </w:p>
    <w:p w:rsidR="0035790B" w:rsidRPr="00A24778" w:rsidRDefault="0035790B" w:rsidP="00A90A8B">
      <w:pPr>
        <w:pStyle w:val="BodyTextIndent"/>
        <w:keepNext/>
        <w:keepLines/>
        <w:spacing w:after="0"/>
        <w:ind w:left="0" w:firstLine="1440"/>
        <w:rPr>
          <w:sz w:val="26"/>
          <w:szCs w:val="26"/>
        </w:rPr>
      </w:pPr>
    </w:p>
    <w:p w:rsidR="00D52BB4" w:rsidRPr="00A24778" w:rsidRDefault="00D52BB4" w:rsidP="00B918A7">
      <w:pPr>
        <w:ind w:firstLine="1440"/>
        <w:rPr>
          <w:sz w:val="26"/>
          <w:szCs w:val="26"/>
        </w:rPr>
      </w:pPr>
      <w:bookmarkStart w:id="0" w:name="_Toc385423060"/>
      <w:r w:rsidRPr="00A24778">
        <w:rPr>
          <w:sz w:val="26"/>
          <w:szCs w:val="26"/>
        </w:rPr>
        <w:t xml:space="preserve">Before the Commission for consideration and disposition is a Petition for Reconsideration or Clarification (Petition) filed by the Office of Consumer Advocate (OCA) on February 3, 2017, seeking reconsideration and/or clarification of the Opinion and Order entered on January 19, 2017 </w:t>
      </w:r>
      <w:r w:rsidRPr="00A24778">
        <w:rPr>
          <w:i/>
          <w:sz w:val="26"/>
          <w:szCs w:val="26"/>
        </w:rPr>
        <w:t>(January 2017 Order)</w:t>
      </w:r>
      <w:r w:rsidRPr="00A24778">
        <w:rPr>
          <w:sz w:val="26"/>
          <w:szCs w:val="26"/>
        </w:rPr>
        <w:t xml:space="preserve">, relative to the above-captioned proceeding.  </w:t>
      </w:r>
      <w:r w:rsidR="00A322AD" w:rsidRPr="00A24778">
        <w:rPr>
          <w:sz w:val="26"/>
          <w:szCs w:val="26"/>
        </w:rPr>
        <w:t>On February 10</w:t>
      </w:r>
      <w:r w:rsidR="00E71D1C" w:rsidRPr="00A24778">
        <w:rPr>
          <w:sz w:val="26"/>
          <w:szCs w:val="26"/>
        </w:rPr>
        <w:t xml:space="preserve">, 2017, </w:t>
      </w:r>
      <w:r w:rsidR="00A35AC0" w:rsidRPr="00A24778">
        <w:rPr>
          <w:sz w:val="26"/>
          <w:szCs w:val="26"/>
        </w:rPr>
        <w:t xml:space="preserve">Metropolitan Edison Company (Met-Ed), Pennsylvania Electric Company (Penelec), Pennsylvania Power Company (Penn Power) and West Penn Power Company (West Penn) (collectively, the FirstEnergy Companies or the Companies) </w:t>
      </w:r>
      <w:r w:rsidR="00220B99" w:rsidRPr="00A24778">
        <w:rPr>
          <w:sz w:val="26"/>
          <w:szCs w:val="26"/>
        </w:rPr>
        <w:t xml:space="preserve">filed a letter stating </w:t>
      </w:r>
      <w:r w:rsidR="00944901" w:rsidRPr="00A24778">
        <w:rPr>
          <w:sz w:val="26"/>
          <w:szCs w:val="26"/>
        </w:rPr>
        <w:t xml:space="preserve">that </w:t>
      </w:r>
      <w:r w:rsidR="00E71D1C" w:rsidRPr="00A24778">
        <w:rPr>
          <w:sz w:val="26"/>
          <w:szCs w:val="26"/>
        </w:rPr>
        <w:t>they do not object to the Petition</w:t>
      </w:r>
      <w:r w:rsidR="00407C73" w:rsidRPr="00A24778">
        <w:rPr>
          <w:sz w:val="26"/>
          <w:szCs w:val="26"/>
        </w:rPr>
        <w:t xml:space="preserve"> (Companies’ No Objection Letter)</w:t>
      </w:r>
      <w:r w:rsidR="00E71D1C" w:rsidRPr="00A24778">
        <w:rPr>
          <w:sz w:val="26"/>
          <w:szCs w:val="26"/>
        </w:rPr>
        <w:t xml:space="preserve">.   </w:t>
      </w:r>
      <w:r w:rsidRPr="00A24778">
        <w:rPr>
          <w:sz w:val="26"/>
          <w:szCs w:val="26"/>
        </w:rPr>
        <w:t>For the reasons stated below, we shall grant the Petition.</w:t>
      </w:r>
    </w:p>
    <w:p w:rsidR="005253E0" w:rsidRPr="00A24778" w:rsidRDefault="005253E0" w:rsidP="00B918A7">
      <w:pPr>
        <w:rPr>
          <w:b/>
          <w:sz w:val="26"/>
          <w:szCs w:val="26"/>
        </w:rPr>
      </w:pPr>
    </w:p>
    <w:p w:rsidR="009E5583" w:rsidRDefault="009E5583" w:rsidP="00A90A8B">
      <w:pPr>
        <w:pStyle w:val="Heading1"/>
        <w:keepNext/>
        <w:keepLines/>
      </w:pPr>
      <w:bookmarkStart w:id="1" w:name="_Toc471747990"/>
      <w:bookmarkStart w:id="2" w:name="_Toc471748128"/>
      <w:r w:rsidRPr="00A24778">
        <w:t>History of the Proceeding</w:t>
      </w:r>
      <w:bookmarkEnd w:id="0"/>
      <w:bookmarkEnd w:id="1"/>
      <w:bookmarkEnd w:id="2"/>
    </w:p>
    <w:p w:rsidR="0056305E" w:rsidRDefault="0056305E" w:rsidP="00A90A8B">
      <w:pPr>
        <w:keepNext/>
        <w:keepLines/>
        <w:ind w:firstLine="1440"/>
        <w:rPr>
          <w:sz w:val="26"/>
          <w:szCs w:val="26"/>
        </w:rPr>
      </w:pPr>
    </w:p>
    <w:p w:rsidR="00693818" w:rsidRPr="00A24778" w:rsidRDefault="00693818" w:rsidP="00B918A7">
      <w:pPr>
        <w:ind w:firstLine="1440"/>
        <w:rPr>
          <w:sz w:val="26"/>
          <w:szCs w:val="26"/>
        </w:rPr>
      </w:pPr>
      <w:r w:rsidRPr="00A24778">
        <w:rPr>
          <w:sz w:val="26"/>
          <w:szCs w:val="26"/>
        </w:rPr>
        <w:t xml:space="preserve">On April 28, 2016, each of the </w:t>
      </w:r>
      <w:r w:rsidR="005253E0" w:rsidRPr="00A24778">
        <w:rPr>
          <w:sz w:val="26"/>
          <w:szCs w:val="26"/>
        </w:rPr>
        <w:t xml:space="preserve">aforementioned </w:t>
      </w:r>
      <w:r w:rsidRPr="00A24778">
        <w:rPr>
          <w:sz w:val="26"/>
          <w:szCs w:val="26"/>
        </w:rPr>
        <w:t xml:space="preserve">FirstEnergy Companies filed a request for a general base rate increase.  Met-Ed filed Supplement No. 23 to Met-Ed’s Tariff </w:t>
      </w:r>
      <w:r w:rsidR="0005113C" w:rsidRPr="00A24778">
        <w:rPr>
          <w:sz w:val="26"/>
          <w:szCs w:val="26"/>
        </w:rPr>
        <w:t xml:space="preserve">– </w:t>
      </w:r>
      <w:r w:rsidRPr="00A24778">
        <w:rPr>
          <w:sz w:val="26"/>
          <w:szCs w:val="26"/>
        </w:rPr>
        <w:t>Electric Pa. P.U.C. No. 52</w:t>
      </w:r>
      <w:r w:rsidR="00411148" w:rsidRPr="00A24778">
        <w:rPr>
          <w:sz w:val="26"/>
          <w:szCs w:val="26"/>
        </w:rPr>
        <w:t>,</w:t>
      </w:r>
      <w:r w:rsidR="009B6C19" w:rsidRPr="00A24778">
        <w:rPr>
          <w:sz w:val="26"/>
          <w:szCs w:val="26"/>
        </w:rPr>
        <w:t xml:space="preserve"> proposing an </w:t>
      </w:r>
      <w:r w:rsidRPr="00A24778">
        <w:rPr>
          <w:sz w:val="26"/>
          <w:szCs w:val="26"/>
        </w:rPr>
        <w:t xml:space="preserve">increase </w:t>
      </w:r>
      <w:r w:rsidR="00AB6E73" w:rsidRPr="00A24778">
        <w:rPr>
          <w:sz w:val="26"/>
          <w:szCs w:val="26"/>
        </w:rPr>
        <w:t xml:space="preserve">in </w:t>
      </w:r>
      <w:r w:rsidR="009B6C19" w:rsidRPr="00A24778">
        <w:rPr>
          <w:sz w:val="26"/>
          <w:szCs w:val="26"/>
        </w:rPr>
        <w:t xml:space="preserve">its </w:t>
      </w:r>
      <w:r w:rsidR="0001451D" w:rsidRPr="00A24778">
        <w:rPr>
          <w:sz w:val="26"/>
          <w:szCs w:val="26"/>
        </w:rPr>
        <w:t>annual distribution revenues</w:t>
      </w:r>
      <w:r w:rsidR="00AB6E73" w:rsidRPr="00A24778">
        <w:rPr>
          <w:sz w:val="26"/>
          <w:szCs w:val="26"/>
        </w:rPr>
        <w:t xml:space="preserve"> of $140.2 million or 9.53% of its total electric operating revenues</w:t>
      </w:r>
      <w:r w:rsidRPr="00A24778">
        <w:rPr>
          <w:sz w:val="26"/>
          <w:szCs w:val="26"/>
        </w:rPr>
        <w:t xml:space="preserve">.  Penelec filed </w:t>
      </w:r>
      <w:r w:rsidR="00965F79" w:rsidRPr="00A24778">
        <w:rPr>
          <w:sz w:val="26"/>
          <w:szCs w:val="26"/>
        </w:rPr>
        <w:t xml:space="preserve">Supplement No. 23 to Penelec’s </w:t>
      </w:r>
      <w:r w:rsidRPr="00A24778">
        <w:rPr>
          <w:sz w:val="26"/>
          <w:szCs w:val="26"/>
        </w:rPr>
        <w:t xml:space="preserve">Tariff </w:t>
      </w:r>
      <w:r w:rsidR="00775CF9" w:rsidRPr="00A24778">
        <w:rPr>
          <w:sz w:val="26"/>
          <w:szCs w:val="26"/>
        </w:rPr>
        <w:t xml:space="preserve">– </w:t>
      </w:r>
      <w:r w:rsidRPr="00A24778">
        <w:rPr>
          <w:sz w:val="26"/>
          <w:szCs w:val="26"/>
        </w:rPr>
        <w:t>Electric Pa. P.U.C. No. 81</w:t>
      </w:r>
      <w:r w:rsidR="00411148" w:rsidRPr="00A24778">
        <w:rPr>
          <w:sz w:val="26"/>
          <w:szCs w:val="26"/>
        </w:rPr>
        <w:t>,</w:t>
      </w:r>
      <w:r w:rsidR="009B6C19" w:rsidRPr="00A24778">
        <w:rPr>
          <w:sz w:val="26"/>
          <w:szCs w:val="26"/>
        </w:rPr>
        <w:t xml:space="preserve"> proposing an </w:t>
      </w:r>
      <w:r w:rsidRPr="00A24778">
        <w:rPr>
          <w:sz w:val="26"/>
          <w:szCs w:val="26"/>
        </w:rPr>
        <w:t>increas</w:t>
      </w:r>
      <w:r w:rsidR="0001451D" w:rsidRPr="00A24778">
        <w:rPr>
          <w:sz w:val="26"/>
          <w:szCs w:val="26"/>
        </w:rPr>
        <w:t xml:space="preserve">e in </w:t>
      </w:r>
      <w:r w:rsidR="009B6C19" w:rsidRPr="00A24778">
        <w:rPr>
          <w:sz w:val="26"/>
          <w:szCs w:val="26"/>
        </w:rPr>
        <w:t xml:space="preserve">its </w:t>
      </w:r>
      <w:r w:rsidR="0001451D" w:rsidRPr="00A24778">
        <w:rPr>
          <w:sz w:val="26"/>
          <w:szCs w:val="26"/>
        </w:rPr>
        <w:t>annual distribution revenues</w:t>
      </w:r>
      <w:r w:rsidR="00AB6E73" w:rsidRPr="00A24778">
        <w:rPr>
          <w:sz w:val="26"/>
          <w:szCs w:val="26"/>
        </w:rPr>
        <w:t xml:space="preserve"> of $158.8 million or 11.42% of its total electric operating revenues</w:t>
      </w:r>
      <w:r w:rsidR="00796A72" w:rsidRPr="00A24778">
        <w:rPr>
          <w:sz w:val="26"/>
          <w:szCs w:val="26"/>
        </w:rPr>
        <w:t xml:space="preserve">.  Penn Power </w:t>
      </w:r>
      <w:r w:rsidRPr="00A24778">
        <w:rPr>
          <w:sz w:val="26"/>
          <w:szCs w:val="26"/>
        </w:rPr>
        <w:t xml:space="preserve">filed Supplement No. 17 to Penn Power’ s Tariff </w:t>
      </w:r>
      <w:r w:rsidR="00775CF9" w:rsidRPr="00A24778">
        <w:rPr>
          <w:sz w:val="26"/>
          <w:szCs w:val="26"/>
        </w:rPr>
        <w:t xml:space="preserve">– </w:t>
      </w:r>
      <w:r w:rsidRPr="00A24778">
        <w:rPr>
          <w:sz w:val="26"/>
          <w:szCs w:val="26"/>
        </w:rPr>
        <w:t>Electric Pa. P.U.C. No. 36</w:t>
      </w:r>
      <w:r w:rsidR="00411148" w:rsidRPr="00A24778">
        <w:rPr>
          <w:sz w:val="26"/>
          <w:szCs w:val="26"/>
        </w:rPr>
        <w:t>,</w:t>
      </w:r>
      <w:r w:rsidR="009B6C19" w:rsidRPr="00A24778">
        <w:rPr>
          <w:sz w:val="26"/>
          <w:szCs w:val="26"/>
        </w:rPr>
        <w:t xml:space="preserve"> proposing an </w:t>
      </w:r>
      <w:r w:rsidRPr="00A24778">
        <w:rPr>
          <w:sz w:val="26"/>
          <w:szCs w:val="26"/>
        </w:rPr>
        <w:t>increase i</w:t>
      </w:r>
      <w:r w:rsidR="0001451D" w:rsidRPr="00A24778">
        <w:rPr>
          <w:sz w:val="26"/>
          <w:szCs w:val="26"/>
        </w:rPr>
        <w:t xml:space="preserve">n </w:t>
      </w:r>
      <w:r w:rsidR="009B6C19" w:rsidRPr="00A24778">
        <w:rPr>
          <w:sz w:val="26"/>
          <w:szCs w:val="26"/>
        </w:rPr>
        <w:t xml:space="preserve">its </w:t>
      </w:r>
      <w:r w:rsidR="0001451D" w:rsidRPr="00A24778">
        <w:rPr>
          <w:sz w:val="26"/>
          <w:szCs w:val="26"/>
        </w:rPr>
        <w:t>annual distribution revenues of $42 million or 9.57% of its total electric operating revenues</w:t>
      </w:r>
      <w:r w:rsidRPr="00A24778">
        <w:rPr>
          <w:sz w:val="26"/>
          <w:szCs w:val="26"/>
        </w:rPr>
        <w:t>.</w:t>
      </w:r>
      <w:r w:rsidR="00796A72" w:rsidRPr="00A24778">
        <w:rPr>
          <w:sz w:val="26"/>
          <w:szCs w:val="26"/>
        </w:rPr>
        <w:t xml:space="preserve">  West Penn</w:t>
      </w:r>
      <w:r w:rsidRPr="00A24778">
        <w:rPr>
          <w:sz w:val="26"/>
          <w:szCs w:val="26"/>
        </w:rPr>
        <w:t xml:space="preserve"> filed Supplement No. 10 to West Penn Power’s Tariff </w:t>
      </w:r>
      <w:r w:rsidR="00775CF9" w:rsidRPr="00A24778">
        <w:rPr>
          <w:sz w:val="26"/>
          <w:szCs w:val="26"/>
        </w:rPr>
        <w:t xml:space="preserve">– </w:t>
      </w:r>
      <w:r w:rsidRPr="00A24778">
        <w:rPr>
          <w:sz w:val="26"/>
          <w:szCs w:val="26"/>
        </w:rPr>
        <w:t xml:space="preserve">Electric Pa. P.U.C. No. 38 and Supplement No. 15 to West Penn Power’s Tariff </w:t>
      </w:r>
      <w:r w:rsidR="00775CF9" w:rsidRPr="00A24778">
        <w:rPr>
          <w:sz w:val="26"/>
          <w:szCs w:val="26"/>
        </w:rPr>
        <w:t xml:space="preserve">– </w:t>
      </w:r>
      <w:r w:rsidRPr="00A24778">
        <w:rPr>
          <w:sz w:val="26"/>
          <w:szCs w:val="26"/>
        </w:rPr>
        <w:t>Electric Pa. P.U.C. No. 40, propo</w:t>
      </w:r>
      <w:r w:rsidR="009B6C19" w:rsidRPr="00A24778">
        <w:rPr>
          <w:sz w:val="26"/>
          <w:szCs w:val="26"/>
        </w:rPr>
        <w:t xml:space="preserve">sing an </w:t>
      </w:r>
      <w:r w:rsidR="0001451D" w:rsidRPr="00A24778">
        <w:rPr>
          <w:sz w:val="26"/>
          <w:szCs w:val="26"/>
        </w:rPr>
        <w:t xml:space="preserve">increase in </w:t>
      </w:r>
      <w:r w:rsidR="009B6C19" w:rsidRPr="00A24778">
        <w:rPr>
          <w:sz w:val="26"/>
          <w:szCs w:val="26"/>
        </w:rPr>
        <w:t xml:space="preserve">its </w:t>
      </w:r>
      <w:r w:rsidR="0001451D" w:rsidRPr="00A24778">
        <w:rPr>
          <w:sz w:val="26"/>
          <w:szCs w:val="26"/>
        </w:rPr>
        <w:t>annual distribution revenues of $98.2 million or 5.74% of its total electric operating revenues</w:t>
      </w:r>
      <w:r w:rsidRPr="00A24778">
        <w:rPr>
          <w:sz w:val="26"/>
          <w:szCs w:val="26"/>
        </w:rPr>
        <w:t>.</w:t>
      </w:r>
      <w:r w:rsidR="007A27DC" w:rsidRPr="00A24778">
        <w:rPr>
          <w:sz w:val="26"/>
          <w:szCs w:val="26"/>
        </w:rPr>
        <w:t xml:space="preserve">  All four </w:t>
      </w:r>
      <w:r w:rsidR="00965F79" w:rsidRPr="00A24778">
        <w:rPr>
          <w:sz w:val="26"/>
          <w:szCs w:val="26"/>
        </w:rPr>
        <w:t>t</w:t>
      </w:r>
      <w:r w:rsidR="004C4FAA" w:rsidRPr="00A24778">
        <w:rPr>
          <w:sz w:val="26"/>
          <w:szCs w:val="26"/>
        </w:rPr>
        <w:t xml:space="preserve">ariff </w:t>
      </w:r>
      <w:r w:rsidR="00965F79" w:rsidRPr="00A24778">
        <w:rPr>
          <w:sz w:val="26"/>
          <w:szCs w:val="26"/>
        </w:rPr>
        <w:t>s</w:t>
      </w:r>
      <w:r w:rsidR="007A27DC" w:rsidRPr="00A24778">
        <w:rPr>
          <w:sz w:val="26"/>
          <w:szCs w:val="26"/>
        </w:rPr>
        <w:t xml:space="preserve">upplements </w:t>
      </w:r>
      <w:r w:rsidR="005A5AF4" w:rsidRPr="00A24778">
        <w:rPr>
          <w:sz w:val="26"/>
          <w:szCs w:val="26"/>
        </w:rPr>
        <w:t>were filed to become effective on</w:t>
      </w:r>
      <w:r w:rsidR="007A27DC" w:rsidRPr="00A24778">
        <w:rPr>
          <w:sz w:val="26"/>
          <w:szCs w:val="26"/>
        </w:rPr>
        <w:t xml:space="preserve"> June 27, 2016.</w:t>
      </w:r>
    </w:p>
    <w:p w:rsidR="004457B5" w:rsidRPr="00A24778" w:rsidRDefault="004457B5" w:rsidP="00796A72">
      <w:pPr>
        <w:ind w:firstLine="1440"/>
        <w:rPr>
          <w:sz w:val="26"/>
          <w:szCs w:val="26"/>
        </w:rPr>
      </w:pPr>
    </w:p>
    <w:p w:rsidR="00E1344F" w:rsidRPr="00A24778" w:rsidRDefault="00E1344F" w:rsidP="00E1344F">
      <w:pPr>
        <w:rPr>
          <w:sz w:val="26"/>
          <w:szCs w:val="26"/>
        </w:rPr>
      </w:pPr>
      <w:r w:rsidRPr="00A24778">
        <w:rPr>
          <w:sz w:val="26"/>
          <w:szCs w:val="26"/>
        </w:rPr>
        <w:lastRenderedPageBreak/>
        <w:tab/>
      </w:r>
      <w:r w:rsidRPr="00A24778">
        <w:rPr>
          <w:sz w:val="26"/>
          <w:szCs w:val="26"/>
        </w:rPr>
        <w:tab/>
      </w:r>
      <w:r w:rsidR="00C718AA" w:rsidRPr="00A24778">
        <w:rPr>
          <w:sz w:val="26"/>
          <w:szCs w:val="26"/>
        </w:rPr>
        <w:t xml:space="preserve">On May 3, 2016, the OCA filed </w:t>
      </w:r>
      <w:r w:rsidR="00543626" w:rsidRPr="00A24778">
        <w:rPr>
          <w:sz w:val="26"/>
          <w:szCs w:val="26"/>
        </w:rPr>
        <w:t>F</w:t>
      </w:r>
      <w:r w:rsidR="00C718AA" w:rsidRPr="00A24778">
        <w:rPr>
          <w:sz w:val="26"/>
          <w:szCs w:val="26"/>
        </w:rPr>
        <w:t xml:space="preserve">ormal </w:t>
      </w:r>
      <w:r w:rsidR="00543626" w:rsidRPr="00A24778">
        <w:rPr>
          <w:sz w:val="26"/>
          <w:szCs w:val="26"/>
        </w:rPr>
        <w:t>C</w:t>
      </w:r>
      <w:r w:rsidR="00C718AA" w:rsidRPr="00A24778">
        <w:rPr>
          <w:sz w:val="26"/>
          <w:szCs w:val="26"/>
        </w:rPr>
        <w:t>omplaints against the proposed rate increases.</w:t>
      </w:r>
      <w:r w:rsidR="00C718AA" w:rsidRPr="00A24778">
        <w:rPr>
          <w:rStyle w:val="FootnoteReference"/>
          <w:sz w:val="26"/>
          <w:szCs w:val="26"/>
        </w:rPr>
        <w:footnoteReference w:id="2"/>
      </w:r>
      <w:r w:rsidR="00A43966" w:rsidRPr="00A24778">
        <w:rPr>
          <w:sz w:val="26"/>
          <w:szCs w:val="26"/>
        </w:rPr>
        <w:t xml:space="preserve">  Numerous other Parties filed Formal Complaints or </w:t>
      </w:r>
      <w:r w:rsidR="00C718AA" w:rsidRPr="00A24778">
        <w:rPr>
          <w:sz w:val="26"/>
          <w:szCs w:val="26"/>
        </w:rPr>
        <w:t xml:space="preserve">Petitions to </w:t>
      </w:r>
      <w:proofErr w:type="gramStart"/>
      <w:r w:rsidR="00C718AA" w:rsidRPr="00A24778">
        <w:rPr>
          <w:sz w:val="26"/>
          <w:szCs w:val="26"/>
        </w:rPr>
        <w:t>Intervene</w:t>
      </w:r>
      <w:proofErr w:type="gramEnd"/>
      <w:r w:rsidR="00C718AA" w:rsidRPr="00A24778">
        <w:rPr>
          <w:sz w:val="26"/>
          <w:szCs w:val="26"/>
        </w:rPr>
        <w:t xml:space="preserve"> against </w:t>
      </w:r>
      <w:r w:rsidR="00845289" w:rsidRPr="00A24778">
        <w:rPr>
          <w:sz w:val="26"/>
          <w:szCs w:val="26"/>
        </w:rPr>
        <w:t>the rate increases</w:t>
      </w:r>
      <w:r w:rsidR="009B6EAA" w:rsidRPr="00A24778">
        <w:rPr>
          <w:sz w:val="26"/>
          <w:szCs w:val="26"/>
        </w:rPr>
        <w:t>,</w:t>
      </w:r>
      <w:r w:rsidR="00C718AA" w:rsidRPr="00A24778">
        <w:rPr>
          <w:sz w:val="26"/>
          <w:szCs w:val="26"/>
        </w:rPr>
        <w:t xml:space="preserve"> including</w:t>
      </w:r>
      <w:r w:rsidR="009B6EAA" w:rsidRPr="00A24778">
        <w:rPr>
          <w:sz w:val="26"/>
          <w:szCs w:val="26"/>
        </w:rPr>
        <w:t xml:space="preserve"> the following</w:t>
      </w:r>
      <w:r w:rsidR="002645E4" w:rsidRPr="00A24778">
        <w:rPr>
          <w:sz w:val="26"/>
          <w:szCs w:val="26"/>
        </w:rPr>
        <w:t>: the Commission’s Bureau of Investigation and Enforcement (I&amp;E)</w:t>
      </w:r>
      <w:r w:rsidR="00C718AA" w:rsidRPr="00A24778">
        <w:rPr>
          <w:sz w:val="26"/>
          <w:szCs w:val="26"/>
        </w:rPr>
        <w:t xml:space="preserve">, </w:t>
      </w:r>
      <w:r w:rsidR="002645E4" w:rsidRPr="00A24778">
        <w:rPr>
          <w:sz w:val="26"/>
          <w:szCs w:val="26"/>
        </w:rPr>
        <w:t>the Office of Small Business Advocate (</w:t>
      </w:r>
      <w:r w:rsidR="004651FF" w:rsidRPr="00A24778">
        <w:rPr>
          <w:sz w:val="26"/>
          <w:szCs w:val="26"/>
        </w:rPr>
        <w:t>OSBA</w:t>
      </w:r>
      <w:r w:rsidR="002645E4" w:rsidRPr="00A24778">
        <w:rPr>
          <w:sz w:val="26"/>
          <w:szCs w:val="26"/>
        </w:rPr>
        <w:t>)</w:t>
      </w:r>
      <w:r w:rsidR="00C718AA" w:rsidRPr="00A24778">
        <w:rPr>
          <w:sz w:val="26"/>
          <w:szCs w:val="26"/>
        </w:rPr>
        <w:t>,</w:t>
      </w:r>
      <w:r w:rsidR="00C718AA" w:rsidRPr="00A24778">
        <w:rPr>
          <w:rStyle w:val="FootnoteReference"/>
          <w:sz w:val="26"/>
          <w:szCs w:val="26"/>
        </w:rPr>
        <w:footnoteReference w:id="3"/>
      </w:r>
      <w:r w:rsidR="00C718AA" w:rsidRPr="00A24778">
        <w:rPr>
          <w:sz w:val="26"/>
          <w:szCs w:val="26"/>
        </w:rPr>
        <w:t xml:space="preserve"> </w:t>
      </w:r>
    </w:p>
    <w:p w:rsidR="004651FF" w:rsidRPr="00A24778" w:rsidRDefault="002645E4" w:rsidP="00E1344F">
      <w:pPr>
        <w:rPr>
          <w:sz w:val="26"/>
          <w:szCs w:val="26"/>
        </w:rPr>
      </w:pPr>
      <w:r w:rsidRPr="00A24778">
        <w:rPr>
          <w:sz w:val="26"/>
          <w:szCs w:val="26"/>
        </w:rPr>
        <w:t>AK Steel Corporation (</w:t>
      </w:r>
      <w:r w:rsidR="00C718AA" w:rsidRPr="00A24778">
        <w:rPr>
          <w:sz w:val="26"/>
          <w:szCs w:val="26"/>
        </w:rPr>
        <w:t>AK Steel</w:t>
      </w:r>
      <w:r w:rsidRPr="00A24778">
        <w:rPr>
          <w:sz w:val="26"/>
          <w:szCs w:val="26"/>
        </w:rPr>
        <w:t>)</w:t>
      </w:r>
      <w:r w:rsidR="00C718AA" w:rsidRPr="00A24778">
        <w:rPr>
          <w:sz w:val="26"/>
          <w:szCs w:val="26"/>
        </w:rPr>
        <w:t>,</w:t>
      </w:r>
      <w:r w:rsidR="00C718AA" w:rsidRPr="00A24778">
        <w:rPr>
          <w:rStyle w:val="FootnoteReference"/>
          <w:sz w:val="26"/>
          <w:szCs w:val="26"/>
        </w:rPr>
        <w:footnoteReference w:id="4"/>
      </w:r>
      <w:r w:rsidR="00C718AA" w:rsidRPr="00A24778">
        <w:rPr>
          <w:sz w:val="26"/>
          <w:szCs w:val="26"/>
        </w:rPr>
        <w:t xml:space="preserve"> </w:t>
      </w:r>
      <w:r w:rsidRPr="00A24778">
        <w:rPr>
          <w:sz w:val="26"/>
          <w:szCs w:val="26"/>
        </w:rPr>
        <w:t>the Environmental Defense Fund (</w:t>
      </w:r>
      <w:r w:rsidR="00C718AA" w:rsidRPr="00A24778">
        <w:rPr>
          <w:sz w:val="26"/>
          <w:szCs w:val="26"/>
        </w:rPr>
        <w:t>EDF</w:t>
      </w:r>
      <w:r w:rsidRPr="00A24778">
        <w:rPr>
          <w:sz w:val="26"/>
          <w:szCs w:val="26"/>
        </w:rPr>
        <w:t>)</w:t>
      </w:r>
      <w:r w:rsidR="00C718AA" w:rsidRPr="00A24778">
        <w:rPr>
          <w:sz w:val="26"/>
          <w:szCs w:val="26"/>
        </w:rPr>
        <w:t>,</w:t>
      </w:r>
      <w:r w:rsidR="00C718AA" w:rsidRPr="00A24778">
        <w:rPr>
          <w:rStyle w:val="FootnoteReference"/>
          <w:sz w:val="26"/>
          <w:szCs w:val="26"/>
        </w:rPr>
        <w:footnoteReference w:id="5"/>
      </w:r>
      <w:r w:rsidR="00C718AA" w:rsidRPr="00A24778">
        <w:rPr>
          <w:sz w:val="26"/>
          <w:szCs w:val="26"/>
        </w:rPr>
        <w:t xml:space="preserve"> </w:t>
      </w:r>
      <w:r w:rsidRPr="00A24778">
        <w:rPr>
          <w:sz w:val="26"/>
          <w:szCs w:val="26"/>
        </w:rPr>
        <w:t>the International Brotherhood of Electrical Workers, Local 459 (</w:t>
      </w:r>
      <w:r w:rsidR="00C718AA" w:rsidRPr="00A24778">
        <w:rPr>
          <w:sz w:val="26"/>
          <w:szCs w:val="26"/>
        </w:rPr>
        <w:t>IBEW</w:t>
      </w:r>
      <w:r w:rsidRPr="00A24778">
        <w:rPr>
          <w:sz w:val="26"/>
          <w:szCs w:val="26"/>
        </w:rPr>
        <w:t>)</w:t>
      </w:r>
      <w:r w:rsidR="00C718AA" w:rsidRPr="00A24778">
        <w:rPr>
          <w:sz w:val="26"/>
          <w:szCs w:val="26"/>
        </w:rPr>
        <w:t>,</w:t>
      </w:r>
      <w:r w:rsidR="00C718AA" w:rsidRPr="00A24778">
        <w:rPr>
          <w:rStyle w:val="FootnoteReference"/>
          <w:sz w:val="26"/>
          <w:szCs w:val="26"/>
        </w:rPr>
        <w:footnoteReference w:id="6"/>
      </w:r>
      <w:r w:rsidR="00C718AA" w:rsidRPr="00A24778">
        <w:rPr>
          <w:sz w:val="26"/>
          <w:szCs w:val="26"/>
        </w:rPr>
        <w:t xml:space="preserve"> </w:t>
      </w:r>
      <w:r w:rsidRPr="00A24778">
        <w:rPr>
          <w:sz w:val="26"/>
          <w:szCs w:val="26"/>
        </w:rPr>
        <w:t>North American Hoganas Holdings, Inc. (</w:t>
      </w:r>
      <w:r w:rsidR="00C718AA" w:rsidRPr="00A24778">
        <w:rPr>
          <w:sz w:val="26"/>
          <w:szCs w:val="26"/>
        </w:rPr>
        <w:t>NAH</w:t>
      </w:r>
      <w:r w:rsidRPr="00A24778">
        <w:rPr>
          <w:sz w:val="26"/>
          <w:szCs w:val="26"/>
        </w:rPr>
        <w:t>)</w:t>
      </w:r>
      <w:r w:rsidR="00C718AA" w:rsidRPr="00A24778">
        <w:rPr>
          <w:sz w:val="26"/>
          <w:szCs w:val="26"/>
        </w:rPr>
        <w:t>,</w:t>
      </w:r>
      <w:r w:rsidR="00C718AA" w:rsidRPr="00A24778">
        <w:rPr>
          <w:rStyle w:val="FootnoteReference"/>
          <w:sz w:val="26"/>
          <w:szCs w:val="26"/>
        </w:rPr>
        <w:footnoteReference w:id="7"/>
      </w:r>
      <w:r w:rsidR="00C718AA" w:rsidRPr="00A24778">
        <w:rPr>
          <w:sz w:val="26"/>
          <w:szCs w:val="26"/>
        </w:rPr>
        <w:t xml:space="preserve"> </w:t>
      </w:r>
      <w:r w:rsidRPr="00A24778">
        <w:rPr>
          <w:sz w:val="26"/>
          <w:szCs w:val="26"/>
        </w:rPr>
        <w:t>the Coalition for Affordable Utility Services and Energy Efficiency in Pennsylvania (</w:t>
      </w:r>
      <w:r w:rsidR="00C718AA" w:rsidRPr="00A24778">
        <w:rPr>
          <w:sz w:val="26"/>
          <w:szCs w:val="26"/>
        </w:rPr>
        <w:t>CAUSE-PA</w:t>
      </w:r>
      <w:r w:rsidRPr="00A24778">
        <w:rPr>
          <w:sz w:val="26"/>
          <w:szCs w:val="26"/>
        </w:rPr>
        <w:t>)</w:t>
      </w:r>
      <w:r w:rsidR="00C718AA" w:rsidRPr="00A24778">
        <w:rPr>
          <w:sz w:val="26"/>
          <w:szCs w:val="26"/>
        </w:rPr>
        <w:t xml:space="preserve">, </w:t>
      </w:r>
      <w:r w:rsidR="0096721A" w:rsidRPr="00A24778">
        <w:rPr>
          <w:sz w:val="26"/>
          <w:szCs w:val="26"/>
        </w:rPr>
        <w:t>the Clean Air Council (</w:t>
      </w:r>
      <w:r w:rsidR="00C718AA" w:rsidRPr="00A24778">
        <w:rPr>
          <w:sz w:val="26"/>
          <w:szCs w:val="26"/>
        </w:rPr>
        <w:t>CAC</w:t>
      </w:r>
      <w:r w:rsidR="0096721A" w:rsidRPr="00A24778">
        <w:rPr>
          <w:sz w:val="26"/>
          <w:szCs w:val="26"/>
        </w:rPr>
        <w:t>)</w:t>
      </w:r>
      <w:r w:rsidR="00C718AA" w:rsidRPr="00A24778">
        <w:rPr>
          <w:sz w:val="26"/>
          <w:szCs w:val="26"/>
        </w:rPr>
        <w:t xml:space="preserve">, </w:t>
      </w:r>
      <w:r w:rsidR="00AD578B" w:rsidRPr="00A24778">
        <w:rPr>
          <w:sz w:val="26"/>
          <w:szCs w:val="26"/>
        </w:rPr>
        <w:t xml:space="preserve">Citizens for Pennsylvania’s </w:t>
      </w:r>
      <w:r w:rsidR="002474D1">
        <w:rPr>
          <w:sz w:val="26"/>
          <w:szCs w:val="26"/>
        </w:rPr>
        <w:t>F</w:t>
      </w:r>
      <w:r w:rsidR="00AD578B" w:rsidRPr="00A24778">
        <w:rPr>
          <w:sz w:val="26"/>
          <w:szCs w:val="26"/>
        </w:rPr>
        <w:t>uture (</w:t>
      </w:r>
      <w:r w:rsidR="00C718AA" w:rsidRPr="00A24778">
        <w:rPr>
          <w:sz w:val="26"/>
          <w:szCs w:val="26"/>
        </w:rPr>
        <w:t>Penn Future</w:t>
      </w:r>
      <w:r w:rsidR="00AD578B" w:rsidRPr="00A24778">
        <w:rPr>
          <w:sz w:val="26"/>
          <w:szCs w:val="26"/>
        </w:rPr>
        <w:t>)</w:t>
      </w:r>
      <w:r w:rsidR="00C718AA" w:rsidRPr="00A24778">
        <w:rPr>
          <w:sz w:val="26"/>
          <w:szCs w:val="26"/>
        </w:rPr>
        <w:t xml:space="preserve">, </w:t>
      </w:r>
      <w:r w:rsidR="00AD578B" w:rsidRPr="00A24778">
        <w:rPr>
          <w:sz w:val="26"/>
          <w:szCs w:val="26"/>
        </w:rPr>
        <w:t>the Pennsylvania State University (</w:t>
      </w:r>
      <w:r w:rsidR="00C718AA" w:rsidRPr="00A24778">
        <w:rPr>
          <w:sz w:val="26"/>
          <w:szCs w:val="26"/>
        </w:rPr>
        <w:t>PSU</w:t>
      </w:r>
      <w:r w:rsidR="00AD578B" w:rsidRPr="00A24778">
        <w:rPr>
          <w:sz w:val="26"/>
          <w:szCs w:val="26"/>
        </w:rPr>
        <w:t>)</w:t>
      </w:r>
      <w:r w:rsidR="00C718AA" w:rsidRPr="00A24778">
        <w:rPr>
          <w:sz w:val="26"/>
          <w:szCs w:val="26"/>
        </w:rPr>
        <w:t xml:space="preserve">, </w:t>
      </w:r>
      <w:r w:rsidR="00AD578B" w:rsidRPr="00A24778">
        <w:rPr>
          <w:sz w:val="26"/>
          <w:szCs w:val="26"/>
        </w:rPr>
        <w:t>Wal-Mart Stores East and Sam’s Club (</w:t>
      </w:r>
      <w:r w:rsidR="00C718AA" w:rsidRPr="00A24778">
        <w:rPr>
          <w:sz w:val="26"/>
          <w:szCs w:val="26"/>
        </w:rPr>
        <w:t>Walmart</w:t>
      </w:r>
      <w:r w:rsidR="00AD578B" w:rsidRPr="00A24778">
        <w:rPr>
          <w:sz w:val="26"/>
          <w:szCs w:val="26"/>
        </w:rPr>
        <w:t>)</w:t>
      </w:r>
      <w:r w:rsidR="00C718AA" w:rsidRPr="00A24778">
        <w:rPr>
          <w:sz w:val="26"/>
          <w:szCs w:val="26"/>
        </w:rPr>
        <w:t xml:space="preserve">, and </w:t>
      </w:r>
      <w:r w:rsidR="00AD578B" w:rsidRPr="00A24778">
        <w:rPr>
          <w:sz w:val="26"/>
          <w:szCs w:val="26"/>
        </w:rPr>
        <w:t>West Penn Industrial Intervenors (</w:t>
      </w:r>
      <w:r w:rsidR="00260707" w:rsidRPr="00A24778">
        <w:rPr>
          <w:sz w:val="26"/>
          <w:szCs w:val="26"/>
        </w:rPr>
        <w:t>WPII</w:t>
      </w:r>
      <w:r w:rsidR="00AD578B" w:rsidRPr="00A24778">
        <w:rPr>
          <w:sz w:val="26"/>
          <w:szCs w:val="26"/>
        </w:rPr>
        <w:t>)</w:t>
      </w:r>
      <w:r w:rsidR="00411148" w:rsidRPr="00A24778">
        <w:rPr>
          <w:sz w:val="26"/>
          <w:szCs w:val="26"/>
        </w:rPr>
        <w:t xml:space="preserve"> at </w:t>
      </w:r>
      <w:r w:rsidR="004651FF" w:rsidRPr="00A24778">
        <w:rPr>
          <w:sz w:val="26"/>
          <w:szCs w:val="26"/>
        </w:rPr>
        <w:t>C-2016-</w:t>
      </w:r>
      <w:r w:rsidR="00260707" w:rsidRPr="00A24778">
        <w:rPr>
          <w:sz w:val="26"/>
          <w:szCs w:val="26"/>
        </w:rPr>
        <w:t xml:space="preserve">2549413; </w:t>
      </w:r>
      <w:r w:rsidR="00AD578B" w:rsidRPr="00A24778">
        <w:rPr>
          <w:sz w:val="26"/>
          <w:szCs w:val="26"/>
        </w:rPr>
        <w:t>the Met-Ed Industrial Users Group (</w:t>
      </w:r>
      <w:r w:rsidR="00260707" w:rsidRPr="00A24778">
        <w:rPr>
          <w:sz w:val="26"/>
          <w:szCs w:val="26"/>
        </w:rPr>
        <w:t>MEIUG</w:t>
      </w:r>
      <w:r w:rsidR="00AD578B" w:rsidRPr="00A24778">
        <w:rPr>
          <w:sz w:val="26"/>
          <w:szCs w:val="26"/>
        </w:rPr>
        <w:t>)</w:t>
      </w:r>
      <w:r w:rsidR="00411148" w:rsidRPr="00A24778">
        <w:rPr>
          <w:sz w:val="26"/>
          <w:szCs w:val="26"/>
        </w:rPr>
        <w:t xml:space="preserve"> at </w:t>
      </w:r>
      <w:r w:rsidR="004651FF" w:rsidRPr="00A24778">
        <w:rPr>
          <w:sz w:val="26"/>
          <w:szCs w:val="26"/>
        </w:rPr>
        <w:t>C</w:t>
      </w:r>
      <w:r w:rsidR="00260707" w:rsidRPr="00A24778">
        <w:rPr>
          <w:sz w:val="26"/>
          <w:szCs w:val="26"/>
        </w:rPr>
        <w:t>-2016-2549787; and</w:t>
      </w:r>
      <w:r w:rsidR="00AD578B" w:rsidRPr="00A24778">
        <w:rPr>
          <w:sz w:val="26"/>
          <w:szCs w:val="26"/>
        </w:rPr>
        <w:t xml:space="preserve"> Penelec Industrial Customer Alliance</w:t>
      </w:r>
      <w:r w:rsidR="00260707" w:rsidRPr="00A24778">
        <w:rPr>
          <w:sz w:val="26"/>
          <w:szCs w:val="26"/>
        </w:rPr>
        <w:t xml:space="preserve"> </w:t>
      </w:r>
      <w:r w:rsidR="00AD578B" w:rsidRPr="00A24778">
        <w:rPr>
          <w:sz w:val="26"/>
          <w:szCs w:val="26"/>
        </w:rPr>
        <w:t>(</w:t>
      </w:r>
      <w:r w:rsidR="00260707" w:rsidRPr="00A24778">
        <w:rPr>
          <w:sz w:val="26"/>
          <w:szCs w:val="26"/>
        </w:rPr>
        <w:t>PICA</w:t>
      </w:r>
      <w:r w:rsidR="00AD578B" w:rsidRPr="00A24778">
        <w:rPr>
          <w:sz w:val="26"/>
          <w:szCs w:val="26"/>
        </w:rPr>
        <w:t>)</w:t>
      </w:r>
      <w:r w:rsidR="00411148" w:rsidRPr="00A24778">
        <w:rPr>
          <w:sz w:val="26"/>
          <w:szCs w:val="26"/>
        </w:rPr>
        <w:t xml:space="preserve"> </w:t>
      </w:r>
      <w:r w:rsidR="00AD578B" w:rsidRPr="00A24778">
        <w:rPr>
          <w:sz w:val="26"/>
          <w:szCs w:val="26"/>
        </w:rPr>
        <w:t xml:space="preserve">at C-2016-2549792 </w:t>
      </w:r>
      <w:r w:rsidR="004651FF" w:rsidRPr="00A24778">
        <w:rPr>
          <w:sz w:val="26"/>
          <w:szCs w:val="26"/>
        </w:rPr>
        <w:t>(collectiv</w:t>
      </w:r>
      <w:r w:rsidR="00C718AA" w:rsidRPr="00A24778">
        <w:rPr>
          <w:sz w:val="26"/>
          <w:szCs w:val="26"/>
        </w:rPr>
        <w:t xml:space="preserve">ely, </w:t>
      </w:r>
      <w:r w:rsidR="009B6EAA" w:rsidRPr="00A24778">
        <w:rPr>
          <w:sz w:val="26"/>
          <w:szCs w:val="26"/>
        </w:rPr>
        <w:t xml:space="preserve">the </w:t>
      </w:r>
      <w:r w:rsidR="00C718AA" w:rsidRPr="00A24778">
        <w:rPr>
          <w:sz w:val="26"/>
          <w:szCs w:val="26"/>
        </w:rPr>
        <w:t>Industrials).  F</w:t>
      </w:r>
      <w:r w:rsidR="00543626" w:rsidRPr="00A24778">
        <w:rPr>
          <w:sz w:val="26"/>
          <w:szCs w:val="26"/>
        </w:rPr>
        <w:t>ormal C</w:t>
      </w:r>
      <w:r w:rsidR="004651FF" w:rsidRPr="00A24778">
        <w:rPr>
          <w:sz w:val="26"/>
          <w:szCs w:val="26"/>
        </w:rPr>
        <w:t xml:space="preserve">omplaints were </w:t>
      </w:r>
      <w:r w:rsidR="00543626" w:rsidRPr="00A24778">
        <w:rPr>
          <w:sz w:val="26"/>
          <w:szCs w:val="26"/>
        </w:rPr>
        <w:t xml:space="preserve">also </w:t>
      </w:r>
      <w:r w:rsidR="004651FF" w:rsidRPr="00A24778">
        <w:rPr>
          <w:sz w:val="26"/>
          <w:szCs w:val="26"/>
        </w:rPr>
        <w:t xml:space="preserve">filed by the Boroughs of Athens, South </w:t>
      </w:r>
      <w:r w:rsidR="004651FF" w:rsidRPr="00A24778">
        <w:rPr>
          <w:sz w:val="26"/>
          <w:szCs w:val="26"/>
        </w:rPr>
        <w:lastRenderedPageBreak/>
        <w:t>Waverly and Sayre,</w:t>
      </w:r>
      <w:r w:rsidR="004651FF" w:rsidRPr="00A24778">
        <w:rPr>
          <w:rStyle w:val="FootnoteReference"/>
          <w:sz w:val="26"/>
          <w:szCs w:val="26"/>
        </w:rPr>
        <w:footnoteReference w:id="8"/>
      </w:r>
      <w:r w:rsidR="004651FF" w:rsidRPr="00A24778">
        <w:rPr>
          <w:sz w:val="26"/>
          <w:szCs w:val="26"/>
        </w:rPr>
        <w:t xml:space="preserve"> Nicholson Borough</w:t>
      </w:r>
      <w:r w:rsidR="00254FFF" w:rsidRPr="00A24778">
        <w:rPr>
          <w:sz w:val="26"/>
          <w:szCs w:val="26"/>
        </w:rPr>
        <w:t xml:space="preserve"> at C-2016-2560016,</w:t>
      </w:r>
      <w:r w:rsidR="004651FF" w:rsidRPr="00A24778">
        <w:rPr>
          <w:rStyle w:val="FootnoteReference"/>
          <w:sz w:val="26"/>
          <w:szCs w:val="26"/>
        </w:rPr>
        <w:footnoteReference w:id="9"/>
      </w:r>
      <w:r w:rsidR="004651FF" w:rsidRPr="00A24778">
        <w:rPr>
          <w:sz w:val="26"/>
          <w:szCs w:val="26"/>
        </w:rPr>
        <w:t xml:space="preserve"> Worthington Borough Street Lights</w:t>
      </w:r>
      <w:r w:rsidR="00254FFF" w:rsidRPr="00A24778">
        <w:rPr>
          <w:sz w:val="26"/>
          <w:szCs w:val="26"/>
        </w:rPr>
        <w:t xml:space="preserve"> at C-2016-2548424,</w:t>
      </w:r>
      <w:r w:rsidR="004651FF" w:rsidRPr="00A24778">
        <w:rPr>
          <w:rStyle w:val="FootnoteReference"/>
          <w:sz w:val="26"/>
          <w:szCs w:val="26"/>
        </w:rPr>
        <w:footnoteReference w:id="10"/>
      </w:r>
      <w:r w:rsidR="001E0BE6" w:rsidRPr="00A24778">
        <w:rPr>
          <w:sz w:val="26"/>
          <w:szCs w:val="26"/>
        </w:rPr>
        <w:t xml:space="preserve"> and numerous individuals</w:t>
      </w:r>
      <w:r w:rsidR="004651FF" w:rsidRPr="00A24778">
        <w:rPr>
          <w:sz w:val="26"/>
          <w:szCs w:val="26"/>
        </w:rPr>
        <w:t xml:space="preserve">. </w:t>
      </w:r>
    </w:p>
    <w:p w:rsidR="00411148" w:rsidRPr="00A24778" w:rsidRDefault="00411148" w:rsidP="00411148">
      <w:pPr>
        <w:rPr>
          <w:sz w:val="26"/>
          <w:szCs w:val="26"/>
        </w:rPr>
      </w:pPr>
    </w:p>
    <w:p w:rsidR="00355E5D" w:rsidRDefault="00693818" w:rsidP="00BD556A">
      <w:pPr>
        <w:rPr>
          <w:sz w:val="26"/>
          <w:szCs w:val="26"/>
        </w:rPr>
      </w:pPr>
      <w:r w:rsidRPr="00A24778">
        <w:rPr>
          <w:sz w:val="26"/>
          <w:szCs w:val="26"/>
        </w:rPr>
        <w:tab/>
      </w:r>
      <w:r w:rsidR="00796A72" w:rsidRPr="00A24778">
        <w:rPr>
          <w:sz w:val="26"/>
          <w:szCs w:val="26"/>
        </w:rPr>
        <w:tab/>
      </w:r>
      <w:r w:rsidRPr="00A24778">
        <w:rPr>
          <w:sz w:val="26"/>
          <w:szCs w:val="26"/>
        </w:rPr>
        <w:t>By order entered June 9, 2016, the Commission suspended the filings pursuant to Section 1308(d) of the Public Utility Code</w:t>
      </w:r>
      <w:r w:rsidR="009072D6" w:rsidRPr="00A24778">
        <w:rPr>
          <w:sz w:val="26"/>
          <w:szCs w:val="26"/>
        </w:rPr>
        <w:t xml:space="preserve"> (Code)</w:t>
      </w:r>
      <w:r w:rsidRPr="00A24778">
        <w:rPr>
          <w:sz w:val="26"/>
          <w:szCs w:val="26"/>
        </w:rPr>
        <w:t xml:space="preserve">, </w:t>
      </w:r>
      <w:r w:rsidR="009B6EAA" w:rsidRPr="00A24778">
        <w:rPr>
          <w:sz w:val="26"/>
          <w:szCs w:val="26"/>
        </w:rPr>
        <w:t xml:space="preserve">66 Pa. C.S. § 1308(d), </w:t>
      </w:r>
      <w:r w:rsidR="00411148" w:rsidRPr="00A24778">
        <w:rPr>
          <w:sz w:val="26"/>
          <w:szCs w:val="26"/>
        </w:rPr>
        <w:t xml:space="preserve">for investigation to determine the lawfulness, justness and reasonableness </w:t>
      </w:r>
      <w:r w:rsidR="009072D6" w:rsidRPr="00A24778">
        <w:rPr>
          <w:sz w:val="26"/>
          <w:szCs w:val="26"/>
        </w:rPr>
        <w:t xml:space="preserve">of the rates, </w:t>
      </w:r>
      <w:r w:rsidRPr="00A24778">
        <w:rPr>
          <w:sz w:val="26"/>
          <w:szCs w:val="26"/>
        </w:rPr>
        <w:t>until January 27, 2017, unless permitted by Commission Order to become effective at an earlier date.</w:t>
      </w:r>
      <w:r w:rsidR="00355E5D" w:rsidRPr="00A24778">
        <w:rPr>
          <w:sz w:val="26"/>
          <w:szCs w:val="26"/>
        </w:rPr>
        <w:t xml:space="preserve">  </w:t>
      </w:r>
      <w:r w:rsidR="00127072" w:rsidRPr="00A24778">
        <w:rPr>
          <w:sz w:val="26"/>
          <w:szCs w:val="26"/>
        </w:rPr>
        <w:t>On the same day, t</w:t>
      </w:r>
      <w:r w:rsidR="005874BC" w:rsidRPr="00A24778">
        <w:rPr>
          <w:sz w:val="26"/>
          <w:szCs w:val="26"/>
        </w:rPr>
        <w:t xml:space="preserve">he Commission </w:t>
      </w:r>
      <w:r w:rsidR="00240638" w:rsidRPr="00A24778">
        <w:rPr>
          <w:sz w:val="26"/>
          <w:szCs w:val="26"/>
        </w:rPr>
        <w:t xml:space="preserve">also </w:t>
      </w:r>
      <w:r w:rsidR="00F53459" w:rsidRPr="00A24778">
        <w:rPr>
          <w:sz w:val="26"/>
          <w:szCs w:val="26"/>
        </w:rPr>
        <w:t>entered separate</w:t>
      </w:r>
      <w:r w:rsidR="004C4FAA" w:rsidRPr="00A24778">
        <w:rPr>
          <w:sz w:val="26"/>
          <w:szCs w:val="26"/>
        </w:rPr>
        <w:t xml:space="preserve"> order</w:t>
      </w:r>
      <w:r w:rsidR="00F53459" w:rsidRPr="00A24778">
        <w:rPr>
          <w:sz w:val="26"/>
          <w:szCs w:val="26"/>
        </w:rPr>
        <w:t xml:space="preserve">s </w:t>
      </w:r>
      <w:r w:rsidR="004C4FAA" w:rsidRPr="00A24778">
        <w:rPr>
          <w:sz w:val="26"/>
          <w:szCs w:val="26"/>
        </w:rPr>
        <w:t>approving the</w:t>
      </w:r>
      <w:r w:rsidR="00306706" w:rsidRPr="00A24778">
        <w:rPr>
          <w:sz w:val="26"/>
          <w:szCs w:val="26"/>
        </w:rPr>
        <w:t xml:space="preserve"> Petition</w:t>
      </w:r>
      <w:r w:rsidR="004C4FAA" w:rsidRPr="00A24778">
        <w:rPr>
          <w:sz w:val="26"/>
          <w:szCs w:val="26"/>
        </w:rPr>
        <w:t>s</w:t>
      </w:r>
      <w:r w:rsidR="00306706" w:rsidRPr="00A24778">
        <w:rPr>
          <w:sz w:val="26"/>
          <w:szCs w:val="26"/>
        </w:rPr>
        <w:t xml:space="preserve"> of </w:t>
      </w:r>
      <w:r w:rsidR="004C4FAA" w:rsidRPr="00A24778">
        <w:rPr>
          <w:sz w:val="26"/>
          <w:szCs w:val="26"/>
        </w:rPr>
        <w:t xml:space="preserve">the </w:t>
      </w:r>
      <w:r w:rsidR="00306706" w:rsidRPr="00A24778">
        <w:rPr>
          <w:sz w:val="26"/>
          <w:szCs w:val="26"/>
        </w:rPr>
        <w:t xml:space="preserve">Companies to establish </w:t>
      </w:r>
      <w:r w:rsidR="005874BC" w:rsidRPr="00A24778">
        <w:rPr>
          <w:sz w:val="26"/>
          <w:szCs w:val="26"/>
        </w:rPr>
        <w:t>Distribution System Improvement Charge (DSIC) Riders (</w:t>
      </w:r>
      <w:r w:rsidR="00FC7120" w:rsidRPr="00A24778">
        <w:rPr>
          <w:sz w:val="26"/>
          <w:szCs w:val="26"/>
        </w:rPr>
        <w:t xml:space="preserve">Companies’ </w:t>
      </w:r>
      <w:r w:rsidR="005874BC" w:rsidRPr="00A24778">
        <w:rPr>
          <w:sz w:val="26"/>
          <w:szCs w:val="26"/>
        </w:rPr>
        <w:t>DSIC</w:t>
      </w:r>
      <w:r w:rsidR="00FC7120" w:rsidRPr="00A24778">
        <w:rPr>
          <w:sz w:val="26"/>
          <w:szCs w:val="26"/>
        </w:rPr>
        <w:t xml:space="preserve"> Rider Petition</w:t>
      </w:r>
      <w:r w:rsidR="004C4FAA" w:rsidRPr="00A24778">
        <w:rPr>
          <w:sz w:val="26"/>
          <w:szCs w:val="26"/>
        </w:rPr>
        <w:t>s</w:t>
      </w:r>
      <w:r w:rsidR="00306706" w:rsidRPr="00A24778">
        <w:rPr>
          <w:sz w:val="26"/>
          <w:szCs w:val="26"/>
        </w:rPr>
        <w:t>)</w:t>
      </w:r>
      <w:r w:rsidR="00FC7120" w:rsidRPr="00A24778">
        <w:rPr>
          <w:sz w:val="26"/>
          <w:szCs w:val="26"/>
        </w:rPr>
        <w:t>,</w:t>
      </w:r>
      <w:r w:rsidR="004C4FAA" w:rsidRPr="00A24778">
        <w:rPr>
          <w:rStyle w:val="FootnoteReference"/>
          <w:sz w:val="26"/>
          <w:szCs w:val="26"/>
        </w:rPr>
        <w:footnoteReference w:id="11"/>
      </w:r>
      <w:r w:rsidR="00FC7120" w:rsidRPr="00A24778">
        <w:rPr>
          <w:sz w:val="26"/>
          <w:szCs w:val="26"/>
        </w:rPr>
        <w:t xml:space="preserve"> subject to recoupment and/or refund pending final resolution of </w:t>
      </w:r>
      <w:r w:rsidR="001F53D1" w:rsidRPr="00A24778">
        <w:rPr>
          <w:sz w:val="26"/>
          <w:szCs w:val="26"/>
        </w:rPr>
        <w:t>certain</w:t>
      </w:r>
      <w:r w:rsidR="00FC7120" w:rsidRPr="00A24778">
        <w:rPr>
          <w:sz w:val="26"/>
          <w:szCs w:val="26"/>
        </w:rPr>
        <w:t xml:space="preserve"> issues in the Companies’ DSIC Rider Petition</w:t>
      </w:r>
      <w:r w:rsidR="004C4FAA" w:rsidRPr="00A24778">
        <w:rPr>
          <w:sz w:val="26"/>
          <w:szCs w:val="26"/>
        </w:rPr>
        <w:t>s</w:t>
      </w:r>
      <w:r w:rsidR="005874BC" w:rsidRPr="00A24778">
        <w:rPr>
          <w:sz w:val="26"/>
          <w:szCs w:val="26"/>
        </w:rPr>
        <w:t>.</w:t>
      </w:r>
      <w:r w:rsidR="005874BC" w:rsidRPr="00A24778">
        <w:rPr>
          <w:rStyle w:val="FootnoteReference"/>
          <w:sz w:val="26"/>
          <w:szCs w:val="26"/>
        </w:rPr>
        <w:footnoteReference w:id="12"/>
      </w:r>
    </w:p>
    <w:p w:rsidR="007E1200" w:rsidRDefault="007E1200" w:rsidP="00BD556A">
      <w:pPr>
        <w:rPr>
          <w:sz w:val="26"/>
          <w:szCs w:val="26"/>
        </w:rPr>
      </w:pPr>
    </w:p>
    <w:p w:rsidR="007E1200" w:rsidRPr="00A24778" w:rsidRDefault="007E1200" w:rsidP="00B918A7">
      <w:pPr>
        <w:ind w:firstLine="1440"/>
        <w:rPr>
          <w:sz w:val="26"/>
          <w:szCs w:val="26"/>
        </w:rPr>
      </w:pPr>
      <w:r>
        <w:rPr>
          <w:sz w:val="26"/>
          <w:szCs w:val="26"/>
        </w:rPr>
        <w:t>On June 12, 2016, Act 40 was signed into law, effective in sixty days (i.e., on August 11, 2016).  Act 40 added Section 1301.1 to the Code, which states as follows:</w:t>
      </w:r>
    </w:p>
    <w:p w:rsidR="00A90778" w:rsidRPr="00A24778" w:rsidRDefault="00A90778" w:rsidP="007E1200">
      <w:pPr>
        <w:pStyle w:val="FootnoteText"/>
      </w:pPr>
    </w:p>
    <w:p w:rsidR="00BC10B3" w:rsidRPr="00A24778" w:rsidRDefault="0012405A" w:rsidP="0021320F">
      <w:pPr>
        <w:spacing w:line="240" w:lineRule="auto"/>
        <w:ind w:left="1440" w:right="1440"/>
        <w:rPr>
          <w:b/>
          <w:sz w:val="26"/>
          <w:szCs w:val="26"/>
        </w:rPr>
      </w:pPr>
      <w:r w:rsidRPr="00A24778">
        <w:rPr>
          <w:b/>
          <w:sz w:val="26"/>
          <w:szCs w:val="26"/>
        </w:rPr>
        <w:lastRenderedPageBreak/>
        <w:t xml:space="preserve">1301.1. </w:t>
      </w:r>
      <w:r w:rsidR="0021320F" w:rsidRPr="00A24778">
        <w:rPr>
          <w:b/>
          <w:sz w:val="26"/>
          <w:szCs w:val="26"/>
        </w:rPr>
        <w:t xml:space="preserve"> </w:t>
      </w:r>
      <w:r w:rsidRPr="00A24778">
        <w:rPr>
          <w:b/>
          <w:sz w:val="26"/>
          <w:szCs w:val="26"/>
        </w:rPr>
        <w:t>Computation of income tax expense for rate</w:t>
      </w:r>
      <w:r w:rsidR="0021320F" w:rsidRPr="00A24778">
        <w:rPr>
          <w:b/>
          <w:sz w:val="26"/>
          <w:szCs w:val="26"/>
        </w:rPr>
        <w:t>-</w:t>
      </w:r>
      <w:r w:rsidRPr="00A24778">
        <w:rPr>
          <w:b/>
          <w:sz w:val="26"/>
          <w:szCs w:val="26"/>
        </w:rPr>
        <w:t>making purposes.</w:t>
      </w:r>
    </w:p>
    <w:p w:rsidR="0021320F" w:rsidRPr="00A24778" w:rsidRDefault="0021320F" w:rsidP="0021320F">
      <w:pPr>
        <w:spacing w:line="240" w:lineRule="auto"/>
        <w:ind w:left="1440" w:right="1440"/>
        <w:rPr>
          <w:sz w:val="26"/>
          <w:szCs w:val="26"/>
        </w:rPr>
      </w:pPr>
    </w:p>
    <w:p w:rsidR="0012405A" w:rsidRPr="00A24778" w:rsidRDefault="0012405A" w:rsidP="0012405A">
      <w:pPr>
        <w:spacing w:line="240" w:lineRule="auto"/>
        <w:ind w:left="1440" w:right="1440"/>
        <w:rPr>
          <w:sz w:val="26"/>
          <w:szCs w:val="26"/>
        </w:rPr>
      </w:pPr>
      <w:r w:rsidRPr="00A24778">
        <w:rPr>
          <w:sz w:val="26"/>
          <w:szCs w:val="26"/>
        </w:rPr>
        <w:t xml:space="preserve">(a) Computation. – If an expense or investment is allowed to be included in a public utility’s rates for ratemaking purposes, the related income tax deductions and credits shall also be included in the computation of current or deferred income tax expense to reduce rates.  If an expense or investment is not allowed to be included in a public utility’s rates, the related income tax deductions and credits, including tax losses of the public utility’s parent or affiliated companies, shall not be included in the computation of income tax expense to reduce rates.  The deferred income taxes used to determine the rate base of a public utility for ratemaking purposes shall be based solely on the tax deductions and credits received by the public utility and shall not include any deductions or credits generated by the expenses or investments of a public utility’s parent or any affiliated entity.  The income tax expense shall be computed using the applicable statutory income tax rates.  </w:t>
      </w:r>
    </w:p>
    <w:p w:rsidR="0012405A" w:rsidRPr="00A24778" w:rsidRDefault="0012405A" w:rsidP="0012405A">
      <w:pPr>
        <w:spacing w:line="240" w:lineRule="auto"/>
        <w:ind w:left="1440" w:right="1440"/>
        <w:rPr>
          <w:sz w:val="26"/>
          <w:szCs w:val="26"/>
        </w:rPr>
      </w:pPr>
    </w:p>
    <w:p w:rsidR="0012405A" w:rsidRPr="00A24778" w:rsidRDefault="0012405A" w:rsidP="0012405A">
      <w:pPr>
        <w:spacing w:line="240" w:lineRule="auto"/>
        <w:ind w:left="1440" w:right="1440"/>
        <w:rPr>
          <w:sz w:val="26"/>
          <w:szCs w:val="26"/>
        </w:rPr>
      </w:pPr>
      <w:r w:rsidRPr="00A24778">
        <w:rPr>
          <w:sz w:val="26"/>
          <w:szCs w:val="26"/>
        </w:rPr>
        <w:t>(b) Revenue use. - If a differential accrues to a public utility resulting from applying the ratemaking methods employed by the commission prior to the effective date of subsection (a) for ratemaking purposes, the differential shall be used as follows:</w:t>
      </w:r>
    </w:p>
    <w:p w:rsidR="0012405A" w:rsidRPr="00A24778" w:rsidRDefault="0012405A" w:rsidP="0012405A">
      <w:pPr>
        <w:spacing w:line="240" w:lineRule="auto"/>
        <w:ind w:left="1440" w:right="1440"/>
        <w:rPr>
          <w:sz w:val="26"/>
          <w:szCs w:val="26"/>
        </w:rPr>
      </w:pPr>
    </w:p>
    <w:p w:rsidR="0012405A" w:rsidRPr="00A24778" w:rsidRDefault="0012405A" w:rsidP="0012405A">
      <w:pPr>
        <w:tabs>
          <w:tab w:val="left" w:pos="2160"/>
        </w:tabs>
        <w:spacing w:line="240" w:lineRule="auto"/>
        <w:ind w:left="2160" w:right="1440"/>
        <w:rPr>
          <w:sz w:val="26"/>
          <w:szCs w:val="26"/>
        </w:rPr>
      </w:pPr>
      <w:r w:rsidRPr="00A24778">
        <w:rPr>
          <w:sz w:val="26"/>
          <w:szCs w:val="26"/>
        </w:rPr>
        <w:tab/>
        <w:t xml:space="preserve">(1) </w:t>
      </w:r>
      <w:r w:rsidRPr="00A24778">
        <w:rPr>
          <w:sz w:val="26"/>
          <w:szCs w:val="26"/>
        </w:rPr>
        <w:tab/>
        <w:t>Fifty percent to support reliability or infrastructure related to the rate base eligible capital investment as determined by the commission; and</w:t>
      </w:r>
    </w:p>
    <w:p w:rsidR="0012405A" w:rsidRPr="00A24778" w:rsidRDefault="0012405A" w:rsidP="0012405A">
      <w:pPr>
        <w:tabs>
          <w:tab w:val="left" w:pos="2160"/>
        </w:tabs>
        <w:spacing w:line="240" w:lineRule="auto"/>
        <w:ind w:left="2160" w:right="1440"/>
        <w:rPr>
          <w:sz w:val="26"/>
          <w:szCs w:val="26"/>
        </w:rPr>
      </w:pPr>
    </w:p>
    <w:p w:rsidR="0012405A" w:rsidRPr="00A24778" w:rsidRDefault="0012405A" w:rsidP="0012405A">
      <w:pPr>
        <w:tabs>
          <w:tab w:val="left" w:pos="2160"/>
          <w:tab w:val="left" w:pos="2880"/>
        </w:tabs>
        <w:spacing w:line="240" w:lineRule="auto"/>
        <w:ind w:left="2160" w:right="1440" w:hanging="360"/>
        <w:rPr>
          <w:sz w:val="26"/>
          <w:szCs w:val="26"/>
        </w:rPr>
      </w:pPr>
      <w:r w:rsidRPr="00A24778">
        <w:rPr>
          <w:sz w:val="26"/>
          <w:szCs w:val="26"/>
        </w:rPr>
        <w:tab/>
      </w:r>
      <w:r w:rsidRPr="00A24778">
        <w:rPr>
          <w:sz w:val="26"/>
          <w:szCs w:val="26"/>
        </w:rPr>
        <w:tab/>
        <w:t xml:space="preserve">(2) </w:t>
      </w:r>
      <w:r w:rsidRPr="00A24778">
        <w:rPr>
          <w:sz w:val="26"/>
          <w:szCs w:val="26"/>
        </w:rPr>
        <w:tab/>
        <w:t>Fifty percent for general corporate purposes.</w:t>
      </w:r>
    </w:p>
    <w:p w:rsidR="0012405A" w:rsidRPr="00A24778" w:rsidRDefault="0012405A" w:rsidP="0012405A">
      <w:pPr>
        <w:tabs>
          <w:tab w:val="left" w:pos="2160"/>
          <w:tab w:val="left" w:pos="2880"/>
        </w:tabs>
        <w:spacing w:line="240" w:lineRule="auto"/>
        <w:ind w:left="2160" w:right="1440" w:hanging="360"/>
        <w:rPr>
          <w:sz w:val="26"/>
          <w:szCs w:val="26"/>
        </w:rPr>
      </w:pPr>
    </w:p>
    <w:p w:rsidR="00BD556A" w:rsidRPr="00A24778" w:rsidRDefault="00BD556A" w:rsidP="0012405A">
      <w:pPr>
        <w:tabs>
          <w:tab w:val="left" w:pos="2160"/>
          <w:tab w:val="left" w:pos="2880"/>
        </w:tabs>
        <w:spacing w:line="240" w:lineRule="auto"/>
        <w:ind w:left="2160" w:right="1440" w:hanging="360"/>
        <w:rPr>
          <w:sz w:val="26"/>
          <w:szCs w:val="26"/>
        </w:rPr>
      </w:pPr>
    </w:p>
    <w:p w:rsidR="00ED7ED6" w:rsidRPr="00A24778" w:rsidRDefault="00ED7ED6" w:rsidP="00ED7ED6">
      <w:pPr>
        <w:ind w:firstLine="1440"/>
        <w:rPr>
          <w:sz w:val="26"/>
          <w:szCs w:val="26"/>
        </w:rPr>
      </w:pPr>
      <w:r w:rsidRPr="00A24778">
        <w:rPr>
          <w:sz w:val="26"/>
          <w:szCs w:val="26"/>
        </w:rPr>
        <w:t xml:space="preserve">On June 17, 2016, </w:t>
      </w:r>
      <w:r w:rsidR="00D46BEF" w:rsidRPr="00A24778">
        <w:rPr>
          <w:sz w:val="26"/>
          <w:szCs w:val="26"/>
        </w:rPr>
        <w:t xml:space="preserve">ALJ </w:t>
      </w:r>
      <w:r w:rsidR="00FA2A95" w:rsidRPr="00A24778">
        <w:rPr>
          <w:sz w:val="26"/>
          <w:szCs w:val="26"/>
        </w:rPr>
        <w:t xml:space="preserve">Mary D. Long </w:t>
      </w:r>
      <w:r w:rsidR="00D46BEF" w:rsidRPr="00A24778">
        <w:rPr>
          <w:sz w:val="26"/>
          <w:szCs w:val="26"/>
        </w:rPr>
        <w:t>convened a</w:t>
      </w:r>
      <w:r w:rsidR="00127072" w:rsidRPr="00A24778">
        <w:rPr>
          <w:sz w:val="26"/>
          <w:szCs w:val="26"/>
        </w:rPr>
        <w:t xml:space="preserve"> Prehearing C</w:t>
      </w:r>
      <w:r w:rsidR="00E71A79" w:rsidRPr="00A24778">
        <w:rPr>
          <w:sz w:val="26"/>
          <w:szCs w:val="26"/>
        </w:rPr>
        <w:t xml:space="preserve">onference.  </w:t>
      </w:r>
      <w:r w:rsidRPr="00A24778">
        <w:rPr>
          <w:sz w:val="26"/>
          <w:szCs w:val="26"/>
        </w:rPr>
        <w:t xml:space="preserve">At the Prehearing Conference, the Parties requested that the base rate proceedings be consolidated.  Counsel for the Companies explained that the approach to calculating the various elements of the rates were consistent across all four </w:t>
      </w:r>
      <w:r w:rsidR="0098587D" w:rsidRPr="00A24778">
        <w:rPr>
          <w:sz w:val="26"/>
          <w:szCs w:val="26"/>
        </w:rPr>
        <w:t>C</w:t>
      </w:r>
      <w:r w:rsidRPr="00A24778">
        <w:rPr>
          <w:sz w:val="26"/>
          <w:szCs w:val="26"/>
        </w:rPr>
        <w:t xml:space="preserve">ompanies even though the final numbers would be unique to each company.  The Parties in attendance at the </w:t>
      </w:r>
      <w:r w:rsidRPr="00A24778">
        <w:rPr>
          <w:sz w:val="26"/>
          <w:szCs w:val="26"/>
        </w:rPr>
        <w:lastRenderedPageBreak/>
        <w:t>Prehearing Conference supported the Companies’ proposal and the cases were consolidated.</w:t>
      </w:r>
    </w:p>
    <w:p w:rsidR="00ED7ED6" w:rsidRPr="00A24778" w:rsidRDefault="00ED7ED6" w:rsidP="00ED7ED6">
      <w:pPr>
        <w:rPr>
          <w:sz w:val="26"/>
          <w:szCs w:val="26"/>
        </w:rPr>
      </w:pPr>
    </w:p>
    <w:p w:rsidR="009072D6" w:rsidRPr="00A24778" w:rsidRDefault="009072D6" w:rsidP="00ED7ED6">
      <w:pPr>
        <w:rPr>
          <w:sz w:val="26"/>
          <w:szCs w:val="26"/>
        </w:rPr>
      </w:pPr>
      <w:r w:rsidRPr="00A24778">
        <w:rPr>
          <w:sz w:val="26"/>
          <w:szCs w:val="26"/>
        </w:rPr>
        <w:tab/>
      </w:r>
      <w:r w:rsidRPr="00A24778">
        <w:rPr>
          <w:sz w:val="26"/>
          <w:szCs w:val="26"/>
        </w:rPr>
        <w:tab/>
        <w:t>Between July 21, 2016 and August 18, 2016, twelve public input hearings were held at seven different locations throughout the Companies’ service territories.  The dates, times and locations of the public input hearings were established in Notices issued by the Commission on July 5 and 12, 2016, in the consolidated docket.</w:t>
      </w:r>
    </w:p>
    <w:p w:rsidR="009072D6" w:rsidRPr="00A24778" w:rsidRDefault="009072D6" w:rsidP="00ED7ED6">
      <w:pPr>
        <w:rPr>
          <w:sz w:val="26"/>
          <w:szCs w:val="26"/>
        </w:rPr>
      </w:pPr>
    </w:p>
    <w:p w:rsidR="00ED7ED6" w:rsidRPr="00A24778" w:rsidRDefault="00ED7ED6" w:rsidP="009072D6">
      <w:pPr>
        <w:ind w:firstLine="1440"/>
        <w:rPr>
          <w:sz w:val="26"/>
          <w:szCs w:val="26"/>
        </w:rPr>
      </w:pPr>
      <w:r w:rsidRPr="00A24778">
        <w:rPr>
          <w:sz w:val="26"/>
          <w:szCs w:val="26"/>
        </w:rPr>
        <w:t xml:space="preserve">On September 7, 2016, in accordance with the litigation schedule established at the Prehearing Conference, </w:t>
      </w:r>
      <w:r w:rsidR="002A4FB0" w:rsidRPr="00A24778">
        <w:rPr>
          <w:sz w:val="26"/>
          <w:szCs w:val="26"/>
        </w:rPr>
        <w:t>the ALJ convened an evidentiary hearing.  Although the P</w:t>
      </w:r>
      <w:r w:rsidRPr="00A24778">
        <w:rPr>
          <w:sz w:val="26"/>
          <w:szCs w:val="26"/>
        </w:rPr>
        <w:t xml:space="preserve">arties had not achieved an agreement on all of the issues raised in the proceeding, all </w:t>
      </w:r>
      <w:r w:rsidR="00D67AEA">
        <w:rPr>
          <w:sz w:val="26"/>
          <w:szCs w:val="26"/>
        </w:rPr>
        <w:t>P</w:t>
      </w:r>
      <w:r w:rsidRPr="00A24778">
        <w:rPr>
          <w:sz w:val="26"/>
          <w:szCs w:val="26"/>
        </w:rPr>
        <w:t>arties agreed to waive the c</w:t>
      </w:r>
      <w:r w:rsidR="007E6669" w:rsidRPr="00A24778">
        <w:rPr>
          <w:sz w:val="26"/>
          <w:szCs w:val="26"/>
        </w:rPr>
        <w:t>ross-examination of witnesses.  A</w:t>
      </w:r>
      <w:r w:rsidRPr="00A24778">
        <w:rPr>
          <w:sz w:val="26"/>
          <w:szCs w:val="26"/>
        </w:rPr>
        <w:t>ny argument necessary on unresolved claims would rely solely on the written testimony admitted into the record.  Ac</w:t>
      </w:r>
      <w:r w:rsidR="009D15C7" w:rsidRPr="00A24778">
        <w:rPr>
          <w:sz w:val="26"/>
          <w:szCs w:val="26"/>
        </w:rPr>
        <w:t>cordingly, the written testimonies</w:t>
      </w:r>
      <w:r w:rsidRPr="00A24778">
        <w:rPr>
          <w:sz w:val="26"/>
          <w:szCs w:val="26"/>
        </w:rPr>
        <w:t xml:space="preserve"> of the Companies,</w:t>
      </w:r>
      <w:r w:rsidRPr="00A24778">
        <w:rPr>
          <w:rStyle w:val="FootnoteReference"/>
          <w:sz w:val="26"/>
          <w:szCs w:val="26"/>
        </w:rPr>
        <w:footnoteReference w:id="13"/>
      </w:r>
      <w:r w:rsidRPr="00A24778">
        <w:rPr>
          <w:sz w:val="26"/>
          <w:szCs w:val="26"/>
        </w:rPr>
        <w:t xml:space="preserve"> I</w:t>
      </w:r>
      <w:r w:rsidR="002A4FB0" w:rsidRPr="00A24778">
        <w:rPr>
          <w:sz w:val="26"/>
          <w:szCs w:val="26"/>
        </w:rPr>
        <w:t>&amp;</w:t>
      </w:r>
      <w:r w:rsidRPr="00A24778">
        <w:rPr>
          <w:sz w:val="26"/>
          <w:szCs w:val="26"/>
        </w:rPr>
        <w:t xml:space="preserve">E, </w:t>
      </w:r>
      <w:r w:rsidR="0098587D" w:rsidRPr="00A24778">
        <w:rPr>
          <w:sz w:val="26"/>
          <w:szCs w:val="26"/>
        </w:rPr>
        <w:t xml:space="preserve">the </w:t>
      </w:r>
      <w:r w:rsidRPr="00A24778">
        <w:rPr>
          <w:sz w:val="26"/>
          <w:szCs w:val="26"/>
        </w:rPr>
        <w:t xml:space="preserve">OCA, </w:t>
      </w:r>
      <w:r w:rsidR="0098587D" w:rsidRPr="00A24778">
        <w:rPr>
          <w:sz w:val="26"/>
          <w:szCs w:val="26"/>
        </w:rPr>
        <w:t xml:space="preserve">the </w:t>
      </w:r>
      <w:r w:rsidRPr="00A24778">
        <w:rPr>
          <w:sz w:val="26"/>
          <w:szCs w:val="26"/>
        </w:rPr>
        <w:t>OSBA, the Industrials, AK Stee</w:t>
      </w:r>
      <w:r w:rsidR="009D15C7" w:rsidRPr="00A24778">
        <w:rPr>
          <w:sz w:val="26"/>
          <w:szCs w:val="26"/>
        </w:rPr>
        <w:t>l, CAUSE-PA, PSU and Walmart were</w:t>
      </w:r>
      <w:r w:rsidRPr="00A24778">
        <w:rPr>
          <w:sz w:val="26"/>
          <w:szCs w:val="26"/>
        </w:rPr>
        <w:t xml:space="preserve"> </w:t>
      </w:r>
      <w:r w:rsidR="002A4FB0" w:rsidRPr="00A24778">
        <w:rPr>
          <w:sz w:val="26"/>
          <w:szCs w:val="26"/>
        </w:rPr>
        <w:t>admitted into the record.  The P</w:t>
      </w:r>
      <w:r w:rsidRPr="00A24778">
        <w:rPr>
          <w:sz w:val="26"/>
          <w:szCs w:val="26"/>
        </w:rPr>
        <w:t>arties agreed that a separate petition for settlement would be filed f</w:t>
      </w:r>
      <w:r w:rsidR="002A4FB0" w:rsidRPr="00A24778">
        <w:rPr>
          <w:sz w:val="26"/>
          <w:szCs w:val="26"/>
        </w:rPr>
        <w:t>or each company, but that each P</w:t>
      </w:r>
      <w:r w:rsidRPr="00A24778">
        <w:rPr>
          <w:sz w:val="26"/>
          <w:szCs w:val="26"/>
        </w:rPr>
        <w:t>arty would file one omnibus statement in support of the settlement and on</w:t>
      </w:r>
      <w:r w:rsidR="00306706" w:rsidRPr="00A24778">
        <w:rPr>
          <w:sz w:val="26"/>
          <w:szCs w:val="26"/>
        </w:rPr>
        <w:t>e brief on the unresolved issue</w:t>
      </w:r>
      <w:r w:rsidR="00FC7120" w:rsidRPr="00A24778">
        <w:rPr>
          <w:sz w:val="26"/>
          <w:szCs w:val="26"/>
        </w:rPr>
        <w:t>s</w:t>
      </w:r>
      <w:r w:rsidRPr="00A24778">
        <w:rPr>
          <w:sz w:val="26"/>
          <w:szCs w:val="26"/>
        </w:rPr>
        <w:t xml:space="preserve"> that would address all four </w:t>
      </w:r>
      <w:r w:rsidR="0098587D" w:rsidRPr="00A24778">
        <w:rPr>
          <w:sz w:val="26"/>
          <w:szCs w:val="26"/>
        </w:rPr>
        <w:t>C</w:t>
      </w:r>
      <w:r w:rsidRPr="00A24778">
        <w:rPr>
          <w:sz w:val="26"/>
          <w:szCs w:val="26"/>
        </w:rPr>
        <w:t>ompanies.</w:t>
      </w:r>
    </w:p>
    <w:p w:rsidR="0098587D" w:rsidRPr="00A24778" w:rsidRDefault="0098587D" w:rsidP="009072D6">
      <w:pPr>
        <w:ind w:firstLine="1440"/>
        <w:rPr>
          <w:sz w:val="26"/>
          <w:szCs w:val="26"/>
        </w:rPr>
      </w:pPr>
    </w:p>
    <w:p w:rsidR="00ED7ED6" w:rsidRPr="00A24778" w:rsidRDefault="002A4FB0" w:rsidP="002A4FB0">
      <w:pPr>
        <w:ind w:firstLine="1440"/>
        <w:rPr>
          <w:sz w:val="26"/>
          <w:szCs w:val="26"/>
        </w:rPr>
      </w:pPr>
      <w:r w:rsidRPr="00A24778">
        <w:rPr>
          <w:sz w:val="26"/>
          <w:szCs w:val="26"/>
        </w:rPr>
        <w:t xml:space="preserve">On September 30, 2016, the Companies and </w:t>
      </w:r>
      <w:r w:rsidR="009072D6" w:rsidRPr="00A24778">
        <w:rPr>
          <w:sz w:val="26"/>
          <w:szCs w:val="26"/>
        </w:rPr>
        <w:t xml:space="preserve">the </w:t>
      </w:r>
      <w:r w:rsidRPr="00A24778">
        <w:rPr>
          <w:sz w:val="26"/>
          <w:szCs w:val="26"/>
        </w:rPr>
        <w:t>OCA filed M</w:t>
      </w:r>
      <w:r w:rsidR="00D46BEF" w:rsidRPr="00A24778">
        <w:rPr>
          <w:sz w:val="26"/>
          <w:szCs w:val="26"/>
        </w:rPr>
        <w:t>ain B</w:t>
      </w:r>
      <w:r w:rsidR="00FC7120" w:rsidRPr="00A24778">
        <w:rPr>
          <w:sz w:val="26"/>
          <w:szCs w:val="26"/>
        </w:rPr>
        <w:t xml:space="preserve">riefs on the treatment of Adjusted Deferred Income Tax (ADIT) </w:t>
      </w:r>
      <w:r w:rsidR="00FD7451" w:rsidRPr="00A24778">
        <w:rPr>
          <w:sz w:val="26"/>
          <w:szCs w:val="26"/>
        </w:rPr>
        <w:t xml:space="preserve">in the Companies’ DSIC Rider Petition </w:t>
      </w:r>
      <w:r w:rsidR="00E779CE" w:rsidRPr="00A24778">
        <w:rPr>
          <w:sz w:val="26"/>
          <w:szCs w:val="26"/>
        </w:rPr>
        <w:t>under Act</w:t>
      </w:r>
      <w:r w:rsidR="00C712B4" w:rsidRPr="00A24778">
        <w:rPr>
          <w:sz w:val="26"/>
          <w:szCs w:val="26"/>
        </w:rPr>
        <w:t xml:space="preserve"> 40</w:t>
      </w:r>
      <w:r w:rsidR="00FC7120" w:rsidRPr="00A24778">
        <w:rPr>
          <w:sz w:val="26"/>
          <w:szCs w:val="26"/>
        </w:rPr>
        <w:t xml:space="preserve">.  </w:t>
      </w:r>
      <w:r w:rsidRPr="00A24778">
        <w:rPr>
          <w:sz w:val="26"/>
          <w:szCs w:val="26"/>
        </w:rPr>
        <w:t>No other Party took a position or filed</w:t>
      </w:r>
      <w:r w:rsidR="00FC7120" w:rsidRPr="00A24778">
        <w:rPr>
          <w:sz w:val="26"/>
          <w:szCs w:val="26"/>
        </w:rPr>
        <w:t xml:space="preserve"> a brief on this issue.  Reply </w:t>
      </w:r>
      <w:r w:rsidR="001C1CB1" w:rsidRPr="00A24778">
        <w:rPr>
          <w:sz w:val="26"/>
          <w:szCs w:val="26"/>
        </w:rPr>
        <w:t>B</w:t>
      </w:r>
      <w:r w:rsidRPr="00A24778">
        <w:rPr>
          <w:sz w:val="26"/>
          <w:szCs w:val="26"/>
        </w:rPr>
        <w:t>riefs were filed on October 14, 2016.</w:t>
      </w:r>
    </w:p>
    <w:p w:rsidR="00ED7ED6" w:rsidRPr="00A24778" w:rsidRDefault="00ED7ED6" w:rsidP="00ED7ED6">
      <w:pPr>
        <w:rPr>
          <w:sz w:val="26"/>
          <w:szCs w:val="26"/>
        </w:rPr>
      </w:pPr>
    </w:p>
    <w:p w:rsidR="002A4FB0" w:rsidRPr="00A24778" w:rsidRDefault="00E71A79" w:rsidP="00B57943">
      <w:pPr>
        <w:pStyle w:val="BodyTextIndent"/>
        <w:spacing w:after="0"/>
        <w:ind w:left="0" w:firstLine="1440"/>
        <w:rPr>
          <w:sz w:val="26"/>
          <w:szCs w:val="26"/>
        </w:rPr>
      </w:pPr>
      <w:r w:rsidRPr="00A24778">
        <w:rPr>
          <w:sz w:val="26"/>
          <w:szCs w:val="26"/>
        </w:rPr>
        <w:lastRenderedPageBreak/>
        <w:t xml:space="preserve">On October 14, 2016, </w:t>
      </w:r>
      <w:r w:rsidR="00FA2A95" w:rsidRPr="00A24778">
        <w:rPr>
          <w:sz w:val="26"/>
          <w:szCs w:val="26"/>
        </w:rPr>
        <w:t>Joint Petitions for Partial Settlement (Partial Settlements) for each of the four Companies</w:t>
      </w:r>
      <w:r w:rsidR="0009066B" w:rsidRPr="00A24778">
        <w:rPr>
          <w:sz w:val="26"/>
          <w:szCs w:val="26"/>
        </w:rPr>
        <w:t xml:space="preserve"> </w:t>
      </w:r>
      <w:r w:rsidR="002A4FB0" w:rsidRPr="00A24778">
        <w:rPr>
          <w:sz w:val="26"/>
          <w:szCs w:val="26"/>
        </w:rPr>
        <w:t>were filed</w:t>
      </w:r>
      <w:r w:rsidR="00ED7ED6" w:rsidRPr="00A24778">
        <w:rPr>
          <w:sz w:val="26"/>
          <w:szCs w:val="26"/>
        </w:rPr>
        <w:t>.</w:t>
      </w:r>
      <w:r w:rsidR="00235CAB" w:rsidRPr="00A24778">
        <w:rPr>
          <w:rStyle w:val="FootnoteReference"/>
          <w:sz w:val="26"/>
          <w:szCs w:val="26"/>
        </w:rPr>
        <w:footnoteReference w:id="14"/>
      </w:r>
      <w:r w:rsidR="00ED7ED6" w:rsidRPr="00A24778">
        <w:rPr>
          <w:sz w:val="26"/>
          <w:szCs w:val="26"/>
        </w:rPr>
        <w:t xml:space="preserve">  The only issue which was not resolved </w:t>
      </w:r>
      <w:r w:rsidR="008C5321" w:rsidRPr="00A24778">
        <w:rPr>
          <w:sz w:val="26"/>
          <w:szCs w:val="26"/>
        </w:rPr>
        <w:t>in the Partial Settlement</w:t>
      </w:r>
      <w:r w:rsidR="0058089C" w:rsidRPr="00A24778">
        <w:rPr>
          <w:sz w:val="26"/>
          <w:szCs w:val="26"/>
        </w:rPr>
        <w:t>s</w:t>
      </w:r>
      <w:r w:rsidR="008C5321" w:rsidRPr="00A24778">
        <w:rPr>
          <w:sz w:val="26"/>
          <w:szCs w:val="26"/>
        </w:rPr>
        <w:t xml:space="preserve"> wa</w:t>
      </w:r>
      <w:r w:rsidR="002A4FB0" w:rsidRPr="00A24778">
        <w:rPr>
          <w:sz w:val="26"/>
          <w:szCs w:val="26"/>
        </w:rPr>
        <w:t xml:space="preserve">s the treatment of </w:t>
      </w:r>
      <w:r w:rsidR="00FC7120" w:rsidRPr="00A24778">
        <w:rPr>
          <w:sz w:val="26"/>
          <w:szCs w:val="26"/>
        </w:rPr>
        <w:t>ADIT</w:t>
      </w:r>
      <w:r w:rsidR="002A4FB0" w:rsidRPr="00A24778">
        <w:rPr>
          <w:sz w:val="26"/>
          <w:szCs w:val="26"/>
        </w:rPr>
        <w:t xml:space="preserve"> </w:t>
      </w:r>
      <w:r w:rsidR="00ED7ED6" w:rsidRPr="00A24778">
        <w:rPr>
          <w:sz w:val="26"/>
          <w:szCs w:val="26"/>
        </w:rPr>
        <w:t xml:space="preserve">in each </w:t>
      </w:r>
      <w:r w:rsidR="0098587D" w:rsidRPr="00A24778">
        <w:rPr>
          <w:sz w:val="26"/>
          <w:szCs w:val="26"/>
        </w:rPr>
        <w:t>C</w:t>
      </w:r>
      <w:r w:rsidR="00FC7120" w:rsidRPr="00A24778">
        <w:rPr>
          <w:sz w:val="26"/>
          <w:szCs w:val="26"/>
        </w:rPr>
        <w:t>ompan</w:t>
      </w:r>
      <w:r w:rsidR="00BB178D" w:rsidRPr="00A24778">
        <w:rPr>
          <w:sz w:val="26"/>
          <w:szCs w:val="26"/>
        </w:rPr>
        <w:t>y’s</w:t>
      </w:r>
      <w:r w:rsidR="00ED7ED6" w:rsidRPr="00A24778">
        <w:rPr>
          <w:sz w:val="26"/>
          <w:szCs w:val="26"/>
        </w:rPr>
        <w:t xml:space="preserve"> DSIC</w:t>
      </w:r>
      <w:r w:rsidR="00BB178D" w:rsidRPr="00A24778">
        <w:rPr>
          <w:sz w:val="26"/>
          <w:szCs w:val="26"/>
        </w:rPr>
        <w:t xml:space="preserve"> </w:t>
      </w:r>
      <w:r w:rsidR="001C1CB1" w:rsidRPr="00A24778">
        <w:rPr>
          <w:sz w:val="26"/>
          <w:szCs w:val="26"/>
        </w:rPr>
        <w:t>Rider</w:t>
      </w:r>
      <w:r w:rsidR="00ED7ED6" w:rsidRPr="00A24778">
        <w:rPr>
          <w:sz w:val="26"/>
          <w:szCs w:val="26"/>
        </w:rPr>
        <w:t xml:space="preserve">.  </w:t>
      </w:r>
      <w:r w:rsidR="002F0873" w:rsidRPr="00A24778">
        <w:rPr>
          <w:sz w:val="26"/>
          <w:szCs w:val="26"/>
        </w:rPr>
        <w:t>The outstanding contested issue involved whether Act 40 required an ADIT offset to be included in any DSIC rate charged to customers.</w:t>
      </w:r>
      <w:r w:rsidR="00483D94" w:rsidRPr="00A24778">
        <w:rPr>
          <w:rStyle w:val="FootnoteReference"/>
          <w:sz w:val="26"/>
          <w:szCs w:val="26"/>
        </w:rPr>
        <w:footnoteReference w:id="15"/>
      </w:r>
      <w:r w:rsidR="002F0873" w:rsidRPr="00A24778">
        <w:rPr>
          <w:sz w:val="26"/>
          <w:szCs w:val="26"/>
        </w:rPr>
        <w:t xml:space="preserve">  </w:t>
      </w:r>
      <w:r w:rsidR="0012405A" w:rsidRPr="00A24778">
        <w:rPr>
          <w:sz w:val="26"/>
          <w:szCs w:val="26"/>
        </w:rPr>
        <w:t xml:space="preserve">The Joint Petitioners to the Met-Ed </w:t>
      </w:r>
      <w:r w:rsidR="00EF057E" w:rsidRPr="00A24778">
        <w:rPr>
          <w:sz w:val="26"/>
          <w:szCs w:val="26"/>
        </w:rPr>
        <w:t xml:space="preserve">Partial </w:t>
      </w:r>
      <w:r w:rsidR="0012405A" w:rsidRPr="00A24778">
        <w:rPr>
          <w:sz w:val="26"/>
          <w:szCs w:val="26"/>
        </w:rPr>
        <w:t>Settlement in</w:t>
      </w:r>
      <w:r w:rsidR="002645E4" w:rsidRPr="00A24778">
        <w:rPr>
          <w:sz w:val="26"/>
          <w:szCs w:val="26"/>
        </w:rPr>
        <w:t>clude</w:t>
      </w:r>
      <w:r w:rsidR="00FB1F87" w:rsidRPr="00A24778">
        <w:rPr>
          <w:sz w:val="26"/>
          <w:szCs w:val="26"/>
        </w:rPr>
        <w:t>d</w:t>
      </w:r>
      <w:r w:rsidR="002645E4" w:rsidRPr="00A24778">
        <w:rPr>
          <w:sz w:val="26"/>
          <w:szCs w:val="26"/>
        </w:rPr>
        <w:t xml:space="preserve"> </w:t>
      </w:r>
      <w:proofErr w:type="gramStart"/>
      <w:r w:rsidR="002645E4" w:rsidRPr="00A24778">
        <w:rPr>
          <w:sz w:val="26"/>
          <w:szCs w:val="26"/>
        </w:rPr>
        <w:t>I&amp;E</w:t>
      </w:r>
      <w:proofErr w:type="gramEnd"/>
      <w:r w:rsidR="0012405A" w:rsidRPr="00A24778">
        <w:rPr>
          <w:sz w:val="26"/>
          <w:szCs w:val="26"/>
        </w:rPr>
        <w:t xml:space="preserve">, </w:t>
      </w:r>
      <w:r w:rsidR="00BC10B3" w:rsidRPr="00A24778">
        <w:rPr>
          <w:sz w:val="26"/>
          <w:szCs w:val="26"/>
        </w:rPr>
        <w:t xml:space="preserve">the </w:t>
      </w:r>
      <w:r w:rsidR="0012405A" w:rsidRPr="00A24778">
        <w:rPr>
          <w:sz w:val="26"/>
          <w:szCs w:val="26"/>
        </w:rPr>
        <w:t>OCA</w:t>
      </w:r>
      <w:r w:rsidR="002645E4" w:rsidRPr="00A24778">
        <w:rPr>
          <w:sz w:val="26"/>
          <w:szCs w:val="26"/>
        </w:rPr>
        <w:t xml:space="preserve">, </w:t>
      </w:r>
      <w:r w:rsidR="00BC10B3" w:rsidRPr="00A24778">
        <w:rPr>
          <w:sz w:val="26"/>
          <w:szCs w:val="26"/>
        </w:rPr>
        <w:t xml:space="preserve">the </w:t>
      </w:r>
      <w:r w:rsidR="002645E4" w:rsidRPr="00A24778">
        <w:rPr>
          <w:sz w:val="26"/>
          <w:szCs w:val="26"/>
        </w:rPr>
        <w:t>OSBA</w:t>
      </w:r>
      <w:r w:rsidR="0012405A" w:rsidRPr="00A24778">
        <w:rPr>
          <w:sz w:val="26"/>
          <w:szCs w:val="26"/>
        </w:rPr>
        <w:t xml:space="preserve">, </w:t>
      </w:r>
      <w:r w:rsidR="00AD578B" w:rsidRPr="00A24778">
        <w:rPr>
          <w:sz w:val="26"/>
          <w:szCs w:val="26"/>
        </w:rPr>
        <w:t>MEIUG</w:t>
      </w:r>
      <w:r w:rsidR="0012405A" w:rsidRPr="00A24778">
        <w:rPr>
          <w:sz w:val="26"/>
          <w:szCs w:val="26"/>
        </w:rPr>
        <w:t xml:space="preserve">, </w:t>
      </w:r>
      <w:r w:rsidR="002645E4" w:rsidRPr="00A24778">
        <w:rPr>
          <w:sz w:val="26"/>
          <w:szCs w:val="26"/>
        </w:rPr>
        <w:t>CAUSE-PA</w:t>
      </w:r>
      <w:r w:rsidR="0012405A" w:rsidRPr="00A24778">
        <w:rPr>
          <w:sz w:val="26"/>
          <w:szCs w:val="26"/>
        </w:rPr>
        <w:t xml:space="preserve">, and </w:t>
      </w:r>
      <w:r w:rsidR="00AD578B" w:rsidRPr="00A24778">
        <w:rPr>
          <w:sz w:val="26"/>
          <w:szCs w:val="26"/>
        </w:rPr>
        <w:t>Walmart</w:t>
      </w:r>
      <w:r w:rsidR="002645E4" w:rsidRPr="00A24778">
        <w:rPr>
          <w:sz w:val="26"/>
          <w:szCs w:val="26"/>
        </w:rPr>
        <w:t>.  EDF</w:t>
      </w:r>
      <w:r w:rsidR="00AD578B" w:rsidRPr="00A24778">
        <w:rPr>
          <w:sz w:val="26"/>
          <w:szCs w:val="26"/>
        </w:rPr>
        <w:t>, Penn Future</w:t>
      </w:r>
      <w:r w:rsidR="0012405A" w:rsidRPr="00A24778">
        <w:rPr>
          <w:sz w:val="26"/>
          <w:szCs w:val="26"/>
        </w:rPr>
        <w:t xml:space="preserve">, </w:t>
      </w:r>
      <w:r w:rsidR="002645E4" w:rsidRPr="00A24778">
        <w:rPr>
          <w:sz w:val="26"/>
          <w:szCs w:val="26"/>
        </w:rPr>
        <w:t>CAC</w:t>
      </w:r>
      <w:r w:rsidR="00AD578B" w:rsidRPr="00A24778">
        <w:rPr>
          <w:sz w:val="26"/>
          <w:szCs w:val="26"/>
        </w:rPr>
        <w:t>, and PSU</w:t>
      </w:r>
      <w:r w:rsidR="0012405A" w:rsidRPr="00A24778">
        <w:rPr>
          <w:sz w:val="26"/>
          <w:szCs w:val="26"/>
        </w:rPr>
        <w:t xml:space="preserve"> d</w:t>
      </w:r>
      <w:r w:rsidR="00FB1F87" w:rsidRPr="00A24778">
        <w:rPr>
          <w:sz w:val="26"/>
          <w:szCs w:val="26"/>
        </w:rPr>
        <w:t>id</w:t>
      </w:r>
      <w:r w:rsidR="0012405A" w:rsidRPr="00A24778">
        <w:rPr>
          <w:sz w:val="26"/>
          <w:szCs w:val="26"/>
        </w:rPr>
        <w:t xml:space="preserve"> not oppose the Settlement.  The Joint Petitioners to the Penelec </w:t>
      </w:r>
      <w:r w:rsidR="00EF057E" w:rsidRPr="00A24778">
        <w:rPr>
          <w:sz w:val="26"/>
          <w:szCs w:val="26"/>
        </w:rPr>
        <w:t xml:space="preserve">Partial </w:t>
      </w:r>
      <w:r w:rsidR="0012405A" w:rsidRPr="00A24778">
        <w:rPr>
          <w:sz w:val="26"/>
          <w:szCs w:val="26"/>
        </w:rPr>
        <w:t>Settlement include</w:t>
      </w:r>
      <w:r w:rsidR="00FB1F87" w:rsidRPr="00A24778">
        <w:rPr>
          <w:sz w:val="26"/>
          <w:szCs w:val="26"/>
        </w:rPr>
        <w:t>d</w:t>
      </w:r>
      <w:r w:rsidR="0012405A" w:rsidRPr="00A24778">
        <w:rPr>
          <w:sz w:val="26"/>
          <w:szCs w:val="26"/>
        </w:rPr>
        <w:t xml:space="preserve"> </w:t>
      </w:r>
      <w:proofErr w:type="gramStart"/>
      <w:r w:rsidR="0012405A" w:rsidRPr="00A24778">
        <w:rPr>
          <w:sz w:val="26"/>
          <w:szCs w:val="26"/>
        </w:rPr>
        <w:t>I&amp;E</w:t>
      </w:r>
      <w:proofErr w:type="gramEnd"/>
      <w:r w:rsidR="0012405A" w:rsidRPr="00A24778">
        <w:rPr>
          <w:sz w:val="26"/>
          <w:szCs w:val="26"/>
        </w:rPr>
        <w:t xml:space="preserve">, the OCA, the OSBA, </w:t>
      </w:r>
      <w:r w:rsidR="00AD578B" w:rsidRPr="00A24778">
        <w:rPr>
          <w:sz w:val="26"/>
          <w:szCs w:val="26"/>
        </w:rPr>
        <w:t>PICA</w:t>
      </w:r>
      <w:r w:rsidR="0012405A" w:rsidRPr="00A24778">
        <w:rPr>
          <w:sz w:val="26"/>
          <w:szCs w:val="26"/>
        </w:rPr>
        <w:t xml:space="preserve">, CAUSE-PA, Walmart and </w:t>
      </w:r>
      <w:r w:rsidR="002645E4" w:rsidRPr="00A24778">
        <w:rPr>
          <w:sz w:val="26"/>
          <w:szCs w:val="26"/>
        </w:rPr>
        <w:t>NAH</w:t>
      </w:r>
      <w:r w:rsidR="0012405A" w:rsidRPr="00A24778">
        <w:rPr>
          <w:sz w:val="26"/>
          <w:szCs w:val="26"/>
        </w:rPr>
        <w:t xml:space="preserve">.  </w:t>
      </w:r>
      <w:r w:rsidR="00BC10B3" w:rsidRPr="00A24778">
        <w:rPr>
          <w:sz w:val="26"/>
          <w:szCs w:val="26"/>
        </w:rPr>
        <w:t>IBEW</w:t>
      </w:r>
      <w:r w:rsidR="0012405A" w:rsidRPr="00A24778">
        <w:rPr>
          <w:sz w:val="26"/>
          <w:szCs w:val="26"/>
        </w:rPr>
        <w:t>, Penn Future, CAC and PSU d</w:t>
      </w:r>
      <w:r w:rsidR="00FB1F87" w:rsidRPr="00A24778">
        <w:rPr>
          <w:sz w:val="26"/>
          <w:szCs w:val="26"/>
        </w:rPr>
        <w:t>id</w:t>
      </w:r>
      <w:r w:rsidR="0012405A" w:rsidRPr="00A24778">
        <w:rPr>
          <w:sz w:val="26"/>
          <w:szCs w:val="26"/>
        </w:rPr>
        <w:t xml:space="preserve"> not oppose the Settlement.  The Joint Petitioners to the Penn Power </w:t>
      </w:r>
      <w:r w:rsidR="00EF057E" w:rsidRPr="00A24778">
        <w:rPr>
          <w:sz w:val="26"/>
          <w:szCs w:val="26"/>
        </w:rPr>
        <w:t xml:space="preserve">Partial </w:t>
      </w:r>
      <w:r w:rsidR="0012405A" w:rsidRPr="00A24778">
        <w:rPr>
          <w:sz w:val="26"/>
          <w:szCs w:val="26"/>
        </w:rPr>
        <w:t>Settlement include</w:t>
      </w:r>
      <w:r w:rsidR="00FB1F87" w:rsidRPr="00A24778">
        <w:rPr>
          <w:sz w:val="26"/>
          <w:szCs w:val="26"/>
        </w:rPr>
        <w:t>d</w:t>
      </w:r>
      <w:r w:rsidR="0012405A" w:rsidRPr="00A24778">
        <w:rPr>
          <w:sz w:val="26"/>
          <w:szCs w:val="26"/>
        </w:rPr>
        <w:t xml:space="preserve"> </w:t>
      </w:r>
      <w:proofErr w:type="gramStart"/>
      <w:r w:rsidR="0012405A" w:rsidRPr="00A24778">
        <w:rPr>
          <w:sz w:val="26"/>
          <w:szCs w:val="26"/>
        </w:rPr>
        <w:t>I&amp;E</w:t>
      </w:r>
      <w:proofErr w:type="gramEnd"/>
      <w:r w:rsidR="0012405A" w:rsidRPr="00A24778">
        <w:rPr>
          <w:sz w:val="26"/>
          <w:szCs w:val="26"/>
        </w:rPr>
        <w:t>, the OCA, the OSBA, CAUSE-PA and Walmart.  Penn Future, CAC and PSU d</w:t>
      </w:r>
      <w:r w:rsidR="00FB1F87" w:rsidRPr="00A24778">
        <w:rPr>
          <w:sz w:val="26"/>
          <w:szCs w:val="26"/>
        </w:rPr>
        <w:t>id</w:t>
      </w:r>
      <w:r w:rsidR="0012405A" w:rsidRPr="00A24778">
        <w:rPr>
          <w:sz w:val="26"/>
          <w:szCs w:val="26"/>
        </w:rPr>
        <w:t xml:space="preserve"> not oppose the Settlement.  The Joint Petitioners to the West Penn </w:t>
      </w:r>
      <w:r w:rsidR="00EF057E" w:rsidRPr="00A24778">
        <w:rPr>
          <w:sz w:val="26"/>
          <w:szCs w:val="26"/>
        </w:rPr>
        <w:t xml:space="preserve">Partial </w:t>
      </w:r>
      <w:r w:rsidR="0012405A" w:rsidRPr="00A24778">
        <w:rPr>
          <w:sz w:val="26"/>
          <w:szCs w:val="26"/>
        </w:rPr>
        <w:t>Settlement include</w:t>
      </w:r>
      <w:r w:rsidR="00FB1F87" w:rsidRPr="00A24778">
        <w:rPr>
          <w:sz w:val="26"/>
          <w:szCs w:val="26"/>
        </w:rPr>
        <w:t>d</w:t>
      </w:r>
      <w:r w:rsidR="0012405A" w:rsidRPr="00A24778">
        <w:rPr>
          <w:sz w:val="26"/>
          <w:szCs w:val="26"/>
        </w:rPr>
        <w:t xml:space="preserve"> </w:t>
      </w:r>
      <w:proofErr w:type="gramStart"/>
      <w:r w:rsidR="0012405A" w:rsidRPr="00A24778">
        <w:rPr>
          <w:sz w:val="26"/>
          <w:szCs w:val="26"/>
        </w:rPr>
        <w:t>I&amp;E</w:t>
      </w:r>
      <w:proofErr w:type="gramEnd"/>
      <w:r w:rsidR="0012405A" w:rsidRPr="00A24778">
        <w:rPr>
          <w:sz w:val="26"/>
          <w:szCs w:val="26"/>
        </w:rPr>
        <w:t>, the OCA, the OSBA, WPI</w:t>
      </w:r>
      <w:r w:rsidR="00AD578B" w:rsidRPr="00A24778">
        <w:rPr>
          <w:sz w:val="26"/>
          <w:szCs w:val="26"/>
        </w:rPr>
        <w:t>I</w:t>
      </w:r>
      <w:r w:rsidR="002645E4" w:rsidRPr="00A24778">
        <w:rPr>
          <w:sz w:val="26"/>
          <w:szCs w:val="26"/>
        </w:rPr>
        <w:t>, CAUSE-PA, Walmart, PSU, and AK Steel</w:t>
      </w:r>
      <w:r w:rsidR="00407C73" w:rsidRPr="00A24778">
        <w:rPr>
          <w:sz w:val="26"/>
          <w:szCs w:val="26"/>
        </w:rPr>
        <w:t xml:space="preserve">.  </w:t>
      </w:r>
      <w:r w:rsidR="0012405A" w:rsidRPr="00A24778">
        <w:rPr>
          <w:sz w:val="26"/>
          <w:szCs w:val="26"/>
        </w:rPr>
        <w:t>Penn Future and CAC d</w:t>
      </w:r>
      <w:r w:rsidR="00FB1F87" w:rsidRPr="00A24778">
        <w:rPr>
          <w:sz w:val="26"/>
          <w:szCs w:val="26"/>
        </w:rPr>
        <w:t>id</w:t>
      </w:r>
      <w:r w:rsidR="0012405A" w:rsidRPr="00A24778">
        <w:rPr>
          <w:sz w:val="26"/>
          <w:szCs w:val="26"/>
        </w:rPr>
        <w:t xml:space="preserve"> not oppose the Settlement.</w:t>
      </w:r>
    </w:p>
    <w:p w:rsidR="00407C73" w:rsidRPr="00A24778" w:rsidRDefault="00407C73" w:rsidP="0012405A">
      <w:pPr>
        <w:pStyle w:val="BodyTextIndent"/>
        <w:spacing w:after="0"/>
        <w:ind w:left="0" w:firstLine="1440"/>
        <w:rPr>
          <w:sz w:val="26"/>
          <w:szCs w:val="26"/>
        </w:rPr>
      </w:pPr>
    </w:p>
    <w:p w:rsidR="00E908B5" w:rsidRPr="00A24778" w:rsidRDefault="002A4FB0" w:rsidP="00BB178D">
      <w:pPr>
        <w:tabs>
          <w:tab w:val="left" w:pos="1710"/>
        </w:tabs>
        <w:rPr>
          <w:sz w:val="26"/>
          <w:szCs w:val="26"/>
        </w:rPr>
      </w:pPr>
      <w:r w:rsidRPr="00A24778">
        <w:rPr>
          <w:sz w:val="26"/>
          <w:szCs w:val="26"/>
        </w:rPr>
        <w:tab/>
      </w:r>
      <w:r w:rsidR="00A90778" w:rsidRPr="00A24778">
        <w:rPr>
          <w:sz w:val="26"/>
          <w:szCs w:val="26"/>
        </w:rPr>
        <w:t>On October 17, 2016, the P</w:t>
      </w:r>
      <w:r w:rsidR="00ED7ED6" w:rsidRPr="00A24778">
        <w:rPr>
          <w:sz w:val="26"/>
          <w:szCs w:val="26"/>
        </w:rPr>
        <w:t xml:space="preserve">arties who did not actively participate in the litigation were provided an opportunity to join or object to the </w:t>
      </w:r>
      <w:r w:rsidR="00D46BEF" w:rsidRPr="00A24778">
        <w:rPr>
          <w:sz w:val="26"/>
          <w:szCs w:val="26"/>
        </w:rPr>
        <w:t xml:space="preserve">Partial </w:t>
      </w:r>
      <w:r w:rsidR="00ED7ED6" w:rsidRPr="00A24778">
        <w:rPr>
          <w:sz w:val="26"/>
          <w:szCs w:val="26"/>
        </w:rPr>
        <w:t>Settlement</w:t>
      </w:r>
      <w:r w:rsidR="001C1CB1" w:rsidRPr="00A24778">
        <w:rPr>
          <w:sz w:val="26"/>
          <w:szCs w:val="26"/>
        </w:rPr>
        <w:t>s</w:t>
      </w:r>
      <w:r w:rsidR="00ED7ED6" w:rsidRPr="00A24778">
        <w:rPr>
          <w:sz w:val="26"/>
          <w:szCs w:val="26"/>
        </w:rPr>
        <w:t xml:space="preserve">.  </w:t>
      </w:r>
      <w:r w:rsidR="009D15C7" w:rsidRPr="00A24778">
        <w:rPr>
          <w:sz w:val="26"/>
          <w:szCs w:val="26"/>
        </w:rPr>
        <w:t>R</w:t>
      </w:r>
      <w:r w:rsidR="00ED7ED6" w:rsidRPr="00A24778">
        <w:rPr>
          <w:sz w:val="26"/>
          <w:szCs w:val="26"/>
        </w:rPr>
        <w:t xml:space="preserve">esponses </w:t>
      </w:r>
      <w:r w:rsidR="007E6669" w:rsidRPr="00A24778">
        <w:rPr>
          <w:sz w:val="26"/>
          <w:szCs w:val="26"/>
        </w:rPr>
        <w:t xml:space="preserve">to the </w:t>
      </w:r>
      <w:r w:rsidR="0098587D" w:rsidRPr="00A24778">
        <w:rPr>
          <w:sz w:val="26"/>
          <w:szCs w:val="26"/>
        </w:rPr>
        <w:t xml:space="preserve">Partial </w:t>
      </w:r>
      <w:r w:rsidR="007E6669" w:rsidRPr="00A24778">
        <w:rPr>
          <w:sz w:val="26"/>
          <w:szCs w:val="26"/>
        </w:rPr>
        <w:t xml:space="preserve">Settlements </w:t>
      </w:r>
      <w:r w:rsidR="00ED7ED6" w:rsidRPr="00A24778">
        <w:rPr>
          <w:sz w:val="26"/>
          <w:szCs w:val="26"/>
        </w:rPr>
        <w:t xml:space="preserve">were due on or before October 28, 2016.  By letters dated October 27, 2016, the Boroughs of South Waverly, Athens, Sayre and Nicholson joined the </w:t>
      </w:r>
      <w:r w:rsidR="0098587D" w:rsidRPr="00A24778">
        <w:rPr>
          <w:sz w:val="26"/>
          <w:szCs w:val="26"/>
        </w:rPr>
        <w:t xml:space="preserve">Partial </w:t>
      </w:r>
      <w:r w:rsidR="00ED7ED6" w:rsidRPr="00A24778">
        <w:rPr>
          <w:sz w:val="26"/>
          <w:szCs w:val="26"/>
        </w:rPr>
        <w:t xml:space="preserve">Settlement of Penelec’s base rates.  No other complainant responded.  </w:t>
      </w:r>
      <w:r w:rsidR="00BB178D" w:rsidRPr="00A24778">
        <w:rPr>
          <w:sz w:val="26"/>
          <w:szCs w:val="26"/>
        </w:rPr>
        <w:t>The record was closed on</w:t>
      </w:r>
      <w:r w:rsidR="00ED7ED6" w:rsidRPr="00A24778">
        <w:rPr>
          <w:sz w:val="26"/>
          <w:szCs w:val="26"/>
        </w:rPr>
        <w:t xml:space="preserve"> October</w:t>
      </w:r>
      <w:r w:rsidR="00BB178D" w:rsidRPr="00A24778">
        <w:rPr>
          <w:sz w:val="26"/>
          <w:szCs w:val="26"/>
        </w:rPr>
        <w:t xml:space="preserve"> 31, 2016</w:t>
      </w:r>
      <w:r w:rsidR="00ED7ED6" w:rsidRPr="00A24778">
        <w:rPr>
          <w:sz w:val="26"/>
          <w:szCs w:val="26"/>
        </w:rPr>
        <w:t>.</w:t>
      </w:r>
      <w:r w:rsidR="00C542C8" w:rsidRPr="00A24778">
        <w:rPr>
          <w:sz w:val="26"/>
          <w:szCs w:val="26"/>
        </w:rPr>
        <w:t xml:space="preserve">  </w:t>
      </w:r>
      <w:r w:rsidR="000C7903" w:rsidRPr="00A24778">
        <w:rPr>
          <w:sz w:val="26"/>
          <w:szCs w:val="26"/>
        </w:rPr>
        <w:t xml:space="preserve">The record includes a </w:t>
      </w:r>
      <w:r w:rsidR="00C542C8" w:rsidRPr="00A24778">
        <w:rPr>
          <w:sz w:val="26"/>
          <w:szCs w:val="26"/>
        </w:rPr>
        <w:t>674-</w:t>
      </w:r>
      <w:r w:rsidR="000C7903" w:rsidRPr="00A24778">
        <w:rPr>
          <w:sz w:val="26"/>
          <w:szCs w:val="26"/>
        </w:rPr>
        <w:t xml:space="preserve">page transcript and the Parties’ testimonies and exhibits.  </w:t>
      </w:r>
    </w:p>
    <w:p w:rsidR="00E908B5" w:rsidRPr="00A24778" w:rsidRDefault="00E908B5" w:rsidP="00BB178D">
      <w:pPr>
        <w:tabs>
          <w:tab w:val="left" w:pos="1710"/>
        </w:tabs>
        <w:rPr>
          <w:sz w:val="26"/>
          <w:szCs w:val="26"/>
        </w:rPr>
      </w:pPr>
    </w:p>
    <w:p w:rsidR="00E908B5" w:rsidRPr="00A24778" w:rsidRDefault="00E675C0" w:rsidP="00E675C0">
      <w:pPr>
        <w:tabs>
          <w:tab w:val="left" w:pos="0"/>
        </w:tabs>
        <w:rPr>
          <w:sz w:val="26"/>
          <w:szCs w:val="26"/>
        </w:rPr>
      </w:pPr>
      <w:r w:rsidRPr="00A24778">
        <w:rPr>
          <w:rFonts w:eastAsia="Calibri"/>
          <w:spacing w:val="-3"/>
          <w:sz w:val="26"/>
          <w:szCs w:val="26"/>
        </w:rPr>
        <w:lastRenderedPageBreak/>
        <w:tab/>
      </w:r>
      <w:r w:rsidRPr="00A24778">
        <w:rPr>
          <w:rFonts w:eastAsia="Calibri"/>
          <w:spacing w:val="-3"/>
          <w:sz w:val="26"/>
          <w:szCs w:val="26"/>
        </w:rPr>
        <w:tab/>
      </w:r>
      <w:r w:rsidR="00E908B5" w:rsidRPr="00A24778">
        <w:rPr>
          <w:rFonts w:eastAsia="Calibri"/>
          <w:spacing w:val="-3"/>
          <w:sz w:val="26"/>
          <w:szCs w:val="26"/>
        </w:rPr>
        <w:t xml:space="preserve">By Recommended Decision (R.D.), issued on </w:t>
      </w:r>
      <w:r w:rsidR="00D70F0E" w:rsidRPr="00A24778">
        <w:rPr>
          <w:rFonts w:eastAsia="Calibri"/>
          <w:spacing w:val="-3"/>
          <w:sz w:val="26"/>
          <w:szCs w:val="26"/>
        </w:rPr>
        <w:t>November 21</w:t>
      </w:r>
      <w:r w:rsidR="00E908B5" w:rsidRPr="00A24778">
        <w:rPr>
          <w:rFonts w:eastAsia="Calibri"/>
          <w:spacing w:val="-3"/>
          <w:sz w:val="26"/>
          <w:szCs w:val="26"/>
        </w:rPr>
        <w:t xml:space="preserve">, 2016, </w:t>
      </w:r>
      <w:r w:rsidR="0096024B" w:rsidRPr="00A24778">
        <w:rPr>
          <w:rFonts w:eastAsia="Calibri"/>
          <w:spacing w:val="-3"/>
          <w:sz w:val="26"/>
          <w:szCs w:val="26"/>
        </w:rPr>
        <w:t>ALJ Long</w:t>
      </w:r>
      <w:r w:rsidR="00E908B5" w:rsidRPr="00A24778">
        <w:rPr>
          <w:rFonts w:eastAsia="Calibri"/>
          <w:spacing w:val="-3"/>
          <w:sz w:val="26"/>
          <w:szCs w:val="26"/>
        </w:rPr>
        <w:t xml:space="preserve"> </w:t>
      </w:r>
      <w:r w:rsidR="0096024B" w:rsidRPr="00A24778">
        <w:rPr>
          <w:sz w:val="26"/>
          <w:szCs w:val="26"/>
        </w:rPr>
        <w:t xml:space="preserve">recommended approval of the </w:t>
      </w:r>
      <w:r w:rsidR="00AD76B9" w:rsidRPr="00A24778">
        <w:rPr>
          <w:sz w:val="26"/>
          <w:szCs w:val="26"/>
        </w:rPr>
        <w:t>Partial Settleme</w:t>
      </w:r>
      <w:r w:rsidR="0096024B" w:rsidRPr="00A24778">
        <w:rPr>
          <w:sz w:val="26"/>
          <w:szCs w:val="26"/>
        </w:rPr>
        <w:t xml:space="preserve">nts </w:t>
      </w:r>
      <w:r w:rsidR="00E908B5" w:rsidRPr="00A24778">
        <w:rPr>
          <w:sz w:val="26"/>
          <w:szCs w:val="26"/>
        </w:rPr>
        <w:t xml:space="preserve">without modification.  </w:t>
      </w:r>
      <w:r w:rsidR="00D70F0E" w:rsidRPr="00A24778">
        <w:rPr>
          <w:sz w:val="26"/>
          <w:szCs w:val="26"/>
        </w:rPr>
        <w:t xml:space="preserve">R.D. at </w:t>
      </w:r>
      <w:r w:rsidRPr="00A24778">
        <w:rPr>
          <w:sz w:val="26"/>
          <w:szCs w:val="26"/>
        </w:rPr>
        <w:t xml:space="preserve">89-91, 97.  </w:t>
      </w:r>
      <w:r w:rsidR="00E908B5" w:rsidRPr="00A24778">
        <w:rPr>
          <w:rFonts w:eastAsia="Calibri"/>
          <w:sz w:val="26"/>
          <w:szCs w:val="26"/>
        </w:rPr>
        <w:t>Exceptions to the Rec</w:t>
      </w:r>
      <w:r w:rsidR="00AD76B9" w:rsidRPr="00A24778">
        <w:rPr>
          <w:rFonts w:eastAsia="Calibri"/>
          <w:sz w:val="26"/>
          <w:szCs w:val="26"/>
        </w:rPr>
        <w:t>ommended Decision were filed by</w:t>
      </w:r>
      <w:r w:rsidR="00AD76B9" w:rsidRPr="00A24778">
        <w:rPr>
          <w:sz w:val="26"/>
          <w:szCs w:val="26"/>
        </w:rPr>
        <w:t xml:space="preserve"> t</w:t>
      </w:r>
      <w:r w:rsidR="00D70F0E" w:rsidRPr="00A24778">
        <w:rPr>
          <w:sz w:val="26"/>
          <w:szCs w:val="26"/>
        </w:rPr>
        <w:t xml:space="preserve">he OCA </w:t>
      </w:r>
      <w:r w:rsidR="00AD76B9" w:rsidRPr="00A24778">
        <w:rPr>
          <w:sz w:val="26"/>
          <w:szCs w:val="26"/>
        </w:rPr>
        <w:t>on December 1, 2016</w:t>
      </w:r>
      <w:r w:rsidR="00E908B5" w:rsidRPr="00A24778">
        <w:rPr>
          <w:rFonts w:eastAsia="Calibri"/>
          <w:sz w:val="26"/>
          <w:szCs w:val="26"/>
        </w:rPr>
        <w:t xml:space="preserve">.  </w:t>
      </w:r>
      <w:r w:rsidR="00AD76B9" w:rsidRPr="00A24778">
        <w:rPr>
          <w:sz w:val="26"/>
          <w:szCs w:val="26"/>
        </w:rPr>
        <w:t xml:space="preserve">Replies to Exceptions were filed on December 8, 2016, by </w:t>
      </w:r>
      <w:r w:rsidR="0083016C" w:rsidRPr="00A24778">
        <w:rPr>
          <w:sz w:val="26"/>
          <w:szCs w:val="26"/>
        </w:rPr>
        <w:t>the Companies</w:t>
      </w:r>
      <w:r w:rsidR="00AD76B9" w:rsidRPr="00A24778">
        <w:rPr>
          <w:sz w:val="26"/>
          <w:szCs w:val="26"/>
        </w:rPr>
        <w:t>.</w:t>
      </w:r>
    </w:p>
    <w:p w:rsidR="00BB178D" w:rsidRPr="00A24778" w:rsidRDefault="00BB178D" w:rsidP="00BB178D">
      <w:pPr>
        <w:tabs>
          <w:tab w:val="left" w:pos="1710"/>
        </w:tabs>
        <w:rPr>
          <w:sz w:val="26"/>
          <w:szCs w:val="26"/>
        </w:rPr>
      </w:pPr>
    </w:p>
    <w:p w:rsidR="0083016C" w:rsidRPr="00A24778" w:rsidRDefault="0083016C" w:rsidP="0083016C">
      <w:pPr>
        <w:tabs>
          <w:tab w:val="left" w:pos="-720"/>
        </w:tabs>
        <w:suppressAutoHyphens/>
        <w:ind w:firstLine="1440"/>
        <w:rPr>
          <w:rFonts w:eastAsia="Calibri"/>
          <w:sz w:val="26"/>
          <w:szCs w:val="26"/>
        </w:rPr>
      </w:pPr>
      <w:r w:rsidRPr="00A24778">
        <w:rPr>
          <w:rFonts w:eastAsia="Calibri"/>
          <w:sz w:val="26"/>
          <w:szCs w:val="26"/>
        </w:rPr>
        <w:t xml:space="preserve">In our </w:t>
      </w:r>
      <w:r w:rsidRPr="00A24778">
        <w:rPr>
          <w:rFonts w:eastAsia="Calibri"/>
          <w:i/>
          <w:sz w:val="26"/>
          <w:szCs w:val="26"/>
        </w:rPr>
        <w:t>January 2017 Order</w:t>
      </w:r>
      <w:r w:rsidRPr="00A24778">
        <w:rPr>
          <w:rFonts w:eastAsia="Calibri"/>
          <w:sz w:val="26"/>
          <w:szCs w:val="26"/>
        </w:rPr>
        <w:t xml:space="preserve">, we </w:t>
      </w:r>
      <w:r w:rsidRPr="00A24778">
        <w:rPr>
          <w:sz w:val="26"/>
          <w:szCs w:val="26"/>
        </w:rPr>
        <w:t xml:space="preserve">(1) adopted the ALJ’s recommendation to approve the Partial Settlements without modification; (2) granted, in part, the Exceptions filed by the OCA, </w:t>
      </w:r>
      <w:r w:rsidR="00D70F0E" w:rsidRPr="00A24778">
        <w:rPr>
          <w:sz w:val="26"/>
          <w:szCs w:val="26"/>
        </w:rPr>
        <w:t>to the extent that we we</w:t>
      </w:r>
      <w:r w:rsidRPr="00A24778">
        <w:rPr>
          <w:sz w:val="26"/>
          <w:szCs w:val="26"/>
        </w:rPr>
        <w:t xml:space="preserve">re referring the contested issue to the </w:t>
      </w:r>
      <w:r w:rsidRPr="00B918A7">
        <w:rPr>
          <w:i/>
          <w:sz w:val="26"/>
          <w:szCs w:val="26"/>
        </w:rPr>
        <w:t xml:space="preserve">DSIC </w:t>
      </w:r>
      <w:r w:rsidR="00F65707" w:rsidRPr="00B918A7">
        <w:rPr>
          <w:i/>
          <w:sz w:val="26"/>
          <w:szCs w:val="26"/>
        </w:rPr>
        <w:t>P</w:t>
      </w:r>
      <w:r w:rsidRPr="00B918A7">
        <w:rPr>
          <w:i/>
          <w:sz w:val="26"/>
          <w:szCs w:val="26"/>
        </w:rPr>
        <w:t>roceeding</w:t>
      </w:r>
      <w:r w:rsidR="00F65707" w:rsidRPr="00B918A7">
        <w:rPr>
          <w:i/>
          <w:sz w:val="26"/>
          <w:szCs w:val="26"/>
        </w:rPr>
        <w:t>s</w:t>
      </w:r>
      <w:r w:rsidRPr="00A24778">
        <w:rPr>
          <w:sz w:val="26"/>
          <w:szCs w:val="26"/>
        </w:rPr>
        <w:t xml:space="preserve"> and </w:t>
      </w:r>
      <w:r w:rsidRPr="00A24778">
        <w:rPr>
          <w:rFonts w:eastAsiaTheme="minorHAnsi"/>
          <w:sz w:val="26"/>
          <w:szCs w:val="26"/>
        </w:rPr>
        <w:t>transfer</w:t>
      </w:r>
      <w:r w:rsidR="000140FD" w:rsidRPr="00A24778">
        <w:rPr>
          <w:rFonts w:eastAsiaTheme="minorHAnsi"/>
          <w:sz w:val="26"/>
          <w:szCs w:val="26"/>
        </w:rPr>
        <w:t>ring the record in this</w:t>
      </w:r>
      <w:r w:rsidRPr="00A24778">
        <w:rPr>
          <w:rFonts w:eastAsiaTheme="minorHAnsi"/>
          <w:sz w:val="26"/>
          <w:szCs w:val="26"/>
        </w:rPr>
        <w:t xml:space="preserve"> proceeding regarding the contested issue to the record of the </w:t>
      </w:r>
      <w:r w:rsidRPr="00B918A7">
        <w:rPr>
          <w:rFonts w:eastAsiaTheme="minorHAnsi"/>
          <w:i/>
          <w:sz w:val="26"/>
          <w:szCs w:val="26"/>
        </w:rPr>
        <w:t xml:space="preserve">DSIC </w:t>
      </w:r>
      <w:r w:rsidR="00F65707" w:rsidRPr="00B918A7">
        <w:rPr>
          <w:rFonts w:eastAsiaTheme="minorHAnsi"/>
          <w:i/>
          <w:sz w:val="26"/>
          <w:szCs w:val="26"/>
        </w:rPr>
        <w:t>P</w:t>
      </w:r>
      <w:r w:rsidRPr="00B918A7">
        <w:rPr>
          <w:rFonts w:eastAsiaTheme="minorHAnsi"/>
          <w:i/>
          <w:sz w:val="26"/>
          <w:szCs w:val="26"/>
        </w:rPr>
        <w:t>roceeding</w:t>
      </w:r>
      <w:r w:rsidR="00F65707" w:rsidRPr="00B918A7">
        <w:rPr>
          <w:rFonts w:eastAsiaTheme="minorHAnsi"/>
          <w:i/>
          <w:sz w:val="26"/>
          <w:szCs w:val="26"/>
        </w:rPr>
        <w:t>s</w:t>
      </w:r>
      <w:r w:rsidRPr="00A24778">
        <w:rPr>
          <w:rFonts w:eastAsiaTheme="minorHAnsi"/>
          <w:sz w:val="26"/>
          <w:szCs w:val="26"/>
        </w:rPr>
        <w:t>; and (3) </w:t>
      </w:r>
      <w:r w:rsidRPr="00A24778">
        <w:rPr>
          <w:sz w:val="26"/>
          <w:szCs w:val="26"/>
        </w:rPr>
        <w:t>modified the ALJ’s recommendation to dismiss without prejudice the OCA’s claim</w:t>
      </w:r>
      <w:r w:rsidRPr="00A24778">
        <w:rPr>
          <w:rFonts w:eastAsiaTheme="minorHAnsi"/>
          <w:sz w:val="26"/>
          <w:szCs w:val="26"/>
        </w:rPr>
        <w:t xml:space="preserve"> regarding the calculation of ADIT in the Companies’ DSIC Riders</w:t>
      </w:r>
      <w:r w:rsidRPr="00A24778">
        <w:rPr>
          <w:sz w:val="26"/>
          <w:szCs w:val="26"/>
        </w:rPr>
        <w:t xml:space="preserve">.  </w:t>
      </w:r>
      <w:r w:rsidRPr="00A24778">
        <w:rPr>
          <w:rFonts w:eastAsia="Calibri"/>
          <w:i/>
          <w:sz w:val="26"/>
          <w:szCs w:val="26"/>
        </w:rPr>
        <w:t>January 2017 Order</w:t>
      </w:r>
      <w:r w:rsidR="00E52916" w:rsidRPr="00A24778">
        <w:rPr>
          <w:rFonts w:eastAsia="Calibri"/>
          <w:sz w:val="26"/>
          <w:szCs w:val="26"/>
        </w:rPr>
        <w:t xml:space="preserve"> at 41</w:t>
      </w:r>
      <w:r w:rsidRPr="00A24778">
        <w:rPr>
          <w:rFonts w:eastAsia="Calibri"/>
          <w:sz w:val="26"/>
          <w:szCs w:val="26"/>
        </w:rPr>
        <w:t>-46.</w:t>
      </w:r>
    </w:p>
    <w:p w:rsidR="00E71D1C" w:rsidRPr="00A24778" w:rsidRDefault="00E71D1C" w:rsidP="0083016C">
      <w:pPr>
        <w:tabs>
          <w:tab w:val="left" w:pos="-720"/>
        </w:tabs>
        <w:suppressAutoHyphens/>
        <w:ind w:firstLine="1440"/>
        <w:rPr>
          <w:rFonts w:eastAsia="Calibri"/>
          <w:sz w:val="26"/>
          <w:szCs w:val="26"/>
        </w:rPr>
      </w:pPr>
    </w:p>
    <w:p w:rsidR="00E71D1C" w:rsidRPr="00A24778" w:rsidRDefault="00B66D2F" w:rsidP="0083016C">
      <w:pPr>
        <w:tabs>
          <w:tab w:val="left" w:pos="-720"/>
        </w:tabs>
        <w:suppressAutoHyphens/>
        <w:ind w:firstLine="1440"/>
        <w:rPr>
          <w:rFonts w:eastAsia="Calibri"/>
          <w:sz w:val="26"/>
          <w:szCs w:val="26"/>
        </w:rPr>
      </w:pPr>
      <w:r w:rsidRPr="00A24778">
        <w:rPr>
          <w:rFonts w:eastAsia="Calibri"/>
          <w:sz w:val="26"/>
          <w:szCs w:val="26"/>
        </w:rPr>
        <w:t xml:space="preserve">On February 2, 2017, the Parties to the </w:t>
      </w:r>
      <w:r w:rsidRPr="00B918A7">
        <w:rPr>
          <w:rFonts w:eastAsia="Calibri"/>
          <w:i/>
          <w:sz w:val="26"/>
          <w:szCs w:val="26"/>
        </w:rPr>
        <w:t xml:space="preserve">DSIC </w:t>
      </w:r>
      <w:r w:rsidR="00F65707" w:rsidRPr="00B918A7">
        <w:rPr>
          <w:rFonts w:eastAsia="Calibri"/>
          <w:i/>
          <w:sz w:val="26"/>
          <w:szCs w:val="26"/>
        </w:rPr>
        <w:t>P</w:t>
      </w:r>
      <w:r w:rsidRPr="00B918A7">
        <w:rPr>
          <w:rFonts w:eastAsia="Calibri"/>
          <w:i/>
          <w:sz w:val="26"/>
          <w:szCs w:val="26"/>
        </w:rPr>
        <w:t>roceedings</w:t>
      </w:r>
      <w:r w:rsidRPr="00A24778">
        <w:rPr>
          <w:rFonts w:eastAsia="Calibri"/>
          <w:sz w:val="26"/>
          <w:szCs w:val="26"/>
        </w:rPr>
        <w:t xml:space="preserve"> filed a </w:t>
      </w:r>
      <w:r w:rsidR="00E71D1C" w:rsidRPr="00A24778">
        <w:rPr>
          <w:rFonts w:eastAsia="Calibri"/>
          <w:sz w:val="26"/>
          <w:szCs w:val="26"/>
        </w:rPr>
        <w:t>Joint Petition fo</w:t>
      </w:r>
      <w:r w:rsidRPr="00A24778">
        <w:rPr>
          <w:rFonts w:eastAsia="Calibri"/>
          <w:sz w:val="26"/>
          <w:szCs w:val="26"/>
        </w:rPr>
        <w:t>r Settlement of Pending Issues</w:t>
      </w:r>
      <w:r w:rsidR="00D70F0E" w:rsidRPr="00A24778">
        <w:rPr>
          <w:rFonts w:eastAsia="Calibri"/>
          <w:sz w:val="26"/>
          <w:szCs w:val="26"/>
        </w:rPr>
        <w:t xml:space="preserve"> (DSIC Settlement), which encompasses only those issues referred to the Office of the Administrative Law Judge (OALJ) by the </w:t>
      </w:r>
      <w:r w:rsidR="00D70F0E" w:rsidRPr="00A24778">
        <w:rPr>
          <w:i/>
          <w:sz w:val="26"/>
          <w:szCs w:val="26"/>
        </w:rPr>
        <w:t>Companies’ DSIC Orders</w:t>
      </w:r>
      <w:r w:rsidR="00D70F0E" w:rsidRPr="00A24778">
        <w:rPr>
          <w:rFonts w:eastAsia="Calibri"/>
          <w:sz w:val="26"/>
          <w:szCs w:val="26"/>
        </w:rPr>
        <w:t xml:space="preserve">, </w:t>
      </w:r>
      <w:r w:rsidRPr="00A24778">
        <w:rPr>
          <w:rFonts w:eastAsia="Calibri"/>
          <w:sz w:val="26"/>
          <w:szCs w:val="26"/>
        </w:rPr>
        <w:t xml:space="preserve">and requested that the ALJ approve the DSIC Settlement without modification.  </w:t>
      </w:r>
      <w:r w:rsidR="00D70F0E" w:rsidRPr="00A24778">
        <w:rPr>
          <w:rFonts w:eastAsia="Calibri"/>
          <w:sz w:val="26"/>
          <w:szCs w:val="26"/>
        </w:rPr>
        <w:t>No decision has been made</w:t>
      </w:r>
      <w:r w:rsidR="00A322AD" w:rsidRPr="00A24778">
        <w:rPr>
          <w:rFonts w:eastAsia="Calibri"/>
          <w:sz w:val="26"/>
          <w:szCs w:val="26"/>
        </w:rPr>
        <w:t xml:space="preserve"> as of yet</w:t>
      </w:r>
      <w:r w:rsidR="00D70F0E" w:rsidRPr="00A24778">
        <w:rPr>
          <w:rFonts w:eastAsia="Calibri"/>
          <w:sz w:val="26"/>
          <w:szCs w:val="26"/>
        </w:rPr>
        <w:t xml:space="preserve"> on the DSIC Settlement.</w:t>
      </w:r>
    </w:p>
    <w:p w:rsidR="0083016C" w:rsidRPr="00A24778" w:rsidRDefault="0083016C" w:rsidP="0083016C">
      <w:pPr>
        <w:tabs>
          <w:tab w:val="left" w:pos="-720"/>
        </w:tabs>
        <w:suppressAutoHyphens/>
        <w:ind w:firstLine="1440"/>
        <w:rPr>
          <w:rFonts w:eastAsia="Calibri"/>
          <w:sz w:val="26"/>
          <w:szCs w:val="26"/>
        </w:rPr>
      </w:pPr>
    </w:p>
    <w:p w:rsidR="00E675C0" w:rsidRPr="00A24778" w:rsidRDefault="0083016C" w:rsidP="00A00E3F">
      <w:pPr>
        <w:tabs>
          <w:tab w:val="left" w:pos="-720"/>
        </w:tabs>
        <w:suppressAutoHyphens/>
        <w:rPr>
          <w:sz w:val="26"/>
          <w:szCs w:val="26"/>
        </w:rPr>
      </w:pPr>
      <w:r w:rsidRPr="00A24778">
        <w:rPr>
          <w:rFonts w:eastAsia="Calibri"/>
          <w:sz w:val="26"/>
          <w:szCs w:val="26"/>
        </w:rPr>
        <w:tab/>
      </w:r>
      <w:r w:rsidRPr="00A24778">
        <w:rPr>
          <w:rFonts w:eastAsia="Calibri"/>
          <w:sz w:val="26"/>
          <w:szCs w:val="26"/>
        </w:rPr>
        <w:tab/>
        <w:t xml:space="preserve">As previously noted, </w:t>
      </w:r>
      <w:r w:rsidR="00E52916" w:rsidRPr="00A24778">
        <w:rPr>
          <w:rFonts w:eastAsia="Calibri"/>
          <w:sz w:val="26"/>
          <w:szCs w:val="26"/>
        </w:rPr>
        <w:t xml:space="preserve">the OCA </w:t>
      </w:r>
      <w:r w:rsidRPr="00A24778">
        <w:rPr>
          <w:rFonts w:eastAsia="Calibri"/>
          <w:sz w:val="26"/>
          <w:szCs w:val="26"/>
        </w:rPr>
        <w:t xml:space="preserve">filed its Petition on </w:t>
      </w:r>
      <w:r w:rsidR="00E52916" w:rsidRPr="00A24778">
        <w:rPr>
          <w:rFonts w:eastAsia="Calibri"/>
          <w:sz w:val="26"/>
          <w:szCs w:val="26"/>
        </w:rPr>
        <w:t>February 3</w:t>
      </w:r>
      <w:r w:rsidRPr="00A24778">
        <w:rPr>
          <w:rFonts w:eastAsia="Calibri"/>
          <w:sz w:val="26"/>
          <w:szCs w:val="26"/>
        </w:rPr>
        <w:t>, 2017</w:t>
      </w:r>
      <w:r w:rsidR="000140FD" w:rsidRPr="00A24778">
        <w:rPr>
          <w:rFonts w:eastAsia="Calibri"/>
          <w:sz w:val="26"/>
          <w:szCs w:val="26"/>
        </w:rPr>
        <w:t xml:space="preserve">.  </w:t>
      </w:r>
      <w:r w:rsidR="00CA526C" w:rsidRPr="00A24778">
        <w:rPr>
          <w:rFonts w:eastAsia="Calibri"/>
          <w:sz w:val="26"/>
          <w:szCs w:val="26"/>
        </w:rPr>
        <w:t>On February 10, 2017, t</w:t>
      </w:r>
      <w:r w:rsidR="000140FD" w:rsidRPr="00A24778">
        <w:rPr>
          <w:rFonts w:eastAsia="Calibri"/>
          <w:sz w:val="26"/>
          <w:szCs w:val="26"/>
        </w:rPr>
        <w:t xml:space="preserve">he Companies </w:t>
      </w:r>
      <w:r w:rsidR="00CA526C" w:rsidRPr="00A24778">
        <w:rPr>
          <w:rFonts w:eastAsia="Calibri"/>
          <w:sz w:val="26"/>
          <w:szCs w:val="26"/>
        </w:rPr>
        <w:t xml:space="preserve">filed a letter indicating they </w:t>
      </w:r>
      <w:r w:rsidR="000140FD" w:rsidRPr="00A24778">
        <w:rPr>
          <w:rFonts w:eastAsia="Calibri"/>
          <w:sz w:val="26"/>
          <w:szCs w:val="26"/>
        </w:rPr>
        <w:t>d</w:t>
      </w:r>
      <w:r w:rsidR="00CA526C" w:rsidRPr="00A24778">
        <w:rPr>
          <w:rFonts w:eastAsia="Calibri"/>
          <w:sz w:val="26"/>
          <w:szCs w:val="26"/>
        </w:rPr>
        <w:t>o</w:t>
      </w:r>
      <w:r w:rsidR="000140FD" w:rsidRPr="00A24778">
        <w:rPr>
          <w:rFonts w:eastAsia="Calibri"/>
          <w:sz w:val="26"/>
          <w:szCs w:val="26"/>
        </w:rPr>
        <w:t xml:space="preserve"> not object to the Petition</w:t>
      </w:r>
      <w:r w:rsidRPr="00A24778">
        <w:rPr>
          <w:sz w:val="26"/>
          <w:szCs w:val="26"/>
        </w:rPr>
        <w:t xml:space="preserve">.  </w:t>
      </w:r>
      <w:r w:rsidR="00E52916" w:rsidRPr="00A24778">
        <w:rPr>
          <w:sz w:val="26"/>
          <w:szCs w:val="26"/>
        </w:rPr>
        <w:t xml:space="preserve">By Order entered February </w:t>
      </w:r>
      <w:r w:rsidRPr="00A24778">
        <w:rPr>
          <w:sz w:val="26"/>
          <w:szCs w:val="26"/>
        </w:rPr>
        <w:t xml:space="preserve">9, 2017, we granted the Petition, pending further review of, and consideration on, the merits.  </w:t>
      </w:r>
      <w:bookmarkStart w:id="3" w:name="_Toc471747991"/>
      <w:bookmarkStart w:id="4" w:name="_Toc471748129"/>
    </w:p>
    <w:p w:rsidR="003D62A3" w:rsidRDefault="003D62A3" w:rsidP="00B918A7">
      <w:pPr>
        <w:rPr>
          <w:sz w:val="26"/>
          <w:szCs w:val="26"/>
        </w:rPr>
      </w:pPr>
    </w:p>
    <w:p w:rsidR="00D9706B" w:rsidRPr="00A24778" w:rsidRDefault="00D9706B" w:rsidP="00A90A8B">
      <w:pPr>
        <w:keepNext/>
        <w:keepLines/>
        <w:jc w:val="center"/>
        <w:rPr>
          <w:b/>
          <w:sz w:val="26"/>
          <w:szCs w:val="26"/>
        </w:rPr>
      </w:pPr>
      <w:r w:rsidRPr="00A24778">
        <w:rPr>
          <w:b/>
          <w:sz w:val="26"/>
          <w:szCs w:val="26"/>
        </w:rPr>
        <w:lastRenderedPageBreak/>
        <w:t>Discussion</w:t>
      </w:r>
    </w:p>
    <w:p w:rsidR="00D9706B" w:rsidRPr="00A24778" w:rsidRDefault="00D9706B" w:rsidP="00A90A8B">
      <w:pPr>
        <w:keepNext/>
        <w:keepLines/>
        <w:rPr>
          <w:sz w:val="26"/>
          <w:szCs w:val="26"/>
        </w:rPr>
      </w:pPr>
    </w:p>
    <w:p w:rsidR="00D9706B" w:rsidRPr="00A24778" w:rsidRDefault="00D9706B" w:rsidP="00A90A8B">
      <w:pPr>
        <w:keepNext/>
        <w:keepLines/>
        <w:rPr>
          <w:b/>
          <w:sz w:val="26"/>
          <w:szCs w:val="26"/>
        </w:rPr>
      </w:pPr>
      <w:r w:rsidRPr="00A24778">
        <w:rPr>
          <w:b/>
          <w:sz w:val="26"/>
          <w:szCs w:val="26"/>
        </w:rPr>
        <w:t xml:space="preserve">Legal Standards </w:t>
      </w:r>
    </w:p>
    <w:p w:rsidR="00D9706B" w:rsidRPr="00A24778" w:rsidRDefault="00D9706B" w:rsidP="00A90A8B">
      <w:pPr>
        <w:keepNext/>
        <w:keepLines/>
        <w:rPr>
          <w:sz w:val="26"/>
          <w:szCs w:val="26"/>
        </w:rPr>
      </w:pPr>
    </w:p>
    <w:p w:rsidR="00D9706B" w:rsidRPr="00A24778" w:rsidRDefault="00D9706B" w:rsidP="00D9706B">
      <w:pPr>
        <w:rPr>
          <w:sz w:val="26"/>
          <w:szCs w:val="26"/>
        </w:rPr>
      </w:pPr>
      <w:r w:rsidRPr="00A24778">
        <w:rPr>
          <w:sz w:val="26"/>
          <w:szCs w:val="26"/>
        </w:rPr>
        <w:tab/>
      </w:r>
      <w:r w:rsidRPr="00A24778">
        <w:rPr>
          <w:sz w:val="26"/>
          <w:szCs w:val="26"/>
        </w:rPr>
        <w:tab/>
        <w:t>The Code establishes a party’s right to seek relief following the issuance of our final decisions pursuant to Subsection 703(f), relating to rehearing, as well as Subsection 703(g), relating to the rescission and amendment of orders.  66 Pa. C.S. § 703(f) and § 703(g).  Such requests for relief must be consistent with Section 5.572 of our Regulations, relating to petitions for relief following the issuance of a final decision.  52 Pa. Code § 5.572</w:t>
      </w:r>
    </w:p>
    <w:p w:rsidR="00D9706B" w:rsidRPr="00A24778" w:rsidRDefault="00D9706B" w:rsidP="00D9706B">
      <w:pPr>
        <w:rPr>
          <w:sz w:val="26"/>
          <w:szCs w:val="26"/>
        </w:rPr>
      </w:pPr>
    </w:p>
    <w:p w:rsidR="00D9706B" w:rsidRPr="00A24778" w:rsidRDefault="00D9706B" w:rsidP="00D9706B">
      <w:pPr>
        <w:rPr>
          <w:sz w:val="26"/>
          <w:szCs w:val="26"/>
        </w:rPr>
      </w:pPr>
      <w:r w:rsidRPr="00A24778">
        <w:rPr>
          <w:sz w:val="26"/>
          <w:szCs w:val="26"/>
        </w:rPr>
        <w:tab/>
      </w:r>
      <w:r w:rsidRPr="00A24778">
        <w:rPr>
          <w:sz w:val="26"/>
          <w:szCs w:val="26"/>
        </w:rPr>
        <w:tab/>
        <w:t xml:space="preserve">The standards for granting a Petition for Reconsideration were set forth in </w:t>
      </w:r>
      <w:r w:rsidRPr="00A24778">
        <w:rPr>
          <w:i/>
          <w:sz w:val="26"/>
          <w:szCs w:val="26"/>
        </w:rPr>
        <w:t>Duick v. Pennsylvania Gas and Water Company</w:t>
      </w:r>
      <w:r w:rsidRPr="00A24778">
        <w:rPr>
          <w:sz w:val="26"/>
          <w:szCs w:val="26"/>
        </w:rPr>
        <w:t xml:space="preserve">, 56 Pa. P.U.C. 553 (1982):  </w:t>
      </w:r>
    </w:p>
    <w:p w:rsidR="00D9706B" w:rsidRPr="00A24778" w:rsidRDefault="00D9706B" w:rsidP="00D9706B">
      <w:pPr>
        <w:rPr>
          <w:sz w:val="26"/>
          <w:szCs w:val="26"/>
        </w:rPr>
      </w:pPr>
    </w:p>
    <w:p w:rsidR="00D9706B" w:rsidRPr="00A24778" w:rsidRDefault="00D9706B" w:rsidP="00D9706B">
      <w:pPr>
        <w:spacing w:line="240" w:lineRule="auto"/>
        <w:ind w:left="1440" w:right="1440"/>
        <w:rPr>
          <w:sz w:val="26"/>
          <w:szCs w:val="26"/>
        </w:rPr>
      </w:pPr>
      <w:r w:rsidRPr="00A24778">
        <w:rPr>
          <w:sz w:val="26"/>
          <w:szCs w:val="26"/>
        </w:rPr>
        <w:t>A Petition for Reconsideration, under the provisions of 66 Pa. C.S. § 703(g), may properly raise any matters designed to convince the Commission that it should exercise its discretion under this code section to rescind or amend a prior order in whole or in part.  In this regard we agree with the Court in the Pennsyl</w:t>
      </w:r>
      <w:r w:rsidRPr="00A24778">
        <w:rPr>
          <w:sz w:val="26"/>
          <w:szCs w:val="26"/>
        </w:rPr>
        <w:softHyphen/>
        <w:t>vania Railroad Company case, wherein it was stated that “[p]arties . . . , cannot be permitted by a second motion to review and reconsider, to raise the same questions which were specifically decided against them . . . .”  What we expect to see raised in such petitions are new and novel arguments, not previously heard, or considera</w:t>
      </w:r>
      <w:r w:rsidRPr="00A24778">
        <w:rPr>
          <w:sz w:val="26"/>
          <w:szCs w:val="26"/>
        </w:rPr>
        <w:softHyphen/>
        <w:t xml:space="preserve">tions which appear to have been overlooked by the Commission.  </w:t>
      </w:r>
    </w:p>
    <w:p w:rsidR="00D9706B" w:rsidRPr="00A24778" w:rsidRDefault="00D9706B" w:rsidP="00D9706B">
      <w:pPr>
        <w:tabs>
          <w:tab w:val="left" w:pos="-720"/>
        </w:tabs>
        <w:spacing w:line="240" w:lineRule="auto"/>
        <w:ind w:right="2160"/>
        <w:rPr>
          <w:sz w:val="26"/>
          <w:szCs w:val="26"/>
        </w:rPr>
      </w:pPr>
    </w:p>
    <w:p w:rsidR="00D9706B" w:rsidRPr="00A24778" w:rsidRDefault="00D9706B" w:rsidP="00D9706B">
      <w:pPr>
        <w:tabs>
          <w:tab w:val="left" w:pos="-720"/>
        </w:tabs>
        <w:spacing w:line="240" w:lineRule="auto"/>
        <w:ind w:right="2160"/>
        <w:rPr>
          <w:sz w:val="26"/>
          <w:szCs w:val="26"/>
        </w:rPr>
      </w:pPr>
    </w:p>
    <w:p w:rsidR="00D9706B" w:rsidRPr="00A24778" w:rsidRDefault="00D9706B" w:rsidP="00D9706B">
      <w:pPr>
        <w:rPr>
          <w:sz w:val="26"/>
          <w:szCs w:val="26"/>
        </w:rPr>
      </w:pPr>
      <w:r w:rsidRPr="00A24778">
        <w:rPr>
          <w:i/>
          <w:sz w:val="26"/>
          <w:szCs w:val="26"/>
        </w:rPr>
        <w:t>Duick,</w:t>
      </w:r>
      <w:r w:rsidRPr="00A24778">
        <w:rPr>
          <w:sz w:val="26"/>
          <w:szCs w:val="26"/>
        </w:rPr>
        <w:t xml:space="preserve"> 56 Pa. P.U.C. at 559 (quoting </w:t>
      </w:r>
      <w:r w:rsidRPr="00A24778">
        <w:rPr>
          <w:i/>
          <w:sz w:val="26"/>
          <w:szCs w:val="26"/>
        </w:rPr>
        <w:t>Pennsylvania Railroad Co. v. Pennsylvania Public Service Commission</w:t>
      </w:r>
      <w:r w:rsidRPr="00A24778">
        <w:rPr>
          <w:sz w:val="26"/>
          <w:szCs w:val="26"/>
        </w:rPr>
        <w:t>, 179 A. 850, 854 (Pa. Super.</w:t>
      </w:r>
      <w:r w:rsidR="003D62A3">
        <w:rPr>
          <w:sz w:val="26"/>
          <w:szCs w:val="26"/>
        </w:rPr>
        <w:t xml:space="preserve"> </w:t>
      </w:r>
      <w:r w:rsidRPr="00A24778">
        <w:rPr>
          <w:sz w:val="26"/>
          <w:szCs w:val="26"/>
        </w:rPr>
        <w:t>1935)).</w:t>
      </w:r>
    </w:p>
    <w:p w:rsidR="00D9706B" w:rsidRPr="00A24778" w:rsidRDefault="00D9706B" w:rsidP="00D9706B">
      <w:pPr>
        <w:rPr>
          <w:sz w:val="26"/>
          <w:szCs w:val="26"/>
        </w:rPr>
      </w:pPr>
    </w:p>
    <w:p w:rsidR="00D9706B" w:rsidRPr="00A24778" w:rsidRDefault="00D9706B" w:rsidP="00D9706B">
      <w:pPr>
        <w:contextualSpacing/>
        <w:rPr>
          <w:color w:val="000000"/>
          <w:spacing w:val="-3"/>
          <w:sz w:val="26"/>
          <w:szCs w:val="26"/>
          <w:u w:color="000000"/>
        </w:rPr>
      </w:pPr>
      <w:r w:rsidRPr="00A24778">
        <w:rPr>
          <w:color w:val="000000"/>
          <w:spacing w:val="-3"/>
          <w:sz w:val="26"/>
          <w:szCs w:val="26"/>
          <w:u w:color="000000"/>
        </w:rPr>
        <w:tab/>
      </w:r>
      <w:r w:rsidRPr="00A24778">
        <w:rPr>
          <w:color w:val="000000"/>
          <w:spacing w:val="-3"/>
          <w:sz w:val="26"/>
          <w:szCs w:val="26"/>
          <w:u w:color="000000"/>
        </w:rPr>
        <w:tab/>
        <w:t xml:space="preserve">Under the standards of </w:t>
      </w:r>
      <w:r w:rsidRPr="00A24778">
        <w:rPr>
          <w:i/>
          <w:color w:val="000000"/>
          <w:spacing w:val="-3"/>
          <w:sz w:val="26"/>
          <w:szCs w:val="26"/>
          <w:u w:color="000000"/>
        </w:rPr>
        <w:t>Duick</w:t>
      </w:r>
      <w:r w:rsidRPr="00A24778">
        <w:rPr>
          <w:color w:val="000000"/>
          <w:spacing w:val="-3"/>
          <w:sz w:val="26"/>
          <w:szCs w:val="26"/>
          <w:u w:color="000000"/>
        </w:rPr>
        <w:t xml:space="preserve">, a petition for reconsideration may properly raise any matter designed to convince this Commission that we should exercise our </w:t>
      </w:r>
      <w:r w:rsidRPr="00A24778">
        <w:rPr>
          <w:color w:val="000000"/>
          <w:spacing w:val="-3"/>
          <w:sz w:val="26"/>
          <w:szCs w:val="26"/>
          <w:u w:color="000000"/>
        </w:rPr>
        <w:lastRenderedPageBreak/>
        <w:t xml:space="preserve">discretion to amend or rescind a prior Order, in whole or in part.  Such petitions are likely to succeed only when they raise “new and novel arguments” not previously heard, or considerations which appear to have been overlooked or not addressed by the Commission.  </w:t>
      </w:r>
      <w:r w:rsidRPr="00A24778">
        <w:rPr>
          <w:i/>
          <w:color w:val="000000"/>
          <w:spacing w:val="-3"/>
          <w:sz w:val="26"/>
          <w:szCs w:val="26"/>
          <w:u w:color="000000"/>
        </w:rPr>
        <w:t>Duick</w:t>
      </w:r>
      <w:r w:rsidRPr="00A24778">
        <w:rPr>
          <w:color w:val="000000"/>
          <w:spacing w:val="-3"/>
          <w:sz w:val="26"/>
          <w:szCs w:val="26"/>
          <w:u w:color="000000"/>
        </w:rPr>
        <w:t xml:space="preserve">, 56 Pa. P.U.C. at 559. </w:t>
      </w:r>
    </w:p>
    <w:p w:rsidR="00D9706B" w:rsidRPr="00A24778" w:rsidRDefault="00D9706B" w:rsidP="00D9706B">
      <w:pPr>
        <w:contextualSpacing/>
        <w:rPr>
          <w:sz w:val="26"/>
          <w:szCs w:val="26"/>
        </w:rPr>
      </w:pPr>
    </w:p>
    <w:p w:rsidR="00D9706B" w:rsidRPr="00A24778" w:rsidRDefault="00D9706B" w:rsidP="00D9706B">
      <w:pPr>
        <w:contextualSpacing/>
        <w:rPr>
          <w:sz w:val="26"/>
          <w:szCs w:val="26"/>
        </w:rPr>
      </w:pPr>
      <w:r w:rsidRPr="00A24778">
        <w:rPr>
          <w:sz w:val="26"/>
          <w:szCs w:val="26"/>
        </w:rPr>
        <w:tab/>
      </w:r>
      <w:r w:rsidRPr="00A24778">
        <w:rPr>
          <w:sz w:val="26"/>
          <w:szCs w:val="26"/>
        </w:rPr>
        <w:tab/>
        <w:t xml:space="preserve">Before addressing the Petition, we note that any issue not specifically addressed herein has been duly considered and will be denied without further discussion.  It is well settled that the Commission is not required to consider expressly or at length each contention or argument raised by the parties.  </w:t>
      </w:r>
      <w:r w:rsidRPr="00A24778">
        <w:rPr>
          <w:i/>
          <w:iCs/>
          <w:sz w:val="26"/>
          <w:szCs w:val="26"/>
        </w:rPr>
        <w:t xml:space="preserve">Consolidated Rail Corp. v. Pa. PUC, </w:t>
      </w:r>
      <w:r w:rsidRPr="00A24778">
        <w:rPr>
          <w:sz w:val="26"/>
          <w:szCs w:val="26"/>
        </w:rPr>
        <w:t xml:space="preserve">625 A.2d 741 (Pa. Cmwlth. 1993); </w:t>
      </w:r>
      <w:r w:rsidRPr="00A24778">
        <w:rPr>
          <w:i/>
          <w:sz w:val="26"/>
          <w:szCs w:val="26"/>
        </w:rPr>
        <w:t xml:space="preserve">also </w:t>
      </w:r>
      <w:r w:rsidRPr="00A24778">
        <w:rPr>
          <w:i/>
          <w:iCs/>
          <w:sz w:val="26"/>
          <w:szCs w:val="26"/>
        </w:rPr>
        <w:t>see, generally, University of Pennsylvania v. Pa. PUC</w:t>
      </w:r>
      <w:r w:rsidRPr="00A24778">
        <w:rPr>
          <w:sz w:val="26"/>
          <w:szCs w:val="26"/>
        </w:rPr>
        <w:t>, 485 A.2d 1217 (Pa. Cmwlth. 1984).</w:t>
      </w:r>
    </w:p>
    <w:p w:rsidR="00D9706B" w:rsidRPr="00A24778" w:rsidRDefault="00D9706B" w:rsidP="00B57943">
      <w:pPr>
        <w:contextualSpacing/>
        <w:rPr>
          <w:sz w:val="26"/>
          <w:szCs w:val="26"/>
        </w:rPr>
      </w:pPr>
    </w:p>
    <w:p w:rsidR="00E675C0" w:rsidRPr="00A24778" w:rsidRDefault="00E675C0" w:rsidP="007E1200">
      <w:pPr>
        <w:keepNext/>
        <w:contextualSpacing/>
        <w:rPr>
          <w:b/>
          <w:sz w:val="26"/>
          <w:szCs w:val="26"/>
        </w:rPr>
      </w:pPr>
      <w:r w:rsidRPr="00A24778">
        <w:rPr>
          <w:b/>
          <w:i/>
          <w:sz w:val="26"/>
          <w:szCs w:val="26"/>
        </w:rPr>
        <w:t>January</w:t>
      </w:r>
      <w:r w:rsidR="00D9706B" w:rsidRPr="00A24778">
        <w:rPr>
          <w:b/>
          <w:i/>
          <w:sz w:val="26"/>
          <w:szCs w:val="26"/>
        </w:rPr>
        <w:t xml:space="preserve"> </w:t>
      </w:r>
      <w:r w:rsidRPr="00A24778">
        <w:rPr>
          <w:b/>
          <w:i/>
          <w:sz w:val="26"/>
          <w:szCs w:val="26"/>
        </w:rPr>
        <w:t>2017</w:t>
      </w:r>
      <w:r w:rsidR="00D9706B" w:rsidRPr="00A24778">
        <w:rPr>
          <w:b/>
          <w:i/>
          <w:sz w:val="26"/>
          <w:szCs w:val="26"/>
        </w:rPr>
        <w:t xml:space="preserve"> Order</w:t>
      </w:r>
      <w:r w:rsidRPr="00A24778">
        <w:rPr>
          <w:b/>
          <w:sz w:val="26"/>
          <w:szCs w:val="26"/>
        </w:rPr>
        <w:t xml:space="preserve"> </w:t>
      </w:r>
    </w:p>
    <w:p w:rsidR="00E675C0" w:rsidRPr="00A24778" w:rsidRDefault="00E675C0" w:rsidP="007E1200">
      <w:pPr>
        <w:keepNext/>
        <w:contextualSpacing/>
        <w:rPr>
          <w:b/>
          <w:sz w:val="26"/>
          <w:szCs w:val="26"/>
        </w:rPr>
      </w:pPr>
    </w:p>
    <w:p w:rsidR="00A00E3F" w:rsidRPr="00A24778" w:rsidRDefault="00D9706B" w:rsidP="00EA3397">
      <w:pPr>
        <w:ind w:firstLine="1440"/>
        <w:rPr>
          <w:rFonts w:eastAsiaTheme="minorHAnsi"/>
          <w:sz w:val="26"/>
          <w:szCs w:val="26"/>
        </w:rPr>
      </w:pPr>
      <w:r w:rsidRPr="00A24778">
        <w:rPr>
          <w:sz w:val="26"/>
          <w:szCs w:val="26"/>
        </w:rPr>
        <w:t xml:space="preserve">In our </w:t>
      </w:r>
      <w:r w:rsidR="00820BF5" w:rsidRPr="00A24778">
        <w:rPr>
          <w:i/>
          <w:sz w:val="26"/>
          <w:szCs w:val="26"/>
        </w:rPr>
        <w:t>January 2017</w:t>
      </w:r>
      <w:r w:rsidRPr="00A24778">
        <w:rPr>
          <w:i/>
          <w:sz w:val="26"/>
          <w:szCs w:val="26"/>
        </w:rPr>
        <w:t xml:space="preserve"> Order</w:t>
      </w:r>
      <w:r w:rsidRPr="00A24778">
        <w:rPr>
          <w:sz w:val="26"/>
          <w:szCs w:val="26"/>
        </w:rPr>
        <w:t xml:space="preserve">, </w:t>
      </w:r>
      <w:r w:rsidR="00820BF5" w:rsidRPr="00A24778">
        <w:rPr>
          <w:sz w:val="26"/>
          <w:szCs w:val="26"/>
        </w:rPr>
        <w:t xml:space="preserve">we adopted the ALJ’s recommendation to approve the Partial Settlements without modification.  </w:t>
      </w:r>
      <w:r w:rsidR="00820BF5" w:rsidRPr="00A24778">
        <w:rPr>
          <w:i/>
          <w:sz w:val="26"/>
          <w:szCs w:val="26"/>
        </w:rPr>
        <w:t>January 2017 Order</w:t>
      </w:r>
      <w:r w:rsidR="00820BF5" w:rsidRPr="00A24778">
        <w:rPr>
          <w:sz w:val="26"/>
          <w:szCs w:val="26"/>
        </w:rPr>
        <w:t xml:space="preserve"> at 22, 24.</w:t>
      </w:r>
      <w:r w:rsidR="00BC2E1F" w:rsidRPr="00A24778">
        <w:rPr>
          <w:sz w:val="26"/>
          <w:szCs w:val="26"/>
        </w:rPr>
        <w:t xml:space="preserve">  Additionally, </w:t>
      </w:r>
      <w:r w:rsidR="002F0873" w:rsidRPr="00A24778">
        <w:rPr>
          <w:sz w:val="26"/>
          <w:szCs w:val="26"/>
        </w:rPr>
        <w:t xml:space="preserve">we addressed the contested issue regarding whether Act 40 required an ADIT offset to be included in any DSIC rate charged to customers.  </w:t>
      </w:r>
      <w:r w:rsidR="002F0873" w:rsidRPr="00A24778">
        <w:rPr>
          <w:rFonts w:eastAsiaTheme="minorHAnsi"/>
          <w:sz w:val="26"/>
          <w:szCs w:val="26"/>
        </w:rPr>
        <w:t>W</w:t>
      </w:r>
      <w:r w:rsidR="00EA3397" w:rsidRPr="00A24778">
        <w:rPr>
          <w:rFonts w:eastAsiaTheme="minorHAnsi"/>
          <w:sz w:val="26"/>
          <w:szCs w:val="26"/>
        </w:rPr>
        <w:t>e agreed with ALJ Long that the application of Section 1301.1 of the Code</w:t>
      </w:r>
      <w:r w:rsidR="00BC2E1F" w:rsidRPr="00A24778">
        <w:rPr>
          <w:rFonts w:eastAsiaTheme="minorHAnsi"/>
          <w:sz w:val="26"/>
          <w:szCs w:val="26"/>
        </w:rPr>
        <w:t>, 66 Pa. C.S. § 1301.1,</w:t>
      </w:r>
      <w:r w:rsidR="00EA3397" w:rsidRPr="00A24778">
        <w:rPr>
          <w:rFonts w:eastAsiaTheme="minorHAnsi"/>
          <w:sz w:val="26"/>
          <w:szCs w:val="26"/>
        </w:rPr>
        <w:t xml:space="preserve"> regarding the inclusion of ADIT in the calculation of the DSIC Riders should be addressed in the </w:t>
      </w:r>
      <w:r w:rsidR="00EA3397" w:rsidRPr="00B918A7">
        <w:rPr>
          <w:rFonts w:eastAsiaTheme="minorHAnsi"/>
          <w:i/>
          <w:sz w:val="26"/>
          <w:szCs w:val="26"/>
        </w:rPr>
        <w:t xml:space="preserve">DSIC </w:t>
      </w:r>
      <w:r w:rsidR="00ED23C1" w:rsidRPr="00B918A7">
        <w:rPr>
          <w:rFonts w:eastAsiaTheme="minorHAnsi"/>
          <w:i/>
          <w:sz w:val="26"/>
          <w:szCs w:val="26"/>
        </w:rPr>
        <w:t>P</w:t>
      </w:r>
      <w:r w:rsidR="00EA3397" w:rsidRPr="00B918A7">
        <w:rPr>
          <w:rFonts w:eastAsiaTheme="minorHAnsi"/>
          <w:i/>
          <w:sz w:val="26"/>
          <w:szCs w:val="26"/>
        </w:rPr>
        <w:t>roceeding</w:t>
      </w:r>
      <w:r w:rsidR="00ED23C1" w:rsidRPr="00B918A7">
        <w:rPr>
          <w:rFonts w:eastAsiaTheme="minorHAnsi"/>
          <w:i/>
          <w:sz w:val="26"/>
          <w:szCs w:val="26"/>
        </w:rPr>
        <w:t>s</w:t>
      </w:r>
      <w:r w:rsidR="00EA3397" w:rsidRPr="00A24778">
        <w:rPr>
          <w:rFonts w:eastAsiaTheme="minorHAnsi"/>
          <w:sz w:val="26"/>
          <w:szCs w:val="26"/>
        </w:rPr>
        <w:t>.</w:t>
      </w:r>
      <w:r w:rsidR="0078597C" w:rsidRPr="00A24778">
        <w:rPr>
          <w:rFonts w:eastAsiaTheme="minorHAnsi"/>
          <w:sz w:val="26"/>
          <w:szCs w:val="26"/>
        </w:rPr>
        <w:t xml:space="preserve">  </w:t>
      </w:r>
      <w:r w:rsidR="002F0873" w:rsidRPr="00A24778">
        <w:rPr>
          <w:rFonts w:eastAsiaTheme="minorHAnsi"/>
          <w:sz w:val="26"/>
          <w:szCs w:val="26"/>
        </w:rPr>
        <w:t xml:space="preserve">We reasoned that </w:t>
      </w:r>
      <w:r w:rsidR="00EA3397" w:rsidRPr="00A24778">
        <w:rPr>
          <w:sz w:val="26"/>
          <w:szCs w:val="26"/>
        </w:rPr>
        <w:t>Section 1357(c) of the Code authorizes an automatic adjustment clause, which is a rate mechanism that is legally separate from and operates differently from base rates</w:t>
      </w:r>
      <w:r w:rsidR="002F0873" w:rsidRPr="00A24778">
        <w:rPr>
          <w:sz w:val="26"/>
          <w:szCs w:val="26"/>
        </w:rPr>
        <w:t xml:space="preserve">, </w:t>
      </w:r>
      <w:r w:rsidR="003D62A3">
        <w:rPr>
          <w:sz w:val="26"/>
          <w:szCs w:val="26"/>
        </w:rPr>
        <w:t>and that</w:t>
      </w:r>
      <w:r w:rsidR="00EA3397" w:rsidRPr="00A24778">
        <w:rPr>
          <w:sz w:val="26"/>
          <w:szCs w:val="26"/>
        </w:rPr>
        <w:t xml:space="preserve"> Section 1357(c) allows for the recovery of the cost of plant investments that are completed and placed in service between base rate pro</w:t>
      </w:r>
      <w:r w:rsidR="0078597C" w:rsidRPr="00A24778">
        <w:rPr>
          <w:sz w:val="26"/>
          <w:szCs w:val="26"/>
        </w:rPr>
        <w:t xml:space="preserve">ceedings.  </w:t>
      </w:r>
      <w:r w:rsidR="002F0873" w:rsidRPr="00A24778">
        <w:rPr>
          <w:sz w:val="26"/>
          <w:szCs w:val="26"/>
        </w:rPr>
        <w:t>I</w:t>
      </w:r>
      <w:r w:rsidR="0078597C" w:rsidRPr="00A24778">
        <w:rPr>
          <w:sz w:val="26"/>
          <w:szCs w:val="26"/>
        </w:rPr>
        <w:t xml:space="preserve">n </w:t>
      </w:r>
      <w:r w:rsidR="00EA3397" w:rsidRPr="00A24778">
        <w:rPr>
          <w:rFonts w:eastAsiaTheme="minorHAnsi"/>
          <w:sz w:val="26"/>
          <w:szCs w:val="26"/>
        </w:rPr>
        <w:t xml:space="preserve">order to ensure consistency with our previous consideration of ADIT issues, Commission orders and other DSIC issues within the context of </w:t>
      </w:r>
      <w:r w:rsidR="00ED23C1">
        <w:rPr>
          <w:rFonts w:eastAsiaTheme="minorHAnsi"/>
          <w:sz w:val="26"/>
          <w:szCs w:val="26"/>
        </w:rPr>
        <w:t xml:space="preserve">the </w:t>
      </w:r>
      <w:r w:rsidR="00EA3397" w:rsidRPr="00B918A7">
        <w:rPr>
          <w:rFonts w:eastAsiaTheme="minorHAnsi"/>
          <w:i/>
          <w:sz w:val="26"/>
          <w:szCs w:val="26"/>
        </w:rPr>
        <w:t xml:space="preserve">DSIC </w:t>
      </w:r>
      <w:r w:rsidR="00ED23C1" w:rsidRPr="00B918A7">
        <w:rPr>
          <w:rFonts w:eastAsiaTheme="minorHAnsi"/>
          <w:i/>
          <w:sz w:val="26"/>
          <w:szCs w:val="26"/>
        </w:rPr>
        <w:t>P</w:t>
      </w:r>
      <w:r w:rsidR="00EA3397" w:rsidRPr="00B918A7">
        <w:rPr>
          <w:rFonts w:eastAsiaTheme="minorHAnsi"/>
          <w:i/>
          <w:sz w:val="26"/>
          <w:szCs w:val="26"/>
        </w:rPr>
        <w:t>roceedings</w:t>
      </w:r>
      <w:r w:rsidR="00EA3397" w:rsidRPr="00A24778">
        <w:rPr>
          <w:rFonts w:eastAsiaTheme="minorHAnsi"/>
          <w:sz w:val="26"/>
          <w:szCs w:val="26"/>
        </w:rPr>
        <w:t>,</w:t>
      </w:r>
      <w:r w:rsidR="00EA3397" w:rsidRPr="00A24778">
        <w:rPr>
          <w:rStyle w:val="Heading1Char"/>
        </w:rPr>
        <w:t xml:space="preserve"> </w:t>
      </w:r>
      <w:r w:rsidR="0078597C" w:rsidRPr="00A24778">
        <w:rPr>
          <w:rFonts w:eastAsiaTheme="minorHAnsi"/>
          <w:sz w:val="26"/>
          <w:szCs w:val="26"/>
        </w:rPr>
        <w:t>we foun</w:t>
      </w:r>
      <w:r w:rsidR="00EA3397" w:rsidRPr="00A24778">
        <w:rPr>
          <w:rFonts w:eastAsiaTheme="minorHAnsi"/>
          <w:sz w:val="26"/>
          <w:szCs w:val="26"/>
        </w:rPr>
        <w:t xml:space="preserve">d it appropriate to consider </w:t>
      </w:r>
      <w:r w:rsidR="00A00E3F" w:rsidRPr="00A24778">
        <w:rPr>
          <w:rFonts w:eastAsiaTheme="minorHAnsi"/>
          <w:sz w:val="26"/>
          <w:szCs w:val="26"/>
        </w:rPr>
        <w:t>the ADIT</w:t>
      </w:r>
      <w:r w:rsidR="00EA3397" w:rsidRPr="00A24778">
        <w:rPr>
          <w:rFonts w:eastAsiaTheme="minorHAnsi"/>
          <w:sz w:val="26"/>
          <w:szCs w:val="26"/>
        </w:rPr>
        <w:t xml:space="preserve"> argument</w:t>
      </w:r>
      <w:r w:rsidR="002F0873" w:rsidRPr="00A24778">
        <w:rPr>
          <w:rFonts w:eastAsiaTheme="minorHAnsi"/>
          <w:sz w:val="26"/>
          <w:szCs w:val="26"/>
        </w:rPr>
        <w:t>s</w:t>
      </w:r>
      <w:r w:rsidR="00EA3397" w:rsidRPr="00A24778">
        <w:rPr>
          <w:rFonts w:eastAsiaTheme="minorHAnsi"/>
          <w:sz w:val="26"/>
          <w:szCs w:val="26"/>
        </w:rPr>
        <w:t xml:space="preserve"> interpreting Act 40 within the active </w:t>
      </w:r>
      <w:r w:rsidR="00EA3397" w:rsidRPr="00B918A7">
        <w:rPr>
          <w:rFonts w:eastAsiaTheme="minorHAnsi"/>
          <w:i/>
          <w:sz w:val="26"/>
          <w:szCs w:val="26"/>
        </w:rPr>
        <w:t xml:space="preserve">DSIC </w:t>
      </w:r>
      <w:r w:rsidR="00ED23C1" w:rsidRPr="00B918A7">
        <w:rPr>
          <w:rFonts w:eastAsiaTheme="minorHAnsi"/>
          <w:i/>
          <w:sz w:val="26"/>
          <w:szCs w:val="26"/>
        </w:rPr>
        <w:t>P</w:t>
      </w:r>
      <w:r w:rsidR="00EA3397" w:rsidRPr="00B918A7">
        <w:rPr>
          <w:rFonts w:eastAsiaTheme="minorHAnsi"/>
          <w:i/>
          <w:sz w:val="26"/>
          <w:szCs w:val="26"/>
        </w:rPr>
        <w:t>roceeding</w:t>
      </w:r>
      <w:r w:rsidR="00ED23C1" w:rsidRPr="00B918A7">
        <w:rPr>
          <w:rFonts w:eastAsiaTheme="minorHAnsi"/>
          <w:i/>
          <w:sz w:val="26"/>
          <w:szCs w:val="26"/>
        </w:rPr>
        <w:t>s</w:t>
      </w:r>
      <w:r w:rsidR="00EA3397" w:rsidRPr="00A24778">
        <w:rPr>
          <w:rFonts w:eastAsiaTheme="minorHAnsi"/>
          <w:sz w:val="26"/>
          <w:szCs w:val="26"/>
        </w:rPr>
        <w:t xml:space="preserve"> at Docket Nos. P-2015-2508942, P-2015-2508936,</w:t>
      </w:r>
    </w:p>
    <w:p w:rsidR="00EA3397" w:rsidRPr="00A24778" w:rsidRDefault="00EA3397" w:rsidP="00A00E3F">
      <w:pPr>
        <w:rPr>
          <w:rFonts w:eastAsiaTheme="minorHAnsi"/>
          <w:sz w:val="26"/>
          <w:szCs w:val="26"/>
        </w:rPr>
      </w:pPr>
      <w:r w:rsidRPr="00A24778">
        <w:rPr>
          <w:rFonts w:eastAsiaTheme="minorHAnsi"/>
          <w:sz w:val="26"/>
          <w:szCs w:val="26"/>
        </w:rPr>
        <w:lastRenderedPageBreak/>
        <w:t xml:space="preserve"> P-2015-2508931, and P-2015-2508948, to which the Companies and the OCA are also Parties.  </w:t>
      </w:r>
      <w:proofErr w:type="gramStart"/>
      <w:r w:rsidRPr="00A24778">
        <w:rPr>
          <w:i/>
          <w:sz w:val="26"/>
          <w:szCs w:val="26"/>
        </w:rPr>
        <w:t>January 2017 Order</w:t>
      </w:r>
      <w:r w:rsidRPr="00A24778">
        <w:rPr>
          <w:sz w:val="26"/>
          <w:szCs w:val="26"/>
        </w:rPr>
        <w:t xml:space="preserve"> at 38-39.</w:t>
      </w:r>
      <w:proofErr w:type="gramEnd"/>
    </w:p>
    <w:p w:rsidR="00EA3397" w:rsidRPr="00A24778" w:rsidRDefault="00EA3397" w:rsidP="00EA3397">
      <w:pPr>
        <w:ind w:firstLine="1440"/>
        <w:rPr>
          <w:rFonts w:eastAsiaTheme="minorHAnsi"/>
          <w:sz w:val="26"/>
          <w:szCs w:val="26"/>
        </w:rPr>
      </w:pPr>
    </w:p>
    <w:p w:rsidR="00EA3397" w:rsidRPr="00A24778" w:rsidRDefault="00EA3397" w:rsidP="00EA3397">
      <w:pPr>
        <w:ind w:firstLine="1440"/>
        <w:rPr>
          <w:rFonts w:eastAsiaTheme="minorHAnsi"/>
          <w:sz w:val="26"/>
          <w:szCs w:val="26"/>
        </w:rPr>
      </w:pPr>
      <w:r w:rsidRPr="00A24778">
        <w:rPr>
          <w:rFonts w:eastAsiaTheme="minorHAnsi"/>
          <w:sz w:val="26"/>
          <w:szCs w:val="26"/>
        </w:rPr>
        <w:t>Furthermore, because the contested issue involves DSIC calculation, we stated that it should be considered in the context of all of the issues</w:t>
      </w:r>
      <w:r w:rsidR="00A00E3F" w:rsidRPr="00A24778">
        <w:rPr>
          <w:rFonts w:eastAsiaTheme="minorHAnsi"/>
          <w:sz w:val="26"/>
          <w:szCs w:val="26"/>
        </w:rPr>
        <w:t xml:space="preserve"> directly related to the DSIC.  </w:t>
      </w:r>
      <w:r w:rsidRPr="00A24778">
        <w:rPr>
          <w:rFonts w:eastAsiaTheme="minorHAnsi"/>
          <w:sz w:val="26"/>
          <w:szCs w:val="26"/>
        </w:rPr>
        <w:t xml:space="preserve">We posited that given the status of the </w:t>
      </w:r>
      <w:r w:rsidRPr="00B918A7">
        <w:rPr>
          <w:rFonts w:eastAsiaTheme="minorHAnsi"/>
          <w:i/>
          <w:sz w:val="26"/>
          <w:szCs w:val="26"/>
        </w:rPr>
        <w:t xml:space="preserve">DSIC </w:t>
      </w:r>
      <w:r w:rsidR="00ED23C1" w:rsidRPr="00B918A7">
        <w:rPr>
          <w:rFonts w:eastAsiaTheme="minorHAnsi"/>
          <w:i/>
          <w:sz w:val="26"/>
          <w:szCs w:val="26"/>
        </w:rPr>
        <w:t>P</w:t>
      </w:r>
      <w:r w:rsidRPr="00B918A7">
        <w:rPr>
          <w:rFonts w:eastAsiaTheme="minorHAnsi"/>
          <w:i/>
          <w:sz w:val="26"/>
          <w:szCs w:val="26"/>
        </w:rPr>
        <w:t>roceeding</w:t>
      </w:r>
      <w:r w:rsidR="00ED23C1" w:rsidRPr="00B918A7">
        <w:rPr>
          <w:rFonts w:eastAsiaTheme="minorHAnsi"/>
          <w:i/>
          <w:sz w:val="26"/>
          <w:szCs w:val="26"/>
        </w:rPr>
        <w:t>s</w:t>
      </w:r>
      <w:r w:rsidRPr="00A24778">
        <w:rPr>
          <w:rFonts w:eastAsiaTheme="minorHAnsi"/>
          <w:sz w:val="26"/>
          <w:szCs w:val="26"/>
        </w:rPr>
        <w:t xml:space="preserve">, there was adequate time to resolve the contested issue within the </w:t>
      </w:r>
      <w:r w:rsidRPr="00B918A7">
        <w:rPr>
          <w:rFonts w:eastAsiaTheme="minorHAnsi"/>
          <w:i/>
          <w:sz w:val="26"/>
          <w:szCs w:val="26"/>
        </w:rPr>
        <w:t xml:space="preserve">DSIC </w:t>
      </w:r>
      <w:r w:rsidR="00ED23C1" w:rsidRPr="00B918A7">
        <w:rPr>
          <w:rFonts w:eastAsiaTheme="minorHAnsi"/>
          <w:i/>
          <w:sz w:val="26"/>
          <w:szCs w:val="26"/>
        </w:rPr>
        <w:t>P</w:t>
      </w:r>
      <w:r w:rsidRPr="00B918A7">
        <w:rPr>
          <w:rFonts w:eastAsiaTheme="minorHAnsi"/>
          <w:i/>
          <w:sz w:val="26"/>
          <w:szCs w:val="26"/>
        </w:rPr>
        <w:t>roceeding</w:t>
      </w:r>
      <w:r w:rsidR="00ED23C1" w:rsidRPr="00B918A7">
        <w:rPr>
          <w:rFonts w:eastAsiaTheme="minorHAnsi"/>
          <w:i/>
          <w:sz w:val="26"/>
          <w:szCs w:val="26"/>
        </w:rPr>
        <w:t>s</w:t>
      </w:r>
      <w:r w:rsidR="00B031CA" w:rsidRPr="00A24778">
        <w:rPr>
          <w:rFonts w:eastAsiaTheme="minorHAnsi"/>
          <w:sz w:val="26"/>
          <w:szCs w:val="26"/>
        </w:rPr>
        <w:t xml:space="preserve"> and </w:t>
      </w:r>
      <w:r w:rsidRPr="00A24778">
        <w:rPr>
          <w:rFonts w:eastAsiaTheme="minorHAnsi"/>
          <w:sz w:val="26"/>
          <w:szCs w:val="26"/>
        </w:rPr>
        <w:t>that ALJ Cheskis has the authority and discretion under Section 331(d) of the Code</w:t>
      </w:r>
      <w:r w:rsidR="00A621F9" w:rsidRPr="00A24778">
        <w:rPr>
          <w:rFonts w:eastAsiaTheme="minorHAnsi"/>
          <w:sz w:val="26"/>
          <w:szCs w:val="26"/>
        </w:rPr>
        <w:t>, 66 Pa. C.S. § 331(d),</w:t>
      </w:r>
      <w:r w:rsidRPr="00A24778">
        <w:rPr>
          <w:rFonts w:eastAsiaTheme="minorHAnsi"/>
          <w:sz w:val="26"/>
          <w:szCs w:val="26"/>
        </w:rPr>
        <w:t xml:space="preserve"> to permit further development of the record if it is determined to be necessary to make a decision on the DSIC calculation in light of Act 40.</w:t>
      </w:r>
      <w:r w:rsidR="00B031CA" w:rsidRPr="00A24778">
        <w:rPr>
          <w:rFonts w:eastAsiaTheme="minorHAnsi"/>
          <w:sz w:val="26"/>
          <w:szCs w:val="26"/>
        </w:rPr>
        <w:t xml:space="preserve">  </w:t>
      </w:r>
      <w:r w:rsidR="008F6001" w:rsidRPr="00A24778">
        <w:rPr>
          <w:rFonts w:eastAsiaTheme="minorHAnsi"/>
          <w:i/>
          <w:sz w:val="26"/>
          <w:szCs w:val="26"/>
        </w:rPr>
        <w:t>January 2017 Order</w:t>
      </w:r>
      <w:r w:rsidR="00B031CA" w:rsidRPr="00A24778">
        <w:rPr>
          <w:rFonts w:eastAsiaTheme="minorHAnsi"/>
          <w:sz w:val="26"/>
          <w:szCs w:val="26"/>
        </w:rPr>
        <w:t xml:space="preserve"> at 39.</w:t>
      </w:r>
    </w:p>
    <w:p w:rsidR="00EA3397" w:rsidRPr="00A24778" w:rsidRDefault="00EA3397" w:rsidP="00EA3397">
      <w:pPr>
        <w:ind w:firstLine="1440"/>
        <w:rPr>
          <w:sz w:val="26"/>
          <w:szCs w:val="26"/>
        </w:rPr>
      </w:pPr>
    </w:p>
    <w:p w:rsidR="00244A3B" w:rsidRDefault="00B031CA" w:rsidP="00B031CA">
      <w:pPr>
        <w:ind w:firstLine="1440"/>
        <w:rPr>
          <w:rFonts w:eastAsiaTheme="minorHAnsi"/>
          <w:sz w:val="26"/>
          <w:szCs w:val="26"/>
        </w:rPr>
      </w:pPr>
      <w:r w:rsidRPr="00A24778">
        <w:rPr>
          <w:sz w:val="26"/>
          <w:szCs w:val="26"/>
        </w:rPr>
        <w:t xml:space="preserve">Thus, since </w:t>
      </w:r>
      <w:r w:rsidRPr="00A24778">
        <w:rPr>
          <w:rFonts w:eastAsiaTheme="minorHAnsi"/>
          <w:sz w:val="26"/>
          <w:szCs w:val="26"/>
        </w:rPr>
        <w:t>n</w:t>
      </w:r>
      <w:r w:rsidR="00924A9A">
        <w:rPr>
          <w:rFonts w:eastAsiaTheme="minorHAnsi"/>
          <w:sz w:val="26"/>
          <w:szCs w:val="26"/>
        </w:rPr>
        <w:t>o</w:t>
      </w:r>
      <w:r w:rsidRPr="00A24778">
        <w:rPr>
          <w:rFonts w:eastAsiaTheme="minorHAnsi"/>
          <w:sz w:val="26"/>
          <w:szCs w:val="26"/>
        </w:rPr>
        <w:t xml:space="preserve"> Party was opposed to considering the issue in the </w:t>
      </w:r>
      <w:r w:rsidRPr="00B918A7">
        <w:rPr>
          <w:rFonts w:eastAsiaTheme="minorHAnsi"/>
          <w:i/>
          <w:sz w:val="26"/>
          <w:szCs w:val="26"/>
        </w:rPr>
        <w:t xml:space="preserve">DSIC </w:t>
      </w:r>
      <w:r w:rsidR="00924A9A" w:rsidRPr="00B918A7">
        <w:rPr>
          <w:rFonts w:eastAsiaTheme="minorHAnsi"/>
          <w:i/>
          <w:sz w:val="26"/>
          <w:szCs w:val="26"/>
        </w:rPr>
        <w:t>P</w:t>
      </w:r>
      <w:r w:rsidRPr="00B918A7">
        <w:rPr>
          <w:rFonts w:eastAsiaTheme="minorHAnsi"/>
          <w:i/>
          <w:sz w:val="26"/>
          <w:szCs w:val="26"/>
        </w:rPr>
        <w:t>roceeding</w:t>
      </w:r>
      <w:r w:rsidR="00924A9A" w:rsidRPr="00B918A7">
        <w:rPr>
          <w:rFonts w:eastAsiaTheme="minorHAnsi"/>
          <w:i/>
          <w:sz w:val="26"/>
          <w:szCs w:val="26"/>
        </w:rPr>
        <w:t>s</w:t>
      </w:r>
      <w:r w:rsidRPr="00A24778">
        <w:rPr>
          <w:rFonts w:eastAsiaTheme="minorHAnsi"/>
          <w:sz w:val="26"/>
          <w:szCs w:val="26"/>
        </w:rPr>
        <w:t xml:space="preserve">, we referred the OCA’s claim regarding the calculation of ADIT in the Companies’ DSIC Riders to the </w:t>
      </w:r>
      <w:r w:rsidRPr="00B918A7">
        <w:rPr>
          <w:rFonts w:eastAsiaTheme="minorHAnsi"/>
          <w:i/>
          <w:sz w:val="26"/>
          <w:szCs w:val="26"/>
        </w:rPr>
        <w:t xml:space="preserve">DSIC </w:t>
      </w:r>
      <w:r w:rsidR="00ED23C1" w:rsidRPr="00B918A7">
        <w:rPr>
          <w:rFonts w:eastAsiaTheme="minorHAnsi"/>
          <w:i/>
          <w:sz w:val="26"/>
          <w:szCs w:val="26"/>
        </w:rPr>
        <w:t>P</w:t>
      </w:r>
      <w:r w:rsidRPr="00B918A7">
        <w:rPr>
          <w:rFonts w:eastAsiaTheme="minorHAnsi"/>
          <w:i/>
          <w:sz w:val="26"/>
          <w:szCs w:val="26"/>
        </w:rPr>
        <w:t>roceeding</w:t>
      </w:r>
      <w:r w:rsidR="00ED23C1" w:rsidRPr="00B918A7">
        <w:rPr>
          <w:rFonts w:eastAsiaTheme="minorHAnsi"/>
          <w:i/>
          <w:sz w:val="26"/>
          <w:szCs w:val="26"/>
        </w:rPr>
        <w:t>s</w:t>
      </w:r>
      <w:r w:rsidRPr="00A24778">
        <w:rPr>
          <w:rFonts w:eastAsiaTheme="minorHAnsi"/>
          <w:sz w:val="26"/>
          <w:szCs w:val="26"/>
        </w:rPr>
        <w:t xml:space="preserve"> at Docket Nos. P-2015-2508942, </w:t>
      </w:r>
    </w:p>
    <w:p w:rsidR="00B031CA" w:rsidRPr="00A24778" w:rsidRDefault="00B031CA" w:rsidP="00244A3B">
      <w:pPr>
        <w:rPr>
          <w:sz w:val="26"/>
          <w:szCs w:val="26"/>
        </w:rPr>
      </w:pPr>
      <w:r w:rsidRPr="00A24778">
        <w:rPr>
          <w:rFonts w:eastAsiaTheme="minorHAnsi"/>
          <w:sz w:val="26"/>
          <w:szCs w:val="26"/>
        </w:rPr>
        <w:t xml:space="preserve">P-2015-2508936, P-2015-2508931, and P-2015-2508948 for such proceedings as may be necessary and the issuance of a Recommended Decision.  We also transferred the relevant parts of the record in this case, including the OCA’s Exceptions and the Companies’ Replies to Exceptions that pertain to the contested issue; OCA’s Main and Reply Briefs and the Companies’ Initial and Reply Briefs; OCA St. 1; and the Companies’ St. 2-R.  We stated that transferring the relevant parts of the record to the </w:t>
      </w:r>
      <w:r w:rsidRPr="00B918A7">
        <w:rPr>
          <w:rFonts w:eastAsiaTheme="minorHAnsi"/>
          <w:i/>
          <w:sz w:val="26"/>
          <w:szCs w:val="26"/>
        </w:rPr>
        <w:t xml:space="preserve">DSIC </w:t>
      </w:r>
      <w:r w:rsidR="00ED23C1" w:rsidRPr="00B918A7">
        <w:rPr>
          <w:rFonts w:eastAsiaTheme="minorHAnsi"/>
          <w:i/>
          <w:sz w:val="26"/>
          <w:szCs w:val="26"/>
        </w:rPr>
        <w:t>P</w:t>
      </w:r>
      <w:r w:rsidRPr="00B918A7">
        <w:rPr>
          <w:rFonts w:eastAsiaTheme="minorHAnsi"/>
          <w:i/>
          <w:sz w:val="26"/>
          <w:szCs w:val="26"/>
        </w:rPr>
        <w:t>roceeding</w:t>
      </w:r>
      <w:r w:rsidR="00ED23C1" w:rsidRPr="00B918A7">
        <w:rPr>
          <w:rFonts w:eastAsiaTheme="minorHAnsi"/>
          <w:i/>
          <w:sz w:val="26"/>
          <w:szCs w:val="26"/>
        </w:rPr>
        <w:t>s</w:t>
      </w:r>
      <w:r w:rsidRPr="00A24778">
        <w:rPr>
          <w:rFonts w:eastAsiaTheme="minorHAnsi"/>
          <w:sz w:val="26"/>
          <w:szCs w:val="26"/>
        </w:rPr>
        <w:t xml:space="preserve"> is consistent with the Commission’s and the ALJ’s ability to take </w:t>
      </w:r>
      <w:r w:rsidRPr="00A24778">
        <w:rPr>
          <w:sz w:val="26"/>
          <w:szCs w:val="26"/>
        </w:rPr>
        <w:t xml:space="preserve">official notice of the documents constituting the record in this proceeding, pursuant to 52 Pa. Code § 5.406 (relating to public documents), 52 Pa. Code § 5.407 (relating to records of other proceedings), and 52 Pa. Code § 5.408 (relating to official and judicial notice of fact).  </w:t>
      </w:r>
      <w:r w:rsidR="008F6001" w:rsidRPr="00A24778">
        <w:rPr>
          <w:rFonts w:eastAsiaTheme="minorHAnsi"/>
          <w:i/>
          <w:sz w:val="26"/>
          <w:szCs w:val="26"/>
        </w:rPr>
        <w:t>January 2017 Order</w:t>
      </w:r>
      <w:r w:rsidR="008F6001" w:rsidRPr="00A24778">
        <w:rPr>
          <w:rFonts w:eastAsiaTheme="minorHAnsi"/>
          <w:sz w:val="26"/>
          <w:szCs w:val="26"/>
        </w:rPr>
        <w:t xml:space="preserve"> at 39.</w:t>
      </w:r>
    </w:p>
    <w:p w:rsidR="00B031CA" w:rsidRPr="00A24778" w:rsidRDefault="00B031CA" w:rsidP="00EA3397">
      <w:pPr>
        <w:ind w:firstLine="1440"/>
        <w:rPr>
          <w:sz w:val="26"/>
          <w:szCs w:val="26"/>
        </w:rPr>
      </w:pPr>
    </w:p>
    <w:p w:rsidR="00B031CA" w:rsidRPr="00A24778" w:rsidRDefault="00B031CA" w:rsidP="00B031CA">
      <w:pPr>
        <w:ind w:firstLine="1440"/>
        <w:rPr>
          <w:sz w:val="26"/>
          <w:szCs w:val="26"/>
        </w:rPr>
      </w:pPr>
      <w:r w:rsidRPr="00A24778">
        <w:rPr>
          <w:sz w:val="26"/>
          <w:szCs w:val="26"/>
        </w:rPr>
        <w:t xml:space="preserve">In addition, we </w:t>
      </w:r>
      <w:r w:rsidR="000D1D89" w:rsidRPr="00A24778">
        <w:rPr>
          <w:sz w:val="26"/>
          <w:szCs w:val="26"/>
        </w:rPr>
        <w:t>noted</w:t>
      </w:r>
      <w:r w:rsidRPr="00A24778">
        <w:rPr>
          <w:sz w:val="26"/>
          <w:szCs w:val="26"/>
        </w:rPr>
        <w:t xml:space="preserve"> that because we </w:t>
      </w:r>
      <w:r w:rsidR="00A621F9" w:rsidRPr="00A24778">
        <w:rPr>
          <w:sz w:val="26"/>
          <w:szCs w:val="26"/>
        </w:rPr>
        <w:t>we</w:t>
      </w:r>
      <w:r w:rsidRPr="00A24778">
        <w:rPr>
          <w:sz w:val="26"/>
          <w:szCs w:val="26"/>
        </w:rPr>
        <w:t xml:space="preserve">re referring the contested issue to the </w:t>
      </w:r>
      <w:r w:rsidRPr="00B918A7">
        <w:rPr>
          <w:i/>
          <w:sz w:val="26"/>
          <w:szCs w:val="26"/>
        </w:rPr>
        <w:t xml:space="preserve">DSIC </w:t>
      </w:r>
      <w:r w:rsidR="00ED23C1" w:rsidRPr="00B918A7">
        <w:rPr>
          <w:i/>
          <w:sz w:val="26"/>
          <w:szCs w:val="26"/>
        </w:rPr>
        <w:t>P</w:t>
      </w:r>
      <w:r w:rsidRPr="00B918A7">
        <w:rPr>
          <w:i/>
          <w:sz w:val="26"/>
          <w:szCs w:val="26"/>
        </w:rPr>
        <w:t>roceeding</w:t>
      </w:r>
      <w:r w:rsidR="00ED23C1" w:rsidRPr="00B918A7">
        <w:rPr>
          <w:i/>
          <w:sz w:val="26"/>
          <w:szCs w:val="26"/>
        </w:rPr>
        <w:t>s</w:t>
      </w:r>
      <w:r w:rsidRPr="00A24778">
        <w:rPr>
          <w:sz w:val="26"/>
          <w:szCs w:val="26"/>
        </w:rPr>
        <w:t>, we w</w:t>
      </w:r>
      <w:r w:rsidR="00A621F9" w:rsidRPr="00A24778">
        <w:rPr>
          <w:sz w:val="26"/>
          <w:szCs w:val="26"/>
        </w:rPr>
        <w:t>ould</w:t>
      </w:r>
      <w:r w:rsidRPr="00A24778">
        <w:rPr>
          <w:sz w:val="26"/>
          <w:szCs w:val="26"/>
        </w:rPr>
        <w:t xml:space="preserve"> not address any portions of the OCA’s Exceptions or the Companies’ Replies to Exceptions that pertain</w:t>
      </w:r>
      <w:r w:rsidR="00A621F9" w:rsidRPr="00A24778">
        <w:rPr>
          <w:sz w:val="26"/>
          <w:szCs w:val="26"/>
        </w:rPr>
        <w:t>ed</w:t>
      </w:r>
      <w:r w:rsidRPr="00A24778">
        <w:rPr>
          <w:sz w:val="26"/>
          <w:szCs w:val="26"/>
        </w:rPr>
        <w:t xml:space="preserve"> to the merits of the contested issue.  </w:t>
      </w:r>
      <w:r w:rsidRPr="00A24778">
        <w:rPr>
          <w:sz w:val="26"/>
          <w:szCs w:val="26"/>
        </w:rPr>
        <w:lastRenderedPageBreak/>
        <w:t>We further noted that we w</w:t>
      </w:r>
      <w:r w:rsidR="00A621F9" w:rsidRPr="00A24778">
        <w:rPr>
          <w:sz w:val="26"/>
          <w:szCs w:val="26"/>
        </w:rPr>
        <w:t>ould</w:t>
      </w:r>
      <w:r w:rsidRPr="00A24778">
        <w:rPr>
          <w:sz w:val="26"/>
          <w:szCs w:val="26"/>
        </w:rPr>
        <w:t xml:space="preserve"> not make any determination in this proceeding regarding the merits of the OCA’s claim </w:t>
      </w:r>
      <w:r w:rsidRPr="00A24778">
        <w:rPr>
          <w:rFonts w:eastAsiaTheme="minorHAnsi"/>
          <w:sz w:val="26"/>
          <w:szCs w:val="26"/>
        </w:rPr>
        <w:t xml:space="preserve">regarding the calculation of ADIT in the Companies’ DSIC Riders or the Companies’ arguments in opposition to the OCA’s position.  </w:t>
      </w:r>
      <w:r w:rsidRPr="00A24778">
        <w:rPr>
          <w:rFonts w:eastAsiaTheme="minorHAnsi"/>
          <w:i/>
          <w:sz w:val="26"/>
          <w:szCs w:val="26"/>
        </w:rPr>
        <w:t>Id.</w:t>
      </w:r>
    </w:p>
    <w:p w:rsidR="00B031CA" w:rsidRPr="00A24778" w:rsidRDefault="00B031CA" w:rsidP="00B031CA">
      <w:pPr>
        <w:ind w:firstLine="1440"/>
        <w:rPr>
          <w:sz w:val="26"/>
          <w:szCs w:val="26"/>
        </w:rPr>
      </w:pPr>
    </w:p>
    <w:p w:rsidR="00617A4D" w:rsidRPr="00A24778" w:rsidRDefault="00B031CA" w:rsidP="00617A4D">
      <w:pPr>
        <w:ind w:firstLine="1440"/>
        <w:rPr>
          <w:rFonts w:eastAsiaTheme="minorHAnsi"/>
          <w:sz w:val="26"/>
          <w:szCs w:val="26"/>
        </w:rPr>
      </w:pPr>
      <w:r w:rsidRPr="00A24778">
        <w:rPr>
          <w:sz w:val="26"/>
          <w:szCs w:val="26"/>
        </w:rPr>
        <w:t>Consistent with</w:t>
      </w:r>
      <w:r w:rsidR="00617A4D" w:rsidRPr="00A24778">
        <w:rPr>
          <w:sz w:val="26"/>
          <w:szCs w:val="26"/>
        </w:rPr>
        <w:t xml:space="preserve"> the</w:t>
      </w:r>
      <w:r w:rsidR="002778F4" w:rsidRPr="00A24778">
        <w:rPr>
          <w:sz w:val="26"/>
          <w:szCs w:val="26"/>
        </w:rPr>
        <w:t xml:space="preserve"> above discussion, we</w:t>
      </w:r>
      <w:r w:rsidR="00617A4D" w:rsidRPr="00A24778">
        <w:rPr>
          <w:sz w:val="26"/>
          <w:szCs w:val="26"/>
        </w:rPr>
        <w:t xml:space="preserve"> </w:t>
      </w:r>
      <w:r w:rsidRPr="00A24778">
        <w:rPr>
          <w:sz w:val="26"/>
          <w:szCs w:val="26"/>
        </w:rPr>
        <w:t>grant</w:t>
      </w:r>
      <w:r w:rsidR="00617A4D" w:rsidRPr="00A24778">
        <w:rPr>
          <w:sz w:val="26"/>
          <w:szCs w:val="26"/>
        </w:rPr>
        <w:t>ed</w:t>
      </w:r>
      <w:r w:rsidRPr="00A24778">
        <w:rPr>
          <w:sz w:val="26"/>
          <w:szCs w:val="26"/>
        </w:rPr>
        <w:t xml:space="preserve"> the OCA’s Exceptions, </w:t>
      </w:r>
      <w:r w:rsidR="002778F4" w:rsidRPr="00A24778">
        <w:rPr>
          <w:sz w:val="26"/>
          <w:szCs w:val="26"/>
        </w:rPr>
        <w:t xml:space="preserve">in part, to the extent that we </w:t>
      </w:r>
      <w:r w:rsidRPr="00A24778">
        <w:rPr>
          <w:sz w:val="26"/>
          <w:szCs w:val="26"/>
        </w:rPr>
        <w:t>referr</w:t>
      </w:r>
      <w:r w:rsidR="00A621F9" w:rsidRPr="00A24778">
        <w:rPr>
          <w:sz w:val="26"/>
          <w:szCs w:val="26"/>
        </w:rPr>
        <w:t>ed</w:t>
      </w:r>
      <w:r w:rsidRPr="00A24778">
        <w:rPr>
          <w:sz w:val="26"/>
          <w:szCs w:val="26"/>
        </w:rPr>
        <w:t xml:space="preserve"> the contested issue to the </w:t>
      </w:r>
      <w:r w:rsidRPr="00B918A7">
        <w:rPr>
          <w:i/>
          <w:sz w:val="26"/>
          <w:szCs w:val="26"/>
        </w:rPr>
        <w:t xml:space="preserve">DSIC </w:t>
      </w:r>
      <w:r w:rsidR="00924A9A" w:rsidRPr="00B918A7">
        <w:rPr>
          <w:i/>
          <w:sz w:val="26"/>
          <w:szCs w:val="26"/>
        </w:rPr>
        <w:t>P</w:t>
      </w:r>
      <w:r w:rsidRPr="00B918A7">
        <w:rPr>
          <w:i/>
          <w:sz w:val="26"/>
          <w:szCs w:val="26"/>
        </w:rPr>
        <w:t>roceeding</w:t>
      </w:r>
      <w:r w:rsidR="00924A9A" w:rsidRPr="00B918A7">
        <w:rPr>
          <w:i/>
          <w:sz w:val="26"/>
          <w:szCs w:val="26"/>
        </w:rPr>
        <w:t>s</w:t>
      </w:r>
      <w:r w:rsidRPr="00A24778">
        <w:rPr>
          <w:sz w:val="26"/>
          <w:szCs w:val="26"/>
        </w:rPr>
        <w:t xml:space="preserve"> and </w:t>
      </w:r>
      <w:r w:rsidRPr="00A24778">
        <w:rPr>
          <w:rFonts w:eastAsiaTheme="minorHAnsi"/>
          <w:sz w:val="26"/>
          <w:szCs w:val="26"/>
        </w:rPr>
        <w:t>transferr</w:t>
      </w:r>
      <w:r w:rsidR="00A621F9" w:rsidRPr="00A24778">
        <w:rPr>
          <w:rFonts w:eastAsiaTheme="minorHAnsi"/>
          <w:sz w:val="26"/>
          <w:szCs w:val="26"/>
        </w:rPr>
        <w:t>ed</w:t>
      </w:r>
      <w:r w:rsidRPr="00A24778">
        <w:rPr>
          <w:rFonts w:eastAsiaTheme="minorHAnsi"/>
          <w:sz w:val="26"/>
          <w:szCs w:val="26"/>
        </w:rPr>
        <w:t xml:space="preserve"> the record in this proceeding regarding the contested issue to the record of the </w:t>
      </w:r>
      <w:r w:rsidRPr="00B918A7">
        <w:rPr>
          <w:rFonts w:eastAsiaTheme="minorHAnsi"/>
          <w:i/>
          <w:sz w:val="26"/>
          <w:szCs w:val="26"/>
        </w:rPr>
        <w:t xml:space="preserve">DSIC </w:t>
      </w:r>
      <w:r w:rsidR="00924A9A" w:rsidRPr="00B918A7">
        <w:rPr>
          <w:rFonts w:eastAsiaTheme="minorHAnsi"/>
          <w:i/>
          <w:sz w:val="26"/>
          <w:szCs w:val="26"/>
        </w:rPr>
        <w:t>P</w:t>
      </w:r>
      <w:r w:rsidRPr="00B918A7">
        <w:rPr>
          <w:rFonts w:eastAsiaTheme="minorHAnsi"/>
          <w:i/>
          <w:sz w:val="26"/>
          <w:szCs w:val="26"/>
        </w:rPr>
        <w:t>roceeding</w:t>
      </w:r>
      <w:r w:rsidR="00924A9A" w:rsidRPr="00B918A7">
        <w:rPr>
          <w:rFonts w:eastAsiaTheme="minorHAnsi"/>
          <w:i/>
          <w:sz w:val="26"/>
          <w:szCs w:val="26"/>
        </w:rPr>
        <w:t>s</w:t>
      </w:r>
      <w:r w:rsidRPr="00A24778">
        <w:rPr>
          <w:sz w:val="26"/>
          <w:szCs w:val="26"/>
        </w:rPr>
        <w:t>.</w:t>
      </w:r>
      <w:r w:rsidR="00617A4D" w:rsidRPr="00A24778">
        <w:rPr>
          <w:sz w:val="26"/>
          <w:szCs w:val="26"/>
        </w:rPr>
        <w:t xml:space="preserve">  We also modified</w:t>
      </w:r>
      <w:r w:rsidRPr="00A24778">
        <w:rPr>
          <w:sz w:val="26"/>
          <w:szCs w:val="26"/>
        </w:rPr>
        <w:t xml:space="preserve"> the ALJ’s Recommended Decision with respect to the ALJ’s dismissal without prejudice of the OCA’s claim</w:t>
      </w:r>
      <w:r w:rsidRPr="00A24778">
        <w:rPr>
          <w:rFonts w:eastAsiaTheme="minorHAnsi"/>
          <w:sz w:val="26"/>
          <w:szCs w:val="26"/>
        </w:rPr>
        <w:t xml:space="preserve"> regarding the calculation of ADIT in the Companies’ DSIC Riders.</w:t>
      </w:r>
      <w:r w:rsidR="00617A4D" w:rsidRPr="00A24778">
        <w:rPr>
          <w:rFonts w:eastAsiaTheme="minorHAnsi"/>
          <w:sz w:val="26"/>
          <w:szCs w:val="26"/>
        </w:rPr>
        <w:t xml:space="preserve">  </w:t>
      </w:r>
      <w:r w:rsidR="00617A4D" w:rsidRPr="00A24778">
        <w:rPr>
          <w:rFonts w:eastAsiaTheme="minorHAnsi"/>
          <w:i/>
          <w:sz w:val="26"/>
          <w:szCs w:val="26"/>
        </w:rPr>
        <w:t>Id.</w:t>
      </w:r>
      <w:r w:rsidR="00617A4D" w:rsidRPr="00A24778">
        <w:rPr>
          <w:rFonts w:eastAsiaTheme="minorHAnsi"/>
          <w:sz w:val="26"/>
          <w:szCs w:val="26"/>
        </w:rPr>
        <w:t xml:space="preserve"> at 40.</w:t>
      </w:r>
    </w:p>
    <w:p w:rsidR="00A00E3F" w:rsidRPr="00A24778" w:rsidRDefault="00A00E3F" w:rsidP="00617A4D">
      <w:pPr>
        <w:ind w:firstLine="1440"/>
        <w:rPr>
          <w:sz w:val="26"/>
          <w:szCs w:val="26"/>
        </w:rPr>
      </w:pPr>
    </w:p>
    <w:p w:rsidR="005E0992" w:rsidRPr="00A24778" w:rsidRDefault="005E0992" w:rsidP="005E0992">
      <w:pPr>
        <w:keepNext/>
        <w:keepLines/>
        <w:tabs>
          <w:tab w:val="left" w:pos="-720"/>
        </w:tabs>
        <w:suppressAutoHyphens/>
        <w:rPr>
          <w:b/>
          <w:sz w:val="26"/>
          <w:szCs w:val="26"/>
        </w:rPr>
      </w:pPr>
      <w:r w:rsidRPr="00A24778">
        <w:rPr>
          <w:b/>
          <w:sz w:val="26"/>
          <w:szCs w:val="26"/>
        </w:rPr>
        <w:t>OCA’s Petition</w:t>
      </w:r>
      <w:r w:rsidR="003D62A3">
        <w:rPr>
          <w:b/>
          <w:sz w:val="26"/>
          <w:szCs w:val="26"/>
        </w:rPr>
        <w:t xml:space="preserve"> and </w:t>
      </w:r>
      <w:r w:rsidR="00B57943">
        <w:rPr>
          <w:b/>
          <w:sz w:val="26"/>
          <w:szCs w:val="26"/>
        </w:rPr>
        <w:t xml:space="preserve">the </w:t>
      </w:r>
      <w:r w:rsidR="003D62A3">
        <w:rPr>
          <w:b/>
          <w:sz w:val="26"/>
          <w:szCs w:val="26"/>
        </w:rPr>
        <w:t>Companies’ No Objection Letter</w:t>
      </w:r>
    </w:p>
    <w:p w:rsidR="005E0992" w:rsidRPr="00A24778" w:rsidRDefault="005E0992" w:rsidP="005E0992">
      <w:pPr>
        <w:keepNext/>
        <w:keepLines/>
        <w:tabs>
          <w:tab w:val="left" w:pos="-720"/>
        </w:tabs>
        <w:suppressAutoHyphens/>
        <w:rPr>
          <w:sz w:val="26"/>
          <w:szCs w:val="26"/>
        </w:rPr>
      </w:pPr>
    </w:p>
    <w:p w:rsidR="00402158" w:rsidRPr="00A24778" w:rsidRDefault="005E0992" w:rsidP="005E0992">
      <w:pPr>
        <w:tabs>
          <w:tab w:val="left" w:pos="-720"/>
        </w:tabs>
        <w:suppressAutoHyphens/>
        <w:rPr>
          <w:sz w:val="26"/>
          <w:szCs w:val="26"/>
        </w:rPr>
      </w:pPr>
      <w:r w:rsidRPr="00A24778">
        <w:rPr>
          <w:sz w:val="26"/>
          <w:szCs w:val="26"/>
        </w:rPr>
        <w:tab/>
      </w:r>
      <w:r w:rsidRPr="00A24778">
        <w:rPr>
          <w:sz w:val="26"/>
          <w:szCs w:val="26"/>
        </w:rPr>
        <w:tab/>
        <w:t xml:space="preserve">In its Petition, </w:t>
      </w:r>
      <w:r w:rsidR="00402158" w:rsidRPr="00A24778">
        <w:rPr>
          <w:sz w:val="26"/>
          <w:szCs w:val="26"/>
        </w:rPr>
        <w:t xml:space="preserve">the OCA raises one issue it believes the Commission may have overlooked in </w:t>
      </w:r>
      <w:r w:rsidR="009B3D21" w:rsidRPr="00A24778">
        <w:rPr>
          <w:sz w:val="26"/>
          <w:szCs w:val="26"/>
        </w:rPr>
        <w:t xml:space="preserve">the </w:t>
      </w:r>
      <w:r w:rsidR="00402158" w:rsidRPr="00A24778">
        <w:rPr>
          <w:i/>
          <w:sz w:val="26"/>
          <w:szCs w:val="26"/>
        </w:rPr>
        <w:t>January 2017 Order</w:t>
      </w:r>
      <w:r w:rsidR="004B6931" w:rsidRPr="00A24778">
        <w:rPr>
          <w:sz w:val="26"/>
          <w:szCs w:val="26"/>
        </w:rPr>
        <w:t xml:space="preserve">.  </w:t>
      </w:r>
      <w:r w:rsidR="00EA3055" w:rsidRPr="00A24778">
        <w:rPr>
          <w:sz w:val="26"/>
          <w:szCs w:val="26"/>
        </w:rPr>
        <w:t>T</w:t>
      </w:r>
      <w:r w:rsidR="004B6931" w:rsidRPr="00A24778">
        <w:rPr>
          <w:sz w:val="26"/>
          <w:szCs w:val="26"/>
        </w:rPr>
        <w:t>he OCA</w:t>
      </w:r>
      <w:r w:rsidR="00EA3055" w:rsidRPr="00A24778">
        <w:rPr>
          <w:sz w:val="26"/>
          <w:szCs w:val="26"/>
        </w:rPr>
        <w:t xml:space="preserve"> therefore,</w:t>
      </w:r>
      <w:r w:rsidR="004B6931" w:rsidRPr="00A24778">
        <w:rPr>
          <w:sz w:val="26"/>
          <w:szCs w:val="26"/>
        </w:rPr>
        <w:t xml:space="preserve"> </w:t>
      </w:r>
      <w:r w:rsidR="00402158" w:rsidRPr="00A24778">
        <w:rPr>
          <w:sz w:val="26"/>
          <w:szCs w:val="26"/>
        </w:rPr>
        <w:t xml:space="preserve">seeks reconsideration or clarification of the </w:t>
      </w:r>
      <w:r w:rsidR="00402158" w:rsidRPr="00A24778">
        <w:rPr>
          <w:i/>
          <w:sz w:val="26"/>
          <w:szCs w:val="26"/>
        </w:rPr>
        <w:t>January 2017 Order</w:t>
      </w:r>
      <w:r w:rsidR="00402158" w:rsidRPr="00A24778">
        <w:rPr>
          <w:sz w:val="26"/>
          <w:szCs w:val="26"/>
        </w:rPr>
        <w:t xml:space="preserve"> as it pertains to the relevant parts of the record in this proceeding that should be transferred to the </w:t>
      </w:r>
      <w:r w:rsidR="009B3D21" w:rsidRPr="00B918A7">
        <w:rPr>
          <w:i/>
          <w:sz w:val="26"/>
          <w:szCs w:val="26"/>
        </w:rPr>
        <w:t xml:space="preserve">DSIC </w:t>
      </w:r>
      <w:r w:rsidR="00924A9A" w:rsidRPr="00B918A7">
        <w:rPr>
          <w:i/>
          <w:sz w:val="26"/>
          <w:szCs w:val="26"/>
        </w:rPr>
        <w:t>P</w:t>
      </w:r>
      <w:r w:rsidR="009B3D21" w:rsidRPr="00B918A7">
        <w:rPr>
          <w:i/>
          <w:sz w:val="26"/>
          <w:szCs w:val="26"/>
        </w:rPr>
        <w:t>roceeding</w:t>
      </w:r>
      <w:r w:rsidR="00924A9A" w:rsidRPr="00B918A7">
        <w:rPr>
          <w:i/>
          <w:sz w:val="26"/>
          <w:szCs w:val="26"/>
        </w:rPr>
        <w:t>s</w:t>
      </w:r>
      <w:r w:rsidR="00402158" w:rsidRPr="00A24778">
        <w:rPr>
          <w:sz w:val="26"/>
          <w:szCs w:val="26"/>
        </w:rPr>
        <w:t xml:space="preserve">.  Petition at 2-3 (citing </w:t>
      </w:r>
      <w:r w:rsidR="00402158" w:rsidRPr="00A24778">
        <w:rPr>
          <w:i/>
          <w:sz w:val="26"/>
          <w:szCs w:val="26"/>
        </w:rPr>
        <w:t>January 2017 Order</w:t>
      </w:r>
      <w:r w:rsidR="004B6931" w:rsidRPr="00A24778">
        <w:rPr>
          <w:sz w:val="26"/>
          <w:szCs w:val="26"/>
        </w:rPr>
        <w:t xml:space="preserve"> at 39, 42).  The OCA cites</w:t>
      </w:r>
      <w:r w:rsidR="00402158" w:rsidRPr="00A24778">
        <w:rPr>
          <w:sz w:val="26"/>
          <w:szCs w:val="26"/>
        </w:rPr>
        <w:t xml:space="preserve"> to </w:t>
      </w:r>
      <w:r w:rsidR="004B6931" w:rsidRPr="00A24778">
        <w:rPr>
          <w:sz w:val="26"/>
          <w:szCs w:val="26"/>
        </w:rPr>
        <w:t>our</w:t>
      </w:r>
      <w:r w:rsidR="00402158" w:rsidRPr="00A24778">
        <w:rPr>
          <w:sz w:val="26"/>
          <w:szCs w:val="26"/>
        </w:rPr>
        <w:t xml:space="preserve"> </w:t>
      </w:r>
      <w:r w:rsidR="00402158" w:rsidRPr="00A24778">
        <w:rPr>
          <w:i/>
          <w:sz w:val="26"/>
          <w:szCs w:val="26"/>
        </w:rPr>
        <w:t>January 2017 Order</w:t>
      </w:r>
      <w:r w:rsidR="009B3D21" w:rsidRPr="00A24778">
        <w:rPr>
          <w:sz w:val="26"/>
          <w:szCs w:val="26"/>
        </w:rPr>
        <w:t>, which stated that</w:t>
      </w:r>
      <w:r w:rsidR="00402158" w:rsidRPr="00A24778">
        <w:rPr>
          <w:sz w:val="26"/>
          <w:szCs w:val="26"/>
        </w:rPr>
        <w:t>:</w:t>
      </w:r>
    </w:p>
    <w:p w:rsidR="00402158" w:rsidRPr="00A24778" w:rsidRDefault="00402158" w:rsidP="005E0992">
      <w:pPr>
        <w:tabs>
          <w:tab w:val="left" w:pos="-720"/>
        </w:tabs>
        <w:suppressAutoHyphens/>
        <w:rPr>
          <w:sz w:val="26"/>
          <w:szCs w:val="26"/>
        </w:rPr>
      </w:pPr>
    </w:p>
    <w:p w:rsidR="00402158" w:rsidRPr="00A24778" w:rsidRDefault="00023B52" w:rsidP="00023B52">
      <w:pPr>
        <w:tabs>
          <w:tab w:val="left" w:pos="-720"/>
        </w:tabs>
        <w:suppressAutoHyphens/>
        <w:spacing w:line="240" w:lineRule="auto"/>
        <w:ind w:left="1440" w:right="1440"/>
        <w:rPr>
          <w:sz w:val="26"/>
          <w:szCs w:val="26"/>
        </w:rPr>
      </w:pPr>
      <w:r w:rsidRPr="00A24778">
        <w:rPr>
          <w:rFonts w:eastAsiaTheme="minorHAnsi"/>
          <w:sz w:val="26"/>
          <w:szCs w:val="26"/>
        </w:rPr>
        <w:t>[W]e will refer the OCA’s claim regarding the calculation of ADIT in the Companies’ DSIC Riders to the DSIC proceeding at Docket Nos. P-2015-2508942, P-2015-2508936, P-2015-2508931, and P-2015-2508948 for such proceedings as may be necessary and the issuance of a Recommended Decision.  We will also transfer the relevant parts of the record in this case, including the OCA’s Exceptions and the Companies’ Replies to Exceptions that pertain to the contested issue; OCA’s Main and Reply Briefs and the Companies’ Initial and Reply Briefs; OCA St. 1; and the Companies’ St. 2-R.</w:t>
      </w:r>
    </w:p>
    <w:p w:rsidR="00402158" w:rsidRPr="00A24778" w:rsidRDefault="00402158" w:rsidP="005E0992">
      <w:pPr>
        <w:tabs>
          <w:tab w:val="left" w:pos="-720"/>
        </w:tabs>
        <w:suppressAutoHyphens/>
        <w:rPr>
          <w:sz w:val="26"/>
          <w:szCs w:val="26"/>
        </w:rPr>
      </w:pPr>
    </w:p>
    <w:p w:rsidR="00023B52" w:rsidRPr="00A24778" w:rsidRDefault="00023B52" w:rsidP="005E0992">
      <w:pPr>
        <w:tabs>
          <w:tab w:val="left" w:pos="-720"/>
        </w:tabs>
        <w:suppressAutoHyphens/>
        <w:rPr>
          <w:sz w:val="26"/>
          <w:szCs w:val="26"/>
        </w:rPr>
      </w:pPr>
      <w:r w:rsidRPr="00A24778">
        <w:rPr>
          <w:sz w:val="26"/>
          <w:szCs w:val="26"/>
        </w:rPr>
        <w:lastRenderedPageBreak/>
        <w:t xml:space="preserve">Petition at 3 (citing </w:t>
      </w:r>
      <w:r w:rsidRPr="00A24778">
        <w:rPr>
          <w:i/>
          <w:sz w:val="26"/>
          <w:szCs w:val="26"/>
        </w:rPr>
        <w:t>January 2017 Order</w:t>
      </w:r>
      <w:r w:rsidRPr="00A24778">
        <w:rPr>
          <w:sz w:val="26"/>
          <w:szCs w:val="26"/>
        </w:rPr>
        <w:t xml:space="preserve"> at 39).  </w:t>
      </w:r>
    </w:p>
    <w:p w:rsidR="00023B52" w:rsidRPr="00A24778" w:rsidRDefault="00023B52" w:rsidP="005E0992">
      <w:pPr>
        <w:tabs>
          <w:tab w:val="left" w:pos="-720"/>
        </w:tabs>
        <w:suppressAutoHyphens/>
        <w:rPr>
          <w:sz w:val="26"/>
          <w:szCs w:val="26"/>
        </w:rPr>
      </w:pPr>
    </w:p>
    <w:p w:rsidR="005B037D" w:rsidRPr="00A24778" w:rsidRDefault="00023B52" w:rsidP="005B037D">
      <w:pPr>
        <w:tabs>
          <w:tab w:val="left" w:pos="-720"/>
        </w:tabs>
        <w:suppressAutoHyphens/>
        <w:rPr>
          <w:sz w:val="26"/>
          <w:szCs w:val="26"/>
        </w:rPr>
      </w:pPr>
      <w:r w:rsidRPr="00A24778">
        <w:rPr>
          <w:sz w:val="26"/>
          <w:szCs w:val="26"/>
        </w:rPr>
        <w:tab/>
      </w:r>
      <w:r w:rsidRPr="00A24778">
        <w:rPr>
          <w:sz w:val="26"/>
          <w:szCs w:val="26"/>
        </w:rPr>
        <w:tab/>
        <w:t xml:space="preserve">The OCA </w:t>
      </w:r>
      <w:r w:rsidR="002542A7" w:rsidRPr="00A24778">
        <w:rPr>
          <w:sz w:val="26"/>
          <w:szCs w:val="26"/>
        </w:rPr>
        <w:t>states</w:t>
      </w:r>
      <w:r w:rsidRPr="00A24778">
        <w:rPr>
          <w:sz w:val="26"/>
          <w:szCs w:val="26"/>
        </w:rPr>
        <w:t xml:space="preserve"> that in the </w:t>
      </w:r>
      <w:r w:rsidRPr="00A24778">
        <w:rPr>
          <w:i/>
          <w:sz w:val="26"/>
          <w:szCs w:val="26"/>
        </w:rPr>
        <w:t>January 2017 Order</w:t>
      </w:r>
      <w:r w:rsidRPr="00A24778">
        <w:rPr>
          <w:sz w:val="26"/>
          <w:szCs w:val="26"/>
        </w:rPr>
        <w:t xml:space="preserve">, although the Commission adopted the ALJ’s recommendation that the application of Act 40 regarding the inclusion of ADIT in the Companies’ DSIC calculations should be addressed in the  </w:t>
      </w:r>
      <w:r w:rsidRPr="00B918A7">
        <w:rPr>
          <w:i/>
          <w:sz w:val="26"/>
          <w:szCs w:val="26"/>
        </w:rPr>
        <w:t xml:space="preserve">DSIC </w:t>
      </w:r>
      <w:r w:rsidR="00924A9A" w:rsidRPr="00B918A7">
        <w:rPr>
          <w:i/>
          <w:sz w:val="26"/>
          <w:szCs w:val="26"/>
        </w:rPr>
        <w:t>P</w:t>
      </w:r>
      <w:r w:rsidRPr="00B918A7">
        <w:rPr>
          <w:i/>
          <w:sz w:val="26"/>
          <w:szCs w:val="26"/>
        </w:rPr>
        <w:t>roceeding</w:t>
      </w:r>
      <w:r w:rsidR="00924A9A" w:rsidRPr="00B918A7">
        <w:rPr>
          <w:i/>
          <w:sz w:val="26"/>
          <w:szCs w:val="26"/>
        </w:rPr>
        <w:t>s</w:t>
      </w:r>
      <w:r w:rsidRPr="00A24778">
        <w:rPr>
          <w:sz w:val="26"/>
          <w:szCs w:val="26"/>
        </w:rPr>
        <w:t xml:space="preserve"> and also granted the OCA’s Exception that the relevant portions of the record in the proceeding be transferred to the records in the </w:t>
      </w:r>
      <w:r w:rsidRPr="00B918A7">
        <w:rPr>
          <w:i/>
          <w:sz w:val="26"/>
          <w:szCs w:val="26"/>
        </w:rPr>
        <w:t xml:space="preserve">DSIC </w:t>
      </w:r>
      <w:r w:rsidR="00924A9A" w:rsidRPr="00B918A7">
        <w:rPr>
          <w:i/>
          <w:sz w:val="26"/>
          <w:szCs w:val="26"/>
        </w:rPr>
        <w:t>P</w:t>
      </w:r>
      <w:r w:rsidRPr="00B918A7">
        <w:rPr>
          <w:i/>
          <w:sz w:val="26"/>
          <w:szCs w:val="26"/>
        </w:rPr>
        <w:t>roceeding</w:t>
      </w:r>
      <w:r w:rsidR="00924A9A" w:rsidRPr="00B918A7">
        <w:rPr>
          <w:i/>
          <w:sz w:val="26"/>
          <w:szCs w:val="26"/>
        </w:rPr>
        <w:t>s</w:t>
      </w:r>
      <w:r w:rsidRPr="00A24778">
        <w:rPr>
          <w:sz w:val="26"/>
          <w:szCs w:val="26"/>
        </w:rPr>
        <w:t xml:space="preserve">, the Commission failed to itemize the full record that was developed on the </w:t>
      </w:r>
      <w:r w:rsidR="005B037D" w:rsidRPr="00A24778">
        <w:rPr>
          <w:sz w:val="26"/>
          <w:szCs w:val="26"/>
        </w:rPr>
        <w:t xml:space="preserve">ADIT issue in this proceeding.  Petition at 3 (citing </w:t>
      </w:r>
      <w:r w:rsidR="005B037D" w:rsidRPr="00A24778">
        <w:rPr>
          <w:i/>
          <w:sz w:val="26"/>
          <w:szCs w:val="26"/>
        </w:rPr>
        <w:t>January 2017 Order</w:t>
      </w:r>
      <w:r w:rsidR="005B037D" w:rsidRPr="00A24778">
        <w:rPr>
          <w:sz w:val="26"/>
          <w:szCs w:val="26"/>
        </w:rPr>
        <w:t xml:space="preserve"> at 38-40; OCA Exc. at 3).  </w:t>
      </w:r>
    </w:p>
    <w:p w:rsidR="00402158" w:rsidRPr="00A24778" w:rsidRDefault="00402158" w:rsidP="005E0992">
      <w:pPr>
        <w:tabs>
          <w:tab w:val="left" w:pos="-720"/>
        </w:tabs>
        <w:suppressAutoHyphens/>
        <w:rPr>
          <w:sz w:val="26"/>
          <w:szCs w:val="26"/>
        </w:rPr>
      </w:pPr>
    </w:p>
    <w:p w:rsidR="00B031CA" w:rsidRDefault="00B534BF" w:rsidP="0057730D">
      <w:pPr>
        <w:tabs>
          <w:tab w:val="left" w:pos="-720"/>
        </w:tabs>
        <w:suppressAutoHyphens/>
        <w:rPr>
          <w:sz w:val="26"/>
          <w:szCs w:val="26"/>
        </w:rPr>
      </w:pPr>
      <w:r w:rsidRPr="00A24778">
        <w:rPr>
          <w:sz w:val="26"/>
          <w:szCs w:val="26"/>
        </w:rPr>
        <w:tab/>
      </w:r>
      <w:r w:rsidRPr="00A24778">
        <w:rPr>
          <w:sz w:val="26"/>
          <w:szCs w:val="26"/>
        </w:rPr>
        <w:tab/>
        <w:t xml:space="preserve">In particular, the OCA avers that </w:t>
      </w:r>
      <w:r w:rsidR="009B3D21" w:rsidRPr="00A24778">
        <w:rPr>
          <w:sz w:val="26"/>
          <w:szCs w:val="26"/>
        </w:rPr>
        <w:t>relevant portions</w:t>
      </w:r>
      <w:r w:rsidR="002542A7" w:rsidRPr="00A24778">
        <w:rPr>
          <w:sz w:val="26"/>
          <w:szCs w:val="26"/>
        </w:rPr>
        <w:t>,</w:t>
      </w:r>
      <w:r w:rsidR="009B3D21" w:rsidRPr="00A24778">
        <w:rPr>
          <w:sz w:val="26"/>
          <w:szCs w:val="26"/>
        </w:rPr>
        <w:t xml:space="preserve"> </w:t>
      </w:r>
      <w:r w:rsidR="0057730D" w:rsidRPr="00A24778">
        <w:rPr>
          <w:sz w:val="26"/>
          <w:szCs w:val="26"/>
        </w:rPr>
        <w:t>or pages thirty-three through thirty-six</w:t>
      </w:r>
      <w:r w:rsidR="002542A7" w:rsidRPr="00A24778">
        <w:rPr>
          <w:sz w:val="26"/>
          <w:szCs w:val="26"/>
        </w:rPr>
        <w:t>,</w:t>
      </w:r>
      <w:r w:rsidR="0057730D" w:rsidRPr="00A24778">
        <w:rPr>
          <w:sz w:val="26"/>
          <w:szCs w:val="26"/>
        </w:rPr>
        <w:t xml:space="preserve"> </w:t>
      </w:r>
      <w:r w:rsidR="009B3D21" w:rsidRPr="00A24778">
        <w:rPr>
          <w:sz w:val="26"/>
          <w:szCs w:val="26"/>
        </w:rPr>
        <w:t xml:space="preserve">of </w:t>
      </w:r>
      <w:r w:rsidR="00A00E3F" w:rsidRPr="00A24778">
        <w:rPr>
          <w:sz w:val="26"/>
          <w:szCs w:val="26"/>
        </w:rPr>
        <w:t>its Surrebuttal</w:t>
      </w:r>
      <w:r w:rsidR="009B3D21" w:rsidRPr="00A24778">
        <w:rPr>
          <w:sz w:val="26"/>
          <w:szCs w:val="26"/>
        </w:rPr>
        <w:t xml:space="preserve"> Testimony (</w:t>
      </w:r>
      <w:r w:rsidR="004B6931" w:rsidRPr="00A24778">
        <w:rPr>
          <w:sz w:val="26"/>
          <w:szCs w:val="26"/>
        </w:rPr>
        <w:t>OCA St. 1-SR), is</w:t>
      </w:r>
      <w:r w:rsidRPr="00A24778">
        <w:rPr>
          <w:sz w:val="26"/>
          <w:szCs w:val="26"/>
        </w:rPr>
        <w:t xml:space="preserve"> not on the itemized list</w:t>
      </w:r>
      <w:r w:rsidR="0057730D" w:rsidRPr="00A24778">
        <w:rPr>
          <w:sz w:val="26"/>
          <w:szCs w:val="26"/>
        </w:rPr>
        <w:t xml:space="preserve"> of our </w:t>
      </w:r>
      <w:r w:rsidR="0057730D" w:rsidRPr="00A24778">
        <w:rPr>
          <w:i/>
          <w:sz w:val="26"/>
          <w:szCs w:val="26"/>
        </w:rPr>
        <w:t>January 2017 Order</w:t>
      </w:r>
      <w:r w:rsidRPr="00A24778">
        <w:rPr>
          <w:sz w:val="26"/>
          <w:szCs w:val="26"/>
        </w:rPr>
        <w:t>.  Thus, the OCA requests that</w:t>
      </w:r>
      <w:r w:rsidR="002542A7" w:rsidRPr="00A24778">
        <w:rPr>
          <w:sz w:val="26"/>
          <w:szCs w:val="26"/>
        </w:rPr>
        <w:t>,</w:t>
      </w:r>
      <w:r w:rsidR="004B6931" w:rsidRPr="00A24778">
        <w:rPr>
          <w:sz w:val="26"/>
          <w:szCs w:val="26"/>
        </w:rPr>
        <w:t xml:space="preserve"> pursuant to the instant Petition,</w:t>
      </w:r>
      <w:r w:rsidRPr="00A24778">
        <w:rPr>
          <w:sz w:val="26"/>
          <w:szCs w:val="26"/>
        </w:rPr>
        <w:t xml:space="preserve"> the Commission </w:t>
      </w:r>
      <w:r w:rsidR="004B6931" w:rsidRPr="00A24778">
        <w:rPr>
          <w:sz w:val="26"/>
          <w:szCs w:val="26"/>
        </w:rPr>
        <w:t xml:space="preserve">should </w:t>
      </w:r>
      <w:r w:rsidRPr="00A24778">
        <w:rPr>
          <w:sz w:val="26"/>
          <w:szCs w:val="26"/>
        </w:rPr>
        <w:t>clarify that the rel</w:t>
      </w:r>
      <w:r w:rsidR="004B6931" w:rsidRPr="00A24778">
        <w:rPr>
          <w:sz w:val="26"/>
          <w:szCs w:val="26"/>
        </w:rPr>
        <w:t xml:space="preserve">evant portions of OCA St. 1-SR </w:t>
      </w:r>
      <w:r w:rsidRPr="00A24778">
        <w:rPr>
          <w:sz w:val="26"/>
          <w:szCs w:val="26"/>
        </w:rPr>
        <w:t xml:space="preserve">also </w:t>
      </w:r>
      <w:r w:rsidR="0057730D" w:rsidRPr="00A24778">
        <w:rPr>
          <w:sz w:val="26"/>
          <w:szCs w:val="26"/>
        </w:rPr>
        <w:t xml:space="preserve">should </w:t>
      </w:r>
      <w:r w:rsidRPr="00A24778">
        <w:rPr>
          <w:sz w:val="26"/>
          <w:szCs w:val="26"/>
        </w:rPr>
        <w:t xml:space="preserve">be transferred to the records in the </w:t>
      </w:r>
      <w:r w:rsidRPr="00B918A7">
        <w:rPr>
          <w:i/>
          <w:sz w:val="26"/>
          <w:szCs w:val="26"/>
        </w:rPr>
        <w:t xml:space="preserve">DSIC </w:t>
      </w:r>
      <w:r w:rsidR="00924A9A" w:rsidRPr="00B918A7">
        <w:rPr>
          <w:i/>
          <w:sz w:val="26"/>
          <w:szCs w:val="26"/>
        </w:rPr>
        <w:t>P</w:t>
      </w:r>
      <w:r w:rsidRPr="00B918A7">
        <w:rPr>
          <w:i/>
          <w:sz w:val="26"/>
          <w:szCs w:val="26"/>
        </w:rPr>
        <w:t>roceeding</w:t>
      </w:r>
      <w:r w:rsidR="00924A9A" w:rsidRPr="00B918A7">
        <w:rPr>
          <w:i/>
          <w:sz w:val="26"/>
          <w:szCs w:val="26"/>
        </w:rPr>
        <w:t>s</w:t>
      </w:r>
      <w:r w:rsidRPr="00A24778">
        <w:rPr>
          <w:sz w:val="26"/>
          <w:szCs w:val="26"/>
        </w:rPr>
        <w:t xml:space="preserve"> along with </w:t>
      </w:r>
      <w:r w:rsidR="0057730D" w:rsidRPr="00A24778">
        <w:rPr>
          <w:sz w:val="26"/>
          <w:szCs w:val="26"/>
        </w:rPr>
        <w:t xml:space="preserve">the parts </w:t>
      </w:r>
      <w:r w:rsidRPr="00A24778">
        <w:rPr>
          <w:sz w:val="26"/>
          <w:szCs w:val="26"/>
        </w:rPr>
        <w:t xml:space="preserve">of the record itemized in the </w:t>
      </w:r>
      <w:r w:rsidRPr="00A24778">
        <w:rPr>
          <w:i/>
          <w:sz w:val="26"/>
          <w:szCs w:val="26"/>
        </w:rPr>
        <w:t>January 2017 Order</w:t>
      </w:r>
      <w:r w:rsidRPr="00A24778">
        <w:rPr>
          <w:sz w:val="26"/>
          <w:szCs w:val="26"/>
        </w:rPr>
        <w:t>.  Petition at 3.</w:t>
      </w:r>
    </w:p>
    <w:p w:rsidR="004E22C4" w:rsidRDefault="004E22C4" w:rsidP="0057730D">
      <w:pPr>
        <w:tabs>
          <w:tab w:val="left" w:pos="-720"/>
        </w:tabs>
        <w:suppressAutoHyphens/>
        <w:rPr>
          <w:sz w:val="26"/>
          <w:szCs w:val="26"/>
        </w:rPr>
      </w:pPr>
    </w:p>
    <w:p w:rsidR="004E22C4" w:rsidRPr="00A24778" w:rsidRDefault="004E22C4" w:rsidP="00B918A7">
      <w:pPr>
        <w:tabs>
          <w:tab w:val="left" w:pos="-720"/>
        </w:tabs>
        <w:suppressAutoHyphens/>
        <w:ind w:firstLine="1440"/>
        <w:rPr>
          <w:sz w:val="26"/>
          <w:szCs w:val="26"/>
        </w:rPr>
      </w:pPr>
      <w:r>
        <w:rPr>
          <w:sz w:val="26"/>
          <w:szCs w:val="26"/>
        </w:rPr>
        <w:t>Additionally, the Companies stated that they have reviewed the OCA’s Petition and pages thirty-three through thirty-six of OCA St. 1-SR.  According to the Companies, “the general terms of the referral (the ‘relevant parts of the record’) are not limited by the itemized list following ‘including’ in Ordering Paragraph No. 4, and, therefore, OCA Statement No. 1-SR is reasonably comprehended by the record transfer.”  Companies’ No Objection Letter at 2.</w:t>
      </w:r>
    </w:p>
    <w:p w:rsidR="00407C73" w:rsidRPr="00A24778" w:rsidRDefault="00407C73" w:rsidP="0057730D">
      <w:pPr>
        <w:tabs>
          <w:tab w:val="left" w:pos="-720"/>
        </w:tabs>
        <w:suppressAutoHyphens/>
        <w:rPr>
          <w:sz w:val="26"/>
          <w:szCs w:val="26"/>
        </w:rPr>
      </w:pPr>
    </w:p>
    <w:p w:rsidR="00B534BF" w:rsidRPr="00A24778" w:rsidRDefault="00B534BF">
      <w:pPr>
        <w:keepNext/>
        <w:tabs>
          <w:tab w:val="left" w:pos="-720"/>
        </w:tabs>
        <w:suppressAutoHyphens/>
        <w:rPr>
          <w:b/>
          <w:sz w:val="26"/>
          <w:szCs w:val="26"/>
        </w:rPr>
      </w:pPr>
      <w:r w:rsidRPr="00A24778">
        <w:rPr>
          <w:b/>
          <w:sz w:val="26"/>
          <w:szCs w:val="26"/>
        </w:rPr>
        <w:t>Disposition</w:t>
      </w:r>
    </w:p>
    <w:p w:rsidR="00B534BF" w:rsidRPr="00A24778" w:rsidRDefault="00B534BF" w:rsidP="00B918A7">
      <w:pPr>
        <w:keepNext/>
        <w:rPr>
          <w:sz w:val="26"/>
          <w:szCs w:val="26"/>
        </w:rPr>
      </w:pPr>
    </w:p>
    <w:p w:rsidR="00407C73" w:rsidRPr="00A24778" w:rsidRDefault="00B534BF" w:rsidP="00407C73">
      <w:pPr>
        <w:suppressAutoHyphens/>
        <w:ind w:firstLine="1440"/>
        <w:rPr>
          <w:sz w:val="26"/>
          <w:szCs w:val="26"/>
        </w:rPr>
      </w:pPr>
      <w:r w:rsidRPr="00A24778">
        <w:rPr>
          <w:color w:val="000000"/>
          <w:spacing w:val="-3"/>
          <w:sz w:val="26"/>
          <w:szCs w:val="26"/>
          <w:u w:color="000000"/>
        </w:rPr>
        <w:t xml:space="preserve">Based on our review </w:t>
      </w:r>
      <w:r w:rsidR="00B342A4" w:rsidRPr="00A24778">
        <w:rPr>
          <w:color w:val="000000"/>
          <w:spacing w:val="-3"/>
          <w:sz w:val="26"/>
          <w:szCs w:val="26"/>
          <w:u w:color="000000"/>
        </w:rPr>
        <w:t>of the</w:t>
      </w:r>
      <w:r w:rsidRPr="00A24778">
        <w:rPr>
          <w:color w:val="000000"/>
          <w:spacing w:val="-3"/>
          <w:sz w:val="26"/>
          <w:szCs w:val="26"/>
          <w:u w:color="000000"/>
        </w:rPr>
        <w:t xml:space="preserve"> OCA’s Petition </w:t>
      </w:r>
      <w:r w:rsidR="00816B24" w:rsidRPr="00A24778">
        <w:rPr>
          <w:color w:val="000000"/>
          <w:spacing w:val="-3"/>
          <w:sz w:val="26"/>
          <w:szCs w:val="26"/>
          <w:u w:color="000000"/>
        </w:rPr>
        <w:t>and the</w:t>
      </w:r>
      <w:r w:rsidRPr="00A24778">
        <w:rPr>
          <w:color w:val="000000"/>
          <w:spacing w:val="-3"/>
          <w:sz w:val="26"/>
          <w:szCs w:val="26"/>
          <w:u w:color="000000"/>
        </w:rPr>
        <w:t xml:space="preserve"> record in this proceeding, we </w:t>
      </w:r>
      <w:r w:rsidR="00F26A38" w:rsidRPr="00A24778">
        <w:rPr>
          <w:color w:val="000000"/>
          <w:spacing w:val="-3"/>
          <w:sz w:val="26"/>
          <w:szCs w:val="26"/>
          <w:u w:color="000000"/>
        </w:rPr>
        <w:t xml:space="preserve">find that the OCA has satisfied the </w:t>
      </w:r>
      <w:r w:rsidR="00F26A38" w:rsidRPr="00A24778">
        <w:rPr>
          <w:i/>
          <w:color w:val="000000"/>
          <w:spacing w:val="-3"/>
          <w:sz w:val="26"/>
          <w:szCs w:val="26"/>
          <w:u w:color="000000"/>
        </w:rPr>
        <w:t>Duick</w:t>
      </w:r>
      <w:r w:rsidR="00F26A38" w:rsidRPr="00A24778">
        <w:rPr>
          <w:color w:val="000000"/>
          <w:spacing w:val="-3"/>
          <w:sz w:val="26"/>
          <w:szCs w:val="26"/>
          <w:u w:color="000000"/>
        </w:rPr>
        <w:t xml:space="preserve"> standards, and we </w:t>
      </w:r>
      <w:r w:rsidR="00B342A4" w:rsidRPr="00A24778">
        <w:rPr>
          <w:color w:val="000000"/>
          <w:spacing w:val="-3"/>
          <w:sz w:val="26"/>
          <w:szCs w:val="26"/>
          <w:u w:color="000000"/>
        </w:rPr>
        <w:t>shall grant the Petition</w:t>
      </w:r>
      <w:r w:rsidR="00F26A38" w:rsidRPr="00A24778">
        <w:rPr>
          <w:color w:val="000000"/>
          <w:spacing w:val="-3"/>
          <w:sz w:val="26"/>
          <w:szCs w:val="26"/>
          <w:u w:color="000000"/>
        </w:rPr>
        <w:t xml:space="preserve"> accordingly</w:t>
      </w:r>
      <w:r w:rsidR="00B342A4" w:rsidRPr="00A24778">
        <w:rPr>
          <w:color w:val="000000"/>
          <w:spacing w:val="-3"/>
          <w:sz w:val="26"/>
          <w:szCs w:val="26"/>
          <w:u w:color="000000"/>
        </w:rPr>
        <w:t xml:space="preserve">.  </w:t>
      </w:r>
      <w:r w:rsidR="00F26A38" w:rsidRPr="00A24778">
        <w:rPr>
          <w:color w:val="000000"/>
          <w:spacing w:val="-3"/>
          <w:sz w:val="26"/>
          <w:szCs w:val="26"/>
          <w:u w:color="000000"/>
        </w:rPr>
        <w:t xml:space="preserve">In our </w:t>
      </w:r>
      <w:r w:rsidR="00F26A38" w:rsidRPr="00A24778">
        <w:rPr>
          <w:i/>
          <w:color w:val="000000"/>
          <w:spacing w:val="-3"/>
          <w:sz w:val="26"/>
          <w:szCs w:val="26"/>
          <w:u w:color="000000"/>
        </w:rPr>
        <w:t>January 2017 Order</w:t>
      </w:r>
      <w:r w:rsidR="00F26A38" w:rsidRPr="00A24778">
        <w:rPr>
          <w:color w:val="000000"/>
          <w:spacing w:val="-3"/>
          <w:sz w:val="26"/>
          <w:szCs w:val="26"/>
          <w:u w:color="000000"/>
        </w:rPr>
        <w:t xml:space="preserve">, we intended to include all relevant parts of the </w:t>
      </w:r>
      <w:r w:rsidR="00F26A38" w:rsidRPr="00A24778">
        <w:rPr>
          <w:color w:val="000000"/>
          <w:spacing w:val="-3"/>
          <w:sz w:val="26"/>
          <w:szCs w:val="26"/>
          <w:u w:color="000000"/>
        </w:rPr>
        <w:lastRenderedPageBreak/>
        <w:t xml:space="preserve">record in this proceeding that addressed the contested ADIT issue.  </w:t>
      </w:r>
      <w:r w:rsidR="00BD11D8">
        <w:rPr>
          <w:color w:val="000000"/>
          <w:spacing w:val="-3"/>
          <w:sz w:val="26"/>
          <w:szCs w:val="26"/>
          <w:u w:color="000000"/>
        </w:rPr>
        <w:t xml:space="preserve">The Companies correctly argue that the itemized list of parts of the record being referred to OALJ was not intended to be exclusive.  Nevertheless, </w:t>
      </w:r>
      <w:r w:rsidR="00B342A4" w:rsidRPr="00A24778">
        <w:rPr>
          <w:sz w:val="26"/>
          <w:szCs w:val="26"/>
        </w:rPr>
        <w:t xml:space="preserve">we will </w:t>
      </w:r>
      <w:r w:rsidR="00F26A38" w:rsidRPr="00A24778">
        <w:rPr>
          <w:sz w:val="26"/>
          <w:szCs w:val="26"/>
        </w:rPr>
        <w:t xml:space="preserve">clarify and </w:t>
      </w:r>
      <w:r w:rsidR="00B342A4" w:rsidRPr="00A24778">
        <w:rPr>
          <w:sz w:val="26"/>
          <w:szCs w:val="26"/>
        </w:rPr>
        <w:t xml:space="preserve">reconsider our </w:t>
      </w:r>
      <w:r w:rsidR="00B342A4" w:rsidRPr="00A24778">
        <w:rPr>
          <w:i/>
          <w:sz w:val="26"/>
          <w:szCs w:val="26"/>
        </w:rPr>
        <w:t>January 2017 Order</w:t>
      </w:r>
      <w:r w:rsidR="005B2F93" w:rsidRPr="00A24778">
        <w:rPr>
          <w:sz w:val="26"/>
          <w:szCs w:val="26"/>
        </w:rPr>
        <w:t xml:space="preserve"> with regard to this i</w:t>
      </w:r>
      <w:r w:rsidR="00BF6B4B" w:rsidRPr="00A24778">
        <w:rPr>
          <w:sz w:val="26"/>
          <w:szCs w:val="26"/>
        </w:rPr>
        <w:t xml:space="preserve">ssue and </w:t>
      </w:r>
      <w:r w:rsidR="00F26A38" w:rsidRPr="00A24778">
        <w:rPr>
          <w:sz w:val="26"/>
          <w:szCs w:val="26"/>
        </w:rPr>
        <w:t>state expressly herein that</w:t>
      </w:r>
      <w:r w:rsidR="00203CC0" w:rsidRPr="00A24778">
        <w:rPr>
          <w:sz w:val="26"/>
          <w:szCs w:val="26"/>
        </w:rPr>
        <w:t xml:space="preserve"> OCA St. 1-SR </w:t>
      </w:r>
      <w:r w:rsidR="00F26A38" w:rsidRPr="00A24778">
        <w:rPr>
          <w:rFonts w:eastAsiaTheme="minorHAnsi"/>
          <w:sz w:val="26"/>
          <w:szCs w:val="26"/>
        </w:rPr>
        <w:t>is included in the parts of the record in this proceeding that will</w:t>
      </w:r>
      <w:r w:rsidR="005B2F93" w:rsidRPr="00A24778">
        <w:rPr>
          <w:rFonts w:eastAsiaTheme="minorHAnsi"/>
          <w:sz w:val="26"/>
          <w:szCs w:val="26"/>
        </w:rPr>
        <w:t xml:space="preserve"> be </w:t>
      </w:r>
      <w:r w:rsidR="005B2F93" w:rsidRPr="00A24778">
        <w:rPr>
          <w:sz w:val="26"/>
          <w:szCs w:val="26"/>
        </w:rPr>
        <w:t xml:space="preserve">transferred to the </w:t>
      </w:r>
      <w:r w:rsidR="005B2F93" w:rsidRPr="00B918A7">
        <w:rPr>
          <w:i/>
          <w:sz w:val="26"/>
          <w:szCs w:val="26"/>
        </w:rPr>
        <w:t xml:space="preserve">DSIC </w:t>
      </w:r>
      <w:r w:rsidR="00924A9A" w:rsidRPr="00B918A7">
        <w:rPr>
          <w:i/>
          <w:sz w:val="26"/>
          <w:szCs w:val="26"/>
        </w:rPr>
        <w:t>P</w:t>
      </w:r>
      <w:r w:rsidR="005B2F93" w:rsidRPr="00B918A7">
        <w:rPr>
          <w:i/>
          <w:sz w:val="26"/>
          <w:szCs w:val="26"/>
        </w:rPr>
        <w:t>roceeding</w:t>
      </w:r>
      <w:r w:rsidR="00924A9A" w:rsidRPr="00B918A7">
        <w:rPr>
          <w:i/>
          <w:sz w:val="26"/>
          <w:szCs w:val="26"/>
        </w:rPr>
        <w:t>s</w:t>
      </w:r>
      <w:r w:rsidR="005B2F93" w:rsidRPr="00A24778">
        <w:rPr>
          <w:sz w:val="26"/>
          <w:szCs w:val="26"/>
        </w:rPr>
        <w:t xml:space="preserve">.  </w:t>
      </w:r>
      <w:r w:rsidR="00407C73" w:rsidRPr="00A24778">
        <w:rPr>
          <w:sz w:val="26"/>
          <w:szCs w:val="26"/>
        </w:rPr>
        <w:t xml:space="preserve">Thus, we shall amend Ordering Paragraph No. 4 of the </w:t>
      </w:r>
      <w:r w:rsidR="00407C73" w:rsidRPr="00A24778">
        <w:rPr>
          <w:i/>
          <w:color w:val="000000"/>
          <w:spacing w:val="-3"/>
          <w:sz w:val="26"/>
          <w:szCs w:val="26"/>
          <w:u w:color="000000"/>
        </w:rPr>
        <w:t xml:space="preserve">January 2017 </w:t>
      </w:r>
      <w:r w:rsidR="004D218B" w:rsidRPr="00A24778">
        <w:rPr>
          <w:i/>
          <w:color w:val="000000"/>
          <w:spacing w:val="-3"/>
          <w:sz w:val="26"/>
          <w:szCs w:val="26"/>
          <w:u w:color="000000"/>
        </w:rPr>
        <w:t>Order</w:t>
      </w:r>
      <w:r w:rsidR="004D218B" w:rsidRPr="00A24778">
        <w:rPr>
          <w:sz w:val="26"/>
          <w:szCs w:val="26"/>
        </w:rPr>
        <w:t xml:space="preserve"> </w:t>
      </w:r>
      <w:r w:rsidR="004C3081">
        <w:rPr>
          <w:sz w:val="26"/>
          <w:szCs w:val="26"/>
        </w:rPr>
        <w:t>by adding the underlined language shown below</w:t>
      </w:r>
      <w:r w:rsidR="00407C73" w:rsidRPr="00A24778">
        <w:rPr>
          <w:sz w:val="26"/>
          <w:szCs w:val="26"/>
        </w:rPr>
        <w:t>:</w:t>
      </w:r>
    </w:p>
    <w:p w:rsidR="00407C73" w:rsidRPr="00A24778" w:rsidRDefault="00407C73" w:rsidP="00407C73">
      <w:pPr>
        <w:ind w:firstLine="1440"/>
        <w:rPr>
          <w:rFonts w:eastAsiaTheme="minorHAnsi"/>
          <w:sz w:val="26"/>
          <w:szCs w:val="26"/>
        </w:rPr>
      </w:pPr>
    </w:p>
    <w:p w:rsidR="00407C73" w:rsidRPr="00A24778" w:rsidRDefault="00407C73" w:rsidP="00407C73">
      <w:pPr>
        <w:spacing w:line="240" w:lineRule="auto"/>
        <w:ind w:left="1440" w:right="1440"/>
        <w:rPr>
          <w:rFonts w:eastAsiaTheme="minorHAnsi"/>
          <w:sz w:val="26"/>
          <w:szCs w:val="26"/>
        </w:rPr>
      </w:pPr>
      <w:r w:rsidRPr="00A24778">
        <w:rPr>
          <w:rFonts w:eastAsiaTheme="minorHAnsi"/>
          <w:sz w:val="26"/>
          <w:szCs w:val="26"/>
        </w:rPr>
        <w:t xml:space="preserve">That the relevant parts of the record in this proceeding </w:t>
      </w:r>
      <w:r w:rsidRPr="00A24778">
        <w:rPr>
          <w:sz w:val="26"/>
          <w:szCs w:val="26"/>
        </w:rPr>
        <w:t>concerning the Office of Consumer Advocate’s claim with regard to</w:t>
      </w:r>
      <w:r w:rsidRPr="00A24778">
        <w:rPr>
          <w:rFonts w:eastAsiaTheme="minorHAnsi"/>
          <w:sz w:val="26"/>
          <w:szCs w:val="26"/>
        </w:rPr>
        <w:t xml:space="preserve"> the calculation of Accumulated Deferred Income Tax in the First Energy Companies’ DSIC Riders case, including the Office of Consumer Advocate’s Exceptions and the First Energy Companies’ Replies to Exceptions that pertain to the contested issue, the Office of Consumer Advocate’s Main and Reply Briefs, the First Energy Companies’ Initial and Reply Briefs; OCA St. 1, </w:t>
      </w:r>
      <w:r w:rsidRPr="00B918A7">
        <w:rPr>
          <w:sz w:val="26"/>
          <w:szCs w:val="26"/>
          <w:u w:val="single"/>
        </w:rPr>
        <w:t>OCA St. 1-SR,</w:t>
      </w:r>
      <w:r w:rsidRPr="00A24778">
        <w:rPr>
          <w:sz w:val="26"/>
          <w:szCs w:val="26"/>
        </w:rPr>
        <w:t xml:space="preserve"> </w:t>
      </w:r>
      <w:r w:rsidRPr="00A24778">
        <w:rPr>
          <w:rFonts w:eastAsiaTheme="minorHAnsi"/>
          <w:sz w:val="26"/>
          <w:szCs w:val="26"/>
        </w:rPr>
        <w:t>and the First Energy Companies’ St. 2-R are transferred to the First Energy Companies’ consolidated DSIC proceeding.</w:t>
      </w:r>
    </w:p>
    <w:p w:rsidR="006827B9" w:rsidRDefault="006827B9" w:rsidP="00B918A7">
      <w:pPr>
        <w:rPr>
          <w:b/>
          <w:sz w:val="26"/>
          <w:szCs w:val="26"/>
        </w:rPr>
      </w:pPr>
    </w:p>
    <w:p w:rsidR="005B2F93" w:rsidRPr="00A24778" w:rsidRDefault="005B2F93" w:rsidP="00A90A8B">
      <w:pPr>
        <w:keepNext/>
        <w:keepLines/>
        <w:suppressAutoHyphens/>
        <w:ind w:left="2160" w:firstLine="1440"/>
        <w:rPr>
          <w:b/>
          <w:sz w:val="26"/>
          <w:szCs w:val="26"/>
        </w:rPr>
      </w:pPr>
      <w:r w:rsidRPr="00A24778">
        <w:rPr>
          <w:b/>
          <w:sz w:val="26"/>
          <w:szCs w:val="26"/>
        </w:rPr>
        <w:t>Conclusion</w:t>
      </w:r>
    </w:p>
    <w:p w:rsidR="005B2F93" w:rsidRPr="00A24778" w:rsidRDefault="005B2F93" w:rsidP="00A90A8B">
      <w:pPr>
        <w:keepNext/>
        <w:keepLines/>
        <w:rPr>
          <w:sz w:val="26"/>
          <w:szCs w:val="26"/>
        </w:rPr>
      </w:pPr>
    </w:p>
    <w:p w:rsidR="005B2F93" w:rsidRPr="00A24778" w:rsidRDefault="005B2F93" w:rsidP="00B918A7">
      <w:pPr>
        <w:suppressAutoHyphens/>
        <w:ind w:firstLine="1440"/>
        <w:rPr>
          <w:sz w:val="26"/>
          <w:szCs w:val="26"/>
        </w:rPr>
      </w:pPr>
      <w:r w:rsidRPr="00A24778">
        <w:rPr>
          <w:sz w:val="26"/>
          <w:szCs w:val="26"/>
        </w:rPr>
        <w:t xml:space="preserve">Based on the foregoing discussion, we shall (1) grant the OCA’s Petition; and (2) amend the </w:t>
      </w:r>
      <w:r w:rsidRPr="00A24778">
        <w:rPr>
          <w:i/>
          <w:sz w:val="26"/>
          <w:szCs w:val="26"/>
        </w:rPr>
        <w:t>January 2017 Order</w:t>
      </w:r>
      <w:r w:rsidRPr="00A24778">
        <w:rPr>
          <w:sz w:val="26"/>
          <w:szCs w:val="26"/>
        </w:rPr>
        <w:t xml:space="preserve"> </w:t>
      </w:r>
      <w:r w:rsidR="007374B0" w:rsidRPr="00A24778">
        <w:rPr>
          <w:sz w:val="26"/>
          <w:szCs w:val="26"/>
        </w:rPr>
        <w:t xml:space="preserve">to expressly include OCA St. 1-SR </w:t>
      </w:r>
      <w:r w:rsidR="007374B0" w:rsidRPr="00A24778">
        <w:rPr>
          <w:rFonts w:eastAsiaTheme="minorHAnsi"/>
          <w:sz w:val="26"/>
          <w:szCs w:val="26"/>
        </w:rPr>
        <w:t xml:space="preserve">in the parts of the record in this proceeding that will be </w:t>
      </w:r>
      <w:r w:rsidR="007374B0" w:rsidRPr="00A24778">
        <w:rPr>
          <w:sz w:val="26"/>
          <w:szCs w:val="26"/>
        </w:rPr>
        <w:t xml:space="preserve">transferred to the </w:t>
      </w:r>
      <w:r w:rsidR="007374B0" w:rsidRPr="00B918A7">
        <w:rPr>
          <w:i/>
          <w:sz w:val="26"/>
          <w:szCs w:val="26"/>
        </w:rPr>
        <w:t xml:space="preserve">DSIC </w:t>
      </w:r>
      <w:r w:rsidR="00924A9A" w:rsidRPr="00B918A7">
        <w:rPr>
          <w:i/>
          <w:sz w:val="26"/>
          <w:szCs w:val="26"/>
        </w:rPr>
        <w:t>P</w:t>
      </w:r>
      <w:r w:rsidR="007374B0" w:rsidRPr="00B918A7">
        <w:rPr>
          <w:i/>
          <w:sz w:val="26"/>
          <w:szCs w:val="26"/>
        </w:rPr>
        <w:t>roceeding</w:t>
      </w:r>
      <w:r w:rsidR="00924A9A" w:rsidRPr="00B918A7">
        <w:rPr>
          <w:i/>
          <w:sz w:val="26"/>
          <w:szCs w:val="26"/>
        </w:rPr>
        <w:t>s</w:t>
      </w:r>
      <w:r w:rsidR="007374B0" w:rsidRPr="00A24778">
        <w:rPr>
          <w:sz w:val="26"/>
          <w:szCs w:val="26"/>
        </w:rPr>
        <w:t>,</w:t>
      </w:r>
      <w:r w:rsidR="00924A9A">
        <w:rPr>
          <w:sz w:val="26"/>
          <w:szCs w:val="26"/>
        </w:rPr>
        <w:t xml:space="preserve"> </w:t>
      </w:r>
      <w:r w:rsidRPr="00A24778">
        <w:rPr>
          <w:sz w:val="26"/>
          <w:szCs w:val="26"/>
        </w:rPr>
        <w:t xml:space="preserve">consistent with the discussion set forth in this Opinion and Order; </w:t>
      </w:r>
      <w:r w:rsidRPr="00A24778">
        <w:rPr>
          <w:b/>
          <w:sz w:val="26"/>
          <w:szCs w:val="26"/>
        </w:rPr>
        <w:t>THEREFORE,</w:t>
      </w:r>
    </w:p>
    <w:p w:rsidR="00D90648" w:rsidRPr="00A24778" w:rsidRDefault="00D90648" w:rsidP="007E1200">
      <w:pPr>
        <w:pStyle w:val="Heading1"/>
      </w:pPr>
    </w:p>
    <w:p w:rsidR="005B2F93" w:rsidRPr="00A24778" w:rsidRDefault="005B2F93" w:rsidP="005B2F93">
      <w:pPr>
        <w:ind w:firstLine="1440"/>
        <w:rPr>
          <w:sz w:val="26"/>
          <w:szCs w:val="26"/>
        </w:rPr>
      </w:pPr>
      <w:r w:rsidRPr="00A24778">
        <w:rPr>
          <w:b/>
          <w:sz w:val="26"/>
          <w:szCs w:val="26"/>
        </w:rPr>
        <w:t>IT IS ORDERED:</w:t>
      </w:r>
      <w:r w:rsidRPr="00A24778">
        <w:rPr>
          <w:sz w:val="26"/>
          <w:szCs w:val="26"/>
        </w:rPr>
        <w:t xml:space="preserve">  </w:t>
      </w:r>
    </w:p>
    <w:p w:rsidR="005B2F93" w:rsidRPr="00A24778" w:rsidRDefault="005B2F93" w:rsidP="005B2F93">
      <w:pPr>
        <w:rPr>
          <w:sz w:val="26"/>
          <w:szCs w:val="26"/>
        </w:rPr>
      </w:pPr>
    </w:p>
    <w:p w:rsidR="005B2F93" w:rsidRPr="00A24778" w:rsidRDefault="005B2F93" w:rsidP="005B2F93">
      <w:pPr>
        <w:ind w:firstLine="1440"/>
        <w:rPr>
          <w:sz w:val="26"/>
          <w:szCs w:val="26"/>
        </w:rPr>
      </w:pPr>
      <w:r w:rsidRPr="00A24778">
        <w:rPr>
          <w:sz w:val="26"/>
          <w:szCs w:val="26"/>
        </w:rPr>
        <w:t>1.</w:t>
      </w:r>
      <w:r w:rsidRPr="00A24778">
        <w:rPr>
          <w:sz w:val="26"/>
          <w:szCs w:val="26"/>
        </w:rPr>
        <w:tab/>
        <w:t>That the Petition</w:t>
      </w:r>
      <w:r w:rsidR="00EA463C" w:rsidRPr="00A24778">
        <w:rPr>
          <w:sz w:val="26"/>
          <w:szCs w:val="26"/>
        </w:rPr>
        <w:t xml:space="preserve"> for Reconsideration </w:t>
      </w:r>
      <w:r w:rsidRPr="00A24778">
        <w:rPr>
          <w:sz w:val="26"/>
          <w:szCs w:val="26"/>
        </w:rPr>
        <w:t xml:space="preserve">and/or Clarification filed by the Office of Consumer Advocate on February 3, 2017, relative to the Opinion and Order </w:t>
      </w:r>
      <w:r w:rsidRPr="00A24778">
        <w:rPr>
          <w:sz w:val="26"/>
          <w:szCs w:val="26"/>
        </w:rPr>
        <w:lastRenderedPageBreak/>
        <w:t>entered on January 19, 2017, in the above-captioned proceeding is granted, consistent with the discussion in the body of this Opinion and Order.</w:t>
      </w:r>
    </w:p>
    <w:p w:rsidR="005B2F93" w:rsidRPr="00A24778" w:rsidRDefault="005B2F93" w:rsidP="005B2F93">
      <w:pPr>
        <w:ind w:firstLine="1440"/>
        <w:rPr>
          <w:sz w:val="26"/>
          <w:szCs w:val="26"/>
        </w:rPr>
      </w:pPr>
    </w:p>
    <w:p w:rsidR="00DF36D5" w:rsidRPr="00A24778" w:rsidRDefault="00FC58B1" w:rsidP="00DF36D5">
      <w:pPr>
        <w:ind w:firstLine="1440"/>
        <w:rPr>
          <w:sz w:val="26"/>
          <w:szCs w:val="26"/>
        </w:rPr>
      </w:pPr>
      <w:r w:rsidRPr="00A24778">
        <w:rPr>
          <w:sz w:val="26"/>
          <w:szCs w:val="26"/>
        </w:rPr>
        <w:t>2</w:t>
      </w:r>
      <w:r w:rsidR="00DF36D5" w:rsidRPr="00A24778">
        <w:rPr>
          <w:sz w:val="26"/>
          <w:szCs w:val="26"/>
        </w:rPr>
        <w:t>.</w:t>
      </w:r>
      <w:r w:rsidR="00DF36D5" w:rsidRPr="00A24778">
        <w:rPr>
          <w:sz w:val="26"/>
          <w:szCs w:val="26"/>
        </w:rPr>
        <w:tab/>
        <w:t xml:space="preserve">That Ordering Paragraph </w:t>
      </w:r>
      <w:r w:rsidRPr="00A24778">
        <w:rPr>
          <w:sz w:val="26"/>
          <w:szCs w:val="26"/>
        </w:rPr>
        <w:t xml:space="preserve">No. </w:t>
      </w:r>
      <w:r w:rsidR="00DF36D5" w:rsidRPr="00A24778">
        <w:rPr>
          <w:sz w:val="26"/>
          <w:szCs w:val="26"/>
        </w:rPr>
        <w:t>4 of the Opinion and Order entered on January</w:t>
      </w:r>
      <w:r w:rsidR="00072280">
        <w:rPr>
          <w:sz w:val="26"/>
          <w:szCs w:val="26"/>
        </w:rPr>
        <w:t> </w:t>
      </w:r>
      <w:r w:rsidR="00DF36D5" w:rsidRPr="00A24778">
        <w:rPr>
          <w:sz w:val="26"/>
          <w:szCs w:val="26"/>
        </w:rPr>
        <w:t>19</w:t>
      </w:r>
      <w:r w:rsidR="00CD0F73" w:rsidRPr="00A24778">
        <w:rPr>
          <w:sz w:val="26"/>
          <w:szCs w:val="26"/>
        </w:rPr>
        <w:t>, 2017</w:t>
      </w:r>
      <w:r w:rsidR="00DF36D5" w:rsidRPr="00A24778">
        <w:rPr>
          <w:sz w:val="26"/>
          <w:szCs w:val="26"/>
        </w:rPr>
        <w:t xml:space="preserve">, in the above-captioned </w:t>
      </w:r>
      <w:r w:rsidR="00BF6B4B" w:rsidRPr="00A24778">
        <w:rPr>
          <w:sz w:val="26"/>
          <w:szCs w:val="26"/>
        </w:rPr>
        <w:t>proceeding is</w:t>
      </w:r>
      <w:r w:rsidR="00DF36D5" w:rsidRPr="00A24778">
        <w:rPr>
          <w:sz w:val="26"/>
          <w:szCs w:val="26"/>
        </w:rPr>
        <w:t xml:space="preserve"> amended to read as follows:</w:t>
      </w:r>
    </w:p>
    <w:p w:rsidR="00DF36D5" w:rsidRPr="00A24778" w:rsidRDefault="00DF36D5" w:rsidP="005B2F93">
      <w:pPr>
        <w:ind w:firstLine="1440"/>
        <w:rPr>
          <w:rFonts w:eastAsiaTheme="minorHAnsi"/>
          <w:sz w:val="26"/>
          <w:szCs w:val="26"/>
        </w:rPr>
      </w:pPr>
    </w:p>
    <w:p w:rsidR="005B2F93" w:rsidRPr="00A24778" w:rsidRDefault="005B2F93" w:rsidP="00DF36D5">
      <w:pPr>
        <w:spacing w:line="240" w:lineRule="auto"/>
        <w:ind w:left="1440" w:right="1440"/>
        <w:rPr>
          <w:rFonts w:eastAsiaTheme="minorHAnsi"/>
          <w:sz w:val="26"/>
          <w:szCs w:val="26"/>
        </w:rPr>
      </w:pPr>
      <w:r w:rsidRPr="00A24778">
        <w:rPr>
          <w:rFonts w:eastAsiaTheme="minorHAnsi"/>
          <w:sz w:val="26"/>
          <w:szCs w:val="26"/>
        </w:rPr>
        <w:t xml:space="preserve">That the relevant parts of the record in this proceeding </w:t>
      </w:r>
      <w:r w:rsidRPr="00A24778">
        <w:rPr>
          <w:sz w:val="26"/>
          <w:szCs w:val="26"/>
        </w:rPr>
        <w:t>concerning the Office of Consumer Advocate’s claim with regard to</w:t>
      </w:r>
      <w:r w:rsidRPr="00A24778">
        <w:rPr>
          <w:rFonts w:eastAsiaTheme="minorHAnsi"/>
          <w:sz w:val="26"/>
          <w:szCs w:val="26"/>
        </w:rPr>
        <w:t xml:space="preserve"> the calculation of Accumulated Deferred Income Tax in the First Energy Companies’ DSIC Riders case, including the Office of Consumer Advocate’s Exceptions and the First Energy Companies’ Replies to Exceptions that pertain to the contested issue, the Office of Consumer Advocate’s Main and Reply Briefs, the First Energy Companies’ Initial and Reply Briefs; OCA St. 1, </w:t>
      </w:r>
      <w:r w:rsidR="00DF36D5" w:rsidRPr="00A24778">
        <w:rPr>
          <w:sz w:val="26"/>
          <w:szCs w:val="26"/>
        </w:rPr>
        <w:t xml:space="preserve">OCA St. 1-SR, </w:t>
      </w:r>
      <w:r w:rsidRPr="00A24778">
        <w:rPr>
          <w:rFonts w:eastAsiaTheme="minorHAnsi"/>
          <w:sz w:val="26"/>
          <w:szCs w:val="26"/>
        </w:rPr>
        <w:t>and the First Energy Companies’ St. 2-R are transferred to the First Energy Companies’ consolidated DSIC proceeding.</w:t>
      </w:r>
    </w:p>
    <w:p w:rsidR="00BF6B4B" w:rsidRPr="00A24778" w:rsidRDefault="00BF6B4B" w:rsidP="00B918A7">
      <w:pPr>
        <w:ind w:left="1440" w:right="1440"/>
        <w:rPr>
          <w:rFonts w:eastAsiaTheme="minorHAnsi"/>
          <w:sz w:val="26"/>
          <w:szCs w:val="26"/>
        </w:rPr>
      </w:pPr>
    </w:p>
    <w:p w:rsidR="00BF6B4B" w:rsidRPr="00A24778" w:rsidRDefault="004C3081" w:rsidP="00B918A7">
      <w:pPr>
        <w:ind w:firstLine="1440"/>
        <w:rPr>
          <w:rFonts w:eastAsiaTheme="minorHAnsi"/>
          <w:sz w:val="26"/>
          <w:szCs w:val="26"/>
        </w:rPr>
      </w:pPr>
      <w:r>
        <w:rPr>
          <w:rFonts w:eastAsiaTheme="minorHAnsi"/>
          <w:sz w:val="26"/>
          <w:szCs w:val="26"/>
        </w:rPr>
        <w:t>3.</w:t>
      </w:r>
      <w:r>
        <w:rPr>
          <w:rFonts w:eastAsiaTheme="minorHAnsi"/>
          <w:sz w:val="26"/>
          <w:szCs w:val="26"/>
        </w:rPr>
        <w:tab/>
        <w:t xml:space="preserve">That, in all other respects, the </w:t>
      </w:r>
      <w:r w:rsidRPr="00A24778">
        <w:rPr>
          <w:sz w:val="26"/>
          <w:szCs w:val="26"/>
        </w:rPr>
        <w:t>Opinion and Order entered on January</w:t>
      </w:r>
      <w:r w:rsidR="00072280">
        <w:rPr>
          <w:sz w:val="26"/>
          <w:szCs w:val="26"/>
        </w:rPr>
        <w:t> </w:t>
      </w:r>
      <w:r w:rsidRPr="00A24778">
        <w:rPr>
          <w:sz w:val="26"/>
          <w:szCs w:val="26"/>
        </w:rPr>
        <w:t>19, 2017, in the above-captioned proceeding</w:t>
      </w:r>
      <w:r>
        <w:rPr>
          <w:sz w:val="26"/>
          <w:szCs w:val="26"/>
        </w:rPr>
        <w:t xml:space="preserve"> shall remain in full force and effect.</w:t>
      </w:r>
    </w:p>
    <w:p w:rsidR="00BF6B4B" w:rsidRPr="00A24778" w:rsidRDefault="00BF6B4B" w:rsidP="00DF36D5">
      <w:pPr>
        <w:spacing w:line="240" w:lineRule="auto"/>
        <w:ind w:left="1440" w:right="1440"/>
        <w:rPr>
          <w:rFonts w:eastAsiaTheme="minorHAnsi"/>
          <w:sz w:val="26"/>
          <w:szCs w:val="26"/>
        </w:rPr>
      </w:pPr>
    </w:p>
    <w:p w:rsidR="00DF36D5" w:rsidRPr="00A24778" w:rsidRDefault="004C3081" w:rsidP="00DF36D5">
      <w:pPr>
        <w:keepNext/>
        <w:tabs>
          <w:tab w:val="left" w:pos="-720"/>
        </w:tabs>
        <w:ind w:firstLine="1440"/>
        <w:rPr>
          <w:sz w:val="26"/>
          <w:szCs w:val="26"/>
        </w:rPr>
      </w:pPr>
      <w:r>
        <w:rPr>
          <w:sz w:val="26"/>
          <w:szCs w:val="26"/>
          <w:lang w:val="en"/>
        </w:rPr>
        <w:t>4</w:t>
      </w:r>
      <w:r w:rsidR="00DF36D5" w:rsidRPr="00A24778">
        <w:rPr>
          <w:sz w:val="26"/>
          <w:szCs w:val="26"/>
          <w:lang w:val="en"/>
        </w:rPr>
        <w:t>.</w:t>
      </w:r>
      <w:r w:rsidR="00DF36D5" w:rsidRPr="00A24778">
        <w:rPr>
          <w:sz w:val="26"/>
          <w:szCs w:val="26"/>
          <w:lang w:val="en"/>
        </w:rPr>
        <w:tab/>
        <w:t>That this proceeding be marked closed.</w:t>
      </w:r>
    </w:p>
    <w:p w:rsidR="005B2F93" w:rsidRPr="00A24778" w:rsidRDefault="005B2F93" w:rsidP="00B534BF">
      <w:pPr>
        <w:suppressAutoHyphens/>
        <w:ind w:firstLine="1440"/>
        <w:rPr>
          <w:color w:val="000000"/>
          <w:spacing w:val="-3"/>
          <w:sz w:val="26"/>
          <w:szCs w:val="26"/>
          <w:u w:color="000000"/>
        </w:rPr>
      </w:pPr>
    </w:p>
    <w:bookmarkEnd w:id="3"/>
    <w:bookmarkEnd w:id="4"/>
    <w:p w:rsidR="00A44992" w:rsidRPr="00A24778" w:rsidRDefault="00C6087D" w:rsidP="0056027F">
      <w:pPr>
        <w:pStyle w:val="BodyText2"/>
        <w:keepNext/>
        <w:keepLines/>
        <w:spacing w:after="0" w:line="240" w:lineRule="auto"/>
        <w:ind w:left="4032" w:firstLine="720"/>
        <w:contextualSpacing/>
        <w:rPr>
          <w:b/>
          <w:sz w:val="26"/>
          <w:szCs w:val="26"/>
        </w:rPr>
      </w:pPr>
      <w:r>
        <w:rPr>
          <w:noProof/>
        </w:rPr>
        <w:drawing>
          <wp:anchor distT="0" distB="0" distL="114300" distR="114300" simplePos="0" relativeHeight="251659264" behindDoc="1" locked="0" layoutInCell="1" allowOverlap="1" wp14:anchorId="7896F071" wp14:editId="51931091">
            <wp:simplePos x="0" y="0"/>
            <wp:positionH relativeFrom="column">
              <wp:posOffset>2995930</wp:posOffset>
            </wp:positionH>
            <wp:positionV relativeFrom="paragraph">
              <wp:posOffset>77470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A44992" w:rsidRPr="00A24778">
        <w:rPr>
          <w:b/>
          <w:sz w:val="26"/>
          <w:szCs w:val="26"/>
        </w:rPr>
        <w:t>BY THE COMMISSION,</w:t>
      </w:r>
    </w:p>
    <w:p w:rsidR="00815284" w:rsidRPr="00A24778" w:rsidRDefault="00815284" w:rsidP="0056027F">
      <w:pPr>
        <w:pStyle w:val="BodyText2"/>
        <w:keepNext/>
        <w:keepLines/>
        <w:spacing w:after="0" w:line="240" w:lineRule="auto"/>
        <w:ind w:left="4032" w:firstLine="720"/>
        <w:contextualSpacing/>
        <w:rPr>
          <w:b/>
          <w:sz w:val="26"/>
          <w:szCs w:val="26"/>
        </w:rPr>
      </w:pPr>
    </w:p>
    <w:p w:rsidR="00F32BB0" w:rsidRPr="00A24778" w:rsidRDefault="00F32BB0" w:rsidP="0056027F">
      <w:pPr>
        <w:pStyle w:val="BodyText2"/>
        <w:keepNext/>
        <w:keepLines/>
        <w:spacing w:after="0" w:line="240" w:lineRule="auto"/>
        <w:ind w:left="4032" w:firstLine="720"/>
        <w:contextualSpacing/>
        <w:rPr>
          <w:b/>
          <w:sz w:val="26"/>
          <w:szCs w:val="26"/>
        </w:rPr>
      </w:pPr>
    </w:p>
    <w:p w:rsidR="00815284" w:rsidRPr="00A24778" w:rsidRDefault="00815284" w:rsidP="0056027F">
      <w:pPr>
        <w:pStyle w:val="BodyText2"/>
        <w:keepNext/>
        <w:keepLines/>
        <w:spacing w:after="0" w:line="240" w:lineRule="auto"/>
        <w:ind w:left="4032" w:firstLine="720"/>
        <w:contextualSpacing/>
        <w:rPr>
          <w:b/>
          <w:sz w:val="26"/>
          <w:szCs w:val="26"/>
        </w:rPr>
      </w:pPr>
    </w:p>
    <w:p w:rsidR="00A44992" w:rsidRPr="00A24778" w:rsidRDefault="00A44992" w:rsidP="0056027F">
      <w:pPr>
        <w:pStyle w:val="BodyText2"/>
        <w:keepNext/>
        <w:keepLines/>
        <w:spacing w:after="0" w:line="240" w:lineRule="auto"/>
        <w:ind w:left="4032" w:firstLine="720"/>
        <w:contextualSpacing/>
        <w:rPr>
          <w:sz w:val="26"/>
          <w:szCs w:val="26"/>
        </w:rPr>
      </w:pPr>
      <w:bookmarkStart w:id="5" w:name="_GoBack"/>
      <w:bookmarkEnd w:id="5"/>
      <w:r w:rsidRPr="00A24778">
        <w:rPr>
          <w:sz w:val="26"/>
          <w:szCs w:val="26"/>
        </w:rPr>
        <w:t>Rosemary Chiavetta</w:t>
      </w:r>
    </w:p>
    <w:p w:rsidR="00A44992" w:rsidRPr="00A24778" w:rsidRDefault="00A44992" w:rsidP="0056027F">
      <w:pPr>
        <w:pStyle w:val="BodyText2"/>
        <w:keepNext/>
        <w:keepLines/>
        <w:spacing w:after="0" w:line="240" w:lineRule="auto"/>
        <w:ind w:left="4032" w:firstLine="720"/>
        <w:contextualSpacing/>
        <w:rPr>
          <w:sz w:val="26"/>
          <w:szCs w:val="26"/>
        </w:rPr>
      </w:pPr>
      <w:r w:rsidRPr="00A24778">
        <w:rPr>
          <w:sz w:val="26"/>
          <w:szCs w:val="26"/>
        </w:rPr>
        <w:t>Secretary</w:t>
      </w:r>
    </w:p>
    <w:p w:rsidR="0056027F" w:rsidRPr="00A24778" w:rsidRDefault="0056027F" w:rsidP="0056027F">
      <w:pPr>
        <w:pStyle w:val="BodyText2"/>
        <w:keepNext/>
        <w:keepLines/>
        <w:spacing w:after="0" w:line="240" w:lineRule="auto"/>
        <w:ind w:left="4032" w:firstLine="720"/>
        <w:contextualSpacing/>
        <w:rPr>
          <w:sz w:val="26"/>
          <w:szCs w:val="26"/>
        </w:rPr>
      </w:pPr>
    </w:p>
    <w:p w:rsidR="00A44992" w:rsidRPr="00A24778" w:rsidRDefault="00A44992" w:rsidP="0045062E">
      <w:pPr>
        <w:pStyle w:val="BodyText2"/>
        <w:keepNext/>
        <w:keepLines/>
        <w:spacing w:after="0" w:line="360" w:lineRule="auto"/>
        <w:rPr>
          <w:sz w:val="26"/>
          <w:szCs w:val="26"/>
        </w:rPr>
      </w:pPr>
      <w:r w:rsidRPr="00A24778">
        <w:rPr>
          <w:sz w:val="26"/>
          <w:szCs w:val="26"/>
        </w:rPr>
        <w:t>(SEAL)</w:t>
      </w:r>
    </w:p>
    <w:p w:rsidR="00A44992" w:rsidRPr="00A24778" w:rsidRDefault="00A44992" w:rsidP="0045062E">
      <w:pPr>
        <w:pStyle w:val="BodyText2"/>
        <w:keepNext/>
        <w:keepLines/>
        <w:spacing w:after="0" w:line="360" w:lineRule="auto"/>
        <w:rPr>
          <w:sz w:val="26"/>
          <w:szCs w:val="26"/>
        </w:rPr>
      </w:pPr>
      <w:r w:rsidRPr="00A24778">
        <w:rPr>
          <w:sz w:val="26"/>
          <w:szCs w:val="26"/>
        </w:rPr>
        <w:t xml:space="preserve">ORDER ADOPTED: </w:t>
      </w:r>
      <w:r w:rsidR="00815284" w:rsidRPr="00A24778">
        <w:rPr>
          <w:sz w:val="26"/>
          <w:szCs w:val="26"/>
        </w:rPr>
        <w:t xml:space="preserve"> </w:t>
      </w:r>
      <w:r w:rsidR="00DF36D5" w:rsidRPr="00A24778">
        <w:rPr>
          <w:sz w:val="26"/>
          <w:szCs w:val="26"/>
        </w:rPr>
        <w:t>May 18</w:t>
      </w:r>
      <w:r w:rsidRPr="00A24778">
        <w:rPr>
          <w:sz w:val="26"/>
          <w:szCs w:val="26"/>
        </w:rPr>
        <w:t>, 2017</w:t>
      </w:r>
    </w:p>
    <w:p w:rsidR="0076047E" w:rsidRPr="00A24778" w:rsidRDefault="00815284" w:rsidP="0045062E">
      <w:pPr>
        <w:pStyle w:val="BodyText2"/>
        <w:keepNext/>
        <w:keepLines/>
        <w:spacing w:after="0" w:line="360" w:lineRule="auto"/>
        <w:rPr>
          <w:sz w:val="26"/>
          <w:szCs w:val="26"/>
        </w:rPr>
      </w:pPr>
      <w:r w:rsidRPr="00A24778">
        <w:rPr>
          <w:sz w:val="26"/>
          <w:szCs w:val="26"/>
        </w:rPr>
        <w:t xml:space="preserve">ORDER ENTERED:  </w:t>
      </w:r>
      <w:r w:rsidR="00C6087D">
        <w:rPr>
          <w:sz w:val="26"/>
          <w:szCs w:val="26"/>
        </w:rPr>
        <w:t>May 18, 2017</w:t>
      </w:r>
    </w:p>
    <w:sectPr w:rsidR="0076047E" w:rsidRPr="00A24778" w:rsidSect="000B24E9">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506" w:rsidRDefault="00CA4506" w:rsidP="00792C5F">
      <w:pPr>
        <w:spacing w:line="240" w:lineRule="auto"/>
      </w:pPr>
      <w:r>
        <w:separator/>
      </w:r>
    </w:p>
  </w:endnote>
  <w:endnote w:type="continuationSeparator" w:id="0">
    <w:p w:rsidR="00CA4506" w:rsidRDefault="00CA4506" w:rsidP="00792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8B" w:rsidRDefault="00A90A8B">
    <w:pPr>
      <w:pStyle w:val="Footer"/>
      <w:jc w:val="center"/>
    </w:pPr>
  </w:p>
  <w:p w:rsidR="00A90A8B" w:rsidRDefault="00A90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007464"/>
      <w:docPartObj>
        <w:docPartGallery w:val="Page Numbers (Bottom of Page)"/>
        <w:docPartUnique/>
      </w:docPartObj>
    </w:sdtPr>
    <w:sdtEndPr>
      <w:rPr>
        <w:noProof/>
      </w:rPr>
    </w:sdtEndPr>
    <w:sdtContent>
      <w:p w:rsidR="00A90A8B" w:rsidRDefault="00A90A8B">
        <w:pPr>
          <w:pStyle w:val="Footer"/>
          <w:jc w:val="center"/>
        </w:pPr>
        <w:r>
          <w:fldChar w:fldCharType="begin"/>
        </w:r>
        <w:r>
          <w:instrText xml:space="preserve"> PAGE   \* MERGEFORMAT </w:instrText>
        </w:r>
        <w:r>
          <w:fldChar w:fldCharType="separate"/>
        </w:r>
        <w:r w:rsidR="00C6087D">
          <w:rPr>
            <w:noProof/>
          </w:rPr>
          <w:t>14</w:t>
        </w:r>
        <w:r>
          <w:rPr>
            <w:noProof/>
          </w:rPr>
          <w:fldChar w:fldCharType="end"/>
        </w:r>
      </w:p>
    </w:sdtContent>
  </w:sdt>
  <w:p w:rsidR="00A90A8B" w:rsidRDefault="00A90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8B" w:rsidRDefault="00A90A8B">
    <w:pPr>
      <w:pStyle w:val="Footer"/>
      <w:jc w:val="center"/>
    </w:pPr>
  </w:p>
  <w:p w:rsidR="00A90A8B" w:rsidRDefault="00A90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506" w:rsidRDefault="00CA4506" w:rsidP="00792C5F">
      <w:pPr>
        <w:spacing w:line="240" w:lineRule="auto"/>
      </w:pPr>
      <w:r>
        <w:separator/>
      </w:r>
    </w:p>
  </w:footnote>
  <w:footnote w:type="continuationSeparator" w:id="0">
    <w:p w:rsidR="00CA4506" w:rsidRDefault="00CA4506" w:rsidP="00792C5F">
      <w:pPr>
        <w:spacing w:line="240" w:lineRule="auto"/>
      </w:pPr>
      <w:r>
        <w:continuationSeparator/>
      </w:r>
    </w:p>
  </w:footnote>
  <w:footnote w:type="continuationNotice" w:id="1">
    <w:p w:rsidR="00CA4506" w:rsidRDefault="00CA4506">
      <w:pPr>
        <w:spacing w:line="240" w:lineRule="auto"/>
      </w:pPr>
    </w:p>
  </w:footnote>
  <w:footnote w:id="2">
    <w:p w:rsidR="00A90A8B" w:rsidRPr="00341AF5" w:rsidRDefault="00A90A8B" w:rsidP="00072280">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The OCA complaints are docketed as follows:  C-2016-2543247 (Met-Ed); C-2016-2543266 (Penelec); C-2016-2543268 (Penn Power); and C-2016-2543315 (West Penn).</w:t>
      </w:r>
    </w:p>
  </w:footnote>
  <w:footnote w:id="3">
    <w:p w:rsidR="00A90A8B" w:rsidRPr="00341AF5" w:rsidRDefault="00A90A8B" w:rsidP="00072280">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The OSBA complaints are docketed as follows:  C-2016-2544355 (Met-Ed); C-2016-2544356 (Penelec): C-2016-2544358 (Penn Power); and C-2016-2544359 (West Penn).</w:t>
      </w:r>
    </w:p>
  </w:footnote>
  <w:footnote w:id="4">
    <w:p w:rsidR="00A90A8B" w:rsidRPr="00341AF5" w:rsidRDefault="00A90A8B" w:rsidP="00072280">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AK Steel only intervened in West Penn’s rate case.</w:t>
      </w:r>
    </w:p>
  </w:footnote>
  <w:footnote w:id="5">
    <w:p w:rsidR="00A90A8B" w:rsidRPr="00341AF5" w:rsidRDefault="00A90A8B" w:rsidP="00072280">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EDF only intervened in Met-Ed’s rate case.</w:t>
      </w:r>
    </w:p>
  </w:footnote>
  <w:footnote w:id="6">
    <w:p w:rsidR="00A90A8B" w:rsidRPr="00341AF5" w:rsidRDefault="00A90A8B" w:rsidP="00072280">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IBEW only intervened in Penelec’s rate case.</w:t>
      </w:r>
    </w:p>
  </w:footnote>
  <w:footnote w:id="7">
    <w:p w:rsidR="00A90A8B" w:rsidRPr="00341AF5" w:rsidRDefault="00A90A8B" w:rsidP="00072280">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NAH only intervened in Penelec’s rate case.</w:t>
      </w:r>
    </w:p>
  </w:footnote>
  <w:footnote w:id="8">
    <w:p w:rsidR="00A90A8B" w:rsidRPr="00341AF5" w:rsidRDefault="00A90A8B" w:rsidP="00072280">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r>
      <w:proofErr w:type="gramStart"/>
      <w:r w:rsidRPr="00341AF5">
        <w:rPr>
          <w:sz w:val="26"/>
          <w:szCs w:val="26"/>
        </w:rPr>
        <w:t>Athens, C-2016-2552366; Sayre, C-2016-2553194; South Waverly, C</w:t>
      </w:r>
      <w:r w:rsidRPr="00341AF5">
        <w:rPr>
          <w:sz w:val="26"/>
          <w:szCs w:val="26"/>
        </w:rPr>
        <w:noBreakHyphen/>
        <w:t>2016-2552369.</w:t>
      </w:r>
      <w:proofErr w:type="gramEnd"/>
      <w:r w:rsidRPr="00341AF5">
        <w:rPr>
          <w:sz w:val="26"/>
          <w:szCs w:val="26"/>
        </w:rPr>
        <w:t xml:space="preserve">  These Boroughs are all in Penelec’s service territory in Bradford County.</w:t>
      </w:r>
    </w:p>
  </w:footnote>
  <w:footnote w:id="9">
    <w:p w:rsidR="00A90A8B" w:rsidRPr="00341AF5" w:rsidRDefault="00A90A8B" w:rsidP="00072280">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Nicholson Borough is in Penelec’s service territory in Wyoming County.</w:t>
      </w:r>
    </w:p>
  </w:footnote>
  <w:footnote w:id="10">
    <w:p w:rsidR="00A90A8B" w:rsidRPr="00341AF5" w:rsidRDefault="00A90A8B" w:rsidP="00072280">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Worthington Borough is located in West Penn’s service territory in Armstrong County.</w:t>
      </w:r>
    </w:p>
  </w:footnote>
  <w:footnote w:id="11">
    <w:p w:rsidR="00A90A8B" w:rsidRPr="00341AF5" w:rsidRDefault="00A90A8B" w:rsidP="00072280">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t>The Companies’ DSIC Rider Petitions were filed on February 16, 2016.</w:t>
      </w:r>
    </w:p>
  </w:footnote>
  <w:footnote w:id="12">
    <w:p w:rsidR="00A90A8B" w:rsidRPr="00341AF5" w:rsidRDefault="00A90A8B" w:rsidP="00072280">
      <w:pPr>
        <w:keepNext/>
        <w:keepLines/>
        <w:spacing w:after="120" w:line="240" w:lineRule="auto"/>
        <w:ind w:firstLine="720"/>
        <w:rPr>
          <w:sz w:val="26"/>
          <w:szCs w:val="26"/>
        </w:rPr>
      </w:pPr>
      <w:r w:rsidRPr="00341AF5">
        <w:rPr>
          <w:rStyle w:val="FootnoteReference"/>
          <w:sz w:val="26"/>
          <w:szCs w:val="26"/>
        </w:rPr>
        <w:footnoteRef/>
      </w:r>
      <w:r w:rsidRPr="00341AF5">
        <w:rPr>
          <w:sz w:val="26"/>
          <w:szCs w:val="26"/>
        </w:rPr>
        <w:tab/>
      </w:r>
      <w:proofErr w:type="gramStart"/>
      <w:r w:rsidRPr="0055177B">
        <w:rPr>
          <w:i/>
          <w:sz w:val="26"/>
          <w:szCs w:val="26"/>
        </w:rPr>
        <w:t>Petition of Metropolitan Edison Company for Approval of a Distribution System Improvement Charge,</w:t>
      </w:r>
      <w:r w:rsidRPr="00EF057E">
        <w:rPr>
          <w:sz w:val="26"/>
          <w:szCs w:val="26"/>
        </w:rPr>
        <w:t xml:space="preserve"> Docket No.</w:t>
      </w:r>
      <w:proofErr w:type="gramEnd"/>
      <w:r w:rsidRPr="00EF057E">
        <w:rPr>
          <w:sz w:val="26"/>
          <w:szCs w:val="26"/>
        </w:rPr>
        <w:t xml:space="preserve"> P-2015-2508942 (Order entered June 9, 2016) </w:t>
      </w:r>
      <w:r w:rsidRPr="0055177B">
        <w:rPr>
          <w:i/>
          <w:sz w:val="26"/>
          <w:szCs w:val="26"/>
        </w:rPr>
        <w:t>(Met-Ed DSIC Order)</w:t>
      </w:r>
      <w:r w:rsidRPr="00EF057E">
        <w:rPr>
          <w:sz w:val="26"/>
          <w:szCs w:val="26"/>
        </w:rPr>
        <w:t xml:space="preserve">; </w:t>
      </w:r>
      <w:r w:rsidRPr="0055177B">
        <w:rPr>
          <w:i/>
          <w:sz w:val="26"/>
          <w:szCs w:val="26"/>
        </w:rPr>
        <w:t>Petition of Pennsylvania Electric Company for Approval of a Distribution System Improvement Charge,</w:t>
      </w:r>
      <w:r w:rsidRPr="00EF057E">
        <w:rPr>
          <w:sz w:val="26"/>
          <w:szCs w:val="26"/>
        </w:rPr>
        <w:t xml:space="preserve"> Docket No. P-2015-2508936 (Order entered June 9, 2016) </w:t>
      </w:r>
      <w:r w:rsidRPr="0055177B">
        <w:rPr>
          <w:i/>
          <w:sz w:val="26"/>
          <w:szCs w:val="26"/>
        </w:rPr>
        <w:t>(Penelec DSIC Order)</w:t>
      </w:r>
      <w:r w:rsidRPr="00EF057E">
        <w:rPr>
          <w:sz w:val="26"/>
          <w:szCs w:val="26"/>
        </w:rPr>
        <w:t xml:space="preserve">; </w:t>
      </w:r>
      <w:r w:rsidRPr="0055177B">
        <w:rPr>
          <w:i/>
          <w:sz w:val="26"/>
          <w:szCs w:val="26"/>
        </w:rPr>
        <w:t>Petition of Pennsylvania Power Company for Approval of a Distribution System Improvement Charge,</w:t>
      </w:r>
      <w:r w:rsidRPr="00EF057E">
        <w:rPr>
          <w:sz w:val="26"/>
          <w:szCs w:val="26"/>
        </w:rPr>
        <w:t xml:space="preserve"> Docket No. P-2015-2508931 (Order entered June 9, 2016) </w:t>
      </w:r>
      <w:r w:rsidRPr="0055177B">
        <w:rPr>
          <w:i/>
          <w:sz w:val="26"/>
          <w:szCs w:val="26"/>
        </w:rPr>
        <w:t>(Penn Power DSIC Order)</w:t>
      </w:r>
      <w:r w:rsidRPr="00EF057E">
        <w:rPr>
          <w:sz w:val="26"/>
          <w:szCs w:val="26"/>
        </w:rPr>
        <w:t xml:space="preserve">; </w:t>
      </w:r>
      <w:r w:rsidRPr="0055177B">
        <w:rPr>
          <w:i/>
          <w:sz w:val="26"/>
          <w:szCs w:val="26"/>
        </w:rPr>
        <w:t>Petition of West Penn Power Company for Approval of a Distribution System Improvement Charge,</w:t>
      </w:r>
      <w:r w:rsidRPr="00EF057E">
        <w:rPr>
          <w:sz w:val="26"/>
          <w:szCs w:val="26"/>
        </w:rPr>
        <w:t xml:space="preserve"> Docket No. P-2015-2508948 (Order entered June 9, 2016) </w:t>
      </w:r>
      <w:r w:rsidRPr="0055177B">
        <w:rPr>
          <w:i/>
          <w:sz w:val="26"/>
          <w:szCs w:val="26"/>
        </w:rPr>
        <w:t>(West Penn DSIC Order)</w:t>
      </w:r>
      <w:r w:rsidRPr="00EF057E">
        <w:rPr>
          <w:sz w:val="26"/>
          <w:szCs w:val="26"/>
        </w:rPr>
        <w:t xml:space="preserve"> (collectively, </w:t>
      </w:r>
      <w:r w:rsidRPr="0055177B">
        <w:rPr>
          <w:i/>
          <w:sz w:val="26"/>
          <w:szCs w:val="26"/>
        </w:rPr>
        <w:t xml:space="preserve">Companies’ DSIC Orders </w:t>
      </w:r>
      <w:r w:rsidRPr="00B918A7">
        <w:rPr>
          <w:sz w:val="26"/>
          <w:szCs w:val="26"/>
        </w:rPr>
        <w:t>or</w:t>
      </w:r>
      <w:r w:rsidRPr="0055177B">
        <w:rPr>
          <w:i/>
          <w:sz w:val="26"/>
          <w:szCs w:val="26"/>
        </w:rPr>
        <w:t xml:space="preserve"> DSIC </w:t>
      </w:r>
      <w:r>
        <w:rPr>
          <w:i/>
          <w:sz w:val="26"/>
          <w:szCs w:val="26"/>
        </w:rPr>
        <w:t>P</w:t>
      </w:r>
      <w:r w:rsidRPr="0055177B">
        <w:rPr>
          <w:i/>
          <w:sz w:val="26"/>
          <w:szCs w:val="26"/>
        </w:rPr>
        <w:t>roceedings</w:t>
      </w:r>
      <w:r w:rsidRPr="00EF057E">
        <w:rPr>
          <w:sz w:val="26"/>
          <w:szCs w:val="26"/>
        </w:rPr>
        <w:t>).</w:t>
      </w:r>
    </w:p>
  </w:footnote>
  <w:footnote w:id="13">
    <w:p w:rsidR="00A90A8B" w:rsidRPr="00B918A7" w:rsidRDefault="00A90A8B" w:rsidP="00072280">
      <w:pPr>
        <w:keepNext/>
        <w:keepLines/>
        <w:spacing w:after="120" w:line="240" w:lineRule="auto"/>
        <w:ind w:firstLine="720"/>
        <w:rPr>
          <w:sz w:val="26"/>
          <w:szCs w:val="26"/>
        </w:rPr>
      </w:pPr>
      <w:r w:rsidRPr="00B918A7">
        <w:rPr>
          <w:rStyle w:val="FootnoteReference"/>
          <w:sz w:val="26"/>
          <w:szCs w:val="26"/>
        </w:rPr>
        <w:footnoteRef/>
      </w:r>
      <w:r w:rsidRPr="00B918A7">
        <w:rPr>
          <w:sz w:val="26"/>
          <w:szCs w:val="26"/>
        </w:rPr>
        <w:tab/>
        <w:t>A list of the Companies’ written testimony and associated exhibits and schedules, as well as errata which corrected typographical errors in the written testimony, are set forth in Hearing Exhibits 1 and 2, which were admitted into the record.</w:t>
      </w:r>
    </w:p>
  </w:footnote>
  <w:footnote w:id="14">
    <w:p w:rsidR="00A90A8B" w:rsidRPr="00B918A7" w:rsidRDefault="00A90A8B" w:rsidP="00072280">
      <w:pPr>
        <w:pStyle w:val="FootnoteText"/>
        <w:keepNext/>
        <w:keepLines/>
        <w:spacing w:after="120"/>
        <w:rPr>
          <w:sz w:val="26"/>
          <w:szCs w:val="26"/>
        </w:rPr>
      </w:pPr>
      <w:r w:rsidRPr="00B918A7">
        <w:rPr>
          <w:rStyle w:val="FootnoteReference"/>
          <w:sz w:val="26"/>
          <w:szCs w:val="26"/>
        </w:rPr>
        <w:footnoteRef/>
      </w:r>
      <w:r w:rsidRPr="00B918A7">
        <w:rPr>
          <w:sz w:val="26"/>
          <w:szCs w:val="26"/>
        </w:rPr>
        <w:t xml:space="preserve"> </w:t>
      </w:r>
      <w:r w:rsidRPr="00B918A7">
        <w:rPr>
          <w:sz w:val="26"/>
          <w:szCs w:val="26"/>
        </w:rPr>
        <w:tab/>
        <w:t xml:space="preserve">For a thorough discussion of the terms and conditions of the Partial Settlements, </w:t>
      </w:r>
      <w:r w:rsidRPr="00B918A7">
        <w:rPr>
          <w:i/>
          <w:sz w:val="26"/>
          <w:szCs w:val="26"/>
        </w:rPr>
        <w:t>see</w:t>
      </w:r>
      <w:r w:rsidRPr="00B918A7">
        <w:rPr>
          <w:sz w:val="26"/>
          <w:szCs w:val="26"/>
        </w:rPr>
        <w:t xml:space="preserve"> </w:t>
      </w:r>
      <w:r w:rsidRPr="00B918A7">
        <w:rPr>
          <w:i/>
          <w:sz w:val="26"/>
          <w:szCs w:val="26"/>
        </w:rPr>
        <w:t>January 2017 Order</w:t>
      </w:r>
      <w:r w:rsidRPr="00B918A7">
        <w:rPr>
          <w:sz w:val="26"/>
          <w:szCs w:val="26"/>
        </w:rPr>
        <w:t xml:space="preserve"> at 8-18.</w:t>
      </w:r>
    </w:p>
  </w:footnote>
  <w:footnote w:id="15">
    <w:p w:rsidR="00A90A8B" w:rsidRPr="00B918A7" w:rsidRDefault="00A90A8B" w:rsidP="00072280">
      <w:pPr>
        <w:pStyle w:val="FootnoteText"/>
        <w:keepNext/>
        <w:keepLines/>
        <w:spacing w:after="120"/>
        <w:rPr>
          <w:sz w:val="26"/>
          <w:szCs w:val="26"/>
        </w:rPr>
      </w:pPr>
      <w:r w:rsidRPr="00B918A7">
        <w:rPr>
          <w:rStyle w:val="FootnoteReference"/>
          <w:sz w:val="26"/>
          <w:szCs w:val="26"/>
        </w:rPr>
        <w:footnoteRef/>
      </w:r>
      <w:r w:rsidRPr="00B918A7">
        <w:rPr>
          <w:sz w:val="26"/>
          <w:szCs w:val="26"/>
        </w:rPr>
        <w:tab/>
        <w:t xml:space="preserve">For a detailed discussion of the Parties’ positions on the contested issue, </w:t>
      </w:r>
      <w:r w:rsidRPr="00B918A7">
        <w:rPr>
          <w:i/>
          <w:sz w:val="26"/>
          <w:szCs w:val="26"/>
        </w:rPr>
        <w:t>see</w:t>
      </w:r>
      <w:r w:rsidRPr="00B918A7">
        <w:rPr>
          <w:sz w:val="26"/>
          <w:szCs w:val="26"/>
        </w:rPr>
        <w:t xml:space="preserve"> </w:t>
      </w:r>
      <w:r w:rsidRPr="00B918A7">
        <w:rPr>
          <w:i/>
          <w:sz w:val="26"/>
          <w:szCs w:val="26"/>
        </w:rPr>
        <w:t>January 2017 Order</w:t>
      </w:r>
      <w:r w:rsidRPr="00B918A7">
        <w:rPr>
          <w:sz w:val="26"/>
          <w:szCs w:val="26"/>
        </w:rPr>
        <w:t xml:space="preserve"> at 26-34.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F18A9"/>
    <w:multiLevelType w:val="hybridMultilevel"/>
    <w:tmpl w:val="3FEC8AF6"/>
    <w:lvl w:ilvl="0" w:tplc="8902738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332C9"/>
    <w:multiLevelType w:val="hybridMultilevel"/>
    <w:tmpl w:val="891EE3A8"/>
    <w:lvl w:ilvl="0" w:tplc="8EE469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064C78"/>
    <w:multiLevelType w:val="hybridMultilevel"/>
    <w:tmpl w:val="0E9E0D5A"/>
    <w:lvl w:ilvl="0" w:tplc="93BE72F4">
      <w:start w:val="1"/>
      <w:numFmt w:val="decimal"/>
      <w:lvlText w:val="%1."/>
      <w:lvlJc w:val="left"/>
      <w:pPr>
        <w:ind w:left="1440" w:hanging="360"/>
      </w:pPr>
    </w:lvl>
    <w:lvl w:ilvl="1" w:tplc="04090019">
      <w:start w:val="1"/>
      <w:numFmt w:val="lowerLetter"/>
      <w:lvlText w:val="%2."/>
      <w:lvlJc w:val="left"/>
      <w:pPr>
        <w:ind w:left="2160" w:hanging="360"/>
      </w:pPr>
    </w:lvl>
    <w:lvl w:ilvl="2" w:tplc="D3FABFC4">
      <w:start w:val="2"/>
      <w:numFmt w:val="upperLetter"/>
      <w:lvlText w:val="%3."/>
      <w:lvlJc w:val="left"/>
      <w:pPr>
        <w:ind w:left="3060" w:hanging="360"/>
      </w:pPr>
      <w:rPr>
        <w:rFonts w:hint="default"/>
      </w:rPr>
    </w:lvl>
    <w:lvl w:ilvl="3" w:tplc="02F848EE">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A038A1"/>
    <w:multiLevelType w:val="hybridMultilevel"/>
    <w:tmpl w:val="43EE7B2E"/>
    <w:lvl w:ilvl="0" w:tplc="17D0E1E8">
      <w:start w:val="1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3C750B6"/>
    <w:multiLevelType w:val="hybridMultilevel"/>
    <w:tmpl w:val="F7A6283C"/>
    <w:lvl w:ilvl="0" w:tplc="F0E63A1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4D37AA"/>
    <w:multiLevelType w:val="hybridMultilevel"/>
    <w:tmpl w:val="D8967E58"/>
    <w:lvl w:ilvl="0" w:tplc="E522F6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78E073B"/>
    <w:multiLevelType w:val="hybridMultilevel"/>
    <w:tmpl w:val="6E6CB124"/>
    <w:lvl w:ilvl="0" w:tplc="B6E626F2">
      <w:start w:val="1"/>
      <w:numFmt w:val="lowerRoman"/>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nsid w:val="6E4E6962"/>
    <w:multiLevelType w:val="hybridMultilevel"/>
    <w:tmpl w:val="26166126"/>
    <w:lvl w:ilvl="0" w:tplc="60FAB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583"/>
    <w:rsid w:val="00000DE2"/>
    <w:rsid w:val="00002784"/>
    <w:rsid w:val="00003DD6"/>
    <w:rsid w:val="00006499"/>
    <w:rsid w:val="0001164E"/>
    <w:rsid w:val="00012DBA"/>
    <w:rsid w:val="000137A9"/>
    <w:rsid w:val="000140FD"/>
    <w:rsid w:val="0001451D"/>
    <w:rsid w:val="00015BEC"/>
    <w:rsid w:val="00015EA9"/>
    <w:rsid w:val="00022C77"/>
    <w:rsid w:val="00023173"/>
    <w:rsid w:val="0002318A"/>
    <w:rsid w:val="00023B52"/>
    <w:rsid w:val="00025807"/>
    <w:rsid w:val="00026DFA"/>
    <w:rsid w:val="00027078"/>
    <w:rsid w:val="000272E1"/>
    <w:rsid w:val="00030391"/>
    <w:rsid w:val="0003455A"/>
    <w:rsid w:val="000346D9"/>
    <w:rsid w:val="00034896"/>
    <w:rsid w:val="00035619"/>
    <w:rsid w:val="00050707"/>
    <w:rsid w:val="00050D68"/>
    <w:rsid w:val="00050D88"/>
    <w:rsid w:val="0005113C"/>
    <w:rsid w:val="000532D4"/>
    <w:rsid w:val="000532FE"/>
    <w:rsid w:val="0005604B"/>
    <w:rsid w:val="0005637E"/>
    <w:rsid w:val="00056ED6"/>
    <w:rsid w:val="00062EA2"/>
    <w:rsid w:val="00064329"/>
    <w:rsid w:val="00064CDB"/>
    <w:rsid w:val="00066819"/>
    <w:rsid w:val="00072280"/>
    <w:rsid w:val="000737D4"/>
    <w:rsid w:val="00080796"/>
    <w:rsid w:val="00084A34"/>
    <w:rsid w:val="0009066B"/>
    <w:rsid w:val="00093EDD"/>
    <w:rsid w:val="0009479F"/>
    <w:rsid w:val="00094D38"/>
    <w:rsid w:val="00095AAE"/>
    <w:rsid w:val="000A4E99"/>
    <w:rsid w:val="000A5CD1"/>
    <w:rsid w:val="000B1DB6"/>
    <w:rsid w:val="000B24E9"/>
    <w:rsid w:val="000B322B"/>
    <w:rsid w:val="000B66A7"/>
    <w:rsid w:val="000B6A0A"/>
    <w:rsid w:val="000B7E30"/>
    <w:rsid w:val="000B7F12"/>
    <w:rsid w:val="000C0707"/>
    <w:rsid w:val="000C1A97"/>
    <w:rsid w:val="000C5390"/>
    <w:rsid w:val="000C667F"/>
    <w:rsid w:val="000C6ECF"/>
    <w:rsid w:val="000C7903"/>
    <w:rsid w:val="000C7C19"/>
    <w:rsid w:val="000D0EC7"/>
    <w:rsid w:val="000D1386"/>
    <w:rsid w:val="000D17DD"/>
    <w:rsid w:val="000D1D89"/>
    <w:rsid w:val="000D2E34"/>
    <w:rsid w:val="000D5BDF"/>
    <w:rsid w:val="000D65C7"/>
    <w:rsid w:val="000E0863"/>
    <w:rsid w:val="000E1314"/>
    <w:rsid w:val="000E4BF2"/>
    <w:rsid w:val="000E65A7"/>
    <w:rsid w:val="000F1E54"/>
    <w:rsid w:val="000F2211"/>
    <w:rsid w:val="000F41A4"/>
    <w:rsid w:val="000F5BF0"/>
    <w:rsid w:val="000F6661"/>
    <w:rsid w:val="001012D5"/>
    <w:rsid w:val="0010255B"/>
    <w:rsid w:val="00102EB0"/>
    <w:rsid w:val="0010378D"/>
    <w:rsid w:val="00106955"/>
    <w:rsid w:val="001113BF"/>
    <w:rsid w:val="00112877"/>
    <w:rsid w:val="001133D5"/>
    <w:rsid w:val="001212FD"/>
    <w:rsid w:val="001221AE"/>
    <w:rsid w:val="00122204"/>
    <w:rsid w:val="0012296B"/>
    <w:rsid w:val="00122BAA"/>
    <w:rsid w:val="0012405A"/>
    <w:rsid w:val="0012426F"/>
    <w:rsid w:val="001244C9"/>
    <w:rsid w:val="001248BF"/>
    <w:rsid w:val="00125E24"/>
    <w:rsid w:val="001262E5"/>
    <w:rsid w:val="001263E1"/>
    <w:rsid w:val="00126BA6"/>
    <w:rsid w:val="00127072"/>
    <w:rsid w:val="00131342"/>
    <w:rsid w:val="001318A0"/>
    <w:rsid w:val="00131E7C"/>
    <w:rsid w:val="001346A6"/>
    <w:rsid w:val="00134B50"/>
    <w:rsid w:val="00141FBF"/>
    <w:rsid w:val="00142B96"/>
    <w:rsid w:val="00143D08"/>
    <w:rsid w:val="00144568"/>
    <w:rsid w:val="00147AE0"/>
    <w:rsid w:val="00151CED"/>
    <w:rsid w:val="00152CA9"/>
    <w:rsid w:val="001564D6"/>
    <w:rsid w:val="00161723"/>
    <w:rsid w:val="001625DC"/>
    <w:rsid w:val="0016477D"/>
    <w:rsid w:val="001652CA"/>
    <w:rsid w:val="0016726D"/>
    <w:rsid w:val="00170121"/>
    <w:rsid w:val="001715D1"/>
    <w:rsid w:val="00174B68"/>
    <w:rsid w:val="00174F7C"/>
    <w:rsid w:val="00176C15"/>
    <w:rsid w:val="00176C9A"/>
    <w:rsid w:val="00182BE9"/>
    <w:rsid w:val="00186354"/>
    <w:rsid w:val="0018648A"/>
    <w:rsid w:val="00187463"/>
    <w:rsid w:val="00187A42"/>
    <w:rsid w:val="00192B4A"/>
    <w:rsid w:val="001930D2"/>
    <w:rsid w:val="00195B6C"/>
    <w:rsid w:val="001A049A"/>
    <w:rsid w:val="001B1701"/>
    <w:rsid w:val="001B2F75"/>
    <w:rsid w:val="001B4611"/>
    <w:rsid w:val="001C045B"/>
    <w:rsid w:val="001C1CB1"/>
    <w:rsid w:val="001C3C30"/>
    <w:rsid w:val="001C44A4"/>
    <w:rsid w:val="001C48D1"/>
    <w:rsid w:val="001C5B8C"/>
    <w:rsid w:val="001C74A5"/>
    <w:rsid w:val="001C78EE"/>
    <w:rsid w:val="001D0C37"/>
    <w:rsid w:val="001D26BE"/>
    <w:rsid w:val="001D3336"/>
    <w:rsid w:val="001D4E03"/>
    <w:rsid w:val="001D5996"/>
    <w:rsid w:val="001E0BE6"/>
    <w:rsid w:val="001E1A2F"/>
    <w:rsid w:val="001E2A7D"/>
    <w:rsid w:val="001E3495"/>
    <w:rsid w:val="001E48D7"/>
    <w:rsid w:val="001E5771"/>
    <w:rsid w:val="001E58B4"/>
    <w:rsid w:val="001F0AB5"/>
    <w:rsid w:val="001F21AC"/>
    <w:rsid w:val="001F274B"/>
    <w:rsid w:val="001F4EC9"/>
    <w:rsid w:val="001F53D1"/>
    <w:rsid w:val="001F6370"/>
    <w:rsid w:val="001F76F1"/>
    <w:rsid w:val="00201F73"/>
    <w:rsid w:val="002025EC"/>
    <w:rsid w:val="00202F15"/>
    <w:rsid w:val="00203175"/>
    <w:rsid w:val="00203CC0"/>
    <w:rsid w:val="002040DF"/>
    <w:rsid w:val="0021056B"/>
    <w:rsid w:val="00210D10"/>
    <w:rsid w:val="00211EB8"/>
    <w:rsid w:val="0021320F"/>
    <w:rsid w:val="002136E3"/>
    <w:rsid w:val="002154AE"/>
    <w:rsid w:val="0021647B"/>
    <w:rsid w:val="0022070A"/>
    <w:rsid w:val="00220B99"/>
    <w:rsid w:val="002218FF"/>
    <w:rsid w:val="002233BD"/>
    <w:rsid w:val="0022408B"/>
    <w:rsid w:val="002242FD"/>
    <w:rsid w:val="00226CE9"/>
    <w:rsid w:val="002306E4"/>
    <w:rsid w:val="00230E5C"/>
    <w:rsid w:val="00231765"/>
    <w:rsid w:val="00235CAB"/>
    <w:rsid w:val="00240638"/>
    <w:rsid w:val="00240A0B"/>
    <w:rsid w:val="00241BEB"/>
    <w:rsid w:val="00242110"/>
    <w:rsid w:val="0024297C"/>
    <w:rsid w:val="00244A3B"/>
    <w:rsid w:val="00244E22"/>
    <w:rsid w:val="002474D1"/>
    <w:rsid w:val="0024796D"/>
    <w:rsid w:val="002518E3"/>
    <w:rsid w:val="002542A7"/>
    <w:rsid w:val="00254FFF"/>
    <w:rsid w:val="0025662A"/>
    <w:rsid w:val="0026040C"/>
    <w:rsid w:val="00260707"/>
    <w:rsid w:val="002645E4"/>
    <w:rsid w:val="0026536B"/>
    <w:rsid w:val="002669F3"/>
    <w:rsid w:val="00276402"/>
    <w:rsid w:val="00276BDF"/>
    <w:rsid w:val="002778F4"/>
    <w:rsid w:val="00277D89"/>
    <w:rsid w:val="00281AA8"/>
    <w:rsid w:val="00282CE8"/>
    <w:rsid w:val="002847C8"/>
    <w:rsid w:val="002859A8"/>
    <w:rsid w:val="00291FB5"/>
    <w:rsid w:val="00293324"/>
    <w:rsid w:val="00294A2A"/>
    <w:rsid w:val="00296659"/>
    <w:rsid w:val="002A4FB0"/>
    <w:rsid w:val="002A5390"/>
    <w:rsid w:val="002A53EC"/>
    <w:rsid w:val="002A71DF"/>
    <w:rsid w:val="002A7694"/>
    <w:rsid w:val="002B3EF0"/>
    <w:rsid w:val="002B4961"/>
    <w:rsid w:val="002C0554"/>
    <w:rsid w:val="002C0FA3"/>
    <w:rsid w:val="002C19F6"/>
    <w:rsid w:val="002C27B8"/>
    <w:rsid w:val="002C548B"/>
    <w:rsid w:val="002C691C"/>
    <w:rsid w:val="002D1D60"/>
    <w:rsid w:val="002D41A5"/>
    <w:rsid w:val="002D4EA8"/>
    <w:rsid w:val="002D5324"/>
    <w:rsid w:val="002D5D42"/>
    <w:rsid w:val="002E39EC"/>
    <w:rsid w:val="002E3F77"/>
    <w:rsid w:val="002E6EA2"/>
    <w:rsid w:val="002F0873"/>
    <w:rsid w:val="002F10EC"/>
    <w:rsid w:val="002F166D"/>
    <w:rsid w:val="002F33B9"/>
    <w:rsid w:val="002F3E89"/>
    <w:rsid w:val="002F4EDC"/>
    <w:rsid w:val="002F589A"/>
    <w:rsid w:val="0030048C"/>
    <w:rsid w:val="00301CA1"/>
    <w:rsid w:val="003062C7"/>
    <w:rsid w:val="00306657"/>
    <w:rsid w:val="00306706"/>
    <w:rsid w:val="00313C2A"/>
    <w:rsid w:val="003154D7"/>
    <w:rsid w:val="003154E3"/>
    <w:rsid w:val="003207FF"/>
    <w:rsid w:val="00321743"/>
    <w:rsid w:val="0032305B"/>
    <w:rsid w:val="00323798"/>
    <w:rsid w:val="00324E77"/>
    <w:rsid w:val="00327588"/>
    <w:rsid w:val="00330340"/>
    <w:rsid w:val="00333824"/>
    <w:rsid w:val="00334667"/>
    <w:rsid w:val="003379E5"/>
    <w:rsid w:val="00341AF5"/>
    <w:rsid w:val="00350D39"/>
    <w:rsid w:val="003539FB"/>
    <w:rsid w:val="003556CD"/>
    <w:rsid w:val="00355E5D"/>
    <w:rsid w:val="003566F8"/>
    <w:rsid w:val="0035790B"/>
    <w:rsid w:val="003649F9"/>
    <w:rsid w:val="00367217"/>
    <w:rsid w:val="0036738E"/>
    <w:rsid w:val="00367510"/>
    <w:rsid w:val="003721B6"/>
    <w:rsid w:val="0037225A"/>
    <w:rsid w:val="00373212"/>
    <w:rsid w:val="00373FFC"/>
    <w:rsid w:val="00383FE0"/>
    <w:rsid w:val="0038518B"/>
    <w:rsid w:val="003923F9"/>
    <w:rsid w:val="00392FD3"/>
    <w:rsid w:val="00393A0E"/>
    <w:rsid w:val="0039408D"/>
    <w:rsid w:val="00394A5B"/>
    <w:rsid w:val="003A4166"/>
    <w:rsid w:val="003A5859"/>
    <w:rsid w:val="003B34F7"/>
    <w:rsid w:val="003B4CCE"/>
    <w:rsid w:val="003B5D6F"/>
    <w:rsid w:val="003B6F24"/>
    <w:rsid w:val="003C0CF7"/>
    <w:rsid w:val="003C1B45"/>
    <w:rsid w:val="003C2103"/>
    <w:rsid w:val="003C2A03"/>
    <w:rsid w:val="003C3CB1"/>
    <w:rsid w:val="003D1FDB"/>
    <w:rsid w:val="003D3107"/>
    <w:rsid w:val="003D3B0F"/>
    <w:rsid w:val="003D62A3"/>
    <w:rsid w:val="003D7739"/>
    <w:rsid w:val="003D7F1C"/>
    <w:rsid w:val="003E1741"/>
    <w:rsid w:val="003E23BE"/>
    <w:rsid w:val="003E551D"/>
    <w:rsid w:val="003E61C9"/>
    <w:rsid w:val="003E6C84"/>
    <w:rsid w:val="003E7D95"/>
    <w:rsid w:val="003F001F"/>
    <w:rsid w:val="003F073A"/>
    <w:rsid w:val="003F3B97"/>
    <w:rsid w:val="003F6D6C"/>
    <w:rsid w:val="00402158"/>
    <w:rsid w:val="00403957"/>
    <w:rsid w:val="004059BB"/>
    <w:rsid w:val="00407C73"/>
    <w:rsid w:val="00411148"/>
    <w:rsid w:val="004137E2"/>
    <w:rsid w:val="0042117F"/>
    <w:rsid w:val="0042333B"/>
    <w:rsid w:val="00427038"/>
    <w:rsid w:val="00431212"/>
    <w:rsid w:val="004338B9"/>
    <w:rsid w:val="00434B06"/>
    <w:rsid w:val="00437E31"/>
    <w:rsid w:val="00437EDE"/>
    <w:rsid w:val="004421D6"/>
    <w:rsid w:val="00442517"/>
    <w:rsid w:val="00442E1B"/>
    <w:rsid w:val="00443C2E"/>
    <w:rsid w:val="004457B5"/>
    <w:rsid w:val="0045062E"/>
    <w:rsid w:val="00452EFC"/>
    <w:rsid w:val="00460715"/>
    <w:rsid w:val="004651FF"/>
    <w:rsid w:val="00471188"/>
    <w:rsid w:val="004726B0"/>
    <w:rsid w:val="00472E28"/>
    <w:rsid w:val="0048039A"/>
    <w:rsid w:val="00483D94"/>
    <w:rsid w:val="00487334"/>
    <w:rsid w:val="00490DCC"/>
    <w:rsid w:val="00490E12"/>
    <w:rsid w:val="00490FC1"/>
    <w:rsid w:val="00491966"/>
    <w:rsid w:val="00493B74"/>
    <w:rsid w:val="00493E41"/>
    <w:rsid w:val="004975BA"/>
    <w:rsid w:val="004A1663"/>
    <w:rsid w:val="004A2E8F"/>
    <w:rsid w:val="004B0EF6"/>
    <w:rsid w:val="004B22E4"/>
    <w:rsid w:val="004B3F74"/>
    <w:rsid w:val="004B4847"/>
    <w:rsid w:val="004B4C78"/>
    <w:rsid w:val="004B6931"/>
    <w:rsid w:val="004C0E56"/>
    <w:rsid w:val="004C1DE1"/>
    <w:rsid w:val="004C272B"/>
    <w:rsid w:val="004C3081"/>
    <w:rsid w:val="004C3247"/>
    <w:rsid w:val="004C329A"/>
    <w:rsid w:val="004C3810"/>
    <w:rsid w:val="004C4FAA"/>
    <w:rsid w:val="004C7208"/>
    <w:rsid w:val="004C77C1"/>
    <w:rsid w:val="004C783E"/>
    <w:rsid w:val="004D18E7"/>
    <w:rsid w:val="004D218B"/>
    <w:rsid w:val="004D5AD8"/>
    <w:rsid w:val="004D734C"/>
    <w:rsid w:val="004E22C4"/>
    <w:rsid w:val="004E303A"/>
    <w:rsid w:val="004F4D1D"/>
    <w:rsid w:val="004F603F"/>
    <w:rsid w:val="0050257A"/>
    <w:rsid w:val="00502AFF"/>
    <w:rsid w:val="005055AD"/>
    <w:rsid w:val="005070C4"/>
    <w:rsid w:val="00512E8A"/>
    <w:rsid w:val="0051470E"/>
    <w:rsid w:val="00514BEB"/>
    <w:rsid w:val="00515B9C"/>
    <w:rsid w:val="005165D6"/>
    <w:rsid w:val="00516B13"/>
    <w:rsid w:val="005207DF"/>
    <w:rsid w:val="00521995"/>
    <w:rsid w:val="00522931"/>
    <w:rsid w:val="0052453A"/>
    <w:rsid w:val="00524B4E"/>
    <w:rsid w:val="005253E0"/>
    <w:rsid w:val="00525DD5"/>
    <w:rsid w:val="0052649B"/>
    <w:rsid w:val="00527B51"/>
    <w:rsid w:val="00530335"/>
    <w:rsid w:val="00533F9A"/>
    <w:rsid w:val="00534C94"/>
    <w:rsid w:val="0053702B"/>
    <w:rsid w:val="005414F8"/>
    <w:rsid w:val="00542770"/>
    <w:rsid w:val="00543626"/>
    <w:rsid w:val="00545AC9"/>
    <w:rsid w:val="00545F98"/>
    <w:rsid w:val="00547CE1"/>
    <w:rsid w:val="00551035"/>
    <w:rsid w:val="0055177B"/>
    <w:rsid w:val="00551F91"/>
    <w:rsid w:val="00553561"/>
    <w:rsid w:val="00553D37"/>
    <w:rsid w:val="00553D7F"/>
    <w:rsid w:val="005543B7"/>
    <w:rsid w:val="00555A18"/>
    <w:rsid w:val="00556A77"/>
    <w:rsid w:val="00556BAF"/>
    <w:rsid w:val="00557066"/>
    <w:rsid w:val="0055792E"/>
    <w:rsid w:val="0056027F"/>
    <w:rsid w:val="00561CE8"/>
    <w:rsid w:val="0056305E"/>
    <w:rsid w:val="00564626"/>
    <w:rsid w:val="005663F2"/>
    <w:rsid w:val="005675B7"/>
    <w:rsid w:val="0057056D"/>
    <w:rsid w:val="005719DA"/>
    <w:rsid w:val="00571F86"/>
    <w:rsid w:val="0057297F"/>
    <w:rsid w:val="00572FE2"/>
    <w:rsid w:val="0057421E"/>
    <w:rsid w:val="00575029"/>
    <w:rsid w:val="005768E6"/>
    <w:rsid w:val="0057730D"/>
    <w:rsid w:val="0058089C"/>
    <w:rsid w:val="00586404"/>
    <w:rsid w:val="00586A4E"/>
    <w:rsid w:val="005874BC"/>
    <w:rsid w:val="00590044"/>
    <w:rsid w:val="005910C3"/>
    <w:rsid w:val="00592C5B"/>
    <w:rsid w:val="005934D4"/>
    <w:rsid w:val="00594692"/>
    <w:rsid w:val="00594F6C"/>
    <w:rsid w:val="00596380"/>
    <w:rsid w:val="00597021"/>
    <w:rsid w:val="005975AF"/>
    <w:rsid w:val="005A034D"/>
    <w:rsid w:val="005A1B78"/>
    <w:rsid w:val="005A29E5"/>
    <w:rsid w:val="005A5279"/>
    <w:rsid w:val="005A5AF4"/>
    <w:rsid w:val="005A6049"/>
    <w:rsid w:val="005B037D"/>
    <w:rsid w:val="005B197C"/>
    <w:rsid w:val="005B2F93"/>
    <w:rsid w:val="005B75A3"/>
    <w:rsid w:val="005C25D5"/>
    <w:rsid w:val="005C27D3"/>
    <w:rsid w:val="005C3519"/>
    <w:rsid w:val="005C3579"/>
    <w:rsid w:val="005C397B"/>
    <w:rsid w:val="005C7546"/>
    <w:rsid w:val="005D1C0A"/>
    <w:rsid w:val="005D35CA"/>
    <w:rsid w:val="005D4A33"/>
    <w:rsid w:val="005D4AD7"/>
    <w:rsid w:val="005E0486"/>
    <w:rsid w:val="005E04E4"/>
    <w:rsid w:val="005E0515"/>
    <w:rsid w:val="005E063C"/>
    <w:rsid w:val="005E0992"/>
    <w:rsid w:val="005E2472"/>
    <w:rsid w:val="005E25D6"/>
    <w:rsid w:val="005E3690"/>
    <w:rsid w:val="005E473E"/>
    <w:rsid w:val="005E6583"/>
    <w:rsid w:val="005F101B"/>
    <w:rsid w:val="005F1576"/>
    <w:rsid w:val="005F1859"/>
    <w:rsid w:val="005F2703"/>
    <w:rsid w:val="005F3DDD"/>
    <w:rsid w:val="005F5D1E"/>
    <w:rsid w:val="00600FC7"/>
    <w:rsid w:val="00603576"/>
    <w:rsid w:val="006104DE"/>
    <w:rsid w:val="00611A3D"/>
    <w:rsid w:val="00616D8E"/>
    <w:rsid w:val="00617A4D"/>
    <w:rsid w:val="00617B5B"/>
    <w:rsid w:val="006202FB"/>
    <w:rsid w:val="006209A2"/>
    <w:rsid w:val="00621181"/>
    <w:rsid w:val="0062157E"/>
    <w:rsid w:val="00622D30"/>
    <w:rsid w:val="006230E7"/>
    <w:rsid w:val="00623AC6"/>
    <w:rsid w:val="00625B0D"/>
    <w:rsid w:val="00634680"/>
    <w:rsid w:val="00634FA4"/>
    <w:rsid w:val="006409E5"/>
    <w:rsid w:val="006423A5"/>
    <w:rsid w:val="00644F70"/>
    <w:rsid w:val="00645164"/>
    <w:rsid w:val="00647865"/>
    <w:rsid w:val="006535A3"/>
    <w:rsid w:val="006568AA"/>
    <w:rsid w:val="00657ACC"/>
    <w:rsid w:val="006603BE"/>
    <w:rsid w:val="00664F8D"/>
    <w:rsid w:val="006654D6"/>
    <w:rsid w:val="00665C7C"/>
    <w:rsid w:val="006668B7"/>
    <w:rsid w:val="00667FFD"/>
    <w:rsid w:val="0067070A"/>
    <w:rsid w:val="00670E98"/>
    <w:rsid w:val="006711A1"/>
    <w:rsid w:val="0067125B"/>
    <w:rsid w:val="006717CC"/>
    <w:rsid w:val="00673D00"/>
    <w:rsid w:val="0067416F"/>
    <w:rsid w:val="00682558"/>
    <w:rsid w:val="00682743"/>
    <w:rsid w:val="006827B9"/>
    <w:rsid w:val="00682C2E"/>
    <w:rsid w:val="006838D0"/>
    <w:rsid w:val="00686ECB"/>
    <w:rsid w:val="00687826"/>
    <w:rsid w:val="0069277E"/>
    <w:rsid w:val="00693818"/>
    <w:rsid w:val="0069396D"/>
    <w:rsid w:val="00693987"/>
    <w:rsid w:val="00693F31"/>
    <w:rsid w:val="00694C65"/>
    <w:rsid w:val="006A0A09"/>
    <w:rsid w:val="006A0EB6"/>
    <w:rsid w:val="006A1AC4"/>
    <w:rsid w:val="006A3489"/>
    <w:rsid w:val="006A3DA8"/>
    <w:rsid w:val="006A4112"/>
    <w:rsid w:val="006A4F02"/>
    <w:rsid w:val="006A6706"/>
    <w:rsid w:val="006B0B52"/>
    <w:rsid w:val="006B195C"/>
    <w:rsid w:val="006B1DB5"/>
    <w:rsid w:val="006B1FC2"/>
    <w:rsid w:val="006B442F"/>
    <w:rsid w:val="006B76C4"/>
    <w:rsid w:val="006C363A"/>
    <w:rsid w:val="006C69CD"/>
    <w:rsid w:val="006C6ECF"/>
    <w:rsid w:val="006C7698"/>
    <w:rsid w:val="006C7F32"/>
    <w:rsid w:val="006D110E"/>
    <w:rsid w:val="006D50C3"/>
    <w:rsid w:val="006D68A1"/>
    <w:rsid w:val="006D6A30"/>
    <w:rsid w:val="006D6B14"/>
    <w:rsid w:val="006F02C2"/>
    <w:rsid w:val="006F3ED1"/>
    <w:rsid w:val="00701817"/>
    <w:rsid w:val="00702E4B"/>
    <w:rsid w:val="00703592"/>
    <w:rsid w:val="007059A1"/>
    <w:rsid w:val="00705C38"/>
    <w:rsid w:val="0070770F"/>
    <w:rsid w:val="00714614"/>
    <w:rsid w:val="00715D00"/>
    <w:rsid w:val="00716993"/>
    <w:rsid w:val="007213B0"/>
    <w:rsid w:val="00722B2C"/>
    <w:rsid w:val="0072412D"/>
    <w:rsid w:val="007245D0"/>
    <w:rsid w:val="00727635"/>
    <w:rsid w:val="007307E1"/>
    <w:rsid w:val="00733A3E"/>
    <w:rsid w:val="00735BA1"/>
    <w:rsid w:val="007374B0"/>
    <w:rsid w:val="00740A0B"/>
    <w:rsid w:val="00742790"/>
    <w:rsid w:val="00742E58"/>
    <w:rsid w:val="00743DE8"/>
    <w:rsid w:val="00746702"/>
    <w:rsid w:val="0075060A"/>
    <w:rsid w:val="007528CF"/>
    <w:rsid w:val="00753896"/>
    <w:rsid w:val="0075569C"/>
    <w:rsid w:val="00756C15"/>
    <w:rsid w:val="0076047E"/>
    <w:rsid w:val="00761718"/>
    <w:rsid w:val="00775C76"/>
    <w:rsid w:val="00775CF9"/>
    <w:rsid w:val="00775D09"/>
    <w:rsid w:val="00776AA7"/>
    <w:rsid w:val="00777194"/>
    <w:rsid w:val="00777244"/>
    <w:rsid w:val="00781900"/>
    <w:rsid w:val="0078597C"/>
    <w:rsid w:val="00785D55"/>
    <w:rsid w:val="00792C5F"/>
    <w:rsid w:val="00794C19"/>
    <w:rsid w:val="00796A72"/>
    <w:rsid w:val="00796E24"/>
    <w:rsid w:val="00796EE7"/>
    <w:rsid w:val="00797A58"/>
    <w:rsid w:val="007A1486"/>
    <w:rsid w:val="007A27DC"/>
    <w:rsid w:val="007A5D96"/>
    <w:rsid w:val="007A73F4"/>
    <w:rsid w:val="007B1327"/>
    <w:rsid w:val="007B3648"/>
    <w:rsid w:val="007B776E"/>
    <w:rsid w:val="007C082D"/>
    <w:rsid w:val="007C1CFA"/>
    <w:rsid w:val="007C200D"/>
    <w:rsid w:val="007C26DD"/>
    <w:rsid w:val="007C4FB4"/>
    <w:rsid w:val="007C7863"/>
    <w:rsid w:val="007C7B03"/>
    <w:rsid w:val="007D12F9"/>
    <w:rsid w:val="007D3982"/>
    <w:rsid w:val="007D3E04"/>
    <w:rsid w:val="007D65AA"/>
    <w:rsid w:val="007E0F20"/>
    <w:rsid w:val="007E1200"/>
    <w:rsid w:val="007E3C73"/>
    <w:rsid w:val="007E43A8"/>
    <w:rsid w:val="007E53C0"/>
    <w:rsid w:val="007E573B"/>
    <w:rsid w:val="007E5986"/>
    <w:rsid w:val="007E6669"/>
    <w:rsid w:val="007F3961"/>
    <w:rsid w:val="007F4160"/>
    <w:rsid w:val="007F4788"/>
    <w:rsid w:val="007F7B73"/>
    <w:rsid w:val="008017FB"/>
    <w:rsid w:val="00804138"/>
    <w:rsid w:val="00806798"/>
    <w:rsid w:val="00810FDA"/>
    <w:rsid w:val="00812ADF"/>
    <w:rsid w:val="00815284"/>
    <w:rsid w:val="00815548"/>
    <w:rsid w:val="0081686C"/>
    <w:rsid w:val="00816B24"/>
    <w:rsid w:val="008207E3"/>
    <w:rsid w:val="00820BF5"/>
    <w:rsid w:val="00822DCE"/>
    <w:rsid w:val="008243AB"/>
    <w:rsid w:val="00824B31"/>
    <w:rsid w:val="00826C4F"/>
    <w:rsid w:val="00827BB1"/>
    <w:rsid w:val="0083016C"/>
    <w:rsid w:val="00832EA5"/>
    <w:rsid w:val="0083335C"/>
    <w:rsid w:val="008337BC"/>
    <w:rsid w:val="008342D6"/>
    <w:rsid w:val="00841BED"/>
    <w:rsid w:val="00842443"/>
    <w:rsid w:val="008435FC"/>
    <w:rsid w:val="008438E0"/>
    <w:rsid w:val="00845289"/>
    <w:rsid w:val="00851631"/>
    <w:rsid w:val="00851E13"/>
    <w:rsid w:val="00854BFE"/>
    <w:rsid w:val="008578F8"/>
    <w:rsid w:val="00864C53"/>
    <w:rsid w:val="00867697"/>
    <w:rsid w:val="00867AE9"/>
    <w:rsid w:val="008729F4"/>
    <w:rsid w:val="00873FEA"/>
    <w:rsid w:val="00875E5E"/>
    <w:rsid w:val="00880A2D"/>
    <w:rsid w:val="0088241E"/>
    <w:rsid w:val="00883477"/>
    <w:rsid w:val="00884DA4"/>
    <w:rsid w:val="008850BB"/>
    <w:rsid w:val="00886E12"/>
    <w:rsid w:val="00887821"/>
    <w:rsid w:val="00887C15"/>
    <w:rsid w:val="00890252"/>
    <w:rsid w:val="008926E8"/>
    <w:rsid w:val="008A3A05"/>
    <w:rsid w:val="008A4ACB"/>
    <w:rsid w:val="008A4FA7"/>
    <w:rsid w:val="008A6A18"/>
    <w:rsid w:val="008B47B9"/>
    <w:rsid w:val="008B60C6"/>
    <w:rsid w:val="008C0F63"/>
    <w:rsid w:val="008C0FA8"/>
    <w:rsid w:val="008C2259"/>
    <w:rsid w:val="008C41F2"/>
    <w:rsid w:val="008C5321"/>
    <w:rsid w:val="008C5CD6"/>
    <w:rsid w:val="008C611C"/>
    <w:rsid w:val="008D00D2"/>
    <w:rsid w:val="008D1B43"/>
    <w:rsid w:val="008D619D"/>
    <w:rsid w:val="008E12D6"/>
    <w:rsid w:val="008E492F"/>
    <w:rsid w:val="008E5694"/>
    <w:rsid w:val="008F150C"/>
    <w:rsid w:val="008F20E6"/>
    <w:rsid w:val="008F2815"/>
    <w:rsid w:val="008F2AE7"/>
    <w:rsid w:val="008F3CDA"/>
    <w:rsid w:val="008F6001"/>
    <w:rsid w:val="0090044C"/>
    <w:rsid w:val="00901A28"/>
    <w:rsid w:val="00902AF9"/>
    <w:rsid w:val="00902EBB"/>
    <w:rsid w:val="00903899"/>
    <w:rsid w:val="009058BB"/>
    <w:rsid w:val="009059B5"/>
    <w:rsid w:val="009072D6"/>
    <w:rsid w:val="00907BB3"/>
    <w:rsid w:val="00912D55"/>
    <w:rsid w:val="00913073"/>
    <w:rsid w:val="00913665"/>
    <w:rsid w:val="00913C77"/>
    <w:rsid w:val="00914136"/>
    <w:rsid w:val="009141BB"/>
    <w:rsid w:val="0091699F"/>
    <w:rsid w:val="00917B1C"/>
    <w:rsid w:val="00917FF6"/>
    <w:rsid w:val="009204BD"/>
    <w:rsid w:val="00920DD4"/>
    <w:rsid w:val="00920F36"/>
    <w:rsid w:val="00921F90"/>
    <w:rsid w:val="0092323C"/>
    <w:rsid w:val="00924A9A"/>
    <w:rsid w:val="00925D16"/>
    <w:rsid w:val="00927634"/>
    <w:rsid w:val="0093061F"/>
    <w:rsid w:val="00934982"/>
    <w:rsid w:val="00936C39"/>
    <w:rsid w:val="00937FBA"/>
    <w:rsid w:val="00944901"/>
    <w:rsid w:val="009451D4"/>
    <w:rsid w:val="009457DB"/>
    <w:rsid w:val="009476B1"/>
    <w:rsid w:val="00953772"/>
    <w:rsid w:val="00956552"/>
    <w:rsid w:val="0096008A"/>
    <w:rsid w:val="0096024B"/>
    <w:rsid w:val="00960CAD"/>
    <w:rsid w:val="00960FF6"/>
    <w:rsid w:val="00963F1C"/>
    <w:rsid w:val="00964E7C"/>
    <w:rsid w:val="00965F79"/>
    <w:rsid w:val="0096721A"/>
    <w:rsid w:val="0097185E"/>
    <w:rsid w:val="009744E2"/>
    <w:rsid w:val="009745BF"/>
    <w:rsid w:val="00980D91"/>
    <w:rsid w:val="0098587D"/>
    <w:rsid w:val="00986F96"/>
    <w:rsid w:val="009873FB"/>
    <w:rsid w:val="009878ED"/>
    <w:rsid w:val="00990081"/>
    <w:rsid w:val="00991DE8"/>
    <w:rsid w:val="00992CF8"/>
    <w:rsid w:val="00994240"/>
    <w:rsid w:val="00997837"/>
    <w:rsid w:val="00997889"/>
    <w:rsid w:val="009A00B3"/>
    <w:rsid w:val="009A14DD"/>
    <w:rsid w:val="009A17E1"/>
    <w:rsid w:val="009A2F25"/>
    <w:rsid w:val="009A5647"/>
    <w:rsid w:val="009B0650"/>
    <w:rsid w:val="009B0C35"/>
    <w:rsid w:val="009B2C5E"/>
    <w:rsid w:val="009B2D47"/>
    <w:rsid w:val="009B3D21"/>
    <w:rsid w:val="009B691A"/>
    <w:rsid w:val="009B6C19"/>
    <w:rsid w:val="009B6EAA"/>
    <w:rsid w:val="009C026A"/>
    <w:rsid w:val="009C3699"/>
    <w:rsid w:val="009C4FCD"/>
    <w:rsid w:val="009C741C"/>
    <w:rsid w:val="009D1540"/>
    <w:rsid w:val="009D15C7"/>
    <w:rsid w:val="009D6BFA"/>
    <w:rsid w:val="009E466D"/>
    <w:rsid w:val="009E5583"/>
    <w:rsid w:val="009E6119"/>
    <w:rsid w:val="009F5FD0"/>
    <w:rsid w:val="009F6ED8"/>
    <w:rsid w:val="009F6EF0"/>
    <w:rsid w:val="009F718C"/>
    <w:rsid w:val="00A00E3F"/>
    <w:rsid w:val="00A01549"/>
    <w:rsid w:val="00A01C0F"/>
    <w:rsid w:val="00A0317A"/>
    <w:rsid w:val="00A03F6C"/>
    <w:rsid w:val="00A058F8"/>
    <w:rsid w:val="00A07D4C"/>
    <w:rsid w:val="00A104DE"/>
    <w:rsid w:val="00A10AFC"/>
    <w:rsid w:val="00A11089"/>
    <w:rsid w:val="00A14E4C"/>
    <w:rsid w:val="00A14E58"/>
    <w:rsid w:val="00A16161"/>
    <w:rsid w:val="00A24778"/>
    <w:rsid w:val="00A26F18"/>
    <w:rsid w:val="00A27A59"/>
    <w:rsid w:val="00A30BA1"/>
    <w:rsid w:val="00A30D5A"/>
    <w:rsid w:val="00A30FC4"/>
    <w:rsid w:val="00A31647"/>
    <w:rsid w:val="00A322AD"/>
    <w:rsid w:val="00A32A78"/>
    <w:rsid w:val="00A33A4A"/>
    <w:rsid w:val="00A35AC0"/>
    <w:rsid w:val="00A43966"/>
    <w:rsid w:val="00A44324"/>
    <w:rsid w:val="00A44992"/>
    <w:rsid w:val="00A523C1"/>
    <w:rsid w:val="00A526CC"/>
    <w:rsid w:val="00A52840"/>
    <w:rsid w:val="00A57A6A"/>
    <w:rsid w:val="00A621F9"/>
    <w:rsid w:val="00A62AE9"/>
    <w:rsid w:val="00A64D3B"/>
    <w:rsid w:val="00A6679F"/>
    <w:rsid w:val="00A67533"/>
    <w:rsid w:val="00A725FB"/>
    <w:rsid w:val="00A7319D"/>
    <w:rsid w:val="00A831CD"/>
    <w:rsid w:val="00A84C94"/>
    <w:rsid w:val="00A84DB9"/>
    <w:rsid w:val="00A84EC4"/>
    <w:rsid w:val="00A90778"/>
    <w:rsid w:val="00A90A8B"/>
    <w:rsid w:val="00A923B0"/>
    <w:rsid w:val="00A9264D"/>
    <w:rsid w:val="00A94217"/>
    <w:rsid w:val="00A94819"/>
    <w:rsid w:val="00A96FB4"/>
    <w:rsid w:val="00AA05DA"/>
    <w:rsid w:val="00AA2281"/>
    <w:rsid w:val="00AA4F8E"/>
    <w:rsid w:val="00AA5D8A"/>
    <w:rsid w:val="00AA76F4"/>
    <w:rsid w:val="00AB14DD"/>
    <w:rsid w:val="00AB1E61"/>
    <w:rsid w:val="00AB259B"/>
    <w:rsid w:val="00AB4099"/>
    <w:rsid w:val="00AB4681"/>
    <w:rsid w:val="00AB6E73"/>
    <w:rsid w:val="00AB73B8"/>
    <w:rsid w:val="00AC0EA4"/>
    <w:rsid w:val="00AC4002"/>
    <w:rsid w:val="00AC559A"/>
    <w:rsid w:val="00AC677A"/>
    <w:rsid w:val="00AC7963"/>
    <w:rsid w:val="00AC7A2A"/>
    <w:rsid w:val="00AD1BFE"/>
    <w:rsid w:val="00AD3781"/>
    <w:rsid w:val="00AD3F44"/>
    <w:rsid w:val="00AD578B"/>
    <w:rsid w:val="00AD6635"/>
    <w:rsid w:val="00AD76B9"/>
    <w:rsid w:val="00AD7978"/>
    <w:rsid w:val="00AE2051"/>
    <w:rsid w:val="00AE2460"/>
    <w:rsid w:val="00AE3A27"/>
    <w:rsid w:val="00AE3AC5"/>
    <w:rsid w:val="00AE5827"/>
    <w:rsid w:val="00AE6104"/>
    <w:rsid w:val="00AE7AEE"/>
    <w:rsid w:val="00AF1273"/>
    <w:rsid w:val="00AF1398"/>
    <w:rsid w:val="00AF13DE"/>
    <w:rsid w:val="00AF35B7"/>
    <w:rsid w:val="00AF40B5"/>
    <w:rsid w:val="00AF519F"/>
    <w:rsid w:val="00AF6B27"/>
    <w:rsid w:val="00B001D4"/>
    <w:rsid w:val="00B01EB5"/>
    <w:rsid w:val="00B031CA"/>
    <w:rsid w:val="00B05216"/>
    <w:rsid w:val="00B06374"/>
    <w:rsid w:val="00B07C6C"/>
    <w:rsid w:val="00B1016A"/>
    <w:rsid w:val="00B11836"/>
    <w:rsid w:val="00B1358E"/>
    <w:rsid w:val="00B16721"/>
    <w:rsid w:val="00B224D6"/>
    <w:rsid w:val="00B276DA"/>
    <w:rsid w:val="00B27723"/>
    <w:rsid w:val="00B30E9B"/>
    <w:rsid w:val="00B32F87"/>
    <w:rsid w:val="00B342A4"/>
    <w:rsid w:val="00B345BB"/>
    <w:rsid w:val="00B36C22"/>
    <w:rsid w:val="00B36E62"/>
    <w:rsid w:val="00B37304"/>
    <w:rsid w:val="00B4250B"/>
    <w:rsid w:val="00B51CE1"/>
    <w:rsid w:val="00B52AF3"/>
    <w:rsid w:val="00B534BF"/>
    <w:rsid w:val="00B554A0"/>
    <w:rsid w:val="00B5624E"/>
    <w:rsid w:val="00B56A4D"/>
    <w:rsid w:val="00B57943"/>
    <w:rsid w:val="00B57A05"/>
    <w:rsid w:val="00B63371"/>
    <w:rsid w:val="00B644FA"/>
    <w:rsid w:val="00B66D2F"/>
    <w:rsid w:val="00B72339"/>
    <w:rsid w:val="00B7475B"/>
    <w:rsid w:val="00B7558A"/>
    <w:rsid w:val="00B76A0A"/>
    <w:rsid w:val="00B778B7"/>
    <w:rsid w:val="00B77B2B"/>
    <w:rsid w:val="00B77DA8"/>
    <w:rsid w:val="00B80F76"/>
    <w:rsid w:val="00B8177E"/>
    <w:rsid w:val="00B85A45"/>
    <w:rsid w:val="00B902F2"/>
    <w:rsid w:val="00B9126E"/>
    <w:rsid w:val="00B918A7"/>
    <w:rsid w:val="00B91E4D"/>
    <w:rsid w:val="00B92BC0"/>
    <w:rsid w:val="00B92C70"/>
    <w:rsid w:val="00BA19C7"/>
    <w:rsid w:val="00BB0ADA"/>
    <w:rsid w:val="00BB178D"/>
    <w:rsid w:val="00BB2889"/>
    <w:rsid w:val="00BC001A"/>
    <w:rsid w:val="00BC039B"/>
    <w:rsid w:val="00BC0505"/>
    <w:rsid w:val="00BC1005"/>
    <w:rsid w:val="00BC10B3"/>
    <w:rsid w:val="00BC2E1F"/>
    <w:rsid w:val="00BC3ED2"/>
    <w:rsid w:val="00BD11D8"/>
    <w:rsid w:val="00BD18C0"/>
    <w:rsid w:val="00BD3596"/>
    <w:rsid w:val="00BD3980"/>
    <w:rsid w:val="00BD45CE"/>
    <w:rsid w:val="00BD556A"/>
    <w:rsid w:val="00BD5AF6"/>
    <w:rsid w:val="00BD7242"/>
    <w:rsid w:val="00BE0776"/>
    <w:rsid w:val="00BE0781"/>
    <w:rsid w:val="00BE145B"/>
    <w:rsid w:val="00BE243B"/>
    <w:rsid w:val="00BF0E90"/>
    <w:rsid w:val="00BF6B4B"/>
    <w:rsid w:val="00BF6E72"/>
    <w:rsid w:val="00BF7443"/>
    <w:rsid w:val="00BF7990"/>
    <w:rsid w:val="00BF7C8F"/>
    <w:rsid w:val="00C00862"/>
    <w:rsid w:val="00C03668"/>
    <w:rsid w:val="00C03A2B"/>
    <w:rsid w:val="00C03AC8"/>
    <w:rsid w:val="00C063A3"/>
    <w:rsid w:val="00C103A6"/>
    <w:rsid w:val="00C15296"/>
    <w:rsid w:val="00C209FC"/>
    <w:rsid w:val="00C22501"/>
    <w:rsid w:val="00C24CB6"/>
    <w:rsid w:val="00C2506C"/>
    <w:rsid w:val="00C3020C"/>
    <w:rsid w:val="00C32D14"/>
    <w:rsid w:val="00C3339C"/>
    <w:rsid w:val="00C333F1"/>
    <w:rsid w:val="00C341EB"/>
    <w:rsid w:val="00C37DE5"/>
    <w:rsid w:val="00C405AE"/>
    <w:rsid w:val="00C42B0A"/>
    <w:rsid w:val="00C42BE2"/>
    <w:rsid w:val="00C446F1"/>
    <w:rsid w:val="00C4624C"/>
    <w:rsid w:val="00C47AD0"/>
    <w:rsid w:val="00C47B0A"/>
    <w:rsid w:val="00C5232E"/>
    <w:rsid w:val="00C542C8"/>
    <w:rsid w:val="00C549C3"/>
    <w:rsid w:val="00C6087D"/>
    <w:rsid w:val="00C60AA2"/>
    <w:rsid w:val="00C621DE"/>
    <w:rsid w:val="00C62525"/>
    <w:rsid w:val="00C66396"/>
    <w:rsid w:val="00C70485"/>
    <w:rsid w:val="00C704AB"/>
    <w:rsid w:val="00C712B4"/>
    <w:rsid w:val="00C718AA"/>
    <w:rsid w:val="00C71B74"/>
    <w:rsid w:val="00C77FAF"/>
    <w:rsid w:val="00C8455F"/>
    <w:rsid w:val="00C86E8A"/>
    <w:rsid w:val="00C872C7"/>
    <w:rsid w:val="00C92539"/>
    <w:rsid w:val="00C926E1"/>
    <w:rsid w:val="00C92CAA"/>
    <w:rsid w:val="00C9721C"/>
    <w:rsid w:val="00CA07A9"/>
    <w:rsid w:val="00CA4506"/>
    <w:rsid w:val="00CA4732"/>
    <w:rsid w:val="00CA526C"/>
    <w:rsid w:val="00CB19B5"/>
    <w:rsid w:val="00CB2217"/>
    <w:rsid w:val="00CB395D"/>
    <w:rsid w:val="00CC0B66"/>
    <w:rsid w:val="00CC4471"/>
    <w:rsid w:val="00CD06C2"/>
    <w:rsid w:val="00CD0F73"/>
    <w:rsid w:val="00CD60C2"/>
    <w:rsid w:val="00CD656F"/>
    <w:rsid w:val="00CE0E4C"/>
    <w:rsid w:val="00CE1F2A"/>
    <w:rsid w:val="00CE4FED"/>
    <w:rsid w:val="00CE5955"/>
    <w:rsid w:val="00CE7DCB"/>
    <w:rsid w:val="00CF635A"/>
    <w:rsid w:val="00CF6844"/>
    <w:rsid w:val="00CF6B04"/>
    <w:rsid w:val="00CF76DD"/>
    <w:rsid w:val="00CF77DB"/>
    <w:rsid w:val="00D000B3"/>
    <w:rsid w:val="00D00F8E"/>
    <w:rsid w:val="00D0401E"/>
    <w:rsid w:val="00D061BE"/>
    <w:rsid w:val="00D11DCB"/>
    <w:rsid w:val="00D12055"/>
    <w:rsid w:val="00D135C4"/>
    <w:rsid w:val="00D1666F"/>
    <w:rsid w:val="00D205F1"/>
    <w:rsid w:val="00D2670F"/>
    <w:rsid w:val="00D2694A"/>
    <w:rsid w:val="00D30725"/>
    <w:rsid w:val="00D31C17"/>
    <w:rsid w:val="00D354E4"/>
    <w:rsid w:val="00D35507"/>
    <w:rsid w:val="00D364BA"/>
    <w:rsid w:val="00D368B1"/>
    <w:rsid w:val="00D378BB"/>
    <w:rsid w:val="00D400C7"/>
    <w:rsid w:val="00D424E3"/>
    <w:rsid w:val="00D43446"/>
    <w:rsid w:val="00D43C9E"/>
    <w:rsid w:val="00D4694E"/>
    <w:rsid w:val="00D46BEF"/>
    <w:rsid w:val="00D513C3"/>
    <w:rsid w:val="00D52918"/>
    <w:rsid w:val="00D52BB4"/>
    <w:rsid w:val="00D54DFE"/>
    <w:rsid w:val="00D56DC8"/>
    <w:rsid w:val="00D60F3E"/>
    <w:rsid w:val="00D63267"/>
    <w:rsid w:val="00D6356F"/>
    <w:rsid w:val="00D64D3C"/>
    <w:rsid w:val="00D66C94"/>
    <w:rsid w:val="00D67AEA"/>
    <w:rsid w:val="00D70F0E"/>
    <w:rsid w:val="00D7477D"/>
    <w:rsid w:val="00D777D6"/>
    <w:rsid w:val="00D819FB"/>
    <w:rsid w:val="00D81FFF"/>
    <w:rsid w:val="00D83F9B"/>
    <w:rsid w:val="00D84A4B"/>
    <w:rsid w:val="00D853F9"/>
    <w:rsid w:val="00D87AF1"/>
    <w:rsid w:val="00D90648"/>
    <w:rsid w:val="00D94929"/>
    <w:rsid w:val="00D9531D"/>
    <w:rsid w:val="00D966B0"/>
    <w:rsid w:val="00D9706B"/>
    <w:rsid w:val="00DA023B"/>
    <w:rsid w:val="00DA15BB"/>
    <w:rsid w:val="00DA1F4D"/>
    <w:rsid w:val="00DA2622"/>
    <w:rsid w:val="00DA69A9"/>
    <w:rsid w:val="00DB075C"/>
    <w:rsid w:val="00DB20DF"/>
    <w:rsid w:val="00DB49B0"/>
    <w:rsid w:val="00DB65F1"/>
    <w:rsid w:val="00DC0EDE"/>
    <w:rsid w:val="00DC117B"/>
    <w:rsid w:val="00DC34EA"/>
    <w:rsid w:val="00DC42F9"/>
    <w:rsid w:val="00DC43C6"/>
    <w:rsid w:val="00DC5D5C"/>
    <w:rsid w:val="00DD02D0"/>
    <w:rsid w:val="00DD592D"/>
    <w:rsid w:val="00DD5C71"/>
    <w:rsid w:val="00DD5E2E"/>
    <w:rsid w:val="00DD5F8C"/>
    <w:rsid w:val="00DE1326"/>
    <w:rsid w:val="00DE2361"/>
    <w:rsid w:val="00DE31A7"/>
    <w:rsid w:val="00DE7095"/>
    <w:rsid w:val="00DF08D0"/>
    <w:rsid w:val="00DF36D5"/>
    <w:rsid w:val="00DF7007"/>
    <w:rsid w:val="00E0103B"/>
    <w:rsid w:val="00E03AD7"/>
    <w:rsid w:val="00E042E8"/>
    <w:rsid w:val="00E05523"/>
    <w:rsid w:val="00E06432"/>
    <w:rsid w:val="00E1344F"/>
    <w:rsid w:val="00E1439D"/>
    <w:rsid w:val="00E14749"/>
    <w:rsid w:val="00E15753"/>
    <w:rsid w:val="00E160C4"/>
    <w:rsid w:val="00E20541"/>
    <w:rsid w:val="00E2098C"/>
    <w:rsid w:val="00E248D1"/>
    <w:rsid w:val="00E24E70"/>
    <w:rsid w:val="00E26B82"/>
    <w:rsid w:val="00E35FAE"/>
    <w:rsid w:val="00E35FE2"/>
    <w:rsid w:val="00E374E3"/>
    <w:rsid w:val="00E379F3"/>
    <w:rsid w:val="00E37DAA"/>
    <w:rsid w:val="00E41A51"/>
    <w:rsid w:val="00E43C34"/>
    <w:rsid w:val="00E452C4"/>
    <w:rsid w:val="00E518C5"/>
    <w:rsid w:val="00E52916"/>
    <w:rsid w:val="00E52BF0"/>
    <w:rsid w:val="00E53B8B"/>
    <w:rsid w:val="00E53F2C"/>
    <w:rsid w:val="00E54F45"/>
    <w:rsid w:val="00E55984"/>
    <w:rsid w:val="00E55CEF"/>
    <w:rsid w:val="00E56485"/>
    <w:rsid w:val="00E57C79"/>
    <w:rsid w:val="00E60261"/>
    <w:rsid w:val="00E60A07"/>
    <w:rsid w:val="00E61775"/>
    <w:rsid w:val="00E62191"/>
    <w:rsid w:val="00E64CD0"/>
    <w:rsid w:val="00E66823"/>
    <w:rsid w:val="00E675C0"/>
    <w:rsid w:val="00E71A79"/>
    <w:rsid w:val="00E71D1C"/>
    <w:rsid w:val="00E72CA9"/>
    <w:rsid w:val="00E75AEB"/>
    <w:rsid w:val="00E779CE"/>
    <w:rsid w:val="00E8305B"/>
    <w:rsid w:val="00E85D0A"/>
    <w:rsid w:val="00E861E4"/>
    <w:rsid w:val="00E865E8"/>
    <w:rsid w:val="00E86FAF"/>
    <w:rsid w:val="00E908B5"/>
    <w:rsid w:val="00E93221"/>
    <w:rsid w:val="00EA18F2"/>
    <w:rsid w:val="00EA3055"/>
    <w:rsid w:val="00EA3397"/>
    <w:rsid w:val="00EA463C"/>
    <w:rsid w:val="00EB3C65"/>
    <w:rsid w:val="00EB51F5"/>
    <w:rsid w:val="00EC24E6"/>
    <w:rsid w:val="00EC541A"/>
    <w:rsid w:val="00EC5A9A"/>
    <w:rsid w:val="00EC5E8E"/>
    <w:rsid w:val="00ED23C1"/>
    <w:rsid w:val="00ED3E34"/>
    <w:rsid w:val="00ED6409"/>
    <w:rsid w:val="00ED776B"/>
    <w:rsid w:val="00ED7ED6"/>
    <w:rsid w:val="00EE01CB"/>
    <w:rsid w:val="00EF033D"/>
    <w:rsid w:val="00EF057E"/>
    <w:rsid w:val="00EF0AA7"/>
    <w:rsid w:val="00EF160E"/>
    <w:rsid w:val="00EF2803"/>
    <w:rsid w:val="00EF7CFB"/>
    <w:rsid w:val="00EF7D44"/>
    <w:rsid w:val="00F00C81"/>
    <w:rsid w:val="00F01198"/>
    <w:rsid w:val="00F01707"/>
    <w:rsid w:val="00F02694"/>
    <w:rsid w:val="00F0533A"/>
    <w:rsid w:val="00F05ECB"/>
    <w:rsid w:val="00F11EBB"/>
    <w:rsid w:val="00F12AFC"/>
    <w:rsid w:val="00F136D5"/>
    <w:rsid w:val="00F24847"/>
    <w:rsid w:val="00F26A38"/>
    <w:rsid w:val="00F26BB6"/>
    <w:rsid w:val="00F27821"/>
    <w:rsid w:val="00F32BB0"/>
    <w:rsid w:val="00F330CE"/>
    <w:rsid w:val="00F333BD"/>
    <w:rsid w:val="00F35DB8"/>
    <w:rsid w:val="00F42284"/>
    <w:rsid w:val="00F4243F"/>
    <w:rsid w:val="00F42FA3"/>
    <w:rsid w:val="00F4540F"/>
    <w:rsid w:val="00F50158"/>
    <w:rsid w:val="00F529F4"/>
    <w:rsid w:val="00F53459"/>
    <w:rsid w:val="00F53B40"/>
    <w:rsid w:val="00F54326"/>
    <w:rsid w:val="00F60246"/>
    <w:rsid w:val="00F60E41"/>
    <w:rsid w:val="00F610E0"/>
    <w:rsid w:val="00F65707"/>
    <w:rsid w:val="00F70504"/>
    <w:rsid w:val="00F72765"/>
    <w:rsid w:val="00F72980"/>
    <w:rsid w:val="00F73C73"/>
    <w:rsid w:val="00F92AAC"/>
    <w:rsid w:val="00F92EAE"/>
    <w:rsid w:val="00F953C8"/>
    <w:rsid w:val="00F95FD2"/>
    <w:rsid w:val="00F96701"/>
    <w:rsid w:val="00FA08FA"/>
    <w:rsid w:val="00FA2A95"/>
    <w:rsid w:val="00FA46DF"/>
    <w:rsid w:val="00FA4B61"/>
    <w:rsid w:val="00FB1F87"/>
    <w:rsid w:val="00FB3804"/>
    <w:rsid w:val="00FB5450"/>
    <w:rsid w:val="00FB62B9"/>
    <w:rsid w:val="00FB6ABE"/>
    <w:rsid w:val="00FC14C7"/>
    <w:rsid w:val="00FC1CB3"/>
    <w:rsid w:val="00FC4362"/>
    <w:rsid w:val="00FC46B0"/>
    <w:rsid w:val="00FC58B1"/>
    <w:rsid w:val="00FC7120"/>
    <w:rsid w:val="00FC7E54"/>
    <w:rsid w:val="00FD189A"/>
    <w:rsid w:val="00FD1FBF"/>
    <w:rsid w:val="00FD480D"/>
    <w:rsid w:val="00FD5365"/>
    <w:rsid w:val="00FD71E6"/>
    <w:rsid w:val="00FD7451"/>
    <w:rsid w:val="00FE300C"/>
    <w:rsid w:val="00FE4041"/>
    <w:rsid w:val="00FE4144"/>
    <w:rsid w:val="00FE49A7"/>
    <w:rsid w:val="00FF329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0C"/>
    <w:pPr>
      <w:spacing w:after="0" w:line="36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BE145B"/>
    <w:pPr>
      <w:ind w:left="0"/>
      <w:contextualSpacing w:val="0"/>
      <w:jc w:val="center"/>
      <w:outlineLvl w:val="0"/>
    </w:pPr>
    <w:rPr>
      <w:b/>
      <w:sz w:val="26"/>
      <w:szCs w:val="26"/>
    </w:rPr>
  </w:style>
  <w:style w:type="paragraph" w:styleId="Heading2">
    <w:name w:val="heading 2"/>
    <w:basedOn w:val="Normal"/>
    <w:next w:val="Normal"/>
    <w:link w:val="Heading2Char"/>
    <w:uiPriority w:val="9"/>
    <w:unhideWhenUsed/>
    <w:qFormat/>
    <w:rsid w:val="00BE145B"/>
    <w:pPr>
      <w:keepNext/>
      <w:outlineLvl w:val="1"/>
    </w:pPr>
    <w:rPr>
      <w:b/>
      <w:sz w:val="26"/>
      <w:szCs w:val="26"/>
    </w:rPr>
  </w:style>
  <w:style w:type="paragraph" w:styleId="Heading3">
    <w:name w:val="heading 3"/>
    <w:basedOn w:val="Heading1"/>
    <w:next w:val="Normal"/>
    <w:link w:val="Heading3Char"/>
    <w:uiPriority w:val="9"/>
    <w:unhideWhenUsed/>
    <w:qFormat/>
    <w:rsid w:val="00600FC7"/>
    <w:pPr>
      <w:outlineLvl w:val="2"/>
    </w:pPr>
  </w:style>
  <w:style w:type="paragraph" w:styleId="Heading4">
    <w:name w:val="heading 4"/>
    <w:basedOn w:val="Normal"/>
    <w:next w:val="Normal"/>
    <w:link w:val="Heading4Char"/>
    <w:uiPriority w:val="9"/>
    <w:unhideWhenUsed/>
    <w:qFormat/>
    <w:rsid w:val="00600FC7"/>
    <w:pPr>
      <w:keepNext/>
      <w:jc w:val="center"/>
      <w:outlineLvl w:val="3"/>
    </w:pPr>
    <w:rPr>
      <w:b/>
      <w:sz w:val="26"/>
      <w:szCs w:val="26"/>
    </w:rPr>
  </w:style>
  <w:style w:type="paragraph" w:styleId="Heading5">
    <w:name w:val="heading 5"/>
    <w:basedOn w:val="Normal"/>
    <w:next w:val="Normal"/>
    <w:link w:val="Heading5Char"/>
    <w:uiPriority w:val="9"/>
    <w:unhideWhenUsed/>
    <w:qFormat/>
    <w:rsid w:val="00600FC7"/>
    <w:pPr>
      <w:keepNext/>
      <w:keepLines/>
      <w:jc w:val="center"/>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E5583"/>
    <w:pPr>
      <w:spacing w:line="240" w:lineRule="auto"/>
      <w:jc w:val="center"/>
    </w:pPr>
    <w:rPr>
      <w:b/>
    </w:rPr>
  </w:style>
  <w:style w:type="character" w:customStyle="1" w:styleId="SubtitleChar">
    <w:name w:val="Subtitle Char"/>
    <w:basedOn w:val="DefaultParagraphFont"/>
    <w:link w:val="Subtitle"/>
    <w:rsid w:val="009E5583"/>
    <w:rPr>
      <w:rFonts w:ascii="CG Times" w:eastAsia="Times New Roman" w:hAnsi="CG Times" w:cs="Times New Roman"/>
      <w:b/>
      <w:sz w:val="24"/>
      <w:szCs w:val="20"/>
    </w:rPr>
  </w:style>
  <w:style w:type="character" w:customStyle="1" w:styleId="Heading1Char">
    <w:name w:val="Heading 1 Char"/>
    <w:basedOn w:val="DefaultParagraphFont"/>
    <w:link w:val="Heading1"/>
    <w:uiPriority w:val="9"/>
    <w:rsid w:val="00BE145B"/>
    <w:rPr>
      <w:rFonts w:ascii="Times New Roman" w:eastAsia="Times New Roman" w:hAnsi="Times New Roman" w:cs="Times New Roman"/>
      <w:b/>
      <w:sz w:val="26"/>
      <w:szCs w:val="26"/>
    </w:rPr>
  </w:style>
  <w:style w:type="paragraph" w:styleId="BodyTextIndent">
    <w:name w:val="Body Text Indent"/>
    <w:basedOn w:val="Normal"/>
    <w:link w:val="BodyTextIndentChar"/>
    <w:uiPriority w:val="99"/>
    <w:unhideWhenUsed/>
    <w:rsid w:val="009E5583"/>
    <w:pPr>
      <w:spacing w:after="120"/>
      <w:ind w:left="360"/>
    </w:pPr>
  </w:style>
  <w:style w:type="character" w:customStyle="1" w:styleId="BodyTextIndentChar">
    <w:name w:val="Body Text Indent Char"/>
    <w:basedOn w:val="DefaultParagraphFont"/>
    <w:link w:val="BodyTextIndent"/>
    <w:uiPriority w:val="99"/>
    <w:rsid w:val="009E5583"/>
    <w:rPr>
      <w:rFonts w:ascii="CG Times" w:eastAsia="Times New Roman" w:hAnsi="CG Times" w:cs="Times New Roman"/>
      <w:sz w:val="24"/>
      <w:szCs w:val="20"/>
    </w:rPr>
  </w:style>
  <w:style w:type="paragraph" w:styleId="ListParagraph">
    <w:name w:val="List Paragraph"/>
    <w:basedOn w:val="Normal"/>
    <w:uiPriority w:val="34"/>
    <w:qFormat/>
    <w:rsid w:val="009E5583"/>
    <w:pPr>
      <w:ind w:left="720"/>
      <w:contextualSpacing/>
    </w:pPr>
  </w:style>
  <w:style w:type="character" w:styleId="FootnoteReference">
    <w:name w:val="footnote reference"/>
    <w:aliases w:val="o,fr"/>
    <w:basedOn w:val="DefaultParagraphFont"/>
    <w:uiPriority w:val="99"/>
    <w:unhideWhenUsed/>
    <w:rsid w:val="00792C5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
    <w:basedOn w:val="Normal"/>
    <w:link w:val="FootnoteTextChar"/>
    <w:autoRedefine/>
    <w:uiPriority w:val="99"/>
    <w:unhideWhenUsed/>
    <w:qFormat/>
    <w:rsid w:val="007E1200"/>
    <w:pPr>
      <w:spacing w:line="240" w:lineRule="auto"/>
      <w:ind w:firstLine="720"/>
    </w:pPr>
    <w:rPr>
      <w:sz w:val="28"/>
      <w:szCs w:val="28"/>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7E1200"/>
    <w:rPr>
      <w:rFonts w:ascii="Times New Roman" w:eastAsia="Times New Roman" w:hAnsi="Times New Roman" w:cs="Times New Roman"/>
      <w:sz w:val="28"/>
      <w:szCs w:val="28"/>
    </w:rPr>
  </w:style>
  <w:style w:type="paragraph" w:styleId="Footer">
    <w:name w:val="footer"/>
    <w:basedOn w:val="Normal"/>
    <w:link w:val="FooterChar"/>
    <w:uiPriority w:val="99"/>
    <w:rsid w:val="00792C5F"/>
    <w:pPr>
      <w:tabs>
        <w:tab w:val="center" w:pos="4320"/>
        <w:tab w:val="right" w:pos="8640"/>
      </w:tabs>
      <w:spacing w:line="240" w:lineRule="auto"/>
    </w:pPr>
    <w:rPr>
      <w:sz w:val="20"/>
    </w:rPr>
  </w:style>
  <w:style w:type="character" w:customStyle="1" w:styleId="FooterChar">
    <w:name w:val="Footer Char"/>
    <w:basedOn w:val="DefaultParagraphFont"/>
    <w:link w:val="Footer"/>
    <w:uiPriority w:val="99"/>
    <w:rsid w:val="00792C5F"/>
    <w:rPr>
      <w:rFonts w:ascii="Times New Roman" w:eastAsia="Times New Roman" w:hAnsi="Times New Roman" w:cs="Times New Roman"/>
      <w:sz w:val="20"/>
      <w:szCs w:val="20"/>
    </w:rPr>
  </w:style>
  <w:style w:type="paragraph" w:styleId="BodyText2">
    <w:name w:val="Body Text 2"/>
    <w:basedOn w:val="Normal"/>
    <w:link w:val="BodyText2Char"/>
    <w:unhideWhenUsed/>
    <w:rsid w:val="00AB259B"/>
    <w:pPr>
      <w:spacing w:after="120" w:line="480" w:lineRule="auto"/>
    </w:pPr>
  </w:style>
  <w:style w:type="character" w:customStyle="1" w:styleId="BodyText2Char">
    <w:name w:val="Body Text 2 Char"/>
    <w:basedOn w:val="DefaultParagraphFont"/>
    <w:link w:val="BodyText2"/>
    <w:rsid w:val="00AB259B"/>
    <w:rPr>
      <w:rFonts w:ascii="CG Times" w:eastAsia="Times New Roman" w:hAnsi="CG Times" w:cs="Times New Roman"/>
      <w:sz w:val="24"/>
      <w:szCs w:val="20"/>
    </w:rPr>
  </w:style>
  <w:style w:type="paragraph" w:styleId="Header">
    <w:name w:val="header"/>
    <w:basedOn w:val="Normal"/>
    <w:link w:val="HeaderChar"/>
    <w:uiPriority w:val="99"/>
    <w:unhideWhenUsed/>
    <w:rsid w:val="00C2506C"/>
    <w:pPr>
      <w:tabs>
        <w:tab w:val="center" w:pos="4680"/>
        <w:tab w:val="right" w:pos="9360"/>
      </w:tabs>
      <w:spacing w:line="240" w:lineRule="auto"/>
    </w:pPr>
  </w:style>
  <w:style w:type="character" w:customStyle="1" w:styleId="HeaderChar">
    <w:name w:val="Header Char"/>
    <w:basedOn w:val="DefaultParagraphFont"/>
    <w:link w:val="Header"/>
    <w:uiPriority w:val="99"/>
    <w:rsid w:val="00C2506C"/>
    <w:rPr>
      <w:rFonts w:ascii="CG Times" w:eastAsia="Times New Roman" w:hAnsi="CG Times" w:cs="Times New Roman"/>
      <w:sz w:val="24"/>
      <w:szCs w:val="20"/>
    </w:rPr>
  </w:style>
  <w:style w:type="paragraph" w:styleId="EndnoteText">
    <w:name w:val="endnote text"/>
    <w:basedOn w:val="Normal"/>
    <w:link w:val="EndnoteTextChar"/>
    <w:uiPriority w:val="99"/>
    <w:semiHidden/>
    <w:unhideWhenUsed/>
    <w:rsid w:val="00A52840"/>
    <w:pPr>
      <w:spacing w:line="240" w:lineRule="auto"/>
    </w:pPr>
    <w:rPr>
      <w:sz w:val="20"/>
    </w:rPr>
  </w:style>
  <w:style w:type="character" w:customStyle="1" w:styleId="EndnoteTextChar">
    <w:name w:val="Endnote Text Char"/>
    <w:basedOn w:val="DefaultParagraphFont"/>
    <w:link w:val="EndnoteText"/>
    <w:uiPriority w:val="99"/>
    <w:semiHidden/>
    <w:rsid w:val="00A52840"/>
    <w:rPr>
      <w:rFonts w:ascii="CG Times" w:eastAsia="Times New Roman" w:hAnsi="CG Times" w:cs="Times New Roman"/>
      <w:sz w:val="20"/>
      <w:szCs w:val="20"/>
    </w:rPr>
  </w:style>
  <w:style w:type="character" w:styleId="EndnoteReference">
    <w:name w:val="endnote reference"/>
    <w:basedOn w:val="DefaultParagraphFont"/>
    <w:uiPriority w:val="99"/>
    <w:semiHidden/>
    <w:unhideWhenUsed/>
    <w:rsid w:val="00A52840"/>
    <w:rPr>
      <w:vertAlign w:val="superscript"/>
    </w:rPr>
  </w:style>
  <w:style w:type="paragraph" w:styleId="BodyText3">
    <w:name w:val="Body Text 3"/>
    <w:basedOn w:val="Normal"/>
    <w:link w:val="BodyText3Char"/>
    <w:uiPriority w:val="99"/>
    <w:unhideWhenUsed/>
    <w:rsid w:val="003C2103"/>
    <w:pPr>
      <w:spacing w:after="120"/>
    </w:pPr>
    <w:rPr>
      <w:sz w:val="16"/>
      <w:szCs w:val="16"/>
    </w:rPr>
  </w:style>
  <w:style w:type="character" w:customStyle="1" w:styleId="BodyText3Char">
    <w:name w:val="Body Text 3 Char"/>
    <w:basedOn w:val="DefaultParagraphFont"/>
    <w:link w:val="BodyText3"/>
    <w:uiPriority w:val="99"/>
    <w:rsid w:val="003C2103"/>
    <w:rPr>
      <w:rFonts w:ascii="CG Times" w:eastAsia="Times New Roman" w:hAnsi="CG Times" w:cs="Times New Roman"/>
      <w:sz w:val="16"/>
      <w:szCs w:val="16"/>
    </w:rPr>
  </w:style>
  <w:style w:type="paragraph" w:styleId="NoSpacing">
    <w:name w:val="No Spacing"/>
    <w:uiPriority w:val="1"/>
    <w:qFormat/>
    <w:rsid w:val="003C2103"/>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67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17"/>
    <w:rPr>
      <w:rFonts w:ascii="Tahoma" w:eastAsia="Times New Roman" w:hAnsi="Tahoma" w:cs="Tahoma"/>
      <w:sz w:val="16"/>
      <w:szCs w:val="16"/>
    </w:rPr>
  </w:style>
  <w:style w:type="table" w:styleId="TableGrid">
    <w:name w:val="Table Grid"/>
    <w:basedOn w:val="TableNormal"/>
    <w:uiPriority w:val="59"/>
    <w:rsid w:val="00DA262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2055"/>
    <w:pPr>
      <w:spacing w:after="120"/>
    </w:pPr>
  </w:style>
  <w:style w:type="character" w:customStyle="1" w:styleId="BodyTextChar">
    <w:name w:val="Body Text Char"/>
    <w:basedOn w:val="DefaultParagraphFont"/>
    <w:link w:val="BodyText"/>
    <w:rsid w:val="00D12055"/>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F02C2"/>
    <w:rPr>
      <w:sz w:val="16"/>
      <w:szCs w:val="16"/>
    </w:rPr>
  </w:style>
  <w:style w:type="paragraph" w:styleId="CommentText">
    <w:name w:val="annotation text"/>
    <w:basedOn w:val="Normal"/>
    <w:link w:val="CommentTextChar"/>
    <w:uiPriority w:val="99"/>
    <w:semiHidden/>
    <w:unhideWhenUsed/>
    <w:rsid w:val="006F02C2"/>
    <w:pPr>
      <w:spacing w:line="240" w:lineRule="auto"/>
    </w:pPr>
    <w:rPr>
      <w:sz w:val="20"/>
    </w:rPr>
  </w:style>
  <w:style w:type="character" w:customStyle="1" w:styleId="CommentTextChar">
    <w:name w:val="Comment Text Char"/>
    <w:basedOn w:val="DefaultParagraphFont"/>
    <w:link w:val="CommentText"/>
    <w:uiPriority w:val="99"/>
    <w:semiHidden/>
    <w:rsid w:val="006F02C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F02C2"/>
    <w:rPr>
      <w:b/>
      <w:bCs/>
    </w:rPr>
  </w:style>
  <w:style w:type="character" w:customStyle="1" w:styleId="CommentSubjectChar">
    <w:name w:val="Comment Subject Char"/>
    <w:basedOn w:val="CommentTextChar"/>
    <w:link w:val="CommentSubject"/>
    <w:uiPriority w:val="99"/>
    <w:semiHidden/>
    <w:rsid w:val="006F02C2"/>
    <w:rPr>
      <w:rFonts w:ascii="CG Times" w:eastAsia="Times New Roman" w:hAnsi="CG Times" w:cs="Times New Roman"/>
      <w:b/>
      <w:bCs/>
      <w:sz w:val="20"/>
      <w:szCs w:val="20"/>
    </w:rPr>
  </w:style>
  <w:style w:type="character" w:styleId="Strong">
    <w:name w:val="Strong"/>
    <w:basedOn w:val="DefaultParagraphFont"/>
    <w:uiPriority w:val="22"/>
    <w:qFormat/>
    <w:rsid w:val="00A44992"/>
    <w:rPr>
      <w:b/>
      <w:bCs/>
    </w:rPr>
  </w:style>
  <w:style w:type="character" w:customStyle="1" w:styleId="Heading2Char">
    <w:name w:val="Heading 2 Char"/>
    <w:basedOn w:val="DefaultParagraphFont"/>
    <w:link w:val="Heading2"/>
    <w:uiPriority w:val="9"/>
    <w:rsid w:val="00BE145B"/>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600FC7"/>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600FC7"/>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600FC7"/>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296659"/>
    <w:pPr>
      <w:tabs>
        <w:tab w:val="left" w:pos="440"/>
        <w:tab w:val="right" w:leader="dot" w:pos="9350"/>
      </w:tabs>
      <w:spacing w:before="360"/>
    </w:pPr>
    <w:rPr>
      <w:b/>
      <w:noProof/>
    </w:rPr>
  </w:style>
  <w:style w:type="paragraph" w:styleId="TOC2">
    <w:name w:val="toc 2"/>
    <w:basedOn w:val="Normal"/>
    <w:next w:val="Normal"/>
    <w:autoRedefine/>
    <w:uiPriority w:val="39"/>
    <w:unhideWhenUsed/>
    <w:rsid w:val="009745BF"/>
    <w:pPr>
      <w:tabs>
        <w:tab w:val="left" w:pos="880"/>
        <w:tab w:val="right" w:leader="dot" w:pos="9350"/>
      </w:tabs>
      <w:spacing w:after="100"/>
      <w:ind w:left="432"/>
    </w:pPr>
  </w:style>
  <w:style w:type="paragraph" w:styleId="Revision">
    <w:name w:val="Revision"/>
    <w:hidden/>
    <w:uiPriority w:val="99"/>
    <w:semiHidden/>
    <w:rsid w:val="007E1200"/>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40C"/>
    <w:pPr>
      <w:spacing w:after="0" w:line="360" w:lineRule="auto"/>
    </w:pPr>
    <w:rPr>
      <w:rFonts w:ascii="Times New Roman" w:eastAsia="Times New Roman" w:hAnsi="Times New Roman" w:cs="Times New Roman"/>
      <w:sz w:val="24"/>
      <w:szCs w:val="20"/>
    </w:rPr>
  </w:style>
  <w:style w:type="paragraph" w:styleId="Heading1">
    <w:name w:val="heading 1"/>
    <w:basedOn w:val="ListParagraph"/>
    <w:next w:val="Normal"/>
    <w:link w:val="Heading1Char"/>
    <w:uiPriority w:val="9"/>
    <w:qFormat/>
    <w:rsid w:val="00BE145B"/>
    <w:pPr>
      <w:ind w:left="0"/>
      <w:contextualSpacing w:val="0"/>
      <w:jc w:val="center"/>
      <w:outlineLvl w:val="0"/>
    </w:pPr>
    <w:rPr>
      <w:b/>
      <w:sz w:val="26"/>
      <w:szCs w:val="26"/>
    </w:rPr>
  </w:style>
  <w:style w:type="paragraph" w:styleId="Heading2">
    <w:name w:val="heading 2"/>
    <w:basedOn w:val="Normal"/>
    <w:next w:val="Normal"/>
    <w:link w:val="Heading2Char"/>
    <w:uiPriority w:val="9"/>
    <w:unhideWhenUsed/>
    <w:qFormat/>
    <w:rsid w:val="00BE145B"/>
    <w:pPr>
      <w:keepNext/>
      <w:outlineLvl w:val="1"/>
    </w:pPr>
    <w:rPr>
      <w:b/>
      <w:sz w:val="26"/>
      <w:szCs w:val="26"/>
    </w:rPr>
  </w:style>
  <w:style w:type="paragraph" w:styleId="Heading3">
    <w:name w:val="heading 3"/>
    <w:basedOn w:val="Heading1"/>
    <w:next w:val="Normal"/>
    <w:link w:val="Heading3Char"/>
    <w:uiPriority w:val="9"/>
    <w:unhideWhenUsed/>
    <w:qFormat/>
    <w:rsid w:val="00600FC7"/>
    <w:pPr>
      <w:outlineLvl w:val="2"/>
    </w:pPr>
  </w:style>
  <w:style w:type="paragraph" w:styleId="Heading4">
    <w:name w:val="heading 4"/>
    <w:basedOn w:val="Normal"/>
    <w:next w:val="Normal"/>
    <w:link w:val="Heading4Char"/>
    <w:uiPriority w:val="9"/>
    <w:unhideWhenUsed/>
    <w:qFormat/>
    <w:rsid w:val="00600FC7"/>
    <w:pPr>
      <w:keepNext/>
      <w:jc w:val="center"/>
      <w:outlineLvl w:val="3"/>
    </w:pPr>
    <w:rPr>
      <w:b/>
      <w:sz w:val="26"/>
      <w:szCs w:val="26"/>
    </w:rPr>
  </w:style>
  <w:style w:type="paragraph" w:styleId="Heading5">
    <w:name w:val="heading 5"/>
    <w:basedOn w:val="Normal"/>
    <w:next w:val="Normal"/>
    <w:link w:val="Heading5Char"/>
    <w:uiPriority w:val="9"/>
    <w:unhideWhenUsed/>
    <w:qFormat/>
    <w:rsid w:val="00600FC7"/>
    <w:pPr>
      <w:keepNext/>
      <w:keepLines/>
      <w:jc w:val="center"/>
      <w:outlineLvl w:val="4"/>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E5583"/>
    <w:pPr>
      <w:spacing w:line="240" w:lineRule="auto"/>
      <w:jc w:val="center"/>
    </w:pPr>
    <w:rPr>
      <w:b/>
    </w:rPr>
  </w:style>
  <w:style w:type="character" w:customStyle="1" w:styleId="SubtitleChar">
    <w:name w:val="Subtitle Char"/>
    <w:basedOn w:val="DefaultParagraphFont"/>
    <w:link w:val="Subtitle"/>
    <w:rsid w:val="009E5583"/>
    <w:rPr>
      <w:rFonts w:ascii="CG Times" w:eastAsia="Times New Roman" w:hAnsi="CG Times" w:cs="Times New Roman"/>
      <w:b/>
      <w:sz w:val="24"/>
      <w:szCs w:val="20"/>
    </w:rPr>
  </w:style>
  <w:style w:type="character" w:customStyle="1" w:styleId="Heading1Char">
    <w:name w:val="Heading 1 Char"/>
    <w:basedOn w:val="DefaultParagraphFont"/>
    <w:link w:val="Heading1"/>
    <w:uiPriority w:val="9"/>
    <w:rsid w:val="00BE145B"/>
    <w:rPr>
      <w:rFonts w:ascii="Times New Roman" w:eastAsia="Times New Roman" w:hAnsi="Times New Roman" w:cs="Times New Roman"/>
      <w:b/>
      <w:sz w:val="26"/>
      <w:szCs w:val="26"/>
    </w:rPr>
  </w:style>
  <w:style w:type="paragraph" w:styleId="BodyTextIndent">
    <w:name w:val="Body Text Indent"/>
    <w:basedOn w:val="Normal"/>
    <w:link w:val="BodyTextIndentChar"/>
    <w:uiPriority w:val="99"/>
    <w:unhideWhenUsed/>
    <w:rsid w:val="009E5583"/>
    <w:pPr>
      <w:spacing w:after="120"/>
      <w:ind w:left="360"/>
    </w:pPr>
  </w:style>
  <w:style w:type="character" w:customStyle="1" w:styleId="BodyTextIndentChar">
    <w:name w:val="Body Text Indent Char"/>
    <w:basedOn w:val="DefaultParagraphFont"/>
    <w:link w:val="BodyTextIndent"/>
    <w:uiPriority w:val="99"/>
    <w:rsid w:val="009E5583"/>
    <w:rPr>
      <w:rFonts w:ascii="CG Times" w:eastAsia="Times New Roman" w:hAnsi="CG Times" w:cs="Times New Roman"/>
      <w:sz w:val="24"/>
      <w:szCs w:val="20"/>
    </w:rPr>
  </w:style>
  <w:style w:type="paragraph" w:styleId="ListParagraph">
    <w:name w:val="List Paragraph"/>
    <w:basedOn w:val="Normal"/>
    <w:uiPriority w:val="34"/>
    <w:qFormat/>
    <w:rsid w:val="009E5583"/>
    <w:pPr>
      <w:ind w:left="720"/>
      <w:contextualSpacing/>
    </w:pPr>
  </w:style>
  <w:style w:type="character" w:styleId="FootnoteReference">
    <w:name w:val="footnote reference"/>
    <w:aliases w:val="o,fr"/>
    <w:basedOn w:val="DefaultParagraphFont"/>
    <w:uiPriority w:val="99"/>
    <w:unhideWhenUsed/>
    <w:rsid w:val="00792C5F"/>
    <w:rPr>
      <w:rFonts w:ascii="Times New Roman" w:hAnsi="Times New Roman"/>
      <w:vertAlign w:val="superscript"/>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Footnote Text Char1"/>
    <w:basedOn w:val="Normal"/>
    <w:link w:val="FootnoteTextChar"/>
    <w:autoRedefine/>
    <w:uiPriority w:val="99"/>
    <w:unhideWhenUsed/>
    <w:qFormat/>
    <w:rsid w:val="007E1200"/>
    <w:pPr>
      <w:spacing w:line="240" w:lineRule="auto"/>
      <w:ind w:firstLine="720"/>
    </w:pPr>
    <w:rPr>
      <w:sz w:val="28"/>
      <w:szCs w:val="28"/>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uiPriority w:val="99"/>
    <w:rsid w:val="007E1200"/>
    <w:rPr>
      <w:rFonts w:ascii="Times New Roman" w:eastAsia="Times New Roman" w:hAnsi="Times New Roman" w:cs="Times New Roman"/>
      <w:sz w:val="28"/>
      <w:szCs w:val="28"/>
    </w:rPr>
  </w:style>
  <w:style w:type="paragraph" w:styleId="Footer">
    <w:name w:val="footer"/>
    <w:basedOn w:val="Normal"/>
    <w:link w:val="FooterChar"/>
    <w:uiPriority w:val="99"/>
    <w:rsid w:val="00792C5F"/>
    <w:pPr>
      <w:tabs>
        <w:tab w:val="center" w:pos="4320"/>
        <w:tab w:val="right" w:pos="8640"/>
      </w:tabs>
      <w:spacing w:line="240" w:lineRule="auto"/>
    </w:pPr>
    <w:rPr>
      <w:sz w:val="20"/>
    </w:rPr>
  </w:style>
  <w:style w:type="character" w:customStyle="1" w:styleId="FooterChar">
    <w:name w:val="Footer Char"/>
    <w:basedOn w:val="DefaultParagraphFont"/>
    <w:link w:val="Footer"/>
    <w:uiPriority w:val="99"/>
    <w:rsid w:val="00792C5F"/>
    <w:rPr>
      <w:rFonts w:ascii="Times New Roman" w:eastAsia="Times New Roman" w:hAnsi="Times New Roman" w:cs="Times New Roman"/>
      <w:sz w:val="20"/>
      <w:szCs w:val="20"/>
    </w:rPr>
  </w:style>
  <w:style w:type="paragraph" w:styleId="BodyText2">
    <w:name w:val="Body Text 2"/>
    <w:basedOn w:val="Normal"/>
    <w:link w:val="BodyText2Char"/>
    <w:unhideWhenUsed/>
    <w:rsid w:val="00AB259B"/>
    <w:pPr>
      <w:spacing w:after="120" w:line="480" w:lineRule="auto"/>
    </w:pPr>
  </w:style>
  <w:style w:type="character" w:customStyle="1" w:styleId="BodyText2Char">
    <w:name w:val="Body Text 2 Char"/>
    <w:basedOn w:val="DefaultParagraphFont"/>
    <w:link w:val="BodyText2"/>
    <w:rsid w:val="00AB259B"/>
    <w:rPr>
      <w:rFonts w:ascii="CG Times" w:eastAsia="Times New Roman" w:hAnsi="CG Times" w:cs="Times New Roman"/>
      <w:sz w:val="24"/>
      <w:szCs w:val="20"/>
    </w:rPr>
  </w:style>
  <w:style w:type="paragraph" w:styleId="Header">
    <w:name w:val="header"/>
    <w:basedOn w:val="Normal"/>
    <w:link w:val="HeaderChar"/>
    <w:uiPriority w:val="99"/>
    <w:unhideWhenUsed/>
    <w:rsid w:val="00C2506C"/>
    <w:pPr>
      <w:tabs>
        <w:tab w:val="center" w:pos="4680"/>
        <w:tab w:val="right" w:pos="9360"/>
      </w:tabs>
      <w:spacing w:line="240" w:lineRule="auto"/>
    </w:pPr>
  </w:style>
  <w:style w:type="character" w:customStyle="1" w:styleId="HeaderChar">
    <w:name w:val="Header Char"/>
    <w:basedOn w:val="DefaultParagraphFont"/>
    <w:link w:val="Header"/>
    <w:uiPriority w:val="99"/>
    <w:rsid w:val="00C2506C"/>
    <w:rPr>
      <w:rFonts w:ascii="CG Times" w:eastAsia="Times New Roman" w:hAnsi="CG Times" w:cs="Times New Roman"/>
      <w:sz w:val="24"/>
      <w:szCs w:val="20"/>
    </w:rPr>
  </w:style>
  <w:style w:type="paragraph" w:styleId="EndnoteText">
    <w:name w:val="endnote text"/>
    <w:basedOn w:val="Normal"/>
    <w:link w:val="EndnoteTextChar"/>
    <w:uiPriority w:val="99"/>
    <w:semiHidden/>
    <w:unhideWhenUsed/>
    <w:rsid w:val="00A52840"/>
    <w:pPr>
      <w:spacing w:line="240" w:lineRule="auto"/>
    </w:pPr>
    <w:rPr>
      <w:sz w:val="20"/>
    </w:rPr>
  </w:style>
  <w:style w:type="character" w:customStyle="1" w:styleId="EndnoteTextChar">
    <w:name w:val="Endnote Text Char"/>
    <w:basedOn w:val="DefaultParagraphFont"/>
    <w:link w:val="EndnoteText"/>
    <w:uiPriority w:val="99"/>
    <w:semiHidden/>
    <w:rsid w:val="00A52840"/>
    <w:rPr>
      <w:rFonts w:ascii="CG Times" w:eastAsia="Times New Roman" w:hAnsi="CG Times" w:cs="Times New Roman"/>
      <w:sz w:val="20"/>
      <w:szCs w:val="20"/>
    </w:rPr>
  </w:style>
  <w:style w:type="character" w:styleId="EndnoteReference">
    <w:name w:val="endnote reference"/>
    <w:basedOn w:val="DefaultParagraphFont"/>
    <w:uiPriority w:val="99"/>
    <w:semiHidden/>
    <w:unhideWhenUsed/>
    <w:rsid w:val="00A52840"/>
    <w:rPr>
      <w:vertAlign w:val="superscript"/>
    </w:rPr>
  </w:style>
  <w:style w:type="paragraph" w:styleId="BodyText3">
    <w:name w:val="Body Text 3"/>
    <w:basedOn w:val="Normal"/>
    <w:link w:val="BodyText3Char"/>
    <w:uiPriority w:val="99"/>
    <w:unhideWhenUsed/>
    <w:rsid w:val="003C2103"/>
    <w:pPr>
      <w:spacing w:after="120"/>
    </w:pPr>
    <w:rPr>
      <w:sz w:val="16"/>
      <w:szCs w:val="16"/>
    </w:rPr>
  </w:style>
  <w:style w:type="character" w:customStyle="1" w:styleId="BodyText3Char">
    <w:name w:val="Body Text 3 Char"/>
    <w:basedOn w:val="DefaultParagraphFont"/>
    <w:link w:val="BodyText3"/>
    <w:uiPriority w:val="99"/>
    <w:rsid w:val="003C2103"/>
    <w:rPr>
      <w:rFonts w:ascii="CG Times" w:eastAsia="Times New Roman" w:hAnsi="CG Times" w:cs="Times New Roman"/>
      <w:sz w:val="16"/>
      <w:szCs w:val="16"/>
    </w:rPr>
  </w:style>
  <w:style w:type="paragraph" w:styleId="NoSpacing">
    <w:name w:val="No Spacing"/>
    <w:uiPriority w:val="1"/>
    <w:qFormat/>
    <w:rsid w:val="003C2103"/>
    <w:pPr>
      <w:spacing w:after="0" w:line="240" w:lineRule="auto"/>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3672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17"/>
    <w:rPr>
      <w:rFonts w:ascii="Tahoma" w:eastAsia="Times New Roman" w:hAnsi="Tahoma" w:cs="Tahoma"/>
      <w:sz w:val="16"/>
      <w:szCs w:val="16"/>
    </w:rPr>
  </w:style>
  <w:style w:type="table" w:styleId="TableGrid">
    <w:name w:val="Table Grid"/>
    <w:basedOn w:val="TableNormal"/>
    <w:uiPriority w:val="59"/>
    <w:rsid w:val="00DA262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2055"/>
    <w:pPr>
      <w:spacing w:after="120"/>
    </w:pPr>
  </w:style>
  <w:style w:type="character" w:customStyle="1" w:styleId="BodyTextChar">
    <w:name w:val="Body Text Char"/>
    <w:basedOn w:val="DefaultParagraphFont"/>
    <w:link w:val="BodyText"/>
    <w:rsid w:val="00D12055"/>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F02C2"/>
    <w:rPr>
      <w:sz w:val="16"/>
      <w:szCs w:val="16"/>
    </w:rPr>
  </w:style>
  <w:style w:type="paragraph" w:styleId="CommentText">
    <w:name w:val="annotation text"/>
    <w:basedOn w:val="Normal"/>
    <w:link w:val="CommentTextChar"/>
    <w:uiPriority w:val="99"/>
    <w:semiHidden/>
    <w:unhideWhenUsed/>
    <w:rsid w:val="006F02C2"/>
    <w:pPr>
      <w:spacing w:line="240" w:lineRule="auto"/>
    </w:pPr>
    <w:rPr>
      <w:sz w:val="20"/>
    </w:rPr>
  </w:style>
  <w:style w:type="character" w:customStyle="1" w:styleId="CommentTextChar">
    <w:name w:val="Comment Text Char"/>
    <w:basedOn w:val="DefaultParagraphFont"/>
    <w:link w:val="CommentText"/>
    <w:uiPriority w:val="99"/>
    <w:semiHidden/>
    <w:rsid w:val="006F02C2"/>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F02C2"/>
    <w:rPr>
      <w:b/>
      <w:bCs/>
    </w:rPr>
  </w:style>
  <w:style w:type="character" w:customStyle="1" w:styleId="CommentSubjectChar">
    <w:name w:val="Comment Subject Char"/>
    <w:basedOn w:val="CommentTextChar"/>
    <w:link w:val="CommentSubject"/>
    <w:uiPriority w:val="99"/>
    <w:semiHidden/>
    <w:rsid w:val="006F02C2"/>
    <w:rPr>
      <w:rFonts w:ascii="CG Times" w:eastAsia="Times New Roman" w:hAnsi="CG Times" w:cs="Times New Roman"/>
      <w:b/>
      <w:bCs/>
      <w:sz w:val="20"/>
      <w:szCs w:val="20"/>
    </w:rPr>
  </w:style>
  <w:style w:type="character" w:styleId="Strong">
    <w:name w:val="Strong"/>
    <w:basedOn w:val="DefaultParagraphFont"/>
    <w:uiPriority w:val="22"/>
    <w:qFormat/>
    <w:rsid w:val="00A44992"/>
    <w:rPr>
      <w:b/>
      <w:bCs/>
    </w:rPr>
  </w:style>
  <w:style w:type="character" w:customStyle="1" w:styleId="Heading2Char">
    <w:name w:val="Heading 2 Char"/>
    <w:basedOn w:val="DefaultParagraphFont"/>
    <w:link w:val="Heading2"/>
    <w:uiPriority w:val="9"/>
    <w:rsid w:val="00BE145B"/>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600FC7"/>
    <w:rPr>
      <w:rFonts w:ascii="Times New Roman" w:eastAsia="Times New Roman" w:hAnsi="Times New Roman" w:cs="Times New Roman"/>
      <w:b/>
      <w:sz w:val="26"/>
      <w:szCs w:val="26"/>
    </w:rPr>
  </w:style>
  <w:style w:type="character" w:customStyle="1" w:styleId="Heading4Char">
    <w:name w:val="Heading 4 Char"/>
    <w:basedOn w:val="DefaultParagraphFont"/>
    <w:link w:val="Heading4"/>
    <w:uiPriority w:val="9"/>
    <w:rsid w:val="00600FC7"/>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600FC7"/>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296659"/>
    <w:pPr>
      <w:tabs>
        <w:tab w:val="left" w:pos="440"/>
        <w:tab w:val="right" w:leader="dot" w:pos="9350"/>
      </w:tabs>
      <w:spacing w:before="360"/>
    </w:pPr>
    <w:rPr>
      <w:b/>
      <w:noProof/>
    </w:rPr>
  </w:style>
  <w:style w:type="paragraph" w:styleId="TOC2">
    <w:name w:val="toc 2"/>
    <w:basedOn w:val="Normal"/>
    <w:next w:val="Normal"/>
    <w:autoRedefine/>
    <w:uiPriority w:val="39"/>
    <w:unhideWhenUsed/>
    <w:rsid w:val="009745BF"/>
    <w:pPr>
      <w:tabs>
        <w:tab w:val="left" w:pos="880"/>
        <w:tab w:val="right" w:leader="dot" w:pos="9350"/>
      </w:tabs>
      <w:spacing w:after="100"/>
      <w:ind w:left="432"/>
    </w:pPr>
  </w:style>
  <w:style w:type="paragraph" w:styleId="Revision">
    <w:name w:val="Revision"/>
    <w:hidden/>
    <w:uiPriority w:val="99"/>
    <w:semiHidden/>
    <w:rsid w:val="007E120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46581">
      <w:bodyDiv w:val="1"/>
      <w:marLeft w:val="0"/>
      <w:marRight w:val="0"/>
      <w:marTop w:val="0"/>
      <w:marBottom w:val="0"/>
      <w:divBdr>
        <w:top w:val="none" w:sz="0" w:space="0" w:color="auto"/>
        <w:left w:val="none" w:sz="0" w:space="0" w:color="auto"/>
        <w:bottom w:val="none" w:sz="0" w:space="0" w:color="auto"/>
        <w:right w:val="none" w:sz="0" w:space="0" w:color="auto"/>
      </w:divBdr>
    </w:div>
    <w:div w:id="310403686">
      <w:bodyDiv w:val="1"/>
      <w:marLeft w:val="0"/>
      <w:marRight w:val="0"/>
      <w:marTop w:val="0"/>
      <w:marBottom w:val="0"/>
      <w:divBdr>
        <w:top w:val="none" w:sz="0" w:space="0" w:color="auto"/>
        <w:left w:val="none" w:sz="0" w:space="0" w:color="auto"/>
        <w:bottom w:val="none" w:sz="0" w:space="0" w:color="auto"/>
        <w:right w:val="none" w:sz="0" w:space="0" w:color="auto"/>
      </w:divBdr>
    </w:div>
    <w:div w:id="367797539">
      <w:bodyDiv w:val="1"/>
      <w:marLeft w:val="0"/>
      <w:marRight w:val="0"/>
      <w:marTop w:val="0"/>
      <w:marBottom w:val="0"/>
      <w:divBdr>
        <w:top w:val="none" w:sz="0" w:space="0" w:color="auto"/>
        <w:left w:val="none" w:sz="0" w:space="0" w:color="auto"/>
        <w:bottom w:val="none" w:sz="0" w:space="0" w:color="auto"/>
        <w:right w:val="none" w:sz="0" w:space="0" w:color="auto"/>
      </w:divBdr>
    </w:div>
    <w:div w:id="396510277">
      <w:bodyDiv w:val="1"/>
      <w:marLeft w:val="0"/>
      <w:marRight w:val="0"/>
      <w:marTop w:val="0"/>
      <w:marBottom w:val="0"/>
      <w:divBdr>
        <w:top w:val="none" w:sz="0" w:space="0" w:color="auto"/>
        <w:left w:val="none" w:sz="0" w:space="0" w:color="auto"/>
        <w:bottom w:val="none" w:sz="0" w:space="0" w:color="auto"/>
        <w:right w:val="none" w:sz="0" w:space="0" w:color="auto"/>
      </w:divBdr>
    </w:div>
    <w:div w:id="543832982">
      <w:bodyDiv w:val="1"/>
      <w:marLeft w:val="0"/>
      <w:marRight w:val="0"/>
      <w:marTop w:val="0"/>
      <w:marBottom w:val="0"/>
      <w:divBdr>
        <w:top w:val="none" w:sz="0" w:space="0" w:color="auto"/>
        <w:left w:val="none" w:sz="0" w:space="0" w:color="auto"/>
        <w:bottom w:val="none" w:sz="0" w:space="0" w:color="auto"/>
        <w:right w:val="none" w:sz="0" w:space="0" w:color="auto"/>
      </w:divBdr>
    </w:div>
    <w:div w:id="585845547">
      <w:bodyDiv w:val="1"/>
      <w:marLeft w:val="0"/>
      <w:marRight w:val="0"/>
      <w:marTop w:val="0"/>
      <w:marBottom w:val="0"/>
      <w:divBdr>
        <w:top w:val="none" w:sz="0" w:space="0" w:color="auto"/>
        <w:left w:val="none" w:sz="0" w:space="0" w:color="auto"/>
        <w:bottom w:val="none" w:sz="0" w:space="0" w:color="auto"/>
        <w:right w:val="none" w:sz="0" w:space="0" w:color="auto"/>
      </w:divBdr>
    </w:div>
    <w:div w:id="737627704">
      <w:bodyDiv w:val="1"/>
      <w:marLeft w:val="0"/>
      <w:marRight w:val="0"/>
      <w:marTop w:val="0"/>
      <w:marBottom w:val="0"/>
      <w:divBdr>
        <w:top w:val="none" w:sz="0" w:space="0" w:color="auto"/>
        <w:left w:val="none" w:sz="0" w:space="0" w:color="auto"/>
        <w:bottom w:val="none" w:sz="0" w:space="0" w:color="auto"/>
        <w:right w:val="none" w:sz="0" w:space="0" w:color="auto"/>
      </w:divBdr>
    </w:div>
    <w:div w:id="805392532">
      <w:bodyDiv w:val="1"/>
      <w:marLeft w:val="0"/>
      <w:marRight w:val="0"/>
      <w:marTop w:val="0"/>
      <w:marBottom w:val="0"/>
      <w:divBdr>
        <w:top w:val="none" w:sz="0" w:space="0" w:color="auto"/>
        <w:left w:val="none" w:sz="0" w:space="0" w:color="auto"/>
        <w:bottom w:val="none" w:sz="0" w:space="0" w:color="auto"/>
        <w:right w:val="none" w:sz="0" w:space="0" w:color="auto"/>
      </w:divBdr>
    </w:div>
    <w:div w:id="886381610">
      <w:bodyDiv w:val="1"/>
      <w:marLeft w:val="0"/>
      <w:marRight w:val="0"/>
      <w:marTop w:val="0"/>
      <w:marBottom w:val="0"/>
      <w:divBdr>
        <w:top w:val="none" w:sz="0" w:space="0" w:color="auto"/>
        <w:left w:val="none" w:sz="0" w:space="0" w:color="auto"/>
        <w:bottom w:val="none" w:sz="0" w:space="0" w:color="auto"/>
        <w:right w:val="none" w:sz="0" w:space="0" w:color="auto"/>
      </w:divBdr>
    </w:div>
    <w:div w:id="1105268352">
      <w:bodyDiv w:val="1"/>
      <w:marLeft w:val="0"/>
      <w:marRight w:val="0"/>
      <w:marTop w:val="0"/>
      <w:marBottom w:val="0"/>
      <w:divBdr>
        <w:top w:val="none" w:sz="0" w:space="0" w:color="auto"/>
        <w:left w:val="none" w:sz="0" w:space="0" w:color="auto"/>
        <w:bottom w:val="none" w:sz="0" w:space="0" w:color="auto"/>
        <w:right w:val="none" w:sz="0" w:space="0" w:color="auto"/>
      </w:divBdr>
    </w:div>
    <w:div w:id="1346904018">
      <w:bodyDiv w:val="1"/>
      <w:marLeft w:val="0"/>
      <w:marRight w:val="0"/>
      <w:marTop w:val="0"/>
      <w:marBottom w:val="0"/>
      <w:divBdr>
        <w:top w:val="none" w:sz="0" w:space="0" w:color="auto"/>
        <w:left w:val="none" w:sz="0" w:space="0" w:color="auto"/>
        <w:bottom w:val="none" w:sz="0" w:space="0" w:color="auto"/>
        <w:right w:val="none" w:sz="0" w:space="0" w:color="auto"/>
      </w:divBdr>
    </w:div>
    <w:div w:id="1567229206">
      <w:bodyDiv w:val="1"/>
      <w:marLeft w:val="0"/>
      <w:marRight w:val="0"/>
      <w:marTop w:val="0"/>
      <w:marBottom w:val="0"/>
      <w:divBdr>
        <w:top w:val="none" w:sz="0" w:space="0" w:color="auto"/>
        <w:left w:val="none" w:sz="0" w:space="0" w:color="auto"/>
        <w:bottom w:val="none" w:sz="0" w:space="0" w:color="auto"/>
        <w:right w:val="none" w:sz="0" w:space="0" w:color="auto"/>
      </w:divBdr>
    </w:div>
    <w:div w:id="1619792648">
      <w:bodyDiv w:val="1"/>
      <w:marLeft w:val="0"/>
      <w:marRight w:val="0"/>
      <w:marTop w:val="0"/>
      <w:marBottom w:val="0"/>
      <w:divBdr>
        <w:top w:val="none" w:sz="0" w:space="0" w:color="auto"/>
        <w:left w:val="none" w:sz="0" w:space="0" w:color="auto"/>
        <w:bottom w:val="none" w:sz="0" w:space="0" w:color="auto"/>
        <w:right w:val="none" w:sz="0" w:space="0" w:color="auto"/>
      </w:divBdr>
    </w:div>
    <w:div w:id="1707287884">
      <w:bodyDiv w:val="1"/>
      <w:marLeft w:val="0"/>
      <w:marRight w:val="0"/>
      <w:marTop w:val="0"/>
      <w:marBottom w:val="0"/>
      <w:divBdr>
        <w:top w:val="none" w:sz="0" w:space="0" w:color="auto"/>
        <w:left w:val="none" w:sz="0" w:space="0" w:color="auto"/>
        <w:bottom w:val="none" w:sz="0" w:space="0" w:color="auto"/>
        <w:right w:val="none" w:sz="0" w:space="0" w:color="auto"/>
      </w:divBdr>
    </w:div>
    <w:div w:id="1804612880">
      <w:bodyDiv w:val="1"/>
      <w:marLeft w:val="0"/>
      <w:marRight w:val="0"/>
      <w:marTop w:val="0"/>
      <w:marBottom w:val="0"/>
      <w:divBdr>
        <w:top w:val="none" w:sz="0" w:space="0" w:color="auto"/>
        <w:left w:val="none" w:sz="0" w:space="0" w:color="auto"/>
        <w:bottom w:val="none" w:sz="0" w:space="0" w:color="auto"/>
        <w:right w:val="none" w:sz="0" w:space="0" w:color="auto"/>
      </w:divBdr>
    </w:div>
    <w:div w:id="188228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7F55-63DB-410D-B6E9-33317F8E2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rocarran</dc:creator>
  <cp:lastModifiedBy>Wagner, Nathan R</cp:lastModifiedBy>
  <cp:revision>3</cp:revision>
  <cp:lastPrinted>2017-01-19T15:38:00Z</cp:lastPrinted>
  <dcterms:created xsi:type="dcterms:W3CDTF">2017-05-09T15:22:00Z</dcterms:created>
  <dcterms:modified xsi:type="dcterms:W3CDTF">2017-05-18T12:01:00Z</dcterms:modified>
</cp:coreProperties>
</file>