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89" w:rsidRPr="00206A03" w:rsidRDefault="001F1A89" w:rsidP="001F1A89">
      <w:pPr>
        <w:jc w:val="center"/>
        <w:rPr>
          <w:b/>
          <w:sz w:val="24"/>
          <w:szCs w:val="24"/>
        </w:rPr>
      </w:pPr>
      <w:r w:rsidRPr="00206A03">
        <w:rPr>
          <w:b/>
          <w:sz w:val="24"/>
          <w:szCs w:val="24"/>
        </w:rPr>
        <w:t>BEFORE THE</w:t>
      </w:r>
    </w:p>
    <w:p w:rsidR="001F1A89" w:rsidRPr="00206A03" w:rsidRDefault="001F1A89" w:rsidP="001F1A89">
      <w:pPr>
        <w:jc w:val="center"/>
        <w:rPr>
          <w:b/>
          <w:sz w:val="24"/>
          <w:szCs w:val="24"/>
        </w:rPr>
      </w:pPr>
      <w:smartTag w:uri="urn:schemas-microsoft-com:office:smarttags" w:element="place">
        <w:smartTag w:uri="urn:schemas-microsoft-com:office:smarttags" w:element="State">
          <w:r w:rsidRPr="00206A03">
            <w:rPr>
              <w:b/>
              <w:sz w:val="24"/>
              <w:szCs w:val="24"/>
            </w:rPr>
            <w:t>PENNSYLVANIA</w:t>
          </w:r>
        </w:smartTag>
      </w:smartTag>
      <w:r w:rsidRPr="00206A03">
        <w:rPr>
          <w:b/>
          <w:sz w:val="24"/>
          <w:szCs w:val="24"/>
        </w:rPr>
        <w:t xml:space="preserve"> PUBLIC UTILITY COMMISSION</w:t>
      </w:r>
    </w:p>
    <w:p w:rsidR="001F1A89" w:rsidRPr="00E007DC" w:rsidRDefault="001F1A89" w:rsidP="001F1A89">
      <w:pPr>
        <w:jc w:val="center"/>
        <w:rPr>
          <w:sz w:val="24"/>
          <w:szCs w:val="24"/>
        </w:rPr>
      </w:pPr>
    </w:p>
    <w:p w:rsidR="00962948" w:rsidRPr="00FB448C" w:rsidRDefault="00962948" w:rsidP="00962948">
      <w:pPr>
        <w:jc w:val="center"/>
        <w:rPr>
          <w:sz w:val="24"/>
          <w:szCs w:val="24"/>
        </w:rPr>
      </w:pPr>
    </w:p>
    <w:p w:rsidR="00962948" w:rsidRPr="00FB448C" w:rsidRDefault="00962948" w:rsidP="00962948">
      <w:pPr>
        <w:rPr>
          <w:sz w:val="24"/>
          <w:szCs w:val="24"/>
        </w:rPr>
      </w:pPr>
    </w:p>
    <w:p w:rsidR="00962948" w:rsidRPr="00FB448C" w:rsidRDefault="00766C28" w:rsidP="00962948">
      <w:pPr>
        <w:rPr>
          <w:sz w:val="24"/>
          <w:szCs w:val="24"/>
        </w:rPr>
      </w:pPr>
      <w:r>
        <w:rPr>
          <w:sz w:val="24"/>
          <w:szCs w:val="24"/>
        </w:rPr>
        <w:t>Anwar Baghdadi</w:t>
      </w:r>
      <w:r w:rsidR="00DE0CC9">
        <w:rPr>
          <w:sz w:val="24"/>
          <w:szCs w:val="24"/>
        </w:rPr>
        <w:tab/>
      </w:r>
      <w:r w:rsidR="00962948">
        <w:rPr>
          <w:sz w:val="24"/>
          <w:szCs w:val="24"/>
        </w:rPr>
        <w:tab/>
      </w:r>
      <w:r w:rsidR="00962948" w:rsidRPr="00FB448C">
        <w:rPr>
          <w:sz w:val="24"/>
          <w:szCs w:val="24"/>
        </w:rPr>
        <w:tab/>
      </w:r>
      <w:r w:rsidR="00962948" w:rsidRPr="00FB448C">
        <w:rPr>
          <w:sz w:val="24"/>
          <w:szCs w:val="24"/>
        </w:rPr>
        <w:tab/>
      </w:r>
      <w:r w:rsidR="00962948" w:rsidRPr="00FB448C">
        <w:rPr>
          <w:sz w:val="24"/>
          <w:szCs w:val="24"/>
        </w:rPr>
        <w:tab/>
        <w:t>:</w:t>
      </w:r>
    </w:p>
    <w:p w:rsidR="00962948" w:rsidRPr="00FB448C" w:rsidRDefault="00962948" w:rsidP="00962948">
      <w:pPr>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962948" w:rsidRPr="00FB448C" w:rsidRDefault="00962948" w:rsidP="00962948">
      <w:pPr>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766C28">
        <w:rPr>
          <w:sz w:val="24"/>
          <w:szCs w:val="24"/>
        </w:rPr>
        <w:t>F-2016-2576632</w:t>
      </w:r>
    </w:p>
    <w:p w:rsidR="00962948" w:rsidRPr="00FB448C" w:rsidRDefault="00962948" w:rsidP="00962948">
      <w:pPr>
        <w:ind w:left="4320" w:firstLine="720"/>
        <w:rPr>
          <w:sz w:val="24"/>
          <w:szCs w:val="24"/>
        </w:rPr>
      </w:pPr>
      <w:r w:rsidRPr="00FB448C">
        <w:rPr>
          <w:sz w:val="24"/>
          <w:szCs w:val="24"/>
        </w:rPr>
        <w:t>:</w:t>
      </w:r>
    </w:p>
    <w:p w:rsidR="00962948" w:rsidRPr="00362599" w:rsidRDefault="00766C28" w:rsidP="00962948">
      <w:pPr>
        <w:rPr>
          <w:sz w:val="24"/>
          <w:szCs w:val="24"/>
        </w:rPr>
      </w:pPr>
      <w:r>
        <w:rPr>
          <w:sz w:val="24"/>
          <w:szCs w:val="24"/>
        </w:rPr>
        <w:t>Philadelphia Gas Works</w:t>
      </w:r>
      <w:r w:rsidR="00DA1503" w:rsidRPr="00362599">
        <w:rPr>
          <w:sz w:val="24"/>
          <w:szCs w:val="24"/>
        </w:rPr>
        <w:tab/>
      </w:r>
      <w:r w:rsidR="00962948" w:rsidRPr="00362599">
        <w:rPr>
          <w:sz w:val="24"/>
          <w:szCs w:val="24"/>
        </w:rPr>
        <w:tab/>
      </w:r>
      <w:r w:rsidR="00962948" w:rsidRPr="00362599">
        <w:rPr>
          <w:sz w:val="24"/>
          <w:szCs w:val="24"/>
        </w:rPr>
        <w:tab/>
      </w:r>
      <w:r w:rsidR="00962948" w:rsidRPr="00362599">
        <w:rPr>
          <w:sz w:val="24"/>
          <w:szCs w:val="24"/>
        </w:rPr>
        <w:tab/>
        <w:t>:</w:t>
      </w:r>
    </w:p>
    <w:p w:rsidR="00962948" w:rsidRPr="00362599" w:rsidRDefault="00962948" w:rsidP="00962948">
      <w:pPr>
        <w:rPr>
          <w:sz w:val="24"/>
          <w:szCs w:val="24"/>
        </w:rPr>
      </w:pPr>
    </w:p>
    <w:p w:rsidR="00962948" w:rsidRDefault="00962948" w:rsidP="00962948">
      <w:pPr>
        <w:rPr>
          <w:sz w:val="24"/>
          <w:szCs w:val="24"/>
        </w:rPr>
      </w:pPr>
    </w:p>
    <w:p w:rsidR="00295740" w:rsidRPr="00362599" w:rsidRDefault="00295740" w:rsidP="00962948">
      <w:pPr>
        <w:rPr>
          <w:sz w:val="24"/>
          <w:szCs w:val="24"/>
        </w:rPr>
      </w:pPr>
    </w:p>
    <w:p w:rsidR="00A40956" w:rsidRPr="00362599" w:rsidRDefault="006B4144" w:rsidP="009E08C1">
      <w:pPr>
        <w:jc w:val="center"/>
        <w:rPr>
          <w:b/>
          <w:caps/>
          <w:sz w:val="24"/>
          <w:szCs w:val="24"/>
          <w:u w:val="single"/>
        </w:rPr>
      </w:pPr>
      <w:r>
        <w:rPr>
          <w:b/>
          <w:caps/>
          <w:sz w:val="24"/>
          <w:szCs w:val="24"/>
          <w:u w:val="single"/>
        </w:rPr>
        <w:t>SECOND</w:t>
      </w:r>
      <w:r w:rsidR="00A40956" w:rsidRPr="00362599">
        <w:rPr>
          <w:b/>
          <w:caps/>
          <w:sz w:val="24"/>
          <w:szCs w:val="24"/>
          <w:u w:val="single"/>
        </w:rPr>
        <w:t xml:space="preserve"> interim </w:t>
      </w:r>
      <w:r w:rsidR="009E08C1" w:rsidRPr="00362599">
        <w:rPr>
          <w:b/>
          <w:caps/>
          <w:sz w:val="24"/>
          <w:szCs w:val="24"/>
          <w:u w:val="single"/>
        </w:rPr>
        <w:t xml:space="preserve">ORDER </w:t>
      </w:r>
    </w:p>
    <w:p w:rsidR="006025CB" w:rsidRPr="00362599" w:rsidRDefault="006025CB" w:rsidP="009E08C1">
      <w:pPr>
        <w:jc w:val="center"/>
        <w:rPr>
          <w:sz w:val="24"/>
          <w:szCs w:val="24"/>
        </w:rPr>
      </w:pPr>
    </w:p>
    <w:p w:rsidR="00766C28" w:rsidRPr="00362599" w:rsidRDefault="006B4144" w:rsidP="00A11645">
      <w:pPr>
        <w:jc w:val="center"/>
        <w:rPr>
          <w:sz w:val="24"/>
          <w:szCs w:val="24"/>
        </w:rPr>
      </w:pPr>
      <w:r>
        <w:rPr>
          <w:sz w:val="24"/>
          <w:szCs w:val="24"/>
        </w:rPr>
        <w:t>Closing Hearing Record</w:t>
      </w:r>
    </w:p>
    <w:p w:rsidR="004E1C41" w:rsidRPr="00362599" w:rsidRDefault="004E1C41" w:rsidP="001F1A89">
      <w:pPr>
        <w:jc w:val="center"/>
        <w:rPr>
          <w:sz w:val="24"/>
          <w:szCs w:val="24"/>
          <w:u w:val="single"/>
        </w:rPr>
      </w:pPr>
    </w:p>
    <w:p w:rsidR="00B10D74" w:rsidRPr="00362599" w:rsidRDefault="00B10D74" w:rsidP="001F1A89">
      <w:pPr>
        <w:jc w:val="center"/>
        <w:rPr>
          <w:sz w:val="24"/>
          <w:szCs w:val="24"/>
          <w:u w:val="single"/>
        </w:rPr>
      </w:pPr>
    </w:p>
    <w:p w:rsidR="00962948" w:rsidRPr="00362599" w:rsidRDefault="00962948" w:rsidP="00962948">
      <w:pPr>
        <w:pStyle w:val="Heading1"/>
        <w:rPr>
          <w:sz w:val="24"/>
          <w:szCs w:val="24"/>
        </w:rPr>
      </w:pPr>
      <w:r w:rsidRPr="00362599">
        <w:rPr>
          <w:sz w:val="24"/>
          <w:szCs w:val="24"/>
        </w:rPr>
        <w:t>HISTORY OF THE PROCEEDING</w:t>
      </w:r>
    </w:p>
    <w:p w:rsidR="00962948" w:rsidRPr="00362599" w:rsidRDefault="00962948" w:rsidP="00B10D74">
      <w:pPr>
        <w:spacing w:line="360" w:lineRule="auto"/>
        <w:ind w:firstLine="1440"/>
        <w:rPr>
          <w:sz w:val="24"/>
          <w:szCs w:val="24"/>
        </w:rPr>
      </w:pPr>
    </w:p>
    <w:p w:rsidR="00362599" w:rsidRPr="00362599" w:rsidRDefault="00362599" w:rsidP="00362599">
      <w:pPr>
        <w:spacing w:line="360" w:lineRule="auto"/>
        <w:rPr>
          <w:sz w:val="24"/>
          <w:szCs w:val="24"/>
        </w:rPr>
      </w:pPr>
      <w:r w:rsidRPr="00362599">
        <w:rPr>
          <w:sz w:val="24"/>
          <w:szCs w:val="24"/>
        </w:rPr>
        <w:tab/>
      </w:r>
      <w:r w:rsidRPr="00362599">
        <w:rPr>
          <w:sz w:val="24"/>
          <w:szCs w:val="24"/>
        </w:rPr>
        <w:tab/>
        <w:t xml:space="preserve">On November </w:t>
      </w:r>
      <w:r w:rsidR="00766C28">
        <w:rPr>
          <w:sz w:val="24"/>
          <w:szCs w:val="24"/>
        </w:rPr>
        <w:t>15, 2016</w:t>
      </w:r>
      <w:r w:rsidRPr="00362599">
        <w:rPr>
          <w:sz w:val="24"/>
          <w:szCs w:val="24"/>
        </w:rPr>
        <w:t xml:space="preserve">, </w:t>
      </w:r>
      <w:r w:rsidR="00766C28">
        <w:rPr>
          <w:sz w:val="24"/>
          <w:szCs w:val="24"/>
        </w:rPr>
        <w:t>Anwar Baghdadi (Mr. Baghdadi or Complainant)</w:t>
      </w:r>
      <w:r w:rsidRPr="00362599">
        <w:rPr>
          <w:sz w:val="24"/>
          <w:szCs w:val="24"/>
        </w:rPr>
        <w:t xml:space="preserve"> filed a complaint with the Public Utility Commission</w:t>
      </w:r>
      <w:r w:rsidR="00766C28">
        <w:rPr>
          <w:sz w:val="24"/>
          <w:szCs w:val="24"/>
        </w:rPr>
        <w:t xml:space="preserve"> (Commission)</w:t>
      </w:r>
      <w:r w:rsidRPr="00362599">
        <w:rPr>
          <w:sz w:val="24"/>
          <w:szCs w:val="24"/>
        </w:rPr>
        <w:t xml:space="preserve"> against </w:t>
      </w:r>
      <w:r w:rsidR="00766C28">
        <w:rPr>
          <w:sz w:val="24"/>
          <w:szCs w:val="24"/>
        </w:rPr>
        <w:t>Philadelphia Gas Works</w:t>
      </w:r>
      <w:r w:rsidRPr="00362599">
        <w:rPr>
          <w:sz w:val="24"/>
          <w:szCs w:val="24"/>
        </w:rPr>
        <w:t xml:space="preserve"> </w:t>
      </w:r>
      <w:r w:rsidR="00766C28">
        <w:rPr>
          <w:sz w:val="24"/>
          <w:szCs w:val="24"/>
        </w:rPr>
        <w:t xml:space="preserve">(PGW or Respondent) </w:t>
      </w:r>
      <w:r w:rsidRPr="00362599">
        <w:rPr>
          <w:sz w:val="24"/>
          <w:szCs w:val="24"/>
        </w:rPr>
        <w:t xml:space="preserve">in which </w:t>
      </w:r>
      <w:r w:rsidR="00963949">
        <w:rPr>
          <w:sz w:val="24"/>
          <w:szCs w:val="24"/>
        </w:rPr>
        <w:t>he</w:t>
      </w:r>
      <w:r w:rsidRPr="00362599">
        <w:rPr>
          <w:sz w:val="24"/>
          <w:szCs w:val="24"/>
        </w:rPr>
        <w:t xml:space="preserve"> alleged </w:t>
      </w:r>
      <w:r w:rsidR="00766C28">
        <w:rPr>
          <w:sz w:val="24"/>
          <w:szCs w:val="24"/>
        </w:rPr>
        <w:t xml:space="preserve">PGW terminated natural gas service to the service address.  Complainant requested the Commission order PGW to reconnect natural gas service and provide him with a payment arrangement.  </w:t>
      </w:r>
      <w:r>
        <w:rPr>
          <w:sz w:val="24"/>
          <w:szCs w:val="24"/>
        </w:rPr>
        <w:t xml:space="preserve">On December </w:t>
      </w:r>
      <w:r w:rsidR="00766C28">
        <w:rPr>
          <w:sz w:val="24"/>
          <w:szCs w:val="24"/>
        </w:rPr>
        <w:t>12, 2016</w:t>
      </w:r>
      <w:r>
        <w:rPr>
          <w:sz w:val="24"/>
          <w:szCs w:val="24"/>
        </w:rPr>
        <w:t xml:space="preserve">, </w:t>
      </w:r>
      <w:r w:rsidR="00766C28">
        <w:rPr>
          <w:sz w:val="24"/>
          <w:szCs w:val="24"/>
        </w:rPr>
        <w:t>PGW</w:t>
      </w:r>
      <w:r w:rsidRPr="00362599">
        <w:rPr>
          <w:sz w:val="24"/>
          <w:szCs w:val="24"/>
        </w:rPr>
        <w:t xml:space="preserve"> filed an answer</w:t>
      </w:r>
      <w:r w:rsidR="00766C28">
        <w:rPr>
          <w:sz w:val="24"/>
          <w:szCs w:val="24"/>
        </w:rPr>
        <w:t xml:space="preserve"> in which it admitted it terminated service on August 28, 2009 </w:t>
      </w:r>
      <w:r w:rsidR="00D900C0">
        <w:rPr>
          <w:sz w:val="24"/>
          <w:szCs w:val="24"/>
        </w:rPr>
        <w:t>because</w:t>
      </w:r>
      <w:r w:rsidR="00766C28">
        <w:rPr>
          <w:sz w:val="24"/>
          <w:szCs w:val="24"/>
        </w:rPr>
        <w:t xml:space="preserve"> a bypass at the meter resulted in the theft of natural gas.  </w:t>
      </w:r>
      <w:r w:rsidRPr="00362599">
        <w:rPr>
          <w:sz w:val="24"/>
          <w:szCs w:val="24"/>
        </w:rPr>
        <w:t xml:space="preserve">  </w:t>
      </w:r>
    </w:p>
    <w:p w:rsidR="00362599" w:rsidRPr="00362599" w:rsidRDefault="00362599" w:rsidP="00362599">
      <w:pPr>
        <w:spacing w:line="360" w:lineRule="auto"/>
        <w:rPr>
          <w:sz w:val="24"/>
          <w:szCs w:val="24"/>
        </w:rPr>
      </w:pPr>
    </w:p>
    <w:p w:rsidR="00766C28" w:rsidRDefault="00362599" w:rsidP="00362599">
      <w:pPr>
        <w:spacing w:line="360" w:lineRule="auto"/>
        <w:rPr>
          <w:sz w:val="24"/>
          <w:szCs w:val="24"/>
        </w:rPr>
      </w:pPr>
      <w:r w:rsidRPr="00362599">
        <w:rPr>
          <w:sz w:val="24"/>
          <w:szCs w:val="24"/>
        </w:rPr>
        <w:tab/>
      </w:r>
      <w:r w:rsidRPr="00362599">
        <w:rPr>
          <w:sz w:val="24"/>
          <w:szCs w:val="24"/>
        </w:rPr>
        <w:tab/>
        <w:t xml:space="preserve">On </w:t>
      </w:r>
      <w:r w:rsidR="00766C28">
        <w:rPr>
          <w:sz w:val="24"/>
          <w:szCs w:val="24"/>
        </w:rPr>
        <w:t>January 26, 2017</w:t>
      </w:r>
      <w:r w:rsidRPr="00362599">
        <w:rPr>
          <w:sz w:val="24"/>
          <w:szCs w:val="24"/>
        </w:rPr>
        <w:t xml:space="preserve">, the Office of Administrative Law Judge scheduled an initial </w:t>
      </w:r>
      <w:r w:rsidR="00766C28">
        <w:rPr>
          <w:sz w:val="24"/>
          <w:szCs w:val="24"/>
        </w:rPr>
        <w:t xml:space="preserve">call-in </w:t>
      </w:r>
      <w:r w:rsidRPr="00362599">
        <w:rPr>
          <w:sz w:val="24"/>
          <w:szCs w:val="24"/>
        </w:rPr>
        <w:t xml:space="preserve">telephonic hearing in this matter for </w:t>
      </w:r>
      <w:r w:rsidR="00766C28">
        <w:rPr>
          <w:sz w:val="24"/>
          <w:szCs w:val="24"/>
        </w:rPr>
        <w:t>Monday, March 6, 2017</w:t>
      </w:r>
      <w:r w:rsidRPr="00362599">
        <w:rPr>
          <w:sz w:val="24"/>
          <w:szCs w:val="24"/>
        </w:rPr>
        <w:t xml:space="preserve">.  On </w:t>
      </w:r>
      <w:r w:rsidR="00766C28">
        <w:rPr>
          <w:sz w:val="24"/>
          <w:szCs w:val="24"/>
        </w:rPr>
        <w:t>January 27, 2017</w:t>
      </w:r>
      <w:r w:rsidRPr="00362599">
        <w:rPr>
          <w:sz w:val="24"/>
          <w:szCs w:val="24"/>
        </w:rPr>
        <w:t xml:space="preserve">, the </w:t>
      </w:r>
      <w:r w:rsidR="00766C28">
        <w:rPr>
          <w:sz w:val="24"/>
          <w:szCs w:val="24"/>
        </w:rPr>
        <w:t>presiding officer</w:t>
      </w:r>
      <w:r w:rsidRPr="00362599">
        <w:rPr>
          <w:sz w:val="24"/>
          <w:szCs w:val="24"/>
        </w:rPr>
        <w:t xml:space="preserve"> issued a Prehearing Order.  </w:t>
      </w:r>
    </w:p>
    <w:p w:rsidR="00766C28" w:rsidRDefault="00766C28" w:rsidP="00362599">
      <w:pPr>
        <w:spacing w:line="360" w:lineRule="auto"/>
        <w:rPr>
          <w:sz w:val="24"/>
          <w:szCs w:val="24"/>
        </w:rPr>
      </w:pPr>
    </w:p>
    <w:p w:rsidR="00295740" w:rsidRDefault="00362599" w:rsidP="00766C28">
      <w:pPr>
        <w:spacing w:line="360" w:lineRule="auto"/>
        <w:ind w:firstLine="1440"/>
        <w:rPr>
          <w:sz w:val="24"/>
          <w:szCs w:val="24"/>
        </w:rPr>
      </w:pPr>
      <w:r w:rsidRPr="00A11645">
        <w:rPr>
          <w:sz w:val="24"/>
          <w:szCs w:val="24"/>
        </w:rPr>
        <w:t xml:space="preserve">On </w:t>
      </w:r>
      <w:r w:rsidR="00766C28" w:rsidRPr="00A11645">
        <w:rPr>
          <w:sz w:val="24"/>
          <w:szCs w:val="24"/>
        </w:rPr>
        <w:t>March 6, 2017</w:t>
      </w:r>
      <w:r w:rsidRPr="00A11645">
        <w:rPr>
          <w:sz w:val="24"/>
          <w:szCs w:val="24"/>
        </w:rPr>
        <w:t xml:space="preserve">, the presiding officer convened the initial </w:t>
      </w:r>
      <w:r w:rsidR="00766C28" w:rsidRPr="00A11645">
        <w:rPr>
          <w:sz w:val="24"/>
          <w:szCs w:val="24"/>
        </w:rPr>
        <w:t xml:space="preserve">telephonic </w:t>
      </w:r>
      <w:r w:rsidRPr="00A11645">
        <w:rPr>
          <w:sz w:val="24"/>
          <w:szCs w:val="24"/>
        </w:rPr>
        <w:t xml:space="preserve">hearing </w:t>
      </w:r>
      <w:r w:rsidR="00A11645" w:rsidRPr="00A11645">
        <w:rPr>
          <w:sz w:val="24"/>
          <w:szCs w:val="24"/>
        </w:rPr>
        <w:t xml:space="preserve">as scheduled, </w:t>
      </w:r>
      <w:r w:rsidRPr="00A11645">
        <w:rPr>
          <w:sz w:val="24"/>
          <w:szCs w:val="24"/>
        </w:rPr>
        <w:t xml:space="preserve">at which Complainant </w:t>
      </w:r>
      <w:r w:rsidR="00766C28" w:rsidRPr="00A11645">
        <w:rPr>
          <w:sz w:val="24"/>
          <w:szCs w:val="24"/>
        </w:rPr>
        <w:t xml:space="preserve">appeared </w:t>
      </w:r>
      <w:r w:rsidR="00766C28" w:rsidRPr="00A11645">
        <w:rPr>
          <w:i/>
          <w:sz w:val="24"/>
          <w:szCs w:val="24"/>
        </w:rPr>
        <w:t>pro se</w:t>
      </w:r>
      <w:r w:rsidR="00766C28" w:rsidRPr="00A11645">
        <w:rPr>
          <w:sz w:val="24"/>
          <w:szCs w:val="24"/>
        </w:rPr>
        <w:t xml:space="preserve"> </w:t>
      </w:r>
      <w:r w:rsidRPr="00A11645">
        <w:rPr>
          <w:sz w:val="24"/>
          <w:szCs w:val="24"/>
        </w:rPr>
        <w:t>and Respondent appeared</w:t>
      </w:r>
      <w:r w:rsidR="00766C28" w:rsidRPr="00A11645">
        <w:rPr>
          <w:sz w:val="24"/>
          <w:szCs w:val="24"/>
        </w:rPr>
        <w:t xml:space="preserve"> represented by Graciela </w:t>
      </w:r>
      <w:proofErr w:type="spellStart"/>
      <w:r w:rsidR="00766C28" w:rsidRPr="00A11645">
        <w:rPr>
          <w:sz w:val="24"/>
          <w:szCs w:val="24"/>
        </w:rPr>
        <w:t>Christlieb</w:t>
      </w:r>
      <w:proofErr w:type="spellEnd"/>
      <w:r w:rsidR="00766C28" w:rsidRPr="00A11645">
        <w:rPr>
          <w:sz w:val="24"/>
          <w:szCs w:val="24"/>
        </w:rPr>
        <w:t xml:space="preserve">, Esquire.  </w:t>
      </w:r>
    </w:p>
    <w:p w:rsidR="00295740" w:rsidRDefault="00295740" w:rsidP="00766C28">
      <w:pPr>
        <w:spacing w:line="360" w:lineRule="auto"/>
        <w:ind w:firstLine="1440"/>
        <w:rPr>
          <w:sz w:val="24"/>
          <w:szCs w:val="24"/>
        </w:rPr>
      </w:pPr>
    </w:p>
    <w:p w:rsidR="00295740" w:rsidRDefault="00A11645" w:rsidP="00766C28">
      <w:pPr>
        <w:spacing w:line="360" w:lineRule="auto"/>
        <w:ind w:firstLine="1440"/>
        <w:rPr>
          <w:sz w:val="24"/>
          <w:szCs w:val="24"/>
        </w:rPr>
      </w:pPr>
      <w:r w:rsidRPr="00A11645">
        <w:rPr>
          <w:sz w:val="24"/>
          <w:szCs w:val="24"/>
        </w:rPr>
        <w:lastRenderedPageBreak/>
        <w:t xml:space="preserve">Complainant </w:t>
      </w:r>
      <w:r>
        <w:rPr>
          <w:sz w:val="24"/>
          <w:szCs w:val="24"/>
        </w:rPr>
        <w:t xml:space="preserve">testified on his own behalf, in addition to offering the testimony of his wife, Renee Baghdadi.  Complainant </w:t>
      </w:r>
      <w:r w:rsidRPr="00A11645">
        <w:rPr>
          <w:sz w:val="24"/>
          <w:szCs w:val="24"/>
        </w:rPr>
        <w:t xml:space="preserve">offered no exhibits.  </w:t>
      </w:r>
    </w:p>
    <w:p w:rsidR="00295740" w:rsidRDefault="00295740" w:rsidP="00766C28">
      <w:pPr>
        <w:spacing w:line="360" w:lineRule="auto"/>
        <w:ind w:firstLine="1440"/>
        <w:rPr>
          <w:sz w:val="24"/>
          <w:szCs w:val="24"/>
        </w:rPr>
      </w:pPr>
    </w:p>
    <w:p w:rsidR="00A11645" w:rsidRDefault="00A11645" w:rsidP="00766C28">
      <w:pPr>
        <w:spacing w:line="360" w:lineRule="auto"/>
        <w:ind w:firstLine="1440"/>
        <w:rPr>
          <w:sz w:val="24"/>
          <w:szCs w:val="24"/>
        </w:rPr>
      </w:pPr>
      <w:r w:rsidRPr="00A11645">
        <w:rPr>
          <w:sz w:val="24"/>
          <w:szCs w:val="24"/>
        </w:rPr>
        <w:t xml:space="preserve">Attorney </w:t>
      </w:r>
      <w:proofErr w:type="spellStart"/>
      <w:r>
        <w:rPr>
          <w:sz w:val="24"/>
          <w:szCs w:val="24"/>
        </w:rPr>
        <w:t>Christlieb</w:t>
      </w:r>
      <w:proofErr w:type="spellEnd"/>
      <w:r w:rsidRPr="00A11645">
        <w:rPr>
          <w:sz w:val="24"/>
          <w:szCs w:val="24"/>
        </w:rPr>
        <w:t xml:space="preserve"> presented the testimony of </w:t>
      </w:r>
      <w:r>
        <w:rPr>
          <w:sz w:val="24"/>
          <w:szCs w:val="24"/>
        </w:rPr>
        <w:t>one</w:t>
      </w:r>
      <w:r w:rsidRPr="00A11645">
        <w:rPr>
          <w:sz w:val="24"/>
          <w:szCs w:val="24"/>
        </w:rPr>
        <w:t xml:space="preserve"> witness and offered </w:t>
      </w:r>
      <w:r>
        <w:rPr>
          <w:sz w:val="24"/>
          <w:szCs w:val="24"/>
        </w:rPr>
        <w:t>six</w:t>
      </w:r>
      <w:r w:rsidRPr="00A11645">
        <w:rPr>
          <w:sz w:val="24"/>
          <w:szCs w:val="24"/>
        </w:rPr>
        <w:t xml:space="preserve"> exhibits, which were marked </w:t>
      </w:r>
      <w:r>
        <w:rPr>
          <w:sz w:val="24"/>
          <w:szCs w:val="24"/>
        </w:rPr>
        <w:t>as PGW Exhibits</w:t>
      </w:r>
      <w:r w:rsidRPr="00A11645">
        <w:rPr>
          <w:sz w:val="24"/>
          <w:szCs w:val="24"/>
        </w:rPr>
        <w:t> 1</w:t>
      </w:r>
      <w:r>
        <w:rPr>
          <w:sz w:val="24"/>
          <w:szCs w:val="24"/>
        </w:rPr>
        <w:t xml:space="preserve"> through 6</w:t>
      </w:r>
      <w:r w:rsidRPr="00A11645">
        <w:rPr>
          <w:sz w:val="24"/>
          <w:szCs w:val="24"/>
        </w:rPr>
        <w:t xml:space="preserve"> and were admitted into evidence.  Complainant and Respondent issued final statements on the hearing record in lieu of filing briefs.</w:t>
      </w:r>
      <w:r>
        <w:rPr>
          <w:sz w:val="24"/>
          <w:szCs w:val="24"/>
        </w:rPr>
        <w:t xml:space="preserve"> </w:t>
      </w:r>
    </w:p>
    <w:p w:rsidR="00A11645" w:rsidRDefault="00A11645" w:rsidP="00766C28">
      <w:pPr>
        <w:spacing w:line="360" w:lineRule="auto"/>
        <w:ind w:firstLine="1440"/>
        <w:rPr>
          <w:sz w:val="24"/>
          <w:szCs w:val="24"/>
        </w:rPr>
      </w:pPr>
    </w:p>
    <w:p w:rsidR="00C70C6E" w:rsidRDefault="00A11645" w:rsidP="00571BD4">
      <w:pPr>
        <w:spacing w:line="360" w:lineRule="auto"/>
        <w:ind w:firstLine="1440"/>
        <w:rPr>
          <w:sz w:val="24"/>
          <w:szCs w:val="24"/>
        </w:rPr>
      </w:pPr>
      <w:r>
        <w:rPr>
          <w:sz w:val="24"/>
          <w:szCs w:val="24"/>
        </w:rPr>
        <w:t xml:space="preserve">On April 13, 2017, </w:t>
      </w:r>
      <w:r w:rsidR="00C70C6E">
        <w:rPr>
          <w:sz w:val="24"/>
          <w:szCs w:val="24"/>
        </w:rPr>
        <w:t xml:space="preserve">the court reporting service contacted the presiding officer and advised that the court reporter, who recorded the proceedings on March 6, 2017, had died on March 26, 2017.  While transcribing the recording made by the court reporter, the transcriptionist found a gap existed in the recording.  In addition, the court reporter’s notes, hand-written by her at the time of the hearing, indicated the tape recorder stopped temporarily.  The break in the recorded proceedings occurred on page 40 of the transcript at the start of the cross-examination of Respondent’s witness by Complainant.  </w:t>
      </w:r>
    </w:p>
    <w:p w:rsidR="00A11645" w:rsidRDefault="00A11645" w:rsidP="00766C28">
      <w:pPr>
        <w:spacing w:line="360" w:lineRule="auto"/>
        <w:ind w:firstLine="1440"/>
        <w:rPr>
          <w:sz w:val="24"/>
          <w:szCs w:val="24"/>
        </w:rPr>
      </w:pPr>
    </w:p>
    <w:p w:rsidR="00362599" w:rsidRDefault="00A11645" w:rsidP="00766C28">
      <w:pPr>
        <w:spacing w:line="360" w:lineRule="auto"/>
        <w:ind w:firstLine="1440"/>
        <w:rPr>
          <w:sz w:val="24"/>
          <w:szCs w:val="24"/>
        </w:rPr>
      </w:pPr>
      <w:r>
        <w:rPr>
          <w:sz w:val="24"/>
          <w:szCs w:val="24"/>
        </w:rPr>
        <w:t>On April 19, 2017, the presiding officer received t</w:t>
      </w:r>
      <w:r w:rsidRPr="00A11645">
        <w:rPr>
          <w:sz w:val="24"/>
          <w:szCs w:val="24"/>
        </w:rPr>
        <w:t xml:space="preserve">he transcript of the hearing, containing </w:t>
      </w:r>
      <w:r>
        <w:rPr>
          <w:sz w:val="24"/>
          <w:szCs w:val="24"/>
        </w:rPr>
        <w:t>4</w:t>
      </w:r>
      <w:r w:rsidRPr="00A11645">
        <w:rPr>
          <w:sz w:val="24"/>
          <w:szCs w:val="24"/>
        </w:rPr>
        <w:t xml:space="preserve">8 pages.  </w:t>
      </w:r>
      <w:r w:rsidR="00362599">
        <w:rPr>
          <w:sz w:val="24"/>
          <w:szCs w:val="24"/>
        </w:rPr>
        <w:t xml:space="preserve">  </w:t>
      </w:r>
      <w:r w:rsidR="00362599" w:rsidRPr="00362599">
        <w:rPr>
          <w:sz w:val="24"/>
          <w:szCs w:val="24"/>
        </w:rPr>
        <w:t xml:space="preserve">   </w:t>
      </w:r>
    </w:p>
    <w:p w:rsidR="006B4144" w:rsidRDefault="006B4144" w:rsidP="00766C28">
      <w:pPr>
        <w:spacing w:line="360" w:lineRule="auto"/>
        <w:ind w:firstLine="1440"/>
        <w:rPr>
          <w:sz w:val="24"/>
          <w:szCs w:val="24"/>
        </w:rPr>
      </w:pPr>
    </w:p>
    <w:p w:rsidR="00295740" w:rsidRDefault="006B4144" w:rsidP="00295740">
      <w:pPr>
        <w:spacing w:line="360" w:lineRule="auto"/>
        <w:ind w:firstLine="1440"/>
        <w:rPr>
          <w:sz w:val="24"/>
          <w:szCs w:val="24"/>
        </w:rPr>
      </w:pPr>
      <w:r>
        <w:rPr>
          <w:sz w:val="24"/>
          <w:szCs w:val="24"/>
        </w:rPr>
        <w:t xml:space="preserve">On April 20, 2017, the presiding officer issued the First Interim Order which advised the parties the transcript did not reflect the entire cross-examination of Respondent’s witness, Tiffany Jones, and the gap in the transcript could not be replaced due to the subsequent death of the court reporter.  The presiding officer ordered the parties to notify her in writing by Friday, May 12, 2017 if either party wanted their examination of Ms. Jones to be recorded and included in the hearing record.  </w:t>
      </w:r>
    </w:p>
    <w:p w:rsidR="00295740" w:rsidRDefault="00295740" w:rsidP="00295740">
      <w:pPr>
        <w:spacing w:line="360" w:lineRule="auto"/>
        <w:ind w:firstLine="1440"/>
        <w:rPr>
          <w:sz w:val="24"/>
          <w:szCs w:val="24"/>
        </w:rPr>
      </w:pPr>
    </w:p>
    <w:p w:rsidR="006B4144" w:rsidRDefault="006B4144" w:rsidP="00295740">
      <w:pPr>
        <w:spacing w:line="360" w:lineRule="auto"/>
        <w:ind w:firstLine="1440"/>
        <w:rPr>
          <w:sz w:val="24"/>
          <w:szCs w:val="24"/>
        </w:rPr>
      </w:pPr>
      <w:r>
        <w:rPr>
          <w:sz w:val="24"/>
          <w:szCs w:val="24"/>
        </w:rPr>
        <w:t xml:space="preserve">Neither party has submitted any request in writing or through any other form of </w:t>
      </w:r>
      <w:r w:rsidRPr="00295740">
        <w:rPr>
          <w:sz w:val="24"/>
          <w:szCs w:val="24"/>
        </w:rPr>
        <w:t>communication.</w:t>
      </w:r>
    </w:p>
    <w:p w:rsidR="00986D21" w:rsidRPr="00295740" w:rsidRDefault="00986D21" w:rsidP="00295740">
      <w:pPr>
        <w:spacing w:line="360" w:lineRule="auto"/>
        <w:ind w:firstLine="1440"/>
        <w:rPr>
          <w:sz w:val="24"/>
          <w:szCs w:val="24"/>
        </w:rPr>
      </w:pPr>
      <w:bookmarkStart w:id="0" w:name="_GoBack"/>
      <w:bookmarkEnd w:id="0"/>
    </w:p>
    <w:p w:rsidR="00577FCD" w:rsidRPr="00295740" w:rsidRDefault="00577FCD" w:rsidP="00295740">
      <w:pPr>
        <w:spacing w:line="360" w:lineRule="auto"/>
        <w:rPr>
          <w:sz w:val="24"/>
          <w:szCs w:val="24"/>
        </w:rPr>
      </w:pPr>
    </w:p>
    <w:p w:rsidR="00295740" w:rsidRDefault="00295740" w:rsidP="00295740">
      <w:pPr>
        <w:spacing w:line="360" w:lineRule="auto"/>
        <w:ind w:firstLine="1350"/>
        <w:rPr>
          <w:sz w:val="24"/>
          <w:szCs w:val="24"/>
        </w:rPr>
      </w:pPr>
      <w:r w:rsidRPr="00295740">
        <w:rPr>
          <w:sz w:val="24"/>
          <w:szCs w:val="24"/>
        </w:rPr>
        <w:lastRenderedPageBreak/>
        <w:t xml:space="preserve">AND NOW, as </w:t>
      </w:r>
      <w:r>
        <w:rPr>
          <w:sz w:val="24"/>
          <w:szCs w:val="24"/>
        </w:rPr>
        <w:t xml:space="preserve">the presiding officer has received </w:t>
      </w:r>
      <w:r w:rsidRPr="00295740">
        <w:rPr>
          <w:sz w:val="24"/>
          <w:szCs w:val="24"/>
        </w:rPr>
        <w:t xml:space="preserve">the transcript of the initial hearing on </w:t>
      </w:r>
      <w:r>
        <w:rPr>
          <w:sz w:val="24"/>
          <w:szCs w:val="24"/>
        </w:rPr>
        <w:t>March 6, 2017</w:t>
      </w:r>
      <w:r w:rsidRPr="00295740">
        <w:rPr>
          <w:sz w:val="24"/>
          <w:szCs w:val="24"/>
        </w:rPr>
        <w:t>, as the parties made final statements on the record at the initial hearing, and as no further hearings in this matter are to be scheduled or held.</w:t>
      </w:r>
    </w:p>
    <w:p w:rsidR="00295740" w:rsidRPr="00295740" w:rsidRDefault="00295740" w:rsidP="00295740">
      <w:pPr>
        <w:spacing w:line="360" w:lineRule="auto"/>
        <w:ind w:firstLine="1350"/>
        <w:rPr>
          <w:sz w:val="24"/>
          <w:szCs w:val="24"/>
        </w:rPr>
      </w:pPr>
    </w:p>
    <w:p w:rsidR="00C059CE" w:rsidRPr="00295740" w:rsidRDefault="00C059CE" w:rsidP="00C059CE">
      <w:pPr>
        <w:spacing w:line="360" w:lineRule="auto"/>
        <w:rPr>
          <w:sz w:val="24"/>
          <w:szCs w:val="24"/>
        </w:rPr>
      </w:pPr>
      <w:r w:rsidRPr="00295740">
        <w:rPr>
          <w:sz w:val="24"/>
          <w:szCs w:val="24"/>
        </w:rPr>
        <w:tab/>
      </w:r>
      <w:r w:rsidRPr="00295740">
        <w:rPr>
          <w:sz w:val="24"/>
          <w:szCs w:val="24"/>
        </w:rPr>
        <w:tab/>
        <w:t xml:space="preserve">THEREFORE, </w:t>
      </w:r>
    </w:p>
    <w:p w:rsidR="00C059CE" w:rsidRPr="00295740" w:rsidRDefault="00C059CE" w:rsidP="00C059CE">
      <w:pPr>
        <w:spacing w:line="360" w:lineRule="auto"/>
        <w:rPr>
          <w:sz w:val="24"/>
          <w:szCs w:val="24"/>
        </w:rPr>
      </w:pPr>
    </w:p>
    <w:p w:rsidR="00C059CE" w:rsidRPr="00295740" w:rsidRDefault="00C059CE" w:rsidP="00C059CE">
      <w:pPr>
        <w:spacing w:line="360" w:lineRule="auto"/>
        <w:ind w:firstLine="1440"/>
        <w:rPr>
          <w:sz w:val="24"/>
          <w:szCs w:val="24"/>
        </w:rPr>
      </w:pPr>
      <w:r w:rsidRPr="00295740">
        <w:rPr>
          <w:sz w:val="24"/>
          <w:szCs w:val="24"/>
        </w:rPr>
        <w:t xml:space="preserve">IT IS ORDERED: </w:t>
      </w:r>
    </w:p>
    <w:p w:rsidR="00C059CE" w:rsidRPr="00295740" w:rsidRDefault="00C059CE" w:rsidP="00C059CE">
      <w:pPr>
        <w:spacing w:line="360" w:lineRule="auto"/>
        <w:rPr>
          <w:sz w:val="24"/>
          <w:szCs w:val="24"/>
        </w:rPr>
      </w:pPr>
    </w:p>
    <w:p w:rsidR="00295740" w:rsidRPr="00295740" w:rsidRDefault="00295740" w:rsidP="00295740">
      <w:pPr>
        <w:numPr>
          <w:ilvl w:val="0"/>
          <w:numId w:val="4"/>
        </w:numPr>
        <w:spacing w:line="360" w:lineRule="auto"/>
        <w:ind w:right="-360"/>
        <w:rPr>
          <w:sz w:val="24"/>
          <w:szCs w:val="24"/>
        </w:rPr>
      </w:pPr>
      <w:r w:rsidRPr="00295740">
        <w:rPr>
          <w:sz w:val="24"/>
          <w:szCs w:val="24"/>
        </w:rPr>
        <w:t xml:space="preserve">The record at Docket No. </w:t>
      </w:r>
      <w:r>
        <w:rPr>
          <w:sz w:val="24"/>
          <w:szCs w:val="24"/>
        </w:rPr>
        <w:t>F-2016-2576632</w:t>
      </w:r>
      <w:r w:rsidRPr="00295740">
        <w:rPr>
          <w:sz w:val="24"/>
          <w:szCs w:val="24"/>
        </w:rPr>
        <w:t xml:space="preserve"> is closed.</w:t>
      </w:r>
    </w:p>
    <w:p w:rsidR="00295740" w:rsidRPr="00295740" w:rsidRDefault="00295740" w:rsidP="00295740">
      <w:pPr>
        <w:spacing w:line="360" w:lineRule="auto"/>
        <w:ind w:right="-360"/>
        <w:rPr>
          <w:sz w:val="24"/>
          <w:szCs w:val="24"/>
        </w:rPr>
      </w:pPr>
    </w:p>
    <w:p w:rsidR="00295740" w:rsidRPr="00295740" w:rsidRDefault="00295740" w:rsidP="00295740">
      <w:pPr>
        <w:numPr>
          <w:ilvl w:val="0"/>
          <w:numId w:val="4"/>
        </w:numPr>
        <w:spacing w:line="360" w:lineRule="auto"/>
        <w:ind w:right="-360"/>
        <w:rPr>
          <w:sz w:val="24"/>
          <w:szCs w:val="24"/>
        </w:rPr>
      </w:pPr>
      <w:r w:rsidRPr="00295740">
        <w:rPr>
          <w:sz w:val="24"/>
          <w:szCs w:val="24"/>
        </w:rPr>
        <w:t>The Initial Decision in this case shall be prepared and issued.</w:t>
      </w:r>
    </w:p>
    <w:p w:rsidR="00295740" w:rsidRPr="00295740" w:rsidRDefault="00295740" w:rsidP="00295740">
      <w:pPr>
        <w:spacing w:line="360" w:lineRule="auto"/>
        <w:ind w:right="-360"/>
        <w:rPr>
          <w:sz w:val="24"/>
          <w:szCs w:val="24"/>
        </w:rPr>
      </w:pPr>
    </w:p>
    <w:p w:rsidR="00067090" w:rsidRPr="00295740" w:rsidRDefault="00067090" w:rsidP="00402DF9">
      <w:pPr>
        <w:spacing w:line="360" w:lineRule="auto"/>
        <w:ind w:firstLine="1440"/>
        <w:rPr>
          <w:sz w:val="24"/>
          <w:szCs w:val="24"/>
        </w:rPr>
      </w:pPr>
    </w:p>
    <w:p w:rsidR="00741296" w:rsidRPr="00295740" w:rsidRDefault="00741296" w:rsidP="00402DF9">
      <w:pPr>
        <w:spacing w:line="360" w:lineRule="auto"/>
        <w:ind w:firstLine="1440"/>
        <w:rPr>
          <w:sz w:val="24"/>
          <w:szCs w:val="24"/>
        </w:rPr>
      </w:pPr>
    </w:p>
    <w:p w:rsidR="00193FEF" w:rsidRPr="00295740" w:rsidRDefault="00193FEF" w:rsidP="00193FEF">
      <w:pPr>
        <w:ind w:right="115"/>
        <w:rPr>
          <w:sz w:val="24"/>
          <w:szCs w:val="24"/>
        </w:rPr>
      </w:pPr>
      <w:r w:rsidRPr="00295740">
        <w:rPr>
          <w:sz w:val="24"/>
          <w:szCs w:val="24"/>
        </w:rPr>
        <w:t>Date:</w:t>
      </w:r>
      <w:r w:rsidR="00C40C5C" w:rsidRPr="00295740">
        <w:rPr>
          <w:sz w:val="24"/>
          <w:szCs w:val="24"/>
        </w:rPr>
        <w:t xml:space="preserve"> </w:t>
      </w:r>
      <w:r w:rsidRPr="00295740">
        <w:rPr>
          <w:sz w:val="24"/>
          <w:szCs w:val="24"/>
        </w:rPr>
        <w:t xml:space="preserve"> </w:t>
      </w:r>
      <w:r w:rsidR="00295740">
        <w:rPr>
          <w:sz w:val="24"/>
          <w:szCs w:val="24"/>
          <w:u w:val="single"/>
        </w:rPr>
        <w:t>May 2</w:t>
      </w:r>
      <w:r w:rsidR="00C00918">
        <w:rPr>
          <w:sz w:val="24"/>
          <w:szCs w:val="24"/>
          <w:u w:val="single"/>
        </w:rPr>
        <w:t>2</w:t>
      </w:r>
      <w:r w:rsidR="00571BD4" w:rsidRPr="00295740">
        <w:rPr>
          <w:sz w:val="24"/>
          <w:szCs w:val="24"/>
          <w:u w:val="single"/>
        </w:rPr>
        <w:t>, 2017</w:t>
      </w:r>
      <w:r w:rsidR="00AF0AB6" w:rsidRPr="00295740">
        <w:rPr>
          <w:sz w:val="24"/>
          <w:szCs w:val="24"/>
        </w:rPr>
        <w:tab/>
      </w:r>
      <w:r w:rsidR="002A6330" w:rsidRPr="00295740">
        <w:rPr>
          <w:sz w:val="24"/>
          <w:szCs w:val="24"/>
        </w:rPr>
        <w:tab/>
      </w:r>
      <w:r w:rsidRPr="00295740">
        <w:rPr>
          <w:sz w:val="24"/>
          <w:szCs w:val="24"/>
        </w:rPr>
        <w:tab/>
      </w:r>
      <w:r w:rsidRPr="00295740">
        <w:rPr>
          <w:sz w:val="24"/>
          <w:szCs w:val="24"/>
        </w:rPr>
        <w:tab/>
      </w:r>
      <w:r w:rsidR="006336F5" w:rsidRPr="00295740">
        <w:rPr>
          <w:sz w:val="24"/>
          <w:szCs w:val="24"/>
        </w:rPr>
        <w:tab/>
      </w:r>
      <w:r w:rsidRPr="00295740">
        <w:rPr>
          <w:sz w:val="24"/>
          <w:szCs w:val="24"/>
        </w:rPr>
        <w:t>__________________________</w:t>
      </w:r>
      <w:r w:rsidR="00C40C5C" w:rsidRPr="00295740">
        <w:rPr>
          <w:sz w:val="24"/>
          <w:szCs w:val="24"/>
        </w:rPr>
        <w:t>___</w:t>
      </w:r>
      <w:r w:rsidR="00C00918" w:rsidRPr="00295740">
        <w:rPr>
          <w:sz w:val="24"/>
          <w:szCs w:val="24"/>
        </w:rPr>
        <w:t>______</w:t>
      </w:r>
    </w:p>
    <w:p w:rsidR="00193FEF" w:rsidRPr="00295740" w:rsidRDefault="00193FEF" w:rsidP="00193FEF">
      <w:pPr>
        <w:ind w:right="115"/>
        <w:rPr>
          <w:sz w:val="24"/>
          <w:szCs w:val="24"/>
        </w:rPr>
      </w:pPr>
      <w:r w:rsidRPr="00295740">
        <w:rPr>
          <w:sz w:val="24"/>
          <w:szCs w:val="24"/>
        </w:rPr>
        <w:tab/>
      </w:r>
      <w:r w:rsidRPr="00295740">
        <w:rPr>
          <w:sz w:val="24"/>
          <w:szCs w:val="24"/>
        </w:rPr>
        <w:tab/>
      </w:r>
      <w:r w:rsidRPr="00295740">
        <w:rPr>
          <w:sz w:val="24"/>
          <w:szCs w:val="24"/>
        </w:rPr>
        <w:tab/>
      </w:r>
      <w:r w:rsidRPr="00295740">
        <w:rPr>
          <w:sz w:val="24"/>
          <w:szCs w:val="24"/>
        </w:rPr>
        <w:tab/>
      </w:r>
      <w:r w:rsidRPr="00295740">
        <w:rPr>
          <w:sz w:val="24"/>
          <w:szCs w:val="24"/>
        </w:rPr>
        <w:tab/>
      </w:r>
      <w:r w:rsidRPr="00295740">
        <w:rPr>
          <w:sz w:val="24"/>
          <w:szCs w:val="24"/>
        </w:rPr>
        <w:tab/>
      </w:r>
      <w:r w:rsidR="00C40C5C" w:rsidRPr="00295740">
        <w:rPr>
          <w:sz w:val="24"/>
          <w:szCs w:val="24"/>
        </w:rPr>
        <w:tab/>
      </w:r>
      <w:r w:rsidR="00206CA1" w:rsidRPr="00295740">
        <w:rPr>
          <w:sz w:val="24"/>
          <w:szCs w:val="24"/>
        </w:rPr>
        <w:t>Katrina L. Dunderdale</w:t>
      </w:r>
    </w:p>
    <w:p w:rsidR="00AB52ED" w:rsidRPr="00295740" w:rsidRDefault="00206CA1" w:rsidP="00206CA1">
      <w:pPr>
        <w:ind w:right="115"/>
        <w:rPr>
          <w:sz w:val="24"/>
          <w:szCs w:val="24"/>
        </w:rPr>
      </w:pPr>
      <w:r w:rsidRPr="00295740">
        <w:rPr>
          <w:sz w:val="24"/>
          <w:szCs w:val="24"/>
        </w:rPr>
        <w:tab/>
      </w:r>
      <w:r w:rsidRPr="00295740">
        <w:rPr>
          <w:sz w:val="24"/>
          <w:szCs w:val="24"/>
        </w:rPr>
        <w:tab/>
      </w:r>
      <w:r w:rsidRPr="00295740">
        <w:rPr>
          <w:sz w:val="24"/>
          <w:szCs w:val="24"/>
        </w:rPr>
        <w:tab/>
      </w:r>
      <w:r w:rsidRPr="00295740">
        <w:rPr>
          <w:sz w:val="24"/>
          <w:szCs w:val="24"/>
        </w:rPr>
        <w:tab/>
      </w:r>
      <w:r w:rsidRPr="00295740">
        <w:rPr>
          <w:sz w:val="24"/>
          <w:szCs w:val="24"/>
        </w:rPr>
        <w:tab/>
      </w:r>
      <w:r w:rsidRPr="00295740">
        <w:rPr>
          <w:sz w:val="24"/>
          <w:szCs w:val="24"/>
        </w:rPr>
        <w:tab/>
      </w:r>
      <w:r w:rsidR="00C40C5C" w:rsidRPr="00295740">
        <w:rPr>
          <w:sz w:val="24"/>
          <w:szCs w:val="24"/>
        </w:rPr>
        <w:tab/>
      </w:r>
      <w:r w:rsidR="00193FEF" w:rsidRPr="00295740">
        <w:rPr>
          <w:sz w:val="24"/>
          <w:szCs w:val="24"/>
        </w:rPr>
        <w:t>Administrative Law Judge</w:t>
      </w:r>
    </w:p>
    <w:p w:rsidR="007D4DDE" w:rsidRPr="00295740" w:rsidRDefault="007D4DDE" w:rsidP="00206CA1">
      <w:pPr>
        <w:ind w:right="115"/>
        <w:rPr>
          <w:sz w:val="24"/>
          <w:szCs w:val="24"/>
        </w:rPr>
      </w:pPr>
    </w:p>
    <w:p w:rsidR="007D4DDE" w:rsidRDefault="007D4DDE" w:rsidP="00206CA1">
      <w:pPr>
        <w:ind w:right="115"/>
        <w:rPr>
          <w:sz w:val="24"/>
          <w:szCs w:val="24"/>
        </w:rPr>
      </w:pPr>
    </w:p>
    <w:p w:rsidR="00F20B39" w:rsidRDefault="00F20B39">
      <w:pPr>
        <w:rPr>
          <w:sz w:val="24"/>
          <w:szCs w:val="24"/>
        </w:rPr>
      </w:pPr>
      <w:r>
        <w:rPr>
          <w:sz w:val="24"/>
          <w:szCs w:val="24"/>
        </w:rPr>
        <w:br w:type="page"/>
      </w:r>
    </w:p>
    <w:p w:rsidR="00F20B39" w:rsidRDefault="00F20B39" w:rsidP="00F20B39">
      <w:pPr>
        <w:contextualSpacing/>
        <w:rPr>
          <w:rFonts w:ascii="Microsoft Sans Serif"/>
          <w:b/>
          <w:sz w:val="24"/>
          <w:u w:val="single"/>
        </w:rPr>
        <w:sectPr w:rsidR="00F20B39" w:rsidSect="00C40C5C">
          <w:footerReference w:type="even" r:id="rId9"/>
          <w:footerReference w:type="default" r:id="rId10"/>
          <w:pgSz w:w="12240" w:h="15840" w:code="1"/>
          <w:pgMar w:top="1440" w:right="1440" w:bottom="1440" w:left="1440" w:header="720" w:footer="720" w:gutter="0"/>
          <w:pgNumType w:start="1"/>
          <w:cols w:space="720"/>
          <w:titlePg/>
          <w:docGrid w:linePitch="360"/>
        </w:sectPr>
      </w:pPr>
    </w:p>
    <w:p w:rsidR="00F20B39" w:rsidRDefault="00F20B39" w:rsidP="00F20B39">
      <w:pPr>
        <w:contextualSpacing/>
        <w:rPr>
          <w:rFonts w:ascii="Microsoft Sans Serif"/>
          <w:sz w:val="24"/>
        </w:rPr>
      </w:pPr>
      <w:r>
        <w:rPr>
          <w:rFonts w:ascii="Microsoft Sans Serif"/>
          <w:b/>
          <w:sz w:val="24"/>
          <w:u w:val="single"/>
        </w:rPr>
        <w:lastRenderedPageBreak/>
        <w:t>F-2016-2576632 - ANWAR BAGHDADI v. PHILADELPHIA GAS WORKS</w:t>
      </w:r>
      <w:r>
        <w:rPr>
          <w:rFonts w:ascii="Microsoft Sans Serif"/>
          <w:b/>
          <w:sz w:val="24"/>
          <w:u w:val="single"/>
        </w:rPr>
        <w:cr/>
      </w:r>
      <w:r>
        <w:rPr>
          <w:rFonts w:ascii="Microsoft Sans Serif"/>
          <w:b/>
          <w:sz w:val="24"/>
          <w:u w:val="single"/>
        </w:rPr>
        <w:cr/>
      </w:r>
      <w:r>
        <w:rPr>
          <w:rFonts w:ascii="Microsoft Sans Serif"/>
          <w:sz w:val="24"/>
        </w:rPr>
        <w:t>ANWAR BAGHDADI</w:t>
      </w:r>
      <w:r>
        <w:rPr>
          <w:rFonts w:ascii="Microsoft Sans Serif"/>
          <w:sz w:val="24"/>
        </w:rPr>
        <w:cr/>
        <w:t>2235 NORTH MOLE STREET</w:t>
      </w:r>
      <w:r>
        <w:rPr>
          <w:rFonts w:ascii="Microsoft Sans Serif"/>
          <w:sz w:val="24"/>
        </w:rPr>
        <w:cr/>
        <w:t>PHILADELPHIA PA  19132</w:t>
      </w:r>
      <w:r>
        <w:rPr>
          <w:rFonts w:ascii="Microsoft Sans Serif"/>
          <w:sz w:val="24"/>
        </w:rPr>
        <w:cr/>
      </w:r>
      <w:r>
        <w:rPr>
          <w:rFonts w:ascii="Microsoft Sans Serif"/>
          <w:b/>
          <w:sz w:val="24"/>
        </w:rPr>
        <w:t>267.939.</w:t>
      </w:r>
      <w:r w:rsidRPr="00795131">
        <w:rPr>
          <w:rFonts w:ascii="Microsoft Sans Serif"/>
          <w:b/>
          <w:sz w:val="24"/>
        </w:rPr>
        <w:t>0196</w:t>
      </w:r>
      <w:r w:rsidRPr="00795131">
        <w:rPr>
          <w:rFonts w:ascii="Microsoft Sans Serif"/>
          <w:b/>
          <w:sz w:val="24"/>
        </w:rPr>
        <w:cr/>
      </w:r>
    </w:p>
    <w:p w:rsidR="00F20B39" w:rsidRPr="00795131" w:rsidRDefault="00F20B39" w:rsidP="00F20B39">
      <w:pPr>
        <w:contextualSpacing/>
        <w:rPr>
          <w:rFonts w:ascii="Microsoft Sans Serif"/>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795131">
        <w:rPr>
          <w:rFonts w:ascii="Microsoft Sans Serif"/>
          <w:b/>
          <w:sz w:val="24"/>
        </w:rPr>
        <w:t>215.684.6164</w:t>
      </w:r>
      <w:r w:rsidRPr="00795131">
        <w:rPr>
          <w:rFonts w:ascii="Microsoft Sans Serif"/>
          <w:b/>
          <w:sz w:val="24"/>
        </w:rPr>
        <w:cr/>
      </w:r>
      <w:r w:rsidRPr="00795131">
        <w:rPr>
          <w:rFonts w:ascii="Microsoft Sans Serif"/>
          <w:i/>
          <w:sz w:val="24"/>
        </w:rPr>
        <w:t>Accepts E-service</w:t>
      </w:r>
    </w:p>
    <w:p w:rsidR="00F20B39" w:rsidRPr="00795131" w:rsidRDefault="00F20B39" w:rsidP="00F20B39">
      <w:pPr>
        <w:contextualSpacing/>
        <w:rPr>
          <w:rFonts w:ascii="Microsoft Sans Serif"/>
          <w:i/>
          <w:sz w:val="24"/>
        </w:rPr>
      </w:pPr>
      <w:r w:rsidRPr="00795131">
        <w:rPr>
          <w:rFonts w:ascii="Microsoft Sans Serif"/>
          <w:i/>
          <w:sz w:val="24"/>
        </w:rPr>
        <w:t>Representing Philadelphia Gas Works</w:t>
      </w:r>
    </w:p>
    <w:p w:rsidR="00F20B39" w:rsidRDefault="00F20B39" w:rsidP="00F20B39">
      <w:pPr>
        <w:contextualSpacing/>
      </w:pPr>
    </w:p>
    <w:p w:rsidR="00F20B39" w:rsidRDefault="00F20B39" w:rsidP="00F20B39">
      <w:pPr>
        <w:contextualSpacing/>
      </w:pPr>
    </w:p>
    <w:p w:rsidR="00EB39EF" w:rsidRPr="00D778AF" w:rsidRDefault="00EB39EF" w:rsidP="00D778AF">
      <w:pPr>
        <w:ind w:right="115"/>
        <w:rPr>
          <w:sz w:val="24"/>
          <w:szCs w:val="24"/>
        </w:rPr>
      </w:pPr>
    </w:p>
    <w:sectPr w:rsidR="00EB39EF" w:rsidRPr="00D778AF" w:rsidSect="00C40C5C">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9A" w:rsidRDefault="00DB6C9A">
      <w:r>
        <w:separator/>
      </w:r>
    </w:p>
  </w:endnote>
  <w:endnote w:type="continuationSeparator" w:id="0">
    <w:p w:rsidR="00DB6C9A" w:rsidRDefault="00DB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C0" w:rsidRDefault="004532C0" w:rsidP="001F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B73">
      <w:rPr>
        <w:rStyle w:val="PageNumber"/>
        <w:noProof/>
      </w:rPr>
      <w:t>2</w:t>
    </w:r>
    <w:r>
      <w:rPr>
        <w:rStyle w:val="PageNumber"/>
      </w:rPr>
      <w:fldChar w:fldCharType="end"/>
    </w:r>
  </w:p>
  <w:p w:rsidR="004532C0" w:rsidRDefault="00453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C0" w:rsidRPr="00C57961" w:rsidRDefault="004532C0" w:rsidP="001F1A89">
    <w:pPr>
      <w:pStyle w:val="Footer"/>
      <w:framePr w:wrap="around" w:vAnchor="text" w:hAnchor="margin" w:xAlign="center" w:y="1"/>
      <w:rPr>
        <w:rStyle w:val="PageNumber"/>
        <w:sz w:val="24"/>
        <w:szCs w:val="24"/>
      </w:rPr>
    </w:pPr>
    <w:r w:rsidRPr="00C57961">
      <w:rPr>
        <w:rStyle w:val="PageNumber"/>
        <w:sz w:val="24"/>
        <w:szCs w:val="24"/>
      </w:rPr>
      <w:fldChar w:fldCharType="begin"/>
    </w:r>
    <w:r w:rsidRPr="00C57961">
      <w:rPr>
        <w:rStyle w:val="PageNumber"/>
        <w:sz w:val="24"/>
        <w:szCs w:val="24"/>
      </w:rPr>
      <w:instrText xml:space="preserve">PAGE  </w:instrText>
    </w:r>
    <w:r w:rsidRPr="00C57961">
      <w:rPr>
        <w:rStyle w:val="PageNumber"/>
        <w:sz w:val="24"/>
        <w:szCs w:val="24"/>
      </w:rPr>
      <w:fldChar w:fldCharType="separate"/>
    </w:r>
    <w:r w:rsidR="00986D21">
      <w:rPr>
        <w:rStyle w:val="PageNumber"/>
        <w:noProof/>
        <w:sz w:val="24"/>
        <w:szCs w:val="24"/>
      </w:rPr>
      <w:t>3</w:t>
    </w:r>
    <w:r w:rsidRPr="00C57961">
      <w:rPr>
        <w:rStyle w:val="PageNumber"/>
        <w:sz w:val="24"/>
        <w:szCs w:val="24"/>
      </w:rPr>
      <w:fldChar w:fldCharType="end"/>
    </w:r>
  </w:p>
  <w:p w:rsidR="004532C0" w:rsidRDefault="00453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9A" w:rsidRDefault="00DB6C9A">
      <w:r>
        <w:separator/>
      </w:r>
    </w:p>
  </w:footnote>
  <w:footnote w:type="continuationSeparator" w:id="0">
    <w:p w:rsidR="00DB6C9A" w:rsidRDefault="00DB6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B26881"/>
    <w:multiLevelType w:val="hybridMultilevel"/>
    <w:tmpl w:val="C58AF4CA"/>
    <w:lvl w:ilvl="0" w:tplc="07A6D40E">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A4503D0"/>
    <w:multiLevelType w:val="hybridMultilevel"/>
    <w:tmpl w:val="AE629C3E"/>
    <w:lvl w:ilvl="0" w:tplc="A6B888EE">
      <w:start w:val="1"/>
      <w:numFmt w:val="decimal"/>
      <w:lvlText w:val="(%1)"/>
      <w:lvlJc w:val="left"/>
      <w:pPr>
        <w:ind w:left="2565" w:hanging="40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8E418BC"/>
    <w:multiLevelType w:val="hybridMultilevel"/>
    <w:tmpl w:val="EAD2263C"/>
    <w:lvl w:ilvl="0" w:tplc="C7907ADC">
      <w:start w:val="5"/>
      <w:numFmt w:val="lowerRoman"/>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D0"/>
    <w:rsid w:val="00013BBC"/>
    <w:rsid w:val="00015DCA"/>
    <w:rsid w:val="00020590"/>
    <w:rsid w:val="000250B4"/>
    <w:rsid w:val="0003005A"/>
    <w:rsid w:val="000329D1"/>
    <w:rsid w:val="00032F81"/>
    <w:rsid w:val="00035765"/>
    <w:rsid w:val="0004033C"/>
    <w:rsid w:val="00044167"/>
    <w:rsid w:val="00050A0B"/>
    <w:rsid w:val="00052AE2"/>
    <w:rsid w:val="00065BCC"/>
    <w:rsid w:val="00067090"/>
    <w:rsid w:val="00071286"/>
    <w:rsid w:val="00073B3B"/>
    <w:rsid w:val="00077A2C"/>
    <w:rsid w:val="000870A4"/>
    <w:rsid w:val="0009076B"/>
    <w:rsid w:val="000A1CC2"/>
    <w:rsid w:val="000A699C"/>
    <w:rsid w:val="000B03E7"/>
    <w:rsid w:val="000B0C12"/>
    <w:rsid w:val="000E3983"/>
    <w:rsid w:val="000F1B9E"/>
    <w:rsid w:val="0010128F"/>
    <w:rsid w:val="0010549E"/>
    <w:rsid w:val="00114B42"/>
    <w:rsid w:val="001213DA"/>
    <w:rsid w:val="001275B9"/>
    <w:rsid w:val="00135028"/>
    <w:rsid w:val="001467C0"/>
    <w:rsid w:val="00147550"/>
    <w:rsid w:val="00157A5F"/>
    <w:rsid w:val="00161AD2"/>
    <w:rsid w:val="001630B8"/>
    <w:rsid w:val="0016616C"/>
    <w:rsid w:val="00172245"/>
    <w:rsid w:val="001776C1"/>
    <w:rsid w:val="00187CCB"/>
    <w:rsid w:val="00193FEF"/>
    <w:rsid w:val="00196AB8"/>
    <w:rsid w:val="00197961"/>
    <w:rsid w:val="001C0016"/>
    <w:rsid w:val="001C0320"/>
    <w:rsid w:val="001C1BAE"/>
    <w:rsid w:val="001C37D4"/>
    <w:rsid w:val="001D3122"/>
    <w:rsid w:val="001E1054"/>
    <w:rsid w:val="001E412C"/>
    <w:rsid w:val="001F1A89"/>
    <w:rsid w:val="001F2216"/>
    <w:rsid w:val="001F232B"/>
    <w:rsid w:val="001F4FBC"/>
    <w:rsid w:val="002026AD"/>
    <w:rsid w:val="00206A03"/>
    <w:rsid w:val="00206CA1"/>
    <w:rsid w:val="002103C0"/>
    <w:rsid w:val="002154A4"/>
    <w:rsid w:val="00216F3D"/>
    <w:rsid w:val="00222A2F"/>
    <w:rsid w:val="002459E0"/>
    <w:rsid w:val="00256602"/>
    <w:rsid w:val="00282648"/>
    <w:rsid w:val="00295740"/>
    <w:rsid w:val="002A6330"/>
    <w:rsid w:val="002A7443"/>
    <w:rsid w:val="002B60E8"/>
    <w:rsid w:val="002C5906"/>
    <w:rsid w:val="002D39BA"/>
    <w:rsid w:val="002F3134"/>
    <w:rsid w:val="00307036"/>
    <w:rsid w:val="00307FAC"/>
    <w:rsid w:val="003160AD"/>
    <w:rsid w:val="00344940"/>
    <w:rsid w:val="003523E9"/>
    <w:rsid w:val="00362599"/>
    <w:rsid w:val="00362D03"/>
    <w:rsid w:val="00364DC8"/>
    <w:rsid w:val="00390FDE"/>
    <w:rsid w:val="003C1B47"/>
    <w:rsid w:val="003C37AC"/>
    <w:rsid w:val="003E0EBE"/>
    <w:rsid w:val="003E1F54"/>
    <w:rsid w:val="003F0208"/>
    <w:rsid w:val="00400081"/>
    <w:rsid w:val="00402DF9"/>
    <w:rsid w:val="00415569"/>
    <w:rsid w:val="0041786A"/>
    <w:rsid w:val="0042692B"/>
    <w:rsid w:val="00446F7F"/>
    <w:rsid w:val="00450A53"/>
    <w:rsid w:val="004532C0"/>
    <w:rsid w:val="004704D0"/>
    <w:rsid w:val="0049222A"/>
    <w:rsid w:val="00497FF1"/>
    <w:rsid w:val="004A5678"/>
    <w:rsid w:val="004A671F"/>
    <w:rsid w:val="004B0E80"/>
    <w:rsid w:val="004B7EE5"/>
    <w:rsid w:val="004C549D"/>
    <w:rsid w:val="004D5CCB"/>
    <w:rsid w:val="004E0995"/>
    <w:rsid w:val="004E1C41"/>
    <w:rsid w:val="00505C4F"/>
    <w:rsid w:val="0050617A"/>
    <w:rsid w:val="005233F5"/>
    <w:rsid w:val="005258C8"/>
    <w:rsid w:val="0053563A"/>
    <w:rsid w:val="00535A86"/>
    <w:rsid w:val="00541AC8"/>
    <w:rsid w:val="00544601"/>
    <w:rsid w:val="00544A18"/>
    <w:rsid w:val="00546664"/>
    <w:rsid w:val="00561B1E"/>
    <w:rsid w:val="00571BD4"/>
    <w:rsid w:val="00572946"/>
    <w:rsid w:val="005738A9"/>
    <w:rsid w:val="00576223"/>
    <w:rsid w:val="005776C7"/>
    <w:rsid w:val="00577FCD"/>
    <w:rsid w:val="00595D2A"/>
    <w:rsid w:val="005A0F74"/>
    <w:rsid w:val="005B1C87"/>
    <w:rsid w:val="005C1D14"/>
    <w:rsid w:val="005C3EAF"/>
    <w:rsid w:val="005C646A"/>
    <w:rsid w:val="005F58E4"/>
    <w:rsid w:val="006025CB"/>
    <w:rsid w:val="00612817"/>
    <w:rsid w:val="0062325B"/>
    <w:rsid w:val="006336F5"/>
    <w:rsid w:val="00644277"/>
    <w:rsid w:val="006554EA"/>
    <w:rsid w:val="00656D63"/>
    <w:rsid w:val="006818E0"/>
    <w:rsid w:val="006843DA"/>
    <w:rsid w:val="00686CDA"/>
    <w:rsid w:val="006915A4"/>
    <w:rsid w:val="00696F2B"/>
    <w:rsid w:val="006B4144"/>
    <w:rsid w:val="006C2316"/>
    <w:rsid w:val="006E441D"/>
    <w:rsid w:val="006F3D10"/>
    <w:rsid w:val="007202A9"/>
    <w:rsid w:val="0072069F"/>
    <w:rsid w:val="0072267B"/>
    <w:rsid w:val="007319C8"/>
    <w:rsid w:val="007400C8"/>
    <w:rsid w:val="00741296"/>
    <w:rsid w:val="00752623"/>
    <w:rsid w:val="00766C28"/>
    <w:rsid w:val="00776F19"/>
    <w:rsid w:val="00781FE4"/>
    <w:rsid w:val="0079783E"/>
    <w:rsid w:val="007C4960"/>
    <w:rsid w:val="007C511D"/>
    <w:rsid w:val="007D4DDE"/>
    <w:rsid w:val="007F4EB9"/>
    <w:rsid w:val="00800437"/>
    <w:rsid w:val="008144A0"/>
    <w:rsid w:val="00815FB6"/>
    <w:rsid w:val="00824941"/>
    <w:rsid w:val="0082533E"/>
    <w:rsid w:val="00832179"/>
    <w:rsid w:val="0083374F"/>
    <w:rsid w:val="00835550"/>
    <w:rsid w:val="008548D1"/>
    <w:rsid w:val="00855134"/>
    <w:rsid w:val="00856D6A"/>
    <w:rsid w:val="00861E32"/>
    <w:rsid w:val="00872890"/>
    <w:rsid w:val="008A1C06"/>
    <w:rsid w:val="008B3E6F"/>
    <w:rsid w:val="008B5607"/>
    <w:rsid w:val="008D3478"/>
    <w:rsid w:val="008D4B2F"/>
    <w:rsid w:val="008D4F26"/>
    <w:rsid w:val="008E56A7"/>
    <w:rsid w:val="008F0A0B"/>
    <w:rsid w:val="00905555"/>
    <w:rsid w:val="00924C10"/>
    <w:rsid w:val="009274BB"/>
    <w:rsid w:val="0094317E"/>
    <w:rsid w:val="00961C91"/>
    <w:rsid w:val="00962948"/>
    <w:rsid w:val="00963949"/>
    <w:rsid w:val="00966CA3"/>
    <w:rsid w:val="009702C4"/>
    <w:rsid w:val="00986D21"/>
    <w:rsid w:val="009926E3"/>
    <w:rsid w:val="00992D8C"/>
    <w:rsid w:val="009A4548"/>
    <w:rsid w:val="009D730D"/>
    <w:rsid w:val="009E08C1"/>
    <w:rsid w:val="009E34B2"/>
    <w:rsid w:val="009E54EF"/>
    <w:rsid w:val="009F21C0"/>
    <w:rsid w:val="00A071D6"/>
    <w:rsid w:val="00A11645"/>
    <w:rsid w:val="00A22726"/>
    <w:rsid w:val="00A23217"/>
    <w:rsid w:val="00A23266"/>
    <w:rsid w:val="00A277F9"/>
    <w:rsid w:val="00A31923"/>
    <w:rsid w:val="00A379A9"/>
    <w:rsid w:val="00A40956"/>
    <w:rsid w:val="00A44217"/>
    <w:rsid w:val="00A555A6"/>
    <w:rsid w:val="00A62042"/>
    <w:rsid w:val="00A63F3B"/>
    <w:rsid w:val="00A66552"/>
    <w:rsid w:val="00A75207"/>
    <w:rsid w:val="00A87D5F"/>
    <w:rsid w:val="00A90AD0"/>
    <w:rsid w:val="00A94C40"/>
    <w:rsid w:val="00AB52ED"/>
    <w:rsid w:val="00AB55D4"/>
    <w:rsid w:val="00AC7A46"/>
    <w:rsid w:val="00AE4C27"/>
    <w:rsid w:val="00AE6D0E"/>
    <w:rsid w:val="00AF0AB6"/>
    <w:rsid w:val="00AF1907"/>
    <w:rsid w:val="00AF5B01"/>
    <w:rsid w:val="00AF7AC7"/>
    <w:rsid w:val="00B0347C"/>
    <w:rsid w:val="00B10D74"/>
    <w:rsid w:val="00B16733"/>
    <w:rsid w:val="00B21981"/>
    <w:rsid w:val="00B227B5"/>
    <w:rsid w:val="00B2419F"/>
    <w:rsid w:val="00B24E6F"/>
    <w:rsid w:val="00B25E31"/>
    <w:rsid w:val="00B3316A"/>
    <w:rsid w:val="00B44FC0"/>
    <w:rsid w:val="00B54E30"/>
    <w:rsid w:val="00B60E76"/>
    <w:rsid w:val="00B662E9"/>
    <w:rsid w:val="00B71F16"/>
    <w:rsid w:val="00B74048"/>
    <w:rsid w:val="00B8119C"/>
    <w:rsid w:val="00B81B05"/>
    <w:rsid w:val="00B836BF"/>
    <w:rsid w:val="00B879B7"/>
    <w:rsid w:val="00BA07C6"/>
    <w:rsid w:val="00BF7E57"/>
    <w:rsid w:val="00C00918"/>
    <w:rsid w:val="00C059CE"/>
    <w:rsid w:val="00C203AE"/>
    <w:rsid w:val="00C332C3"/>
    <w:rsid w:val="00C35B73"/>
    <w:rsid w:val="00C40C5C"/>
    <w:rsid w:val="00C57961"/>
    <w:rsid w:val="00C70C6E"/>
    <w:rsid w:val="00C71D48"/>
    <w:rsid w:val="00C74646"/>
    <w:rsid w:val="00C80534"/>
    <w:rsid w:val="00C92A7D"/>
    <w:rsid w:val="00C94855"/>
    <w:rsid w:val="00C94EE2"/>
    <w:rsid w:val="00CA02A0"/>
    <w:rsid w:val="00CA4740"/>
    <w:rsid w:val="00CD1C55"/>
    <w:rsid w:val="00CD26E2"/>
    <w:rsid w:val="00CE2C85"/>
    <w:rsid w:val="00CE5867"/>
    <w:rsid w:val="00CF0E66"/>
    <w:rsid w:val="00D01BCB"/>
    <w:rsid w:val="00D20B8D"/>
    <w:rsid w:val="00D21B47"/>
    <w:rsid w:val="00D24782"/>
    <w:rsid w:val="00D27299"/>
    <w:rsid w:val="00D35F33"/>
    <w:rsid w:val="00D416E9"/>
    <w:rsid w:val="00D455EF"/>
    <w:rsid w:val="00D5373A"/>
    <w:rsid w:val="00D57F9A"/>
    <w:rsid w:val="00D778AF"/>
    <w:rsid w:val="00D80970"/>
    <w:rsid w:val="00D8705D"/>
    <w:rsid w:val="00D900C0"/>
    <w:rsid w:val="00D92589"/>
    <w:rsid w:val="00DA1503"/>
    <w:rsid w:val="00DB1ADC"/>
    <w:rsid w:val="00DB585C"/>
    <w:rsid w:val="00DB6C9A"/>
    <w:rsid w:val="00DD557F"/>
    <w:rsid w:val="00DD5A59"/>
    <w:rsid w:val="00DD75D9"/>
    <w:rsid w:val="00DE0CC9"/>
    <w:rsid w:val="00DE43ED"/>
    <w:rsid w:val="00DF201C"/>
    <w:rsid w:val="00DF369A"/>
    <w:rsid w:val="00DF6E99"/>
    <w:rsid w:val="00E007DC"/>
    <w:rsid w:val="00E03C76"/>
    <w:rsid w:val="00E07DBE"/>
    <w:rsid w:val="00E123C2"/>
    <w:rsid w:val="00E14396"/>
    <w:rsid w:val="00E274C1"/>
    <w:rsid w:val="00E30706"/>
    <w:rsid w:val="00E312B7"/>
    <w:rsid w:val="00E34AFD"/>
    <w:rsid w:val="00E50DFF"/>
    <w:rsid w:val="00E5250F"/>
    <w:rsid w:val="00E60C9E"/>
    <w:rsid w:val="00E9495E"/>
    <w:rsid w:val="00E97A26"/>
    <w:rsid w:val="00EA1F99"/>
    <w:rsid w:val="00EA497D"/>
    <w:rsid w:val="00EB39EF"/>
    <w:rsid w:val="00EB5DCB"/>
    <w:rsid w:val="00EC2911"/>
    <w:rsid w:val="00EC471E"/>
    <w:rsid w:val="00EC4BED"/>
    <w:rsid w:val="00ED323E"/>
    <w:rsid w:val="00ED49FA"/>
    <w:rsid w:val="00ED504E"/>
    <w:rsid w:val="00EE5A9B"/>
    <w:rsid w:val="00EF01F2"/>
    <w:rsid w:val="00EF6D2E"/>
    <w:rsid w:val="00F011D7"/>
    <w:rsid w:val="00F11369"/>
    <w:rsid w:val="00F12906"/>
    <w:rsid w:val="00F20B39"/>
    <w:rsid w:val="00F23290"/>
    <w:rsid w:val="00F264AB"/>
    <w:rsid w:val="00F35426"/>
    <w:rsid w:val="00F41640"/>
    <w:rsid w:val="00F51819"/>
    <w:rsid w:val="00F71C1C"/>
    <w:rsid w:val="00F74A5D"/>
    <w:rsid w:val="00F94E35"/>
    <w:rsid w:val="00FB1153"/>
    <w:rsid w:val="00FB11D9"/>
    <w:rsid w:val="00FB7EA3"/>
    <w:rsid w:val="00FC5354"/>
    <w:rsid w:val="00FD04C8"/>
    <w:rsid w:val="00FE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A89"/>
    <w:rPr>
      <w:sz w:val="26"/>
      <w:szCs w:val="26"/>
    </w:rPr>
  </w:style>
  <w:style w:type="paragraph" w:styleId="Heading1">
    <w:name w:val="heading 1"/>
    <w:basedOn w:val="Normal"/>
    <w:next w:val="Normal"/>
    <w:link w:val="Heading1Char"/>
    <w:qFormat/>
    <w:rsid w:val="00962948"/>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paragraph" w:styleId="Header">
    <w:name w:val="header"/>
    <w:basedOn w:val="Normal"/>
    <w:rsid w:val="00C57961"/>
    <w:pPr>
      <w:tabs>
        <w:tab w:val="center" w:pos="4320"/>
        <w:tab w:val="right" w:pos="8640"/>
      </w:tabs>
    </w:pPr>
  </w:style>
  <w:style w:type="character" w:styleId="Hyperlink">
    <w:name w:val="Hyperlink"/>
    <w:basedOn w:val="DefaultParagraphFont"/>
    <w:rsid w:val="00A22726"/>
    <w:rPr>
      <w:color w:val="0000FF"/>
      <w:u w:val="single"/>
    </w:rPr>
  </w:style>
  <w:style w:type="character" w:customStyle="1" w:styleId="Heading1Char">
    <w:name w:val="Heading 1 Char"/>
    <w:basedOn w:val="DefaultParagraphFont"/>
    <w:link w:val="Heading1"/>
    <w:rsid w:val="00962948"/>
    <w:rPr>
      <w:sz w:val="26"/>
      <w:u w:val="single"/>
    </w:rPr>
  </w:style>
  <w:style w:type="paragraph" w:styleId="NormalWeb">
    <w:name w:val="Normal (Web)"/>
    <w:basedOn w:val="Normal"/>
    <w:uiPriority w:val="99"/>
    <w:unhideWhenUsed/>
    <w:rsid w:val="00E34AFD"/>
    <w:pPr>
      <w:spacing w:before="100" w:beforeAutospacing="1" w:after="100" w:afterAutospacing="1"/>
    </w:pPr>
    <w:rPr>
      <w:sz w:val="24"/>
      <w:szCs w:val="24"/>
    </w:rPr>
  </w:style>
  <w:style w:type="paragraph" w:styleId="ListParagraph">
    <w:name w:val="List Paragraph"/>
    <w:basedOn w:val="Normal"/>
    <w:uiPriority w:val="34"/>
    <w:qFormat/>
    <w:rsid w:val="00E34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A89"/>
    <w:rPr>
      <w:sz w:val="26"/>
      <w:szCs w:val="26"/>
    </w:rPr>
  </w:style>
  <w:style w:type="paragraph" w:styleId="Heading1">
    <w:name w:val="heading 1"/>
    <w:basedOn w:val="Normal"/>
    <w:next w:val="Normal"/>
    <w:link w:val="Heading1Char"/>
    <w:qFormat/>
    <w:rsid w:val="00962948"/>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paragraph" w:styleId="Header">
    <w:name w:val="header"/>
    <w:basedOn w:val="Normal"/>
    <w:rsid w:val="00C57961"/>
    <w:pPr>
      <w:tabs>
        <w:tab w:val="center" w:pos="4320"/>
        <w:tab w:val="right" w:pos="8640"/>
      </w:tabs>
    </w:pPr>
  </w:style>
  <w:style w:type="character" w:styleId="Hyperlink">
    <w:name w:val="Hyperlink"/>
    <w:basedOn w:val="DefaultParagraphFont"/>
    <w:rsid w:val="00A22726"/>
    <w:rPr>
      <w:color w:val="0000FF"/>
      <w:u w:val="single"/>
    </w:rPr>
  </w:style>
  <w:style w:type="character" w:customStyle="1" w:styleId="Heading1Char">
    <w:name w:val="Heading 1 Char"/>
    <w:basedOn w:val="DefaultParagraphFont"/>
    <w:link w:val="Heading1"/>
    <w:rsid w:val="00962948"/>
    <w:rPr>
      <w:sz w:val="26"/>
      <w:u w:val="single"/>
    </w:rPr>
  </w:style>
  <w:style w:type="paragraph" w:styleId="NormalWeb">
    <w:name w:val="Normal (Web)"/>
    <w:basedOn w:val="Normal"/>
    <w:uiPriority w:val="99"/>
    <w:unhideWhenUsed/>
    <w:rsid w:val="00E34AFD"/>
    <w:pPr>
      <w:spacing w:before="100" w:beforeAutospacing="1" w:after="100" w:afterAutospacing="1"/>
    </w:pPr>
    <w:rPr>
      <w:sz w:val="24"/>
      <w:szCs w:val="24"/>
    </w:rPr>
  </w:style>
  <w:style w:type="paragraph" w:styleId="ListParagraph">
    <w:name w:val="List Paragraph"/>
    <w:basedOn w:val="Normal"/>
    <w:uiPriority w:val="34"/>
    <w:qFormat/>
    <w:rsid w:val="00E3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7612">
      <w:bodyDiv w:val="1"/>
      <w:marLeft w:val="0"/>
      <w:marRight w:val="0"/>
      <w:marTop w:val="0"/>
      <w:marBottom w:val="0"/>
      <w:divBdr>
        <w:top w:val="none" w:sz="0" w:space="0" w:color="auto"/>
        <w:left w:val="none" w:sz="0" w:space="0" w:color="auto"/>
        <w:bottom w:val="none" w:sz="0" w:space="0" w:color="auto"/>
        <w:right w:val="none" w:sz="0" w:space="0" w:color="auto"/>
      </w:divBdr>
      <w:divsChild>
        <w:div w:id="862137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AF85-9A43-4132-96F0-69836C42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2012-04-04T18:27:00Z</cp:lastPrinted>
  <dcterms:created xsi:type="dcterms:W3CDTF">2017-05-22T18:46:00Z</dcterms:created>
  <dcterms:modified xsi:type="dcterms:W3CDTF">2017-05-22T18:56:00Z</dcterms:modified>
</cp:coreProperties>
</file>