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A" w:rsidRPr="00A83C68" w:rsidRDefault="00CF0E3A" w:rsidP="00007164">
      <w:pPr>
        <w:pStyle w:val="Title"/>
        <w:spacing w:line="240" w:lineRule="auto"/>
      </w:pPr>
      <w:r w:rsidRPr="00A83C68">
        <w:t>BEFORE THE</w:t>
      </w:r>
    </w:p>
    <w:p w:rsidR="00CF0E3A" w:rsidRPr="00A83C68" w:rsidRDefault="00CF0E3A" w:rsidP="00007164">
      <w:pPr>
        <w:tabs>
          <w:tab w:val="left" w:pos="360"/>
        </w:tabs>
        <w:spacing w:before="0" w:after="0" w:line="240" w:lineRule="auto"/>
        <w:jc w:val="center"/>
        <w:rPr>
          <w:b/>
        </w:rPr>
      </w:pPr>
      <w:r w:rsidRPr="00A83C68">
        <w:rPr>
          <w:b/>
        </w:rPr>
        <w:t>PENNSYLVANIA PUBLIC UTILITY COMMISSION</w:t>
      </w: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r>
        <w:t>Howard E. Weightman</w:t>
      </w:r>
      <w:r>
        <w:tab/>
      </w:r>
      <w:r>
        <w:tab/>
      </w:r>
      <w:r>
        <w:tab/>
      </w:r>
      <w:r>
        <w:tab/>
      </w:r>
      <w:r>
        <w:rPr>
          <w:b/>
        </w:rPr>
        <w:t>:</w:t>
      </w:r>
    </w:p>
    <w:p w:rsidR="00CF0E3A" w:rsidRDefault="00CF0E3A" w:rsidP="00007164">
      <w:pPr>
        <w:tabs>
          <w:tab w:val="left" w:pos="360"/>
        </w:tabs>
        <w:spacing w:before="0" w:after="0" w:line="240" w:lineRule="auto"/>
        <w:jc w:val="both"/>
      </w:pPr>
      <w:r>
        <w:rPr>
          <w:b/>
        </w:rPr>
        <w:tab/>
      </w:r>
      <w:r>
        <w:rPr>
          <w:b/>
        </w:rPr>
        <w:tab/>
      </w:r>
      <w:r>
        <w:rPr>
          <w:b/>
        </w:rPr>
        <w:tab/>
      </w:r>
      <w:r>
        <w:rPr>
          <w:b/>
        </w:rPr>
        <w:tab/>
      </w:r>
      <w:r>
        <w:rPr>
          <w:b/>
        </w:rPr>
        <w:tab/>
      </w:r>
      <w:r>
        <w:rPr>
          <w:b/>
        </w:rPr>
        <w:tab/>
      </w:r>
      <w:r>
        <w:rPr>
          <w:b/>
        </w:rPr>
        <w:tab/>
        <w:t>:</w:t>
      </w:r>
    </w:p>
    <w:p w:rsidR="00CF0E3A" w:rsidRDefault="00CF0E3A" w:rsidP="00007164">
      <w:pPr>
        <w:tabs>
          <w:tab w:val="left" w:pos="360"/>
          <w:tab w:val="left" w:pos="720"/>
        </w:tabs>
        <w:spacing w:before="0" w:after="0" w:line="240" w:lineRule="auto"/>
        <w:jc w:val="both"/>
      </w:pPr>
      <w:r>
        <w:tab/>
      </w:r>
      <w:r>
        <w:tab/>
        <w:t>v.</w:t>
      </w:r>
      <w:r>
        <w:tab/>
      </w:r>
      <w:r>
        <w:tab/>
      </w:r>
      <w:r>
        <w:tab/>
      </w:r>
      <w:r>
        <w:tab/>
      </w:r>
      <w:r>
        <w:tab/>
      </w:r>
      <w:r>
        <w:tab/>
      </w:r>
      <w:r>
        <w:rPr>
          <w:b/>
        </w:rPr>
        <w:t>:</w:t>
      </w:r>
      <w:r>
        <w:tab/>
      </w:r>
      <w:r>
        <w:tab/>
        <w:t>C-2016-2565520</w:t>
      </w:r>
    </w:p>
    <w:p w:rsidR="00CF0E3A" w:rsidRDefault="00CF0E3A" w:rsidP="00007164">
      <w:pPr>
        <w:tabs>
          <w:tab w:val="left" w:pos="360"/>
        </w:tabs>
        <w:spacing w:before="0" w:after="0" w:line="240" w:lineRule="auto"/>
        <w:jc w:val="both"/>
      </w:pPr>
      <w:r>
        <w:tab/>
      </w:r>
      <w:r>
        <w:tab/>
      </w:r>
      <w:r>
        <w:tab/>
      </w:r>
      <w:r>
        <w:tab/>
      </w:r>
      <w:r>
        <w:tab/>
      </w:r>
      <w:r>
        <w:tab/>
      </w:r>
      <w:r>
        <w:tab/>
      </w:r>
      <w:r>
        <w:rPr>
          <w:b/>
        </w:rPr>
        <w:t>:</w:t>
      </w:r>
    </w:p>
    <w:p w:rsidR="00CF0E3A" w:rsidRDefault="00CF0E3A" w:rsidP="00A83C68">
      <w:pPr>
        <w:tabs>
          <w:tab w:val="left" w:pos="360"/>
        </w:tabs>
        <w:spacing w:before="0" w:after="0" w:line="240" w:lineRule="auto"/>
        <w:jc w:val="both"/>
      </w:pPr>
      <w:r>
        <w:t>Pennsylvania Electric Company</w:t>
      </w:r>
      <w:r>
        <w:tab/>
      </w:r>
      <w:r>
        <w:tab/>
      </w:r>
      <w:r>
        <w:tab/>
      </w:r>
      <w:r w:rsidRPr="00E10828">
        <w:rPr>
          <w:b/>
        </w:rPr>
        <w:t>:</w:t>
      </w:r>
    </w:p>
    <w:p w:rsidR="00CF0E3A" w:rsidRDefault="00CF0E3A" w:rsidP="00A83C68">
      <w:pPr>
        <w:tabs>
          <w:tab w:val="left" w:pos="360"/>
        </w:tabs>
        <w:spacing w:before="0" w:after="0" w:line="240" w:lineRule="auto"/>
        <w:jc w:val="both"/>
      </w:pPr>
    </w:p>
    <w:p w:rsidR="00CF0E3A" w:rsidRDefault="00CF0E3A" w:rsidP="00A83C68">
      <w:pPr>
        <w:tabs>
          <w:tab w:val="left" w:pos="360"/>
        </w:tabs>
        <w:spacing w:before="0" w:after="0" w:line="240" w:lineRule="auto"/>
        <w:jc w:val="both"/>
        <w:rPr>
          <w:b/>
        </w:rPr>
      </w:pPr>
    </w:p>
    <w:p w:rsidR="00792796" w:rsidRDefault="00792796" w:rsidP="00A83C68">
      <w:pPr>
        <w:spacing w:before="0" w:after="0" w:line="240" w:lineRule="auto"/>
      </w:pPr>
    </w:p>
    <w:p w:rsidR="00DD3CC4" w:rsidRPr="005135A4" w:rsidRDefault="00DD3CC4" w:rsidP="00D26EB0">
      <w:pPr>
        <w:spacing w:before="0" w:after="0" w:line="240" w:lineRule="auto"/>
        <w:jc w:val="center"/>
        <w:rPr>
          <w:b/>
        </w:rPr>
      </w:pPr>
      <w:r w:rsidRPr="005135A4">
        <w:rPr>
          <w:b/>
        </w:rPr>
        <w:t>INTERIM ORDER</w:t>
      </w:r>
    </w:p>
    <w:p w:rsidR="00DC7422" w:rsidRPr="00DC7422" w:rsidRDefault="00E455B2" w:rsidP="00E455B2">
      <w:pPr>
        <w:spacing w:before="0" w:after="0" w:line="240" w:lineRule="auto"/>
        <w:jc w:val="center"/>
        <w:rPr>
          <w:b/>
        </w:rPr>
      </w:pPr>
      <w:r w:rsidRPr="00DC7422">
        <w:rPr>
          <w:b/>
        </w:rPr>
        <w:t>ON</w:t>
      </w:r>
      <w:r w:rsidR="00D26EB0" w:rsidRPr="00DC7422">
        <w:rPr>
          <w:b/>
        </w:rPr>
        <w:t xml:space="preserve"> </w:t>
      </w:r>
      <w:r w:rsidRPr="00DC7422">
        <w:rPr>
          <w:b/>
        </w:rPr>
        <w:t>MOTION IN LIMINE</w:t>
      </w:r>
    </w:p>
    <w:p w:rsidR="00DD3CC4" w:rsidRPr="00E455B2" w:rsidRDefault="00DC7422" w:rsidP="00380A88">
      <w:pPr>
        <w:spacing w:before="0" w:after="0"/>
        <w:jc w:val="center"/>
        <w:rPr>
          <w:b/>
          <w:u w:val="single"/>
        </w:rPr>
      </w:pPr>
      <w:r>
        <w:rPr>
          <w:b/>
          <w:u w:val="single"/>
        </w:rPr>
        <w:t>AND SCHEDULING FURTHER HEARING</w:t>
      </w:r>
      <w:r w:rsidR="00380A88">
        <w:rPr>
          <w:b/>
          <w:u w:val="single"/>
        </w:rPr>
        <w:t xml:space="preserve"> </w:t>
      </w:r>
    </w:p>
    <w:p w:rsidR="00A83C68" w:rsidRPr="005135A4" w:rsidRDefault="00A83C68" w:rsidP="00465EF8">
      <w:pPr>
        <w:spacing w:before="0" w:after="0"/>
        <w:jc w:val="center"/>
        <w:rPr>
          <w:b/>
          <w:u w:val="single"/>
        </w:rPr>
      </w:pPr>
    </w:p>
    <w:p w:rsidR="00DD3CC4" w:rsidRDefault="00DD3CC4" w:rsidP="00DF3AEF">
      <w:pPr>
        <w:spacing w:before="0" w:after="0"/>
      </w:pPr>
      <w:r>
        <w:tab/>
        <w:t>Howard E. Weightman (</w:t>
      </w:r>
      <w:bookmarkStart w:id="0" w:name="_GoBack"/>
      <w:r>
        <w:t>Complain</w:t>
      </w:r>
      <w:bookmarkEnd w:id="0"/>
      <w:r>
        <w:t xml:space="preserve">ant) filed a formal complaint against the Pennsylvania Electric Company (Penelec) on September 6, 2016. </w:t>
      </w:r>
      <w:r w:rsidR="00372FE1">
        <w:t xml:space="preserve"> </w:t>
      </w:r>
      <w:r>
        <w:t>The Complainant checked all of the boxes o</w:t>
      </w:r>
      <w:r w:rsidR="00372FE1">
        <w:t>n</w:t>
      </w:r>
      <w:r>
        <w:t xml:space="preserve"> the formal complaint form alleging that his service had been terminated; he would like a payment arrangement; there are incorrect charges on his bill; and he is experiencing a reliability or service problem because his neighbor is using service from his meter.  Penelec filed an answer on September 27, 2016, which admitted that the Complainant’s service had been terminated and taking the position that he was not entitled to a payment arrangement and that his claims regarding his neighbor’s usage of his meter had been resolved in a prior formal complaint proceeding.</w:t>
      </w:r>
      <w:r w:rsidR="007E675F">
        <w:t xml:space="preserve">  Penelec also included a “new matter” which alleged that the Complainant’s claim that he has been paying for service to his neighbor is precluded because it was raised in a 2015 formal complaint which was dismissed with prejudice.</w:t>
      </w:r>
    </w:p>
    <w:p w:rsidR="00DF3AEF" w:rsidRDefault="00DF3AEF" w:rsidP="00DF3AEF">
      <w:pPr>
        <w:spacing w:before="0" w:after="0"/>
      </w:pPr>
    </w:p>
    <w:p w:rsidR="007E675F" w:rsidRDefault="00DD3CC4" w:rsidP="007E675F">
      <w:pPr>
        <w:spacing w:before="0" w:after="0"/>
      </w:pPr>
      <w:r>
        <w:tab/>
        <w:t xml:space="preserve">By hearing notice dated November 4, 2016, this matter was assigned to me and scheduled for a telephonic hearing on January 6, 2017.  The hearing convened as scheduled.  The Complainant appeared and was represented by Jason M. Imler, Esquire.  Penelec also appeared and was represented by Margaret A. Morris, Esquire.  The parties represented that they had undertaken substantial negotiations in order to resolve the dispute and had achieved an agreement in principle.  </w:t>
      </w:r>
    </w:p>
    <w:p w:rsidR="007E675F" w:rsidRDefault="007E675F" w:rsidP="007E675F">
      <w:pPr>
        <w:spacing w:before="0" w:after="0"/>
      </w:pPr>
    </w:p>
    <w:p w:rsidR="003C6CC4" w:rsidRDefault="007E675F" w:rsidP="00DF3AEF">
      <w:pPr>
        <w:spacing w:before="0" w:after="0"/>
      </w:pPr>
      <w:r>
        <w:lastRenderedPageBreak/>
        <w:tab/>
        <w:t>This matter was continued several times in order to provide the parties with an opportunity to finalize their agreement.  However, o</w:t>
      </w:r>
      <w:r w:rsidR="003C6CC4">
        <w:t>n February 23, 2017, counsel for the Complainant filed a petition to withdraw as counsel, stating that counsel’s relationship with the Complainant “is no longer a functioning Attorney/Client relationship” and that the Complainant “has failed to comply with the terms of the engagement letter regarding payment of outstanding legal fees.”</w:t>
      </w:r>
      <w:r w:rsidR="00D22D98">
        <w:t xml:space="preserve">  Counsel for Penelec </w:t>
      </w:r>
      <w:r w:rsidR="002A401B">
        <w:t xml:space="preserve">did </w:t>
      </w:r>
      <w:r w:rsidR="00D22D98">
        <w:t>not object to the withdrawal.</w:t>
      </w:r>
      <w:r w:rsidR="002A401B">
        <w:t xml:space="preserve">  By interim order dated February 23, 2017, the Complainant was invited to file an object</w:t>
      </w:r>
      <w:r w:rsidR="00C271B5">
        <w:t>ion, if any, on or before March </w:t>
      </w:r>
      <w:r w:rsidR="002A401B">
        <w:t>7, 2017.  The Complainant did not file an objection.</w:t>
      </w:r>
      <w:r w:rsidR="00167B71">
        <w:t xml:space="preserve">  That order also set a deadline for the filing of a settlement agreement on or before March 14, 2017.</w:t>
      </w:r>
    </w:p>
    <w:p w:rsidR="00465EF8" w:rsidRDefault="00465EF8" w:rsidP="00DF3AEF">
      <w:pPr>
        <w:spacing w:before="0" w:after="0"/>
      </w:pPr>
    </w:p>
    <w:p w:rsidR="00167B71" w:rsidRDefault="00D22D98" w:rsidP="00465EF8">
      <w:pPr>
        <w:spacing w:before="0" w:after="0"/>
      </w:pPr>
      <w:r>
        <w:tab/>
      </w:r>
      <w:r w:rsidR="00167B71">
        <w:t>No settlement agreement was filed.  By hearing notice dated March 16, 2017, a further hearing was set for April 21, 2017.  A second prehearing</w:t>
      </w:r>
      <w:r w:rsidR="00C03B5B">
        <w:t xml:space="preserve"> order was also served on March </w:t>
      </w:r>
      <w:r w:rsidR="00167B71">
        <w:t xml:space="preserve">16, 2017, which set forth the procedure for the conduct of hearing.  Both the hearing notice and second prehearing order were served directly upon the Complainant, his counsel having withdrawn his appearance.  </w:t>
      </w:r>
    </w:p>
    <w:p w:rsidR="00465EF8" w:rsidRDefault="00465EF8" w:rsidP="00465EF8">
      <w:pPr>
        <w:spacing w:before="0" w:after="0"/>
      </w:pPr>
    </w:p>
    <w:p w:rsidR="007E675F" w:rsidRDefault="00167B71" w:rsidP="00465EF8">
      <w:pPr>
        <w:spacing w:before="0" w:after="0"/>
      </w:pPr>
      <w:r>
        <w:tab/>
        <w:t xml:space="preserve">The hearing convened as scheduled.  The Complainant appeared representing himself.  Penelec appeared and was represented by Margaret A. Morris, Esquire.  The Complainant requested a continuance in order to secure the representation of counsel.  Penelec objected to the continuance.  </w:t>
      </w:r>
      <w:r w:rsidR="007E675F">
        <w:t>By interim order dated April 21, 2017, the Complainant’s request for a continuance was granted until May 22, 2017.  Penelec was also directed to file a motion in limine which substantiated its claim that the Complainant was precluded from raising issues which ha</w:t>
      </w:r>
      <w:r w:rsidR="008738F8">
        <w:t>ve</w:t>
      </w:r>
      <w:r w:rsidR="007E675F">
        <w:t xml:space="preserve"> been resolved with the dismissal of the 2015 formal complaint.  Penelec also contended that the Complainant’s failure to respond to a request for admission deemed certain facts admitted.  The interim order also directed the Complainant to file a response to Penelec’s motion by May 12, 2017.  </w:t>
      </w:r>
    </w:p>
    <w:p w:rsidR="00465EF8" w:rsidRDefault="00465EF8" w:rsidP="00465EF8">
      <w:pPr>
        <w:spacing w:before="0" w:after="0"/>
      </w:pPr>
    </w:p>
    <w:p w:rsidR="007E675F" w:rsidRDefault="007E675F" w:rsidP="00465EF8">
      <w:pPr>
        <w:spacing w:before="0" w:after="0"/>
      </w:pPr>
      <w:r>
        <w:tab/>
        <w:t xml:space="preserve">Penelec filed a motion in limine on May 2, 2017.  The Complainant did not file a response.  As explained more fully below, Penelec’s motion to limit the issues which may </w:t>
      </w:r>
      <w:r w:rsidR="00C4417F">
        <w:t xml:space="preserve">be </w:t>
      </w:r>
      <w:r>
        <w:t>presented at hearing is granted</w:t>
      </w:r>
      <w:r w:rsidR="00817FB1">
        <w:t xml:space="preserve"> in part</w:t>
      </w:r>
      <w:r>
        <w:t>.</w:t>
      </w:r>
    </w:p>
    <w:p w:rsidR="007E675F" w:rsidRDefault="007E675F" w:rsidP="00465EF8">
      <w:pPr>
        <w:spacing w:before="0" w:after="0"/>
      </w:pPr>
    </w:p>
    <w:p w:rsidR="007E675F" w:rsidRDefault="007E675F" w:rsidP="00465EF8">
      <w:pPr>
        <w:spacing w:before="0" w:after="0"/>
      </w:pPr>
      <w:r>
        <w:lastRenderedPageBreak/>
        <w:tab/>
        <w:t xml:space="preserve">Penelec </w:t>
      </w:r>
      <w:r w:rsidR="00817FB1">
        <w:t>argues that the Complainant has raised the same issue in his current complaint that was already raised and disposed of in a formal complaint filed in 2015.  That complaint was dismissed with prejudice because the Complainant failed to appear for the hearing without good cause.  Penelec also argues that these facts are deemed admitted by the Complainant’s failure to respond to a request for admissions.  Penelec seeks to preclude the Complainant from challenging charges on his bill which resulted from his neighbor’s usage being recorded on his meter.</w:t>
      </w:r>
    </w:p>
    <w:p w:rsidR="00817FB1" w:rsidRDefault="00817FB1" w:rsidP="00465EF8">
      <w:pPr>
        <w:spacing w:before="0" w:after="0"/>
      </w:pPr>
    </w:p>
    <w:p w:rsidR="00817FB1" w:rsidRDefault="00817FB1" w:rsidP="00465EF8">
      <w:pPr>
        <w:spacing w:before="0" w:after="0"/>
      </w:pPr>
      <w:r>
        <w:tab/>
        <w:t>Section 5.350 of the Commission’s regulations permit a party to serve requests for admission of the truth of any matters.  The responding party must admit, deny or object to any request within 20 days after service.  A matter is admitted</w:t>
      </w:r>
      <w:r w:rsidR="003A525E">
        <w:rPr>
          <w:rStyle w:val="FootnoteReference"/>
        </w:rPr>
        <w:footnoteReference w:id="1"/>
      </w:r>
      <w:r>
        <w:t xml:space="preserve"> if the </w:t>
      </w:r>
      <w:r w:rsidR="003A525E">
        <w:t>opposing party fails to respond and is conclusively established unless set aside upon motion to the presiding officer.</w:t>
      </w:r>
      <w:r w:rsidR="003A525E">
        <w:rPr>
          <w:rStyle w:val="FootnoteReference"/>
        </w:rPr>
        <w:footnoteReference w:id="2"/>
      </w:r>
    </w:p>
    <w:p w:rsidR="003A525E" w:rsidRDefault="003A525E" w:rsidP="00465EF8">
      <w:pPr>
        <w:spacing w:before="0" w:after="0"/>
      </w:pPr>
    </w:p>
    <w:p w:rsidR="003A525E" w:rsidRDefault="003A525E" w:rsidP="00465EF8">
      <w:pPr>
        <w:spacing w:before="0" w:after="0"/>
      </w:pPr>
      <w:r>
        <w:tab/>
        <w:t>Penelec served a request for admission on the Complainant by first</w:t>
      </w:r>
      <w:r w:rsidR="00C271B5">
        <w:t xml:space="preserve"> </w:t>
      </w:r>
      <w:r>
        <w:t>class mail on March 17, 2017.  The request asked the Complain</w:t>
      </w:r>
      <w:r w:rsidR="009F2278">
        <w:t>an</w:t>
      </w:r>
      <w:r>
        <w:t>t to admit or deny 11 different statements in separately number</w:t>
      </w:r>
      <w:r w:rsidR="00C271B5">
        <w:t>ed</w:t>
      </w:r>
      <w:r>
        <w:t xml:space="preserve"> paragraphs.  The request included instructions and also informed the Complainant that his failure to respond on or before April 6, 2017 would deem each statement admitted.</w:t>
      </w:r>
    </w:p>
    <w:p w:rsidR="003A525E" w:rsidRDefault="003A525E" w:rsidP="00465EF8">
      <w:pPr>
        <w:spacing w:before="0" w:after="0"/>
      </w:pPr>
    </w:p>
    <w:p w:rsidR="003A525E" w:rsidRDefault="003A525E" w:rsidP="00465EF8">
      <w:pPr>
        <w:spacing w:before="0" w:after="0"/>
      </w:pPr>
      <w:r>
        <w:tab/>
        <w:t xml:space="preserve">The Complainant did not respond to Penelec’s request.  </w:t>
      </w:r>
      <w:r w:rsidR="00A470FA">
        <w:t xml:space="preserve">Further, the Complainant did not respond to Penelec’s May 2, 2017 motion.  Therefore, at this time, the statements 1-11 in Penelec’s March 17, 2017 request for admissions are admitted.  </w:t>
      </w:r>
    </w:p>
    <w:p w:rsidR="00A470FA" w:rsidRDefault="00A470FA" w:rsidP="00465EF8">
      <w:pPr>
        <w:spacing w:before="0" w:after="0"/>
      </w:pPr>
    </w:p>
    <w:p w:rsidR="00A470FA" w:rsidRDefault="00A470FA" w:rsidP="00465EF8">
      <w:pPr>
        <w:spacing w:before="0" w:after="0"/>
      </w:pPr>
      <w:r>
        <w:tab/>
        <w:t>Penelec also argues that the Complainant’s formal complaint should be dismissed because he raises the same issue in this complaint as the issues which were raised in a complaint filed in 2015 which was dismissed with prejudice.</w:t>
      </w:r>
    </w:p>
    <w:p w:rsidR="00A470FA" w:rsidRDefault="00A470FA" w:rsidP="00465EF8">
      <w:pPr>
        <w:spacing w:before="0" w:after="0"/>
      </w:pPr>
    </w:p>
    <w:p w:rsidR="00A470FA" w:rsidRDefault="00A470FA" w:rsidP="00465EF8">
      <w:pPr>
        <w:spacing w:before="0" w:after="0"/>
      </w:pPr>
      <w:r>
        <w:tab/>
        <w:t xml:space="preserve">In November 12, 2015, the Complainant, along with his wife, filed a formal complaint which alleged, </w:t>
      </w:r>
      <w:r w:rsidR="00692A53">
        <w:t>among other things</w:t>
      </w:r>
      <w:r>
        <w:t xml:space="preserve">, that he believed that he was paying for his </w:t>
      </w:r>
      <w:r>
        <w:lastRenderedPageBreak/>
        <w:t>neighbor’s electricity</w:t>
      </w:r>
      <w:r w:rsidR="00692A53">
        <w:t xml:space="preserve"> which resulted in high bills in August and September 2015.  A hearing on the complaint was scheduled for April 15, 2016.  Neither the Complainant nor his wife appeared and by initial decision dated April 22, 2017, the complaint was dismissed with prejudice.  No exceptions were filed and by order entered June 8, 2016, the dismissal became final.</w:t>
      </w:r>
    </w:p>
    <w:p w:rsidR="00692A53" w:rsidRDefault="00692A53" w:rsidP="00465EF8">
      <w:pPr>
        <w:spacing w:before="0" w:after="0"/>
      </w:pPr>
    </w:p>
    <w:p w:rsidR="00692A53" w:rsidRDefault="00692A53" w:rsidP="00465EF8">
      <w:pPr>
        <w:spacing w:before="0" w:after="0"/>
      </w:pPr>
      <w:r>
        <w:tab/>
        <w:t>On September 6, 2016, the Complainant filed the current complaint which also challenged the accuracy of his bills and alleged that his neighbor was using service from his meter</w:t>
      </w:r>
      <w:r w:rsidR="00380A88">
        <w:t xml:space="preserve">.  </w:t>
      </w:r>
      <w:r>
        <w:t>As relief, the Complainant requests an investigation of electric fees from 2008 to the present.</w:t>
      </w:r>
    </w:p>
    <w:p w:rsidR="00692A53" w:rsidRDefault="00692A53" w:rsidP="00465EF8">
      <w:pPr>
        <w:spacing w:before="0" w:after="0"/>
      </w:pPr>
    </w:p>
    <w:p w:rsidR="00DE3683" w:rsidRDefault="00692A53" w:rsidP="00DE3683">
      <w:pPr>
        <w:spacing w:before="0" w:after="0"/>
      </w:pPr>
      <w:r>
        <w:tab/>
      </w:r>
      <w:r w:rsidR="00DE3683">
        <w:t>Section 316 of the Public Utility Code provides, in pertinent part, that:</w:t>
      </w:r>
    </w:p>
    <w:p w:rsidR="00DE3683" w:rsidRDefault="00DE3683" w:rsidP="00DE3683">
      <w:pPr>
        <w:spacing w:before="0" w:after="0" w:line="240" w:lineRule="auto"/>
        <w:ind w:left="1440" w:right="1440"/>
      </w:pPr>
    </w:p>
    <w:p w:rsidR="00DE3683" w:rsidRDefault="00DE3683" w:rsidP="00DE3683">
      <w:pPr>
        <w:spacing w:before="0" w:after="0" w:line="240" w:lineRule="auto"/>
        <w:ind w:left="1440" w:right="1440"/>
      </w:pPr>
      <w:r>
        <w:t xml:space="preserve">Whenever the commission shall make any rule, regulation, finding, determination or order, the same shall be </w:t>
      </w:r>
      <w:r w:rsidRPr="001565F2">
        <w:rPr>
          <w:i/>
        </w:rPr>
        <w:t>prima facie</w:t>
      </w:r>
      <w:r>
        <w:t xml:space="preserve"> evidence of the facts found and shall remain conclusive upon all parties affected thereby, unless set aside, annulled or modified on judicial review.</w:t>
      </w:r>
    </w:p>
    <w:p w:rsidR="00DE3683" w:rsidRDefault="00DE3683" w:rsidP="00465EF8">
      <w:pPr>
        <w:spacing w:before="0" w:after="0"/>
      </w:pPr>
    </w:p>
    <w:p w:rsidR="00692A53" w:rsidRDefault="00692A53" w:rsidP="00465EF8">
      <w:pPr>
        <w:spacing w:before="0" w:after="0"/>
      </w:pPr>
      <w:r>
        <w:t>The Commission recently explained the preclusive effect of the dismissal of a complaint with prejudice when a complain</w:t>
      </w:r>
      <w:r w:rsidR="001565F2">
        <w:t>an</w:t>
      </w:r>
      <w:r>
        <w:t>t fails to appear for a scheduled hearing without good cause:</w:t>
      </w:r>
    </w:p>
    <w:p w:rsidR="00692A53" w:rsidRDefault="00692A53" w:rsidP="00465EF8">
      <w:pPr>
        <w:spacing w:before="0" w:after="0"/>
      </w:pPr>
    </w:p>
    <w:p w:rsidR="00692A53" w:rsidRDefault="0044488C" w:rsidP="00692A53">
      <w:pPr>
        <w:spacing w:before="0" w:after="0" w:line="240" w:lineRule="auto"/>
        <w:ind w:left="1440" w:right="1440"/>
      </w:pPr>
      <w:r>
        <w:tab/>
      </w:r>
      <w:r w:rsidR="00692A53">
        <w:t>Importantly, whether or not to dismiss a complaint brought on the same allegations as a complaint which was already dismissed with prejudice is answered by the Code, Section 316.  The Commission Order dismis</w:t>
      </w:r>
      <w:r w:rsidR="00C03B5B">
        <w:t>sing the first complaint of Ms. </w:t>
      </w:r>
      <w:r w:rsidR="00692A53">
        <w:t xml:space="preserve">Howell remains as a bar to subsequent litigation unless set aside by this Commission or modified on judicial review.  Here, the order dismissing Ms. Howell’s prior complaint, with prejudice (Final Order entered May 11, 2016), was not set aside by the Commission or by the courts and thus, has conclusive effect.  This means that Ms. Howell is barred by Section 316 from re-litigating the issues raised in her prior complaint.  </w:t>
      </w:r>
    </w:p>
    <w:p w:rsidR="00692A53" w:rsidRDefault="00692A53" w:rsidP="00692A53">
      <w:pPr>
        <w:spacing w:before="0" w:after="0" w:line="240" w:lineRule="auto"/>
        <w:ind w:left="1440" w:right="1440"/>
      </w:pPr>
    </w:p>
    <w:p w:rsidR="00692A53" w:rsidRDefault="0044488C" w:rsidP="00692A53">
      <w:pPr>
        <w:spacing w:before="0" w:after="0" w:line="240" w:lineRule="auto"/>
        <w:ind w:left="1440" w:right="1440"/>
      </w:pPr>
      <w:r>
        <w:tab/>
      </w:r>
      <w:r w:rsidR="00692A53">
        <w:t xml:space="preserve">Based on the foregoing, the analysis regarding the application of the doctrine of </w:t>
      </w:r>
      <w:r w:rsidR="00692A53" w:rsidRPr="001565F2">
        <w:rPr>
          <w:i/>
        </w:rPr>
        <w:t>res judicata</w:t>
      </w:r>
      <w:r w:rsidR="00692A53">
        <w:t xml:space="preserve">, collateral estoppel, or their newer names of issue and claim preclusion, has been rendered unnecessary by the application of Section 316 of the Code in this case.  Pursuant to the equally compelling doctrine of judicial efficiency, whereby a case can be disposed of in the least invasive </w:t>
      </w:r>
      <w:r w:rsidR="00692A53">
        <w:lastRenderedPageBreak/>
        <w:t>way, the above-captioned Complaint should be dismissed, with prejudice, pursuant to Section 316 of the Code</w:t>
      </w:r>
      <w:r w:rsidR="00380A88">
        <w:t>.</w:t>
      </w:r>
      <w:r w:rsidR="00692A53">
        <w:rPr>
          <w:rStyle w:val="FootnoteReference"/>
        </w:rPr>
        <w:footnoteReference w:id="3"/>
      </w:r>
      <w:r w:rsidR="00692A53">
        <w:t xml:space="preserve">  </w:t>
      </w:r>
    </w:p>
    <w:p w:rsidR="0044488C" w:rsidRDefault="0044488C" w:rsidP="00465EF8">
      <w:pPr>
        <w:spacing w:before="0" w:after="0"/>
      </w:pPr>
    </w:p>
    <w:p w:rsidR="0044488C" w:rsidRDefault="0044488C" w:rsidP="00465EF8">
      <w:pPr>
        <w:spacing w:before="0" w:after="0"/>
      </w:pPr>
      <w:r>
        <w:t xml:space="preserve">Therefore, the Complainant is barred from contesting any of the bills </w:t>
      </w:r>
      <w:r w:rsidR="0092594B">
        <w:t>or</w:t>
      </w:r>
      <w:r>
        <w:t xml:space="preserve"> charges which accrued up to November 12, 2015, when his first complaint was filed.  However, he is not barred from challenging the accuracy of bills or his meter after November 12, 2015, up to the point that he filed his second complaint on September 6, 2016.  </w:t>
      </w:r>
      <w:r w:rsidR="00A61F3D">
        <w:tab/>
      </w:r>
      <w:r w:rsidR="003B0214">
        <w:t>Therefore, it is not appropriate to dismiss his complaint.</w:t>
      </w:r>
    </w:p>
    <w:p w:rsidR="003B0214" w:rsidRDefault="003B0214" w:rsidP="00465EF8">
      <w:pPr>
        <w:spacing w:before="0" w:after="0"/>
      </w:pPr>
    </w:p>
    <w:p w:rsidR="003B0214" w:rsidRDefault="003B0214" w:rsidP="00465EF8">
      <w:pPr>
        <w:spacing w:before="0" w:after="0"/>
      </w:pPr>
      <w:r>
        <w:tab/>
        <w:t xml:space="preserve">The Complainant filed a petition for Chapter 13 bankruptcy in March 2017.  Penelec states that it was informed of this petition on March 27, 2017, and the petition was discussed at the hearing on April 21, 2017.  At that hearing, I explained to the Complainant that the bankruptcy petition deprives the Commission </w:t>
      </w:r>
      <w:r w:rsidR="00C31F63">
        <w:t>of the ability to direct a payment arrangement as requested by the Complainant in his complaint.</w:t>
      </w:r>
      <w:r w:rsidR="00F114E1">
        <w:rPr>
          <w:rStyle w:val="FootnoteReference"/>
        </w:rPr>
        <w:footnoteReference w:id="4"/>
      </w:r>
      <w:r w:rsidR="00C31F63">
        <w:t xml:space="preserve">  However, the Commission retains the authority to determine the accuracy of the Complainant’s billing.</w:t>
      </w:r>
      <w:r w:rsidR="00F114E1">
        <w:rPr>
          <w:rStyle w:val="FootnoteReference"/>
        </w:rPr>
        <w:footnoteReference w:id="5"/>
      </w:r>
    </w:p>
    <w:p w:rsidR="003B0214" w:rsidRDefault="003B0214" w:rsidP="00465EF8">
      <w:pPr>
        <w:spacing w:before="0" w:after="0"/>
      </w:pPr>
    </w:p>
    <w:p w:rsidR="00F9494B" w:rsidRDefault="00F114E1" w:rsidP="00465EF8">
      <w:pPr>
        <w:spacing w:before="0" w:after="0"/>
      </w:pPr>
      <w:r>
        <w:tab/>
      </w:r>
      <w:r w:rsidR="00F9494B">
        <w:t>THEREFORE</w:t>
      </w:r>
      <w:r w:rsidR="00F937FD">
        <w:t>,</w:t>
      </w:r>
      <w:r w:rsidR="00F9494B">
        <w:t xml:space="preserve"> </w:t>
      </w:r>
    </w:p>
    <w:p w:rsidR="00465EF8" w:rsidRDefault="00465EF8" w:rsidP="00465EF8">
      <w:pPr>
        <w:spacing w:before="0" w:after="0"/>
      </w:pPr>
    </w:p>
    <w:p w:rsidR="00F9494B" w:rsidRDefault="00A61F3D" w:rsidP="00465EF8">
      <w:pPr>
        <w:spacing w:before="0" w:after="0"/>
      </w:pPr>
      <w:r>
        <w:tab/>
      </w:r>
      <w:r w:rsidR="00F9494B">
        <w:t>IT IS ORDERED:</w:t>
      </w:r>
    </w:p>
    <w:p w:rsidR="00465EF8" w:rsidRDefault="00465EF8" w:rsidP="00465EF8">
      <w:pPr>
        <w:spacing w:before="0" w:after="0"/>
      </w:pPr>
    </w:p>
    <w:p w:rsidR="00F9494B" w:rsidRDefault="00F9494B" w:rsidP="00465EF8">
      <w:pPr>
        <w:spacing w:before="0" w:after="0"/>
      </w:pPr>
      <w:r>
        <w:tab/>
        <w:t>1.</w:t>
      </w:r>
      <w:r>
        <w:tab/>
      </w:r>
      <w:r w:rsidR="00167B71">
        <w:t xml:space="preserve">That the </w:t>
      </w:r>
      <w:r w:rsidR="00F114E1">
        <w:t>motion in limine of Pennsylvania Electric Company is granted to the extent that the Complainant is precluded from presenting evidence challenging the accuracy of his meter or any bills or charges which accrued before November 12, 2017.</w:t>
      </w:r>
      <w:r w:rsidR="00167B71">
        <w:t xml:space="preserve">  </w:t>
      </w:r>
      <w:r w:rsidR="00465EF8">
        <w:br/>
      </w:r>
    </w:p>
    <w:p w:rsidR="00F114E1" w:rsidRDefault="00167B71" w:rsidP="00465EF8">
      <w:pPr>
        <w:spacing w:before="0" w:after="0"/>
      </w:pPr>
      <w:r>
        <w:tab/>
        <w:t>2.</w:t>
      </w:r>
      <w:r>
        <w:tab/>
      </w:r>
      <w:r w:rsidR="00F114E1">
        <w:t>That the Commission has no jurisdiction to award a payment arrangement during the pendency of the Complainant’s petition for bankruptcy.</w:t>
      </w:r>
    </w:p>
    <w:p w:rsidR="001E3F1A" w:rsidRDefault="00F114E1" w:rsidP="00E5032B">
      <w:pPr>
        <w:spacing w:before="0" w:after="0"/>
      </w:pPr>
      <w:r>
        <w:lastRenderedPageBreak/>
        <w:tab/>
        <w:t>3.</w:t>
      </w:r>
      <w:r>
        <w:tab/>
        <w:t>That this matter shall be scheduled for a further hearing on the first available date.  No further continuances will be granted absent extraordinary circumstances.</w:t>
      </w:r>
      <w:r w:rsidR="00504900">
        <w:rPr>
          <w:b/>
          <w:u w:val="single"/>
        </w:rPr>
        <w:t xml:space="preserve">  </w:t>
      </w:r>
    </w:p>
    <w:p w:rsidR="00465EF8" w:rsidRDefault="00465EF8" w:rsidP="00465EF8">
      <w:pPr>
        <w:spacing w:before="0" w:after="0"/>
      </w:pPr>
    </w:p>
    <w:p w:rsidR="00380A88" w:rsidRDefault="00380A88" w:rsidP="00465EF8">
      <w:pPr>
        <w:spacing w:before="0" w:after="0"/>
      </w:pPr>
    </w:p>
    <w:p w:rsidR="00CF0E3A" w:rsidRDefault="00CF0E3A" w:rsidP="00A61F3D">
      <w:pPr>
        <w:tabs>
          <w:tab w:val="left" w:pos="360"/>
        </w:tabs>
        <w:spacing w:before="0" w:after="0" w:line="240" w:lineRule="auto"/>
        <w:jc w:val="both"/>
      </w:pPr>
      <w:r>
        <w:t xml:space="preserve">Date:  </w:t>
      </w:r>
      <w:r w:rsidR="00E5032B">
        <w:rPr>
          <w:u w:val="single"/>
        </w:rPr>
        <w:t>May 23</w:t>
      </w:r>
      <w:r w:rsidR="00A61F3D" w:rsidRPr="00A61F3D">
        <w:rPr>
          <w:u w:val="single"/>
        </w:rPr>
        <w:t>, 2017</w:t>
      </w:r>
      <w:r>
        <w:tab/>
      </w:r>
      <w:r w:rsidR="00504900">
        <w:tab/>
      </w:r>
      <w:r>
        <w:tab/>
      </w:r>
      <w:r>
        <w:tab/>
      </w:r>
      <w:r>
        <w:tab/>
        <w:t>________________________</w:t>
      </w:r>
      <w:r w:rsidRPr="005B5CA6">
        <w:t>____________</w:t>
      </w:r>
    </w:p>
    <w:p w:rsidR="00CF0E3A" w:rsidRPr="00F06152" w:rsidRDefault="00CF0E3A" w:rsidP="00A61F3D">
      <w:pPr>
        <w:tabs>
          <w:tab w:val="left" w:pos="360"/>
        </w:tabs>
        <w:spacing w:before="0" w:after="0" w:line="240" w:lineRule="auto"/>
        <w:jc w:val="both"/>
      </w:pPr>
      <w:r>
        <w:tab/>
      </w:r>
      <w:r>
        <w:tab/>
      </w:r>
      <w:r>
        <w:tab/>
      </w:r>
      <w:r>
        <w:tab/>
      </w:r>
      <w:r>
        <w:tab/>
      </w:r>
      <w:r>
        <w:tab/>
      </w:r>
      <w:r>
        <w:tab/>
        <w:t xml:space="preserve">Mary D. Long </w:t>
      </w:r>
    </w:p>
    <w:p w:rsidR="00BD7464" w:rsidRDefault="00CF0E3A" w:rsidP="00157BC1">
      <w:pPr>
        <w:tabs>
          <w:tab w:val="left" w:pos="360"/>
        </w:tabs>
        <w:spacing w:before="0" w:after="0" w:line="240" w:lineRule="auto"/>
        <w:jc w:val="both"/>
      </w:pPr>
      <w:r>
        <w:tab/>
      </w:r>
      <w:r>
        <w:tab/>
      </w:r>
      <w:r>
        <w:tab/>
      </w:r>
      <w:r>
        <w:tab/>
      </w:r>
      <w:r>
        <w:tab/>
      </w:r>
      <w:r>
        <w:tab/>
      </w:r>
      <w:r>
        <w:tab/>
        <w:t>Administrative Law Judge</w:t>
      </w:r>
    </w:p>
    <w:p w:rsidR="00BD7464" w:rsidRDefault="00BD7464">
      <w:pPr>
        <w:tabs>
          <w:tab w:val="clear" w:pos="1440"/>
        </w:tabs>
        <w:spacing w:before="0" w:after="200" w:line="276" w:lineRule="auto"/>
      </w:pPr>
      <w:r>
        <w:br w:type="page"/>
      </w:r>
    </w:p>
    <w:p w:rsidR="00BD7464" w:rsidRDefault="00BD7464" w:rsidP="00157BC1">
      <w:pPr>
        <w:tabs>
          <w:tab w:val="left" w:pos="360"/>
        </w:tabs>
        <w:spacing w:before="0" w:after="0" w:line="240" w:lineRule="auto"/>
        <w:jc w:val="both"/>
        <w:sectPr w:rsidR="00BD7464" w:rsidSect="003C6CC4">
          <w:footerReference w:type="default" r:id="rId8"/>
          <w:pgSz w:w="12240" w:h="15840"/>
          <w:pgMar w:top="1440" w:right="1440" w:bottom="1440" w:left="1440" w:header="720" w:footer="720" w:gutter="0"/>
          <w:cols w:space="720"/>
          <w:titlePg/>
        </w:sectPr>
      </w:pP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u w:val="single"/>
        </w:rPr>
      </w:pPr>
      <w:r w:rsidRPr="00BD7464">
        <w:rPr>
          <w:rFonts w:ascii="Microsoft Sans Serif" w:eastAsiaTheme="minorEastAsia" w:hAnsiTheme="minorHAnsi" w:cstheme="minorBidi"/>
          <w:b/>
          <w:szCs w:val="22"/>
          <w:u w:val="single"/>
        </w:rPr>
        <w:lastRenderedPageBreak/>
        <w:t>C-2016-2565520 - HOWARD WEIGHTMAN v. PENNSYLVANIA ELECTRIC COMPANY</w:t>
      </w:r>
      <w:r w:rsidRPr="00BD7464">
        <w:rPr>
          <w:rFonts w:ascii="Microsoft Sans Serif" w:eastAsiaTheme="minorEastAsia" w:hAnsiTheme="minorHAnsi" w:cstheme="minorBidi"/>
          <w:b/>
          <w:szCs w:val="22"/>
          <w:u w:val="single"/>
        </w:rPr>
        <w:cr/>
      </w:r>
      <w:r w:rsidRPr="00BD7464">
        <w:rPr>
          <w:rFonts w:ascii="Microsoft Sans Serif" w:eastAsiaTheme="minorEastAsia" w:hAnsiTheme="minorHAnsi" w:cstheme="minorBidi"/>
          <w:b/>
          <w:szCs w:val="22"/>
          <w:u w:val="single"/>
        </w:rPr>
        <w:cr/>
      </w:r>
      <w:r w:rsidRPr="00BD7464">
        <w:rPr>
          <w:rFonts w:ascii="Microsoft Sans Serif" w:eastAsiaTheme="minorEastAsia" w:hAnsiTheme="minorHAnsi" w:cstheme="minorBidi"/>
          <w:i/>
          <w:szCs w:val="22"/>
        </w:rPr>
        <w:t>(Revised 3/16/17)</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u w:val="single"/>
        </w:rPr>
      </w:pP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szCs w:val="22"/>
        </w:rPr>
      </w:pPr>
      <w:r w:rsidRPr="00BD7464">
        <w:rPr>
          <w:rFonts w:ascii="Microsoft Sans Serif" w:eastAsiaTheme="minorEastAsia" w:hAnsiTheme="minorHAnsi" w:cstheme="minorBidi"/>
          <w:szCs w:val="22"/>
        </w:rPr>
        <w:t>HOWARD E WEIGHTMAN</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szCs w:val="22"/>
        </w:rPr>
      </w:pPr>
      <w:r w:rsidRPr="00BD7464">
        <w:rPr>
          <w:rFonts w:ascii="Microsoft Sans Serif" w:eastAsiaTheme="minorEastAsia" w:hAnsiTheme="minorHAnsi" w:cstheme="minorBidi"/>
          <w:szCs w:val="22"/>
        </w:rPr>
        <w:t>3192 MAIN ROAD</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szCs w:val="22"/>
        </w:rPr>
      </w:pPr>
      <w:r w:rsidRPr="00BD7464">
        <w:rPr>
          <w:rFonts w:ascii="Microsoft Sans Serif" w:eastAsiaTheme="minorEastAsia" w:hAnsiTheme="minorHAnsi" w:cstheme="minorBidi"/>
          <w:szCs w:val="22"/>
        </w:rPr>
        <w:t>BEDFORD PA  15522</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rPr>
      </w:pPr>
      <w:r w:rsidRPr="00BD7464">
        <w:rPr>
          <w:rFonts w:ascii="Microsoft Sans Serif" w:eastAsiaTheme="minorEastAsia" w:hAnsiTheme="minorHAnsi" w:cstheme="minorBidi"/>
          <w:b/>
          <w:szCs w:val="22"/>
        </w:rPr>
        <w:t>814.979.7717</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rPr>
      </w:pP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rPr>
      </w:pPr>
      <w:r w:rsidRPr="00BD7464">
        <w:rPr>
          <w:rFonts w:ascii="Microsoft Sans Serif" w:eastAsiaTheme="minorEastAsia" w:hAnsiTheme="minorHAnsi" w:cstheme="minorBidi"/>
          <w:szCs w:val="22"/>
        </w:rPr>
        <w:t>MARGARET A MORRIS ESQUIRE</w:t>
      </w:r>
      <w:r w:rsidRPr="00BD7464">
        <w:rPr>
          <w:rFonts w:ascii="Microsoft Sans Serif" w:eastAsiaTheme="minorEastAsia" w:hAnsiTheme="minorHAnsi" w:cstheme="minorBidi"/>
          <w:szCs w:val="22"/>
        </w:rPr>
        <w:cr/>
        <w:t>REGER RIZZO &amp; DARNALL</w:t>
      </w:r>
      <w:r w:rsidRPr="00BD7464">
        <w:rPr>
          <w:rFonts w:ascii="Microsoft Sans Serif" w:eastAsiaTheme="minorEastAsia" w:hAnsiTheme="minorHAnsi" w:cstheme="minorBidi"/>
          <w:szCs w:val="22"/>
        </w:rPr>
        <w:cr/>
        <w:t>2929 ARCH STREET 13TH FLOOR</w:t>
      </w:r>
      <w:r w:rsidRPr="00BD7464">
        <w:rPr>
          <w:rFonts w:ascii="Microsoft Sans Serif" w:eastAsiaTheme="minorEastAsia" w:hAnsiTheme="minorHAnsi" w:cstheme="minorBidi"/>
          <w:szCs w:val="22"/>
        </w:rPr>
        <w:cr/>
        <w:t>PHILADELPHIA PA  19104</w:t>
      </w:r>
      <w:r w:rsidRPr="00BD7464">
        <w:rPr>
          <w:rFonts w:ascii="Microsoft Sans Serif" w:eastAsiaTheme="minorEastAsia" w:hAnsiTheme="minorHAnsi" w:cstheme="minorBidi"/>
          <w:szCs w:val="22"/>
        </w:rPr>
        <w:cr/>
      </w:r>
      <w:r w:rsidRPr="00BD7464">
        <w:rPr>
          <w:rFonts w:ascii="Microsoft Sans Serif" w:eastAsiaTheme="minorEastAsia" w:hAnsiTheme="minorHAnsi" w:cstheme="minorBidi"/>
          <w:b/>
          <w:szCs w:val="22"/>
        </w:rPr>
        <w:t>215.495.6524</w:t>
      </w:r>
      <w:r w:rsidRPr="00BD7464">
        <w:rPr>
          <w:rFonts w:ascii="Microsoft Sans Serif" w:eastAsiaTheme="minorEastAsia" w:hAnsiTheme="minorHAnsi" w:cstheme="minorBidi"/>
          <w:b/>
          <w:szCs w:val="22"/>
        </w:rPr>
        <w:cr/>
      </w:r>
      <w:r w:rsidRPr="00BD7464">
        <w:rPr>
          <w:rFonts w:ascii="Microsoft Sans Serif" w:eastAsiaTheme="minorEastAsia" w:hAnsi="Microsoft Sans Serif" w:cs="Microsoft Sans Serif"/>
          <w:i/>
          <w:szCs w:val="24"/>
        </w:rPr>
        <w:t>Accepts E-service</w:t>
      </w:r>
    </w:p>
    <w:p w:rsidR="00BD7464" w:rsidRPr="00BD7464" w:rsidRDefault="00BD7464" w:rsidP="00BD7464">
      <w:pPr>
        <w:tabs>
          <w:tab w:val="clear" w:pos="1440"/>
        </w:tabs>
        <w:spacing w:before="0" w:after="0" w:line="240" w:lineRule="auto"/>
        <w:contextualSpacing/>
        <w:rPr>
          <w:rFonts w:ascii="Microsoft Sans Serif" w:eastAsiaTheme="minorEastAsia" w:hAnsi="Microsoft Sans Serif" w:cs="Microsoft Sans Serif"/>
          <w:i/>
          <w:szCs w:val="24"/>
        </w:rPr>
      </w:pPr>
      <w:r w:rsidRPr="00BD7464">
        <w:rPr>
          <w:rFonts w:ascii="Microsoft Sans Serif" w:eastAsiaTheme="minorEastAsia" w:hAnsi="Microsoft Sans Serif" w:cs="Microsoft Sans Serif"/>
          <w:i/>
          <w:szCs w:val="24"/>
        </w:rPr>
        <w:t>Representing Pennsylvania Electric Company</w:t>
      </w:r>
    </w:p>
    <w:p w:rsidR="00CF0E3A" w:rsidRDefault="00CF0E3A" w:rsidP="00157BC1">
      <w:pPr>
        <w:tabs>
          <w:tab w:val="left" w:pos="360"/>
        </w:tabs>
        <w:spacing w:before="0" w:after="0" w:line="240" w:lineRule="auto"/>
        <w:jc w:val="both"/>
      </w:pPr>
    </w:p>
    <w:sectPr w:rsidR="00CF0E3A" w:rsidSect="00BD7464">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507" w:rsidRDefault="00171507" w:rsidP="0077004D">
      <w:pPr>
        <w:spacing w:before="0" w:after="0" w:line="240" w:lineRule="auto"/>
      </w:pPr>
      <w:r>
        <w:separator/>
      </w:r>
    </w:p>
  </w:endnote>
  <w:endnote w:type="continuationSeparator" w:id="0">
    <w:p w:rsidR="00171507" w:rsidRDefault="00171507" w:rsidP="00770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348106"/>
      <w:docPartObj>
        <w:docPartGallery w:val="Page Numbers (Bottom of Page)"/>
        <w:docPartUnique/>
      </w:docPartObj>
    </w:sdtPr>
    <w:sdtEndPr>
      <w:rPr>
        <w:noProof/>
      </w:rPr>
    </w:sdtEndPr>
    <w:sdtContent>
      <w:p w:rsidR="00465EF8" w:rsidRDefault="00465EF8">
        <w:pPr>
          <w:pStyle w:val="Footer"/>
          <w:jc w:val="center"/>
        </w:pPr>
        <w:r>
          <w:fldChar w:fldCharType="begin"/>
        </w:r>
        <w:r>
          <w:instrText xml:space="preserve"> PAGE   \* MERGEFORMAT </w:instrText>
        </w:r>
        <w:r>
          <w:fldChar w:fldCharType="separate"/>
        </w:r>
        <w:r w:rsidR="009F2278">
          <w:rPr>
            <w:noProof/>
          </w:rPr>
          <w:t>5</w:t>
        </w:r>
        <w:r>
          <w:rPr>
            <w:noProof/>
          </w:rPr>
          <w:fldChar w:fldCharType="end"/>
        </w:r>
      </w:p>
    </w:sdtContent>
  </w:sdt>
  <w:p w:rsidR="0077004D" w:rsidRDefault="0077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507" w:rsidRDefault="00171507" w:rsidP="0077004D">
      <w:pPr>
        <w:spacing w:before="0" w:after="0" w:line="240" w:lineRule="auto"/>
      </w:pPr>
      <w:r>
        <w:separator/>
      </w:r>
    </w:p>
  </w:footnote>
  <w:footnote w:type="continuationSeparator" w:id="0">
    <w:p w:rsidR="00171507" w:rsidRDefault="00171507" w:rsidP="0077004D">
      <w:pPr>
        <w:spacing w:before="0" w:after="0" w:line="240" w:lineRule="auto"/>
      </w:pPr>
      <w:r>
        <w:continuationSeparator/>
      </w:r>
    </w:p>
  </w:footnote>
  <w:footnote w:id="1">
    <w:p w:rsidR="003A525E" w:rsidRDefault="003A525E" w:rsidP="00380A88">
      <w:pPr>
        <w:pStyle w:val="FootnoteText"/>
        <w:spacing w:after="0"/>
      </w:pPr>
      <w:r>
        <w:rPr>
          <w:rStyle w:val="FootnoteReference"/>
        </w:rPr>
        <w:footnoteRef/>
      </w:r>
      <w:r>
        <w:t xml:space="preserve">  </w:t>
      </w:r>
      <w:r>
        <w:tab/>
        <w:t>52 Pa.Code § 5.350(c).</w:t>
      </w:r>
    </w:p>
    <w:p w:rsidR="00380A88" w:rsidRDefault="00380A88" w:rsidP="00380A88">
      <w:pPr>
        <w:pStyle w:val="FootnoteText"/>
        <w:spacing w:after="0"/>
      </w:pPr>
    </w:p>
  </w:footnote>
  <w:footnote w:id="2">
    <w:p w:rsidR="003A525E" w:rsidRDefault="003A525E" w:rsidP="00380A88">
      <w:pPr>
        <w:pStyle w:val="FootnoteText"/>
        <w:spacing w:after="0"/>
      </w:pPr>
      <w:r>
        <w:rPr>
          <w:rStyle w:val="FootnoteReference"/>
        </w:rPr>
        <w:footnoteRef/>
      </w:r>
      <w:r>
        <w:t xml:space="preserve">  </w:t>
      </w:r>
      <w:r>
        <w:tab/>
        <w:t>52 Pa.Code § 5.350(f).</w:t>
      </w:r>
    </w:p>
  </w:footnote>
  <w:footnote w:id="3">
    <w:p w:rsidR="00692A53" w:rsidRDefault="00692A53" w:rsidP="00380A88">
      <w:pPr>
        <w:pStyle w:val="FootnoteText"/>
        <w:spacing w:after="0"/>
      </w:pPr>
      <w:r>
        <w:rPr>
          <w:rStyle w:val="FootnoteReference"/>
        </w:rPr>
        <w:footnoteRef/>
      </w:r>
      <w:r>
        <w:t xml:space="preserve">  </w:t>
      </w:r>
      <w:r>
        <w:tab/>
      </w:r>
      <w:r>
        <w:rPr>
          <w:i/>
        </w:rPr>
        <w:t>Howell v. Philadelphia Gas Works</w:t>
      </w:r>
      <w:r w:rsidR="00380A88">
        <w:rPr>
          <w:i/>
        </w:rPr>
        <w:t xml:space="preserve">, </w:t>
      </w:r>
      <w:r w:rsidR="00380A88">
        <w:t>Docket</w:t>
      </w:r>
      <w:r>
        <w:t xml:space="preserve"> </w:t>
      </w:r>
      <w:r w:rsidRPr="00692A53">
        <w:t>C-2016-2568426</w:t>
      </w:r>
      <w:r>
        <w:t xml:space="preserve"> (Opinion and Order entered May 2, 2017), at p.</w:t>
      </w:r>
      <w:r w:rsidR="00DE3683">
        <w:t xml:space="preserve"> 9-10.</w:t>
      </w:r>
    </w:p>
    <w:p w:rsidR="00380A88" w:rsidRPr="00692A53" w:rsidRDefault="00380A88" w:rsidP="00380A88">
      <w:pPr>
        <w:pStyle w:val="FootnoteText"/>
        <w:spacing w:after="0"/>
      </w:pPr>
    </w:p>
  </w:footnote>
  <w:footnote w:id="4">
    <w:p w:rsidR="00F114E1" w:rsidRDefault="00F114E1" w:rsidP="00380A88">
      <w:pPr>
        <w:pStyle w:val="FootnoteText"/>
        <w:spacing w:after="0"/>
      </w:pPr>
      <w:r>
        <w:rPr>
          <w:rStyle w:val="FootnoteReference"/>
        </w:rPr>
        <w:footnoteRef/>
      </w:r>
      <w:r>
        <w:t xml:space="preserve">  </w:t>
      </w:r>
      <w:r>
        <w:tab/>
        <w:t>See 28 U.S.C. § 1334(e)(1).</w:t>
      </w:r>
    </w:p>
    <w:p w:rsidR="00380A88" w:rsidRDefault="00380A88" w:rsidP="00380A88">
      <w:pPr>
        <w:pStyle w:val="FootnoteText"/>
        <w:spacing w:after="0"/>
      </w:pPr>
    </w:p>
  </w:footnote>
  <w:footnote w:id="5">
    <w:p w:rsidR="00F114E1" w:rsidRPr="00F114E1" w:rsidRDefault="00F114E1" w:rsidP="00380A88">
      <w:pPr>
        <w:pStyle w:val="FootnoteText"/>
        <w:spacing w:after="0"/>
      </w:pPr>
      <w:r>
        <w:rPr>
          <w:rStyle w:val="FootnoteReference"/>
        </w:rPr>
        <w:footnoteRef/>
      </w:r>
      <w:r>
        <w:t xml:space="preserve">  </w:t>
      </w:r>
      <w:r>
        <w:tab/>
      </w:r>
      <w:r>
        <w:rPr>
          <w:i/>
        </w:rPr>
        <w:t>Borlak v. Columbia Gas of Pennsylvania Inc.</w:t>
      </w:r>
      <w:r>
        <w:t xml:space="preserve"> Docket C-2008-2064344 (Opinion and Order entered July 6,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6B"/>
    <w:rsid w:val="00004C37"/>
    <w:rsid w:val="00007164"/>
    <w:rsid w:val="0004546A"/>
    <w:rsid w:val="00062282"/>
    <w:rsid w:val="000E3EDE"/>
    <w:rsid w:val="001565F2"/>
    <w:rsid w:val="00157BC1"/>
    <w:rsid w:val="00167B71"/>
    <w:rsid w:val="00171507"/>
    <w:rsid w:val="001A139D"/>
    <w:rsid w:val="001A21B6"/>
    <w:rsid w:val="001B1CBA"/>
    <w:rsid w:val="001D2AF7"/>
    <w:rsid w:val="001E3F1A"/>
    <w:rsid w:val="00207743"/>
    <w:rsid w:val="00213167"/>
    <w:rsid w:val="00227AAB"/>
    <w:rsid w:val="002512F9"/>
    <w:rsid w:val="00283500"/>
    <w:rsid w:val="00295246"/>
    <w:rsid w:val="002A401B"/>
    <w:rsid w:val="002E3ADB"/>
    <w:rsid w:val="003145FA"/>
    <w:rsid w:val="00367A41"/>
    <w:rsid w:val="00372FE1"/>
    <w:rsid w:val="00377EA7"/>
    <w:rsid w:val="00380A88"/>
    <w:rsid w:val="003815D7"/>
    <w:rsid w:val="00393C92"/>
    <w:rsid w:val="003A3E09"/>
    <w:rsid w:val="003A525E"/>
    <w:rsid w:val="003B0214"/>
    <w:rsid w:val="003C6CC4"/>
    <w:rsid w:val="00400E21"/>
    <w:rsid w:val="004026A8"/>
    <w:rsid w:val="0044488C"/>
    <w:rsid w:val="00465EF8"/>
    <w:rsid w:val="00475A51"/>
    <w:rsid w:val="004A6FDA"/>
    <w:rsid w:val="004D2371"/>
    <w:rsid w:val="004D523C"/>
    <w:rsid w:val="00504900"/>
    <w:rsid w:val="005135A4"/>
    <w:rsid w:val="005A1C17"/>
    <w:rsid w:val="005A2ABA"/>
    <w:rsid w:val="005D180A"/>
    <w:rsid w:val="005E7B69"/>
    <w:rsid w:val="0061775F"/>
    <w:rsid w:val="00692A53"/>
    <w:rsid w:val="00696C0D"/>
    <w:rsid w:val="006F0329"/>
    <w:rsid w:val="00700807"/>
    <w:rsid w:val="00712E58"/>
    <w:rsid w:val="0077004D"/>
    <w:rsid w:val="00792796"/>
    <w:rsid w:val="00796B64"/>
    <w:rsid w:val="007E675F"/>
    <w:rsid w:val="007E6779"/>
    <w:rsid w:val="00817FB1"/>
    <w:rsid w:val="00820B4C"/>
    <w:rsid w:val="0083239D"/>
    <w:rsid w:val="008529D2"/>
    <w:rsid w:val="0086145A"/>
    <w:rsid w:val="008738F8"/>
    <w:rsid w:val="0089203A"/>
    <w:rsid w:val="008A7862"/>
    <w:rsid w:val="008B354E"/>
    <w:rsid w:val="00915564"/>
    <w:rsid w:val="00917DCA"/>
    <w:rsid w:val="0092594B"/>
    <w:rsid w:val="00983E1E"/>
    <w:rsid w:val="009D126B"/>
    <w:rsid w:val="009F2278"/>
    <w:rsid w:val="00A00FFF"/>
    <w:rsid w:val="00A112B4"/>
    <w:rsid w:val="00A47096"/>
    <w:rsid w:val="00A470FA"/>
    <w:rsid w:val="00A61F3D"/>
    <w:rsid w:val="00A7117D"/>
    <w:rsid w:val="00A83C68"/>
    <w:rsid w:val="00AA2EC5"/>
    <w:rsid w:val="00AB4C73"/>
    <w:rsid w:val="00AE6F47"/>
    <w:rsid w:val="00AF6A01"/>
    <w:rsid w:val="00B374E0"/>
    <w:rsid w:val="00B6756B"/>
    <w:rsid w:val="00B91E47"/>
    <w:rsid w:val="00BC6B21"/>
    <w:rsid w:val="00BD7464"/>
    <w:rsid w:val="00C03B5B"/>
    <w:rsid w:val="00C271B5"/>
    <w:rsid w:val="00C31F63"/>
    <w:rsid w:val="00C4417F"/>
    <w:rsid w:val="00C5265F"/>
    <w:rsid w:val="00C87E57"/>
    <w:rsid w:val="00CC081A"/>
    <w:rsid w:val="00CF0E3A"/>
    <w:rsid w:val="00CF6143"/>
    <w:rsid w:val="00D15CE6"/>
    <w:rsid w:val="00D22D98"/>
    <w:rsid w:val="00D26EB0"/>
    <w:rsid w:val="00D57BCB"/>
    <w:rsid w:val="00DC7422"/>
    <w:rsid w:val="00DD3CC4"/>
    <w:rsid w:val="00DD5C37"/>
    <w:rsid w:val="00DE3683"/>
    <w:rsid w:val="00DF3AEF"/>
    <w:rsid w:val="00E4105D"/>
    <w:rsid w:val="00E4239A"/>
    <w:rsid w:val="00E455B2"/>
    <w:rsid w:val="00E5032B"/>
    <w:rsid w:val="00EA1613"/>
    <w:rsid w:val="00EB66BA"/>
    <w:rsid w:val="00EB707A"/>
    <w:rsid w:val="00EC1CBA"/>
    <w:rsid w:val="00EE7801"/>
    <w:rsid w:val="00F056CE"/>
    <w:rsid w:val="00F114E1"/>
    <w:rsid w:val="00F11A19"/>
    <w:rsid w:val="00F16554"/>
    <w:rsid w:val="00F544E1"/>
    <w:rsid w:val="00F85858"/>
    <w:rsid w:val="00F937FD"/>
    <w:rsid w:val="00F9494B"/>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uiPriority w:val="99"/>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uiPriority w:val="99"/>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 w:type="character" w:styleId="FootnoteReference">
    <w:name w:val="footnote reference"/>
    <w:basedOn w:val="DefaultParagraphFont"/>
    <w:uiPriority w:val="99"/>
    <w:semiHidden/>
    <w:unhideWhenUsed/>
    <w:rsid w:val="003A52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uiPriority w:val="99"/>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uiPriority w:val="99"/>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 w:type="character" w:styleId="FootnoteReference">
    <w:name w:val="footnote reference"/>
    <w:basedOn w:val="DefaultParagraphFont"/>
    <w:uiPriority w:val="99"/>
    <w:semiHidden/>
    <w:unhideWhenUsed/>
    <w:rsid w:val="003A52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8</cp:revision>
  <cp:lastPrinted>2017-05-22T16:38:00Z</cp:lastPrinted>
  <dcterms:created xsi:type="dcterms:W3CDTF">2017-05-22T15:55:00Z</dcterms:created>
  <dcterms:modified xsi:type="dcterms:W3CDTF">2017-05-23T13:51:00Z</dcterms:modified>
</cp:coreProperties>
</file>