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E1" w:rsidRPr="00F538B7" w:rsidRDefault="00F936E1" w:rsidP="00D70A06">
      <w:pPr>
        <w:tabs>
          <w:tab w:val="center" w:pos="4680"/>
        </w:tabs>
        <w:suppressAutoHyphens/>
        <w:jc w:val="center"/>
        <w:rPr>
          <w:b/>
          <w:spacing w:val="-3"/>
          <w:sz w:val="24"/>
          <w:szCs w:val="24"/>
        </w:rPr>
      </w:pPr>
      <w:r w:rsidRPr="00F538B7">
        <w:rPr>
          <w:b/>
          <w:spacing w:val="-3"/>
          <w:sz w:val="24"/>
          <w:szCs w:val="24"/>
        </w:rPr>
        <w:t>BEFORE THE</w:t>
      </w:r>
    </w:p>
    <w:p w:rsidR="00F936E1" w:rsidRPr="00F538B7" w:rsidRDefault="00F936E1" w:rsidP="00D70A06">
      <w:pPr>
        <w:tabs>
          <w:tab w:val="center" w:pos="4680"/>
        </w:tabs>
        <w:suppressAutoHyphens/>
        <w:jc w:val="center"/>
        <w:rPr>
          <w:b/>
          <w:spacing w:val="-3"/>
          <w:sz w:val="24"/>
          <w:szCs w:val="24"/>
        </w:rPr>
      </w:pPr>
      <w:r w:rsidRPr="00F538B7">
        <w:rPr>
          <w:b/>
          <w:spacing w:val="-3"/>
          <w:sz w:val="24"/>
          <w:szCs w:val="24"/>
        </w:rPr>
        <w:t>PENNSYLVANIA PUBLIC UTILITY COMMISSION</w:t>
      </w:r>
    </w:p>
    <w:p w:rsidR="00F936E1" w:rsidRPr="00F538B7" w:rsidRDefault="00F936E1" w:rsidP="00D70A06">
      <w:pPr>
        <w:tabs>
          <w:tab w:val="left" w:pos="-1440"/>
          <w:tab w:val="left" w:pos="-720"/>
        </w:tabs>
        <w:suppressAutoHyphens/>
        <w:ind w:firstLine="1440"/>
        <w:rPr>
          <w:spacing w:val="-3"/>
          <w:sz w:val="24"/>
          <w:szCs w:val="24"/>
        </w:rPr>
      </w:pPr>
    </w:p>
    <w:p w:rsidR="00F936E1" w:rsidRPr="00F538B7" w:rsidRDefault="00F936E1" w:rsidP="00D70A06">
      <w:pPr>
        <w:tabs>
          <w:tab w:val="left" w:pos="-1440"/>
          <w:tab w:val="left" w:pos="-720"/>
        </w:tabs>
        <w:suppressAutoHyphens/>
        <w:ind w:firstLine="1440"/>
        <w:rPr>
          <w:spacing w:val="-3"/>
          <w:sz w:val="24"/>
          <w:szCs w:val="24"/>
        </w:rPr>
      </w:pPr>
    </w:p>
    <w:p w:rsidR="00F936E1" w:rsidRPr="00F538B7" w:rsidRDefault="00F936E1" w:rsidP="00D70A06">
      <w:pPr>
        <w:tabs>
          <w:tab w:val="left" w:pos="-1440"/>
          <w:tab w:val="left" w:pos="-720"/>
        </w:tabs>
        <w:suppressAutoHyphens/>
        <w:ind w:firstLine="1440"/>
        <w:rPr>
          <w:spacing w:val="-3"/>
          <w:sz w:val="24"/>
          <w:szCs w:val="24"/>
        </w:rPr>
      </w:pPr>
    </w:p>
    <w:p w:rsidR="00F936E1" w:rsidRPr="00F538B7" w:rsidRDefault="003D0248" w:rsidP="00D70A06">
      <w:pPr>
        <w:tabs>
          <w:tab w:val="left" w:pos="-1440"/>
          <w:tab w:val="left" w:pos="-720"/>
        </w:tabs>
        <w:suppressAutoHyphens/>
        <w:rPr>
          <w:spacing w:val="-3"/>
          <w:sz w:val="24"/>
          <w:szCs w:val="24"/>
        </w:rPr>
      </w:pPr>
      <w:r>
        <w:rPr>
          <w:spacing w:val="-3"/>
          <w:sz w:val="24"/>
          <w:szCs w:val="24"/>
        </w:rPr>
        <w:t>J. Jude</w:t>
      </w:r>
      <w:r w:rsidR="009029C3">
        <w:rPr>
          <w:spacing w:val="-3"/>
          <w:sz w:val="24"/>
          <w:szCs w:val="24"/>
        </w:rPr>
        <w:t xml:space="preserve"> Bervinchak</w:t>
      </w:r>
      <w:r w:rsidR="00271244">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t>:</w:t>
      </w:r>
    </w:p>
    <w:p w:rsidR="00F936E1" w:rsidRPr="00F538B7" w:rsidRDefault="00F936E1" w:rsidP="00D70A06">
      <w:pPr>
        <w:tabs>
          <w:tab w:val="left" w:pos="-1440"/>
          <w:tab w:val="left" w:pos="-720"/>
        </w:tabs>
        <w:suppressAutoHyphens/>
        <w:rPr>
          <w:spacing w:val="-3"/>
          <w:sz w:val="24"/>
          <w:szCs w:val="24"/>
        </w:rPr>
      </w:pP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p>
    <w:p w:rsidR="00F936E1" w:rsidRPr="00F538B7" w:rsidRDefault="00F936E1" w:rsidP="00D70A06">
      <w:pPr>
        <w:tabs>
          <w:tab w:val="left" w:pos="-1440"/>
          <w:tab w:val="left" w:pos="-720"/>
        </w:tabs>
        <w:suppressAutoHyphens/>
        <w:rPr>
          <w:sz w:val="24"/>
          <w:szCs w:val="24"/>
        </w:rPr>
      </w:pPr>
      <w:r w:rsidRPr="00F538B7">
        <w:rPr>
          <w:spacing w:val="-3"/>
          <w:sz w:val="24"/>
          <w:szCs w:val="24"/>
        </w:rPr>
        <w:tab/>
        <w:t>v.</w:t>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r w:rsidRPr="00F538B7">
        <w:rPr>
          <w:spacing w:val="-3"/>
          <w:sz w:val="24"/>
          <w:szCs w:val="24"/>
        </w:rPr>
        <w:tab/>
      </w:r>
      <w:r w:rsidRPr="00F538B7">
        <w:rPr>
          <w:spacing w:val="-3"/>
          <w:sz w:val="24"/>
          <w:szCs w:val="24"/>
        </w:rPr>
        <w:tab/>
        <w:t>C</w:t>
      </w:r>
      <w:r w:rsidRPr="00F538B7">
        <w:rPr>
          <w:sz w:val="24"/>
          <w:szCs w:val="24"/>
        </w:rPr>
        <w:t>-201</w:t>
      </w:r>
      <w:r w:rsidR="009029C3">
        <w:rPr>
          <w:sz w:val="24"/>
          <w:szCs w:val="24"/>
        </w:rPr>
        <w:t>6</w:t>
      </w:r>
      <w:r w:rsidR="006E3650">
        <w:rPr>
          <w:sz w:val="24"/>
          <w:szCs w:val="24"/>
        </w:rPr>
        <w:t>-2</w:t>
      </w:r>
      <w:r w:rsidR="009029C3">
        <w:rPr>
          <w:sz w:val="24"/>
          <w:szCs w:val="24"/>
        </w:rPr>
        <w:t>57</w:t>
      </w:r>
      <w:r w:rsidR="003D0248">
        <w:rPr>
          <w:sz w:val="24"/>
          <w:szCs w:val="24"/>
        </w:rPr>
        <w:t>7527</w:t>
      </w:r>
    </w:p>
    <w:p w:rsidR="00F936E1" w:rsidRPr="00F538B7" w:rsidRDefault="00F936E1" w:rsidP="00D70A06">
      <w:pPr>
        <w:tabs>
          <w:tab w:val="left" w:pos="-1440"/>
          <w:tab w:val="left" w:pos="-720"/>
        </w:tabs>
        <w:suppressAutoHyphens/>
        <w:rPr>
          <w:spacing w:val="-3"/>
          <w:sz w:val="24"/>
          <w:szCs w:val="24"/>
        </w:rPr>
      </w:pP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p>
    <w:p w:rsidR="00F936E1" w:rsidRPr="00F538B7" w:rsidRDefault="006E3650" w:rsidP="00D70A06">
      <w:pPr>
        <w:tabs>
          <w:tab w:val="left" w:pos="-1440"/>
          <w:tab w:val="left" w:pos="-720"/>
        </w:tabs>
        <w:suppressAutoHyphens/>
        <w:rPr>
          <w:spacing w:val="-3"/>
          <w:sz w:val="24"/>
          <w:szCs w:val="24"/>
        </w:rPr>
      </w:pPr>
      <w:r>
        <w:rPr>
          <w:spacing w:val="-3"/>
          <w:sz w:val="24"/>
          <w:szCs w:val="24"/>
        </w:rPr>
        <w:t>P</w:t>
      </w:r>
      <w:r w:rsidR="003D0248">
        <w:rPr>
          <w:spacing w:val="-3"/>
          <w:sz w:val="24"/>
          <w:szCs w:val="24"/>
        </w:rPr>
        <w:t>PL Electric Utilities Corporation</w:t>
      </w:r>
      <w:r w:rsidR="00F936E1" w:rsidRPr="00F538B7">
        <w:rPr>
          <w:spacing w:val="-3"/>
          <w:sz w:val="24"/>
          <w:szCs w:val="24"/>
        </w:rPr>
        <w:tab/>
      </w:r>
      <w:r w:rsidR="00F936E1" w:rsidRPr="00F538B7">
        <w:rPr>
          <w:spacing w:val="-3"/>
          <w:sz w:val="24"/>
          <w:szCs w:val="24"/>
        </w:rPr>
        <w:tab/>
      </w:r>
      <w:r w:rsidR="00F936E1" w:rsidRPr="00F538B7">
        <w:rPr>
          <w:spacing w:val="-3"/>
          <w:sz w:val="24"/>
          <w:szCs w:val="24"/>
        </w:rPr>
        <w:tab/>
        <w:t>:</w:t>
      </w:r>
    </w:p>
    <w:p w:rsidR="00F936E1" w:rsidRPr="00F538B7" w:rsidRDefault="00F936E1" w:rsidP="00D70A06">
      <w:pPr>
        <w:tabs>
          <w:tab w:val="left" w:pos="-1440"/>
          <w:tab w:val="left" w:pos="-720"/>
        </w:tabs>
        <w:suppressAutoHyphens/>
        <w:rPr>
          <w:spacing w:val="-3"/>
          <w:sz w:val="24"/>
          <w:szCs w:val="24"/>
        </w:rPr>
      </w:pPr>
    </w:p>
    <w:p w:rsidR="00F936E1" w:rsidRDefault="00F936E1" w:rsidP="00D70A06">
      <w:pPr>
        <w:tabs>
          <w:tab w:val="left" w:pos="-1440"/>
          <w:tab w:val="left" w:pos="-720"/>
        </w:tabs>
        <w:suppressAutoHyphens/>
        <w:rPr>
          <w:spacing w:val="-3"/>
          <w:sz w:val="24"/>
          <w:szCs w:val="24"/>
        </w:rPr>
      </w:pPr>
    </w:p>
    <w:p w:rsidR="00321C57" w:rsidRPr="00F538B7" w:rsidRDefault="00321C57" w:rsidP="00D70A06">
      <w:pPr>
        <w:tabs>
          <w:tab w:val="left" w:pos="-1440"/>
          <w:tab w:val="left" w:pos="-720"/>
        </w:tabs>
        <w:suppressAutoHyphens/>
        <w:rPr>
          <w:spacing w:val="-3"/>
          <w:sz w:val="24"/>
          <w:szCs w:val="24"/>
        </w:rPr>
      </w:pPr>
    </w:p>
    <w:p w:rsidR="00F936E1" w:rsidRPr="00F538B7" w:rsidRDefault="009029C3" w:rsidP="00D70A06">
      <w:pPr>
        <w:tabs>
          <w:tab w:val="center" w:pos="4680"/>
        </w:tabs>
        <w:suppressAutoHyphens/>
        <w:jc w:val="center"/>
        <w:rPr>
          <w:b/>
          <w:spacing w:val="-3"/>
          <w:sz w:val="24"/>
          <w:szCs w:val="24"/>
          <w:u w:val="single"/>
        </w:rPr>
      </w:pPr>
      <w:r>
        <w:rPr>
          <w:b/>
          <w:spacing w:val="-3"/>
          <w:sz w:val="24"/>
          <w:szCs w:val="24"/>
          <w:u w:val="single"/>
        </w:rPr>
        <w:t>ORDER DENYING PRELIMINARY OBJECTIONS</w:t>
      </w:r>
    </w:p>
    <w:p w:rsidR="00F936E1" w:rsidRPr="00F538B7" w:rsidRDefault="00F936E1" w:rsidP="00D70A06">
      <w:pPr>
        <w:tabs>
          <w:tab w:val="center" w:pos="4680"/>
        </w:tabs>
        <w:suppressAutoHyphens/>
        <w:jc w:val="center"/>
        <w:rPr>
          <w:b/>
          <w:spacing w:val="-3"/>
          <w:sz w:val="24"/>
          <w:szCs w:val="24"/>
        </w:rPr>
      </w:pPr>
    </w:p>
    <w:p w:rsidR="00F936E1" w:rsidRDefault="00F936E1" w:rsidP="00D70A06">
      <w:pPr>
        <w:tabs>
          <w:tab w:val="left" w:pos="-1440"/>
          <w:tab w:val="left" w:pos="-720"/>
        </w:tabs>
        <w:suppressAutoHyphens/>
        <w:ind w:firstLine="1440"/>
        <w:jc w:val="center"/>
        <w:rPr>
          <w:spacing w:val="-3"/>
          <w:sz w:val="24"/>
          <w:szCs w:val="24"/>
        </w:rPr>
      </w:pPr>
    </w:p>
    <w:p w:rsidR="00F936E1" w:rsidRPr="00F538B7" w:rsidRDefault="00F936E1" w:rsidP="00D70A06">
      <w:pPr>
        <w:tabs>
          <w:tab w:val="center" w:pos="4680"/>
        </w:tabs>
        <w:suppressAutoHyphens/>
        <w:jc w:val="center"/>
        <w:rPr>
          <w:spacing w:val="-3"/>
          <w:sz w:val="24"/>
          <w:szCs w:val="24"/>
          <w:u w:val="single"/>
        </w:rPr>
      </w:pPr>
      <w:r w:rsidRPr="00F538B7">
        <w:rPr>
          <w:spacing w:val="-3"/>
          <w:sz w:val="24"/>
          <w:szCs w:val="24"/>
          <w:u w:val="single"/>
        </w:rPr>
        <w:t>HISTORY OF THE PROCEEDING</w:t>
      </w:r>
    </w:p>
    <w:p w:rsidR="00F936E1" w:rsidRPr="00F538B7" w:rsidRDefault="00F936E1" w:rsidP="00D70A06">
      <w:pPr>
        <w:tabs>
          <w:tab w:val="center" w:pos="4680"/>
        </w:tabs>
        <w:suppressAutoHyphens/>
        <w:ind w:firstLine="1440"/>
        <w:rPr>
          <w:spacing w:val="-3"/>
          <w:sz w:val="24"/>
          <w:szCs w:val="24"/>
        </w:rPr>
      </w:pPr>
    </w:p>
    <w:p w:rsidR="00EA4BA4" w:rsidRDefault="00034B41" w:rsidP="00D70A06">
      <w:pPr>
        <w:spacing w:line="360" w:lineRule="auto"/>
        <w:rPr>
          <w:spacing w:val="-3"/>
          <w:sz w:val="24"/>
          <w:szCs w:val="24"/>
        </w:rPr>
      </w:pPr>
      <w:r>
        <w:rPr>
          <w:spacing w:val="-3"/>
          <w:sz w:val="24"/>
          <w:szCs w:val="24"/>
        </w:rPr>
        <w:tab/>
      </w:r>
      <w:r>
        <w:rPr>
          <w:spacing w:val="-3"/>
          <w:sz w:val="24"/>
          <w:szCs w:val="24"/>
        </w:rPr>
        <w:tab/>
        <w:t xml:space="preserve">On </w:t>
      </w:r>
      <w:r w:rsidR="003D0248">
        <w:rPr>
          <w:spacing w:val="-3"/>
          <w:sz w:val="24"/>
          <w:szCs w:val="24"/>
        </w:rPr>
        <w:t>November 21</w:t>
      </w:r>
      <w:r w:rsidR="009029C3">
        <w:rPr>
          <w:spacing w:val="-3"/>
          <w:sz w:val="24"/>
          <w:szCs w:val="24"/>
        </w:rPr>
        <w:t>, 2016</w:t>
      </w:r>
      <w:r w:rsidR="00630C9D">
        <w:rPr>
          <w:rStyle w:val="FootnoteReference"/>
          <w:spacing w:val="-3"/>
          <w:sz w:val="24"/>
          <w:szCs w:val="24"/>
        </w:rPr>
        <w:footnoteReference w:id="1"/>
      </w:r>
      <w:r>
        <w:rPr>
          <w:spacing w:val="-3"/>
          <w:sz w:val="24"/>
          <w:szCs w:val="24"/>
        </w:rPr>
        <w:t xml:space="preserve">, </w:t>
      </w:r>
      <w:r w:rsidR="003D0248">
        <w:rPr>
          <w:spacing w:val="-3"/>
          <w:sz w:val="24"/>
          <w:szCs w:val="24"/>
        </w:rPr>
        <w:t>J. Jude</w:t>
      </w:r>
      <w:r w:rsidR="009029C3">
        <w:rPr>
          <w:spacing w:val="-3"/>
          <w:sz w:val="24"/>
          <w:szCs w:val="24"/>
        </w:rPr>
        <w:t xml:space="preserve"> Bervinchak</w:t>
      </w:r>
      <w:r>
        <w:rPr>
          <w:spacing w:val="-3"/>
          <w:sz w:val="24"/>
          <w:szCs w:val="24"/>
        </w:rPr>
        <w:t xml:space="preserve"> (Complainant) filed a formal Complaint with</w:t>
      </w:r>
      <w:r w:rsidR="009029C3">
        <w:rPr>
          <w:spacing w:val="-3"/>
          <w:sz w:val="24"/>
          <w:szCs w:val="24"/>
        </w:rPr>
        <w:t xml:space="preserve"> </w:t>
      </w:r>
      <w:r>
        <w:rPr>
          <w:spacing w:val="-3"/>
          <w:sz w:val="24"/>
          <w:szCs w:val="24"/>
        </w:rPr>
        <w:t>the Pennsylvania Public Utility Commission (Commission) against P</w:t>
      </w:r>
      <w:r w:rsidR="009029C3">
        <w:rPr>
          <w:spacing w:val="-3"/>
          <w:sz w:val="24"/>
          <w:szCs w:val="24"/>
        </w:rPr>
        <w:t xml:space="preserve">PL Electric Utilities Corporation </w:t>
      </w:r>
      <w:r>
        <w:rPr>
          <w:spacing w:val="-3"/>
          <w:sz w:val="24"/>
          <w:szCs w:val="24"/>
        </w:rPr>
        <w:t xml:space="preserve">(Respondent) </w:t>
      </w:r>
      <w:r w:rsidR="009029C3">
        <w:rPr>
          <w:spacing w:val="-3"/>
          <w:sz w:val="24"/>
          <w:szCs w:val="24"/>
        </w:rPr>
        <w:t>requesting PPL be enjoined from installing a smart meter on h</w:t>
      </w:r>
      <w:r w:rsidR="003D0248">
        <w:rPr>
          <w:spacing w:val="-3"/>
          <w:sz w:val="24"/>
          <w:szCs w:val="24"/>
        </w:rPr>
        <w:t>is</w:t>
      </w:r>
      <w:r w:rsidR="009029C3">
        <w:rPr>
          <w:spacing w:val="-3"/>
          <w:sz w:val="24"/>
          <w:szCs w:val="24"/>
        </w:rPr>
        <w:t xml:space="preserve"> property and that Respondent be directed to place an analog meter on </w:t>
      </w:r>
      <w:r w:rsidR="003D0248">
        <w:rPr>
          <w:spacing w:val="-3"/>
          <w:sz w:val="24"/>
          <w:szCs w:val="24"/>
        </w:rPr>
        <w:t>his</w:t>
      </w:r>
      <w:r w:rsidR="009029C3">
        <w:rPr>
          <w:spacing w:val="-3"/>
          <w:sz w:val="24"/>
          <w:szCs w:val="24"/>
        </w:rPr>
        <w:t xml:space="preserve"> home instead</w:t>
      </w:r>
      <w:r>
        <w:rPr>
          <w:spacing w:val="-3"/>
          <w:sz w:val="24"/>
          <w:szCs w:val="24"/>
        </w:rPr>
        <w:t>.</w:t>
      </w:r>
      <w:r w:rsidR="009029C3">
        <w:rPr>
          <w:spacing w:val="-3"/>
          <w:sz w:val="24"/>
          <w:szCs w:val="24"/>
        </w:rPr>
        <w:t xml:space="preserve">  </w:t>
      </w:r>
      <w:r>
        <w:rPr>
          <w:spacing w:val="-3"/>
          <w:sz w:val="24"/>
          <w:szCs w:val="24"/>
        </w:rPr>
        <w:t xml:space="preserve">  </w:t>
      </w:r>
      <w:r w:rsidR="009029C3">
        <w:rPr>
          <w:spacing w:val="-3"/>
          <w:sz w:val="24"/>
          <w:szCs w:val="24"/>
        </w:rPr>
        <w:t xml:space="preserve">Additionally, Complainant requested Respondent be precluded from threatening </w:t>
      </w:r>
      <w:r w:rsidR="00EA4BA4">
        <w:rPr>
          <w:spacing w:val="-3"/>
          <w:sz w:val="24"/>
          <w:szCs w:val="24"/>
        </w:rPr>
        <w:t xml:space="preserve">or actually terminating </w:t>
      </w:r>
      <w:r w:rsidR="009029C3">
        <w:rPr>
          <w:spacing w:val="-3"/>
          <w:sz w:val="24"/>
          <w:szCs w:val="24"/>
        </w:rPr>
        <w:t xml:space="preserve">Complainant’s </w:t>
      </w:r>
      <w:r w:rsidR="00EA4BA4">
        <w:rPr>
          <w:spacing w:val="-3"/>
          <w:sz w:val="24"/>
          <w:szCs w:val="24"/>
        </w:rPr>
        <w:t xml:space="preserve">electric </w:t>
      </w:r>
      <w:r w:rsidR="009029C3">
        <w:rPr>
          <w:spacing w:val="-3"/>
          <w:sz w:val="24"/>
          <w:szCs w:val="24"/>
        </w:rPr>
        <w:t>service for refusing a smart meter installation.</w:t>
      </w:r>
      <w:r w:rsidR="00EA4BA4">
        <w:rPr>
          <w:spacing w:val="-3"/>
          <w:sz w:val="24"/>
          <w:szCs w:val="24"/>
        </w:rPr>
        <w:t xml:space="preserve">  </w:t>
      </w:r>
    </w:p>
    <w:p w:rsidR="00493C6F" w:rsidRDefault="00493C6F" w:rsidP="00D70A06">
      <w:pPr>
        <w:spacing w:line="360" w:lineRule="auto"/>
        <w:rPr>
          <w:spacing w:val="-3"/>
          <w:sz w:val="24"/>
          <w:szCs w:val="24"/>
        </w:rPr>
      </w:pPr>
    </w:p>
    <w:p w:rsidR="001A5FB1" w:rsidRPr="001A5FB1" w:rsidRDefault="004C42DD" w:rsidP="00D70A06">
      <w:pPr>
        <w:spacing w:line="360" w:lineRule="auto"/>
        <w:rPr>
          <w:spacing w:val="-3"/>
          <w:sz w:val="24"/>
          <w:szCs w:val="24"/>
        </w:rPr>
      </w:pPr>
      <w:r>
        <w:rPr>
          <w:spacing w:val="-3"/>
          <w:sz w:val="24"/>
          <w:szCs w:val="24"/>
        </w:rPr>
        <w:tab/>
      </w:r>
      <w:r>
        <w:rPr>
          <w:spacing w:val="-3"/>
          <w:sz w:val="24"/>
          <w:szCs w:val="24"/>
        </w:rPr>
        <w:tab/>
      </w:r>
      <w:r w:rsidR="0094208F" w:rsidRPr="00F538B7">
        <w:rPr>
          <w:spacing w:val="-3"/>
          <w:sz w:val="24"/>
          <w:szCs w:val="24"/>
        </w:rPr>
        <w:t xml:space="preserve">On </w:t>
      </w:r>
      <w:r w:rsidR="003D0248">
        <w:rPr>
          <w:spacing w:val="-3"/>
          <w:sz w:val="24"/>
          <w:szCs w:val="24"/>
        </w:rPr>
        <w:t>December 19</w:t>
      </w:r>
      <w:r w:rsidR="00EA4BA4">
        <w:rPr>
          <w:spacing w:val="-3"/>
          <w:sz w:val="24"/>
          <w:szCs w:val="24"/>
        </w:rPr>
        <w:t xml:space="preserve">, 2016, </w:t>
      </w:r>
      <w:r w:rsidR="004C409D" w:rsidRPr="00F538B7">
        <w:rPr>
          <w:spacing w:val="-3"/>
          <w:sz w:val="24"/>
          <w:szCs w:val="24"/>
        </w:rPr>
        <w:t xml:space="preserve">the </w:t>
      </w:r>
      <w:r w:rsidR="00CB3587">
        <w:rPr>
          <w:spacing w:val="-3"/>
          <w:sz w:val="24"/>
          <w:szCs w:val="24"/>
        </w:rPr>
        <w:t>R</w:t>
      </w:r>
      <w:r w:rsidR="001A5FB1">
        <w:rPr>
          <w:spacing w:val="-3"/>
          <w:sz w:val="24"/>
          <w:szCs w:val="24"/>
        </w:rPr>
        <w:t>espondent</w:t>
      </w:r>
      <w:r w:rsidR="00EA4BA4">
        <w:rPr>
          <w:spacing w:val="-3"/>
          <w:sz w:val="24"/>
          <w:szCs w:val="24"/>
        </w:rPr>
        <w:t xml:space="preserve"> filed an Answer and Preliminary Objections</w:t>
      </w:r>
      <w:r w:rsidR="001A5FB1">
        <w:rPr>
          <w:spacing w:val="-3"/>
          <w:sz w:val="24"/>
          <w:szCs w:val="24"/>
        </w:rPr>
        <w:t xml:space="preserve">. </w:t>
      </w:r>
      <w:r w:rsidR="003D0248">
        <w:rPr>
          <w:spacing w:val="-3"/>
          <w:sz w:val="24"/>
          <w:szCs w:val="24"/>
        </w:rPr>
        <w:t xml:space="preserve"> </w:t>
      </w:r>
      <w:r w:rsidR="001A5FB1">
        <w:rPr>
          <w:spacing w:val="-3"/>
          <w:sz w:val="24"/>
          <w:szCs w:val="24"/>
        </w:rPr>
        <w:t>The A</w:t>
      </w:r>
      <w:r w:rsidR="001A5FB1" w:rsidRPr="001A5FB1">
        <w:rPr>
          <w:spacing w:val="-3"/>
          <w:sz w:val="24"/>
          <w:szCs w:val="24"/>
        </w:rPr>
        <w:t>nswer admits that the Respondent provides electric service to the Complainan</w:t>
      </w:r>
      <w:r w:rsidR="00CB3587">
        <w:rPr>
          <w:spacing w:val="-3"/>
          <w:sz w:val="24"/>
          <w:szCs w:val="24"/>
        </w:rPr>
        <w:t>t at the address shown on the C</w:t>
      </w:r>
      <w:r w:rsidR="001A5FB1" w:rsidRPr="001A5FB1">
        <w:rPr>
          <w:spacing w:val="-3"/>
          <w:sz w:val="24"/>
          <w:szCs w:val="24"/>
        </w:rPr>
        <w:t>om</w:t>
      </w:r>
      <w:r w:rsidR="001A5FB1">
        <w:rPr>
          <w:spacing w:val="-3"/>
          <w:sz w:val="24"/>
          <w:szCs w:val="24"/>
        </w:rPr>
        <w:t>plaint.  The A</w:t>
      </w:r>
      <w:r w:rsidR="001A5FB1" w:rsidRPr="001A5FB1">
        <w:rPr>
          <w:spacing w:val="-3"/>
          <w:sz w:val="24"/>
          <w:szCs w:val="24"/>
        </w:rPr>
        <w:t xml:space="preserve">nswer contends that the Respondent is required to install </w:t>
      </w:r>
      <w:r w:rsidR="00EA4BA4">
        <w:rPr>
          <w:spacing w:val="-3"/>
          <w:sz w:val="24"/>
          <w:szCs w:val="24"/>
        </w:rPr>
        <w:t xml:space="preserve">the </w:t>
      </w:r>
      <w:r w:rsidR="00CB3587">
        <w:rPr>
          <w:spacing w:val="-3"/>
          <w:sz w:val="24"/>
          <w:szCs w:val="24"/>
        </w:rPr>
        <w:t>smart</w:t>
      </w:r>
      <w:r w:rsidR="001A5FB1">
        <w:rPr>
          <w:spacing w:val="-3"/>
          <w:sz w:val="24"/>
          <w:szCs w:val="24"/>
        </w:rPr>
        <w:t xml:space="preserve"> </w:t>
      </w:r>
      <w:r w:rsidR="001A5FB1" w:rsidRPr="001A5FB1">
        <w:rPr>
          <w:spacing w:val="-3"/>
          <w:sz w:val="24"/>
          <w:szCs w:val="24"/>
        </w:rPr>
        <w:t>meter</w:t>
      </w:r>
      <w:r w:rsidR="00EA4BA4">
        <w:rPr>
          <w:spacing w:val="-3"/>
          <w:sz w:val="24"/>
          <w:szCs w:val="24"/>
        </w:rPr>
        <w:t xml:space="preserve"> at Complainant’s property</w:t>
      </w:r>
      <w:r w:rsidR="001A5FB1" w:rsidRPr="001A5FB1">
        <w:rPr>
          <w:spacing w:val="-3"/>
          <w:sz w:val="24"/>
          <w:szCs w:val="24"/>
        </w:rPr>
        <w:t xml:space="preserve"> </w:t>
      </w:r>
      <w:r w:rsidR="00493C6F">
        <w:rPr>
          <w:spacing w:val="-3"/>
          <w:sz w:val="24"/>
          <w:szCs w:val="24"/>
        </w:rPr>
        <w:t>subject to the requirements of Act 129</w:t>
      </w:r>
      <w:r w:rsidR="001A5FB1" w:rsidRPr="001A5FB1">
        <w:rPr>
          <w:spacing w:val="-3"/>
          <w:sz w:val="24"/>
          <w:szCs w:val="24"/>
        </w:rPr>
        <w:t xml:space="preserve"> and that it has the right to terminate service for failure of the customer to permit access to the meter.</w:t>
      </w:r>
    </w:p>
    <w:p w:rsidR="001A5FB1" w:rsidRPr="001A5FB1" w:rsidRDefault="001A5FB1" w:rsidP="00D70A06">
      <w:pPr>
        <w:spacing w:line="360" w:lineRule="auto"/>
        <w:rPr>
          <w:spacing w:val="-3"/>
          <w:sz w:val="24"/>
          <w:szCs w:val="24"/>
        </w:rPr>
      </w:pPr>
    </w:p>
    <w:p w:rsidR="001A5FB1" w:rsidRPr="001A5FB1" w:rsidRDefault="001A5FB1" w:rsidP="00D70A06">
      <w:pPr>
        <w:spacing w:line="360" w:lineRule="auto"/>
        <w:rPr>
          <w:spacing w:val="-3"/>
          <w:sz w:val="24"/>
          <w:szCs w:val="24"/>
        </w:rPr>
      </w:pPr>
      <w:r>
        <w:rPr>
          <w:spacing w:val="-3"/>
          <w:sz w:val="24"/>
          <w:szCs w:val="24"/>
        </w:rPr>
        <w:tab/>
      </w:r>
      <w:r>
        <w:rPr>
          <w:spacing w:val="-3"/>
          <w:sz w:val="24"/>
          <w:szCs w:val="24"/>
        </w:rPr>
        <w:tab/>
        <w:t>The Preliminary Objections contend that the C</w:t>
      </w:r>
      <w:r w:rsidRPr="001A5FB1">
        <w:rPr>
          <w:spacing w:val="-3"/>
          <w:sz w:val="24"/>
          <w:szCs w:val="24"/>
        </w:rPr>
        <w:t>om</w:t>
      </w:r>
      <w:r>
        <w:rPr>
          <w:spacing w:val="-3"/>
          <w:sz w:val="24"/>
          <w:szCs w:val="24"/>
        </w:rPr>
        <w:t xml:space="preserve">plaint is legally insufficient </w:t>
      </w:r>
      <w:r w:rsidRPr="001A5FB1">
        <w:rPr>
          <w:spacing w:val="-3"/>
          <w:sz w:val="24"/>
          <w:szCs w:val="24"/>
        </w:rPr>
        <w:t>pursuant to 52 Pa.Code § 5.101</w:t>
      </w:r>
      <w:r>
        <w:rPr>
          <w:spacing w:val="-3"/>
          <w:sz w:val="24"/>
          <w:szCs w:val="24"/>
        </w:rPr>
        <w:t>(a</w:t>
      </w:r>
      <w:proofErr w:type="gramStart"/>
      <w:r>
        <w:rPr>
          <w:spacing w:val="-3"/>
          <w:sz w:val="24"/>
          <w:szCs w:val="24"/>
        </w:rPr>
        <w:t>)(</w:t>
      </w:r>
      <w:proofErr w:type="gramEnd"/>
      <w:r>
        <w:rPr>
          <w:spacing w:val="-3"/>
          <w:sz w:val="24"/>
          <w:szCs w:val="24"/>
        </w:rPr>
        <w:t>4).  The Preliminary O</w:t>
      </w:r>
      <w:r w:rsidRPr="001A5FB1">
        <w:rPr>
          <w:spacing w:val="-3"/>
          <w:sz w:val="24"/>
          <w:szCs w:val="24"/>
        </w:rPr>
        <w:t xml:space="preserve">bjections assert that the Respondent is installing smart meters in compliance with Act 129 of </w:t>
      </w:r>
      <w:r w:rsidR="00CB3587">
        <w:rPr>
          <w:spacing w:val="-3"/>
          <w:sz w:val="24"/>
          <w:szCs w:val="24"/>
        </w:rPr>
        <w:t>2008 and the Commission’s order</w:t>
      </w:r>
      <w:r w:rsidRPr="001A5FB1">
        <w:rPr>
          <w:spacing w:val="-3"/>
          <w:sz w:val="24"/>
          <w:szCs w:val="24"/>
        </w:rPr>
        <w:t xml:space="preserve"> approving </w:t>
      </w:r>
      <w:r w:rsidRPr="001A5FB1">
        <w:rPr>
          <w:spacing w:val="-3"/>
          <w:sz w:val="24"/>
          <w:szCs w:val="24"/>
        </w:rPr>
        <w:lastRenderedPageBreak/>
        <w:t>the Respondent’s smart meter procurement and installation plan.</w:t>
      </w:r>
      <w:r w:rsidR="00197564">
        <w:rPr>
          <w:spacing w:val="-3"/>
          <w:sz w:val="24"/>
          <w:szCs w:val="24"/>
        </w:rPr>
        <w:t xml:space="preserve">  The Preliminary O</w:t>
      </w:r>
      <w:r w:rsidRPr="001A5FB1">
        <w:rPr>
          <w:spacing w:val="-3"/>
          <w:sz w:val="24"/>
          <w:szCs w:val="24"/>
        </w:rPr>
        <w:t xml:space="preserve">bjections further assert that </w:t>
      </w:r>
      <w:r w:rsidR="000D4485">
        <w:rPr>
          <w:spacing w:val="-3"/>
          <w:sz w:val="24"/>
          <w:szCs w:val="24"/>
        </w:rPr>
        <w:t xml:space="preserve">there is no “opt out” provision for Complainant under the law; therefore, the Commission cannot grant the relief requested.  </w:t>
      </w:r>
      <w:r w:rsidR="00B473D2">
        <w:rPr>
          <w:spacing w:val="-3"/>
          <w:sz w:val="24"/>
          <w:szCs w:val="24"/>
        </w:rPr>
        <w:t xml:space="preserve">  </w:t>
      </w:r>
    </w:p>
    <w:p w:rsidR="001A5FB1" w:rsidRPr="001A5FB1" w:rsidRDefault="001A5FB1" w:rsidP="00D70A06">
      <w:pPr>
        <w:spacing w:line="360" w:lineRule="auto"/>
        <w:rPr>
          <w:spacing w:val="-3"/>
          <w:sz w:val="24"/>
          <w:szCs w:val="24"/>
        </w:rPr>
      </w:pPr>
    </w:p>
    <w:p w:rsidR="001A5FB1" w:rsidRDefault="00197564" w:rsidP="00D70A06">
      <w:pPr>
        <w:spacing w:line="360" w:lineRule="auto"/>
        <w:rPr>
          <w:spacing w:val="-3"/>
          <w:sz w:val="24"/>
          <w:szCs w:val="24"/>
        </w:rPr>
      </w:pPr>
      <w:r>
        <w:rPr>
          <w:spacing w:val="-3"/>
          <w:sz w:val="24"/>
          <w:szCs w:val="24"/>
        </w:rPr>
        <w:tab/>
      </w:r>
      <w:r>
        <w:rPr>
          <w:spacing w:val="-3"/>
          <w:sz w:val="24"/>
          <w:szCs w:val="24"/>
        </w:rPr>
        <w:tab/>
      </w:r>
      <w:r w:rsidR="00CB3587">
        <w:rPr>
          <w:spacing w:val="-3"/>
          <w:sz w:val="24"/>
          <w:szCs w:val="24"/>
        </w:rPr>
        <w:t>The P</w:t>
      </w:r>
      <w:r w:rsidR="001A5FB1" w:rsidRPr="001A5FB1">
        <w:rPr>
          <w:spacing w:val="-3"/>
          <w:sz w:val="24"/>
          <w:szCs w:val="24"/>
        </w:rPr>
        <w:t>reli</w:t>
      </w:r>
      <w:r w:rsidR="00CB3587">
        <w:rPr>
          <w:spacing w:val="-3"/>
          <w:sz w:val="24"/>
          <w:szCs w:val="24"/>
        </w:rPr>
        <w:t>minary O</w:t>
      </w:r>
      <w:r w:rsidR="001A5FB1" w:rsidRPr="001A5FB1">
        <w:rPr>
          <w:spacing w:val="-3"/>
          <w:sz w:val="24"/>
          <w:szCs w:val="24"/>
        </w:rPr>
        <w:t>bjections contend that no genuine issues of fact are present and the Respondent is entitled to judgment as a matter of law.</w:t>
      </w:r>
      <w:r w:rsidR="00CB3587">
        <w:rPr>
          <w:spacing w:val="-3"/>
          <w:sz w:val="24"/>
          <w:szCs w:val="24"/>
        </w:rPr>
        <w:t xml:space="preserve">  The Preliminary O</w:t>
      </w:r>
      <w:r w:rsidR="001A5FB1" w:rsidRPr="001A5FB1">
        <w:rPr>
          <w:spacing w:val="-3"/>
          <w:sz w:val="24"/>
          <w:szCs w:val="24"/>
        </w:rPr>
        <w:t>bjections request that the Commission dismiss all issues raised in the complaint</w:t>
      </w:r>
      <w:r w:rsidR="00B473D2">
        <w:rPr>
          <w:spacing w:val="-3"/>
          <w:sz w:val="24"/>
          <w:szCs w:val="24"/>
        </w:rPr>
        <w:t xml:space="preserve"> with prejudice</w:t>
      </w:r>
      <w:r w:rsidR="001A5FB1" w:rsidRPr="001A5FB1">
        <w:rPr>
          <w:spacing w:val="-3"/>
          <w:sz w:val="24"/>
          <w:szCs w:val="24"/>
        </w:rPr>
        <w:t xml:space="preserve">. </w:t>
      </w:r>
    </w:p>
    <w:p w:rsidR="00612C2C" w:rsidRDefault="00612C2C" w:rsidP="00D70A06">
      <w:pPr>
        <w:spacing w:line="360" w:lineRule="auto"/>
        <w:rPr>
          <w:spacing w:val="-3"/>
          <w:sz w:val="24"/>
          <w:szCs w:val="24"/>
        </w:rPr>
      </w:pPr>
    </w:p>
    <w:p w:rsidR="000D4485" w:rsidRDefault="00612C2C" w:rsidP="00D70A06">
      <w:pPr>
        <w:spacing w:line="360" w:lineRule="auto"/>
        <w:rPr>
          <w:spacing w:val="-3"/>
          <w:sz w:val="24"/>
          <w:szCs w:val="24"/>
        </w:rPr>
      </w:pPr>
      <w:r>
        <w:rPr>
          <w:spacing w:val="-3"/>
          <w:sz w:val="24"/>
          <w:szCs w:val="24"/>
        </w:rPr>
        <w:tab/>
      </w:r>
      <w:r w:rsidR="00197564">
        <w:rPr>
          <w:spacing w:val="-3"/>
          <w:sz w:val="24"/>
          <w:szCs w:val="24"/>
        </w:rPr>
        <w:tab/>
      </w:r>
      <w:r w:rsidR="00B473D2">
        <w:rPr>
          <w:spacing w:val="-3"/>
          <w:sz w:val="24"/>
          <w:szCs w:val="24"/>
        </w:rPr>
        <w:t xml:space="preserve">On </w:t>
      </w:r>
      <w:r w:rsidR="000D4485">
        <w:rPr>
          <w:spacing w:val="-3"/>
          <w:sz w:val="24"/>
          <w:szCs w:val="24"/>
        </w:rPr>
        <w:t xml:space="preserve">December 27, 2017, </w:t>
      </w:r>
      <w:r w:rsidR="00B473D2">
        <w:rPr>
          <w:spacing w:val="-3"/>
          <w:sz w:val="24"/>
          <w:szCs w:val="24"/>
        </w:rPr>
        <w:t xml:space="preserve">Complainant </w:t>
      </w:r>
      <w:r w:rsidR="000D4485">
        <w:rPr>
          <w:spacing w:val="-3"/>
          <w:sz w:val="24"/>
          <w:szCs w:val="24"/>
        </w:rPr>
        <w:t xml:space="preserve">attempted to </w:t>
      </w:r>
      <w:r w:rsidR="00B473D2">
        <w:rPr>
          <w:spacing w:val="-3"/>
          <w:sz w:val="24"/>
          <w:szCs w:val="24"/>
        </w:rPr>
        <w:t>file a response to the Preliminary Objections</w:t>
      </w:r>
      <w:r w:rsidR="000D4485">
        <w:rPr>
          <w:spacing w:val="-3"/>
          <w:sz w:val="24"/>
          <w:szCs w:val="24"/>
        </w:rPr>
        <w:t xml:space="preserve">; however, this filing was rejected by the Secretary’s Bureau for failure to have an original signature on it.  The response was then successfully filed on January 6, 2017.  In it Complainant avers in support of his Complaint that smart meters can cause people to develop electrohypersensitivity (EHS).  He further avers that his sister, Donna L. Bervinchak, suffers from EHS and he has concerns for her safety and health while she visits his residence as well as himself and others. </w:t>
      </w:r>
    </w:p>
    <w:p w:rsidR="000D4485" w:rsidRDefault="000D4485" w:rsidP="00D70A06">
      <w:pPr>
        <w:spacing w:line="360" w:lineRule="auto"/>
        <w:rPr>
          <w:spacing w:val="-3"/>
          <w:sz w:val="24"/>
          <w:szCs w:val="24"/>
        </w:rPr>
      </w:pPr>
    </w:p>
    <w:p w:rsidR="00F15449" w:rsidRPr="00F538B7" w:rsidRDefault="00B473D2" w:rsidP="00D70A06">
      <w:pPr>
        <w:spacing w:line="360" w:lineRule="auto"/>
        <w:rPr>
          <w:spacing w:val="-3"/>
          <w:sz w:val="24"/>
          <w:szCs w:val="24"/>
        </w:rPr>
      </w:pPr>
      <w:r>
        <w:rPr>
          <w:spacing w:val="-3"/>
          <w:sz w:val="24"/>
          <w:szCs w:val="24"/>
        </w:rPr>
        <w:t xml:space="preserve"> </w:t>
      </w:r>
      <w:r w:rsidR="000D4485">
        <w:rPr>
          <w:spacing w:val="-3"/>
          <w:sz w:val="24"/>
          <w:szCs w:val="24"/>
        </w:rPr>
        <w:tab/>
      </w:r>
      <w:r w:rsidR="000D4485">
        <w:rPr>
          <w:spacing w:val="-3"/>
          <w:sz w:val="24"/>
          <w:szCs w:val="24"/>
        </w:rPr>
        <w:tab/>
        <w:t xml:space="preserve">Donna </w:t>
      </w:r>
      <w:proofErr w:type="spellStart"/>
      <w:r w:rsidR="000D4485">
        <w:rPr>
          <w:spacing w:val="-3"/>
          <w:sz w:val="24"/>
          <w:szCs w:val="24"/>
        </w:rPr>
        <w:t>Bervinchack</w:t>
      </w:r>
      <w:proofErr w:type="spellEnd"/>
      <w:r w:rsidR="000D4485">
        <w:rPr>
          <w:spacing w:val="-3"/>
          <w:sz w:val="24"/>
          <w:szCs w:val="24"/>
        </w:rPr>
        <w:t xml:space="preserve"> has filed a separate Complaint requesting similar relief at her premises at Docket No. </w:t>
      </w:r>
      <w:proofErr w:type="gramStart"/>
      <w:r w:rsidR="000D4485">
        <w:rPr>
          <w:spacing w:val="-3"/>
          <w:sz w:val="24"/>
          <w:szCs w:val="24"/>
        </w:rPr>
        <w:t>C-2016-2572824.</w:t>
      </w:r>
      <w:proofErr w:type="gramEnd"/>
      <w:r w:rsidR="000D4485">
        <w:rPr>
          <w:spacing w:val="-3"/>
          <w:sz w:val="24"/>
          <w:szCs w:val="24"/>
        </w:rPr>
        <w:t xml:space="preserve">   I am the presiding officer in that case as well.  Ms. </w:t>
      </w:r>
      <w:proofErr w:type="spellStart"/>
      <w:r w:rsidR="000D4485">
        <w:rPr>
          <w:spacing w:val="-3"/>
          <w:sz w:val="24"/>
          <w:szCs w:val="24"/>
        </w:rPr>
        <w:t>Bervinchack</w:t>
      </w:r>
      <w:proofErr w:type="spellEnd"/>
      <w:r w:rsidR="000D4485">
        <w:rPr>
          <w:spacing w:val="-3"/>
          <w:sz w:val="24"/>
          <w:szCs w:val="24"/>
        </w:rPr>
        <w:t xml:space="preserve"> is </w:t>
      </w:r>
      <w:r>
        <w:rPr>
          <w:spacing w:val="-3"/>
          <w:sz w:val="24"/>
          <w:szCs w:val="24"/>
        </w:rPr>
        <w:t xml:space="preserve">arguing she had developed electrohypersensitivity (EHS) while living with a smart meter on her apartment in San Francisco, CA from October 2011 – February, 2012.  </w:t>
      </w:r>
      <w:r w:rsidR="00197564" w:rsidRPr="00197564">
        <w:rPr>
          <w:spacing w:val="-3"/>
          <w:sz w:val="24"/>
          <w:szCs w:val="24"/>
        </w:rPr>
        <w:t xml:space="preserve">By notice dated </w:t>
      </w:r>
      <w:r w:rsidR="00612C2C">
        <w:rPr>
          <w:spacing w:val="-3"/>
          <w:sz w:val="24"/>
          <w:szCs w:val="24"/>
        </w:rPr>
        <w:t xml:space="preserve">May </w:t>
      </w:r>
      <w:r w:rsidR="00EA4BA4">
        <w:rPr>
          <w:spacing w:val="-3"/>
          <w:sz w:val="24"/>
          <w:szCs w:val="24"/>
        </w:rPr>
        <w:t>17</w:t>
      </w:r>
      <w:r w:rsidR="00612C2C">
        <w:rPr>
          <w:spacing w:val="-3"/>
          <w:sz w:val="24"/>
          <w:szCs w:val="24"/>
        </w:rPr>
        <w:t>, 201</w:t>
      </w:r>
      <w:r w:rsidR="00EA4BA4">
        <w:rPr>
          <w:spacing w:val="-3"/>
          <w:sz w:val="24"/>
          <w:szCs w:val="24"/>
        </w:rPr>
        <w:t>7</w:t>
      </w:r>
      <w:r w:rsidR="00197564" w:rsidRPr="00197564">
        <w:rPr>
          <w:spacing w:val="-3"/>
          <w:sz w:val="24"/>
          <w:szCs w:val="24"/>
        </w:rPr>
        <w:t xml:space="preserve">, the Commission notified the parties that it had assigned </w:t>
      </w:r>
      <w:r w:rsidR="000D4485">
        <w:rPr>
          <w:spacing w:val="-3"/>
          <w:sz w:val="24"/>
          <w:szCs w:val="24"/>
        </w:rPr>
        <w:t xml:space="preserve">Docket No. </w:t>
      </w:r>
      <w:proofErr w:type="gramStart"/>
      <w:r w:rsidR="000D4485">
        <w:rPr>
          <w:spacing w:val="-3"/>
          <w:sz w:val="24"/>
          <w:szCs w:val="24"/>
        </w:rPr>
        <w:t xml:space="preserve">C-2016-2572824 and C-2016-2577527 </w:t>
      </w:r>
      <w:r w:rsidR="00197564" w:rsidRPr="00197564">
        <w:rPr>
          <w:spacing w:val="-3"/>
          <w:sz w:val="24"/>
          <w:szCs w:val="24"/>
        </w:rPr>
        <w:t>to me as motion judge.</w:t>
      </w:r>
      <w:proofErr w:type="gramEnd"/>
      <w:r w:rsidR="00197564" w:rsidRPr="00197564">
        <w:rPr>
          <w:spacing w:val="-3"/>
          <w:sz w:val="24"/>
          <w:szCs w:val="24"/>
        </w:rPr>
        <w:t xml:space="preserve"> </w:t>
      </w:r>
      <w:r w:rsidR="000D4485">
        <w:rPr>
          <w:spacing w:val="-3"/>
          <w:sz w:val="24"/>
          <w:szCs w:val="24"/>
        </w:rPr>
        <w:t xml:space="preserve">  These cases have not been consolidated.</w:t>
      </w:r>
      <w:r w:rsidR="00197564" w:rsidRPr="00197564">
        <w:rPr>
          <w:spacing w:val="-3"/>
          <w:sz w:val="24"/>
          <w:szCs w:val="24"/>
        </w:rPr>
        <w:t xml:space="preserve"> </w:t>
      </w:r>
      <w:r w:rsidR="00B63C44" w:rsidRPr="00B63C44">
        <w:rPr>
          <w:spacing w:val="-3"/>
          <w:sz w:val="24"/>
          <w:szCs w:val="24"/>
        </w:rPr>
        <w:t>The Preliminary Objections are now ripe for a decision</w:t>
      </w:r>
      <w:r w:rsidR="00197564" w:rsidRPr="00197564">
        <w:rPr>
          <w:spacing w:val="-3"/>
          <w:sz w:val="24"/>
          <w:szCs w:val="24"/>
        </w:rPr>
        <w:t xml:space="preserve">.  For the reasons set forth below, I will </w:t>
      </w:r>
      <w:r w:rsidR="00EA4BA4">
        <w:rPr>
          <w:spacing w:val="-3"/>
          <w:sz w:val="24"/>
          <w:szCs w:val="24"/>
        </w:rPr>
        <w:t>deny</w:t>
      </w:r>
      <w:r w:rsidR="00197564" w:rsidRPr="00197564">
        <w:rPr>
          <w:spacing w:val="-3"/>
          <w:sz w:val="24"/>
          <w:szCs w:val="24"/>
        </w:rPr>
        <w:t xml:space="preserve"> </w:t>
      </w:r>
      <w:r w:rsidR="00B63C44">
        <w:rPr>
          <w:spacing w:val="-3"/>
          <w:sz w:val="24"/>
          <w:szCs w:val="24"/>
        </w:rPr>
        <w:t>the Preliminary O</w:t>
      </w:r>
      <w:r w:rsidR="00197564" w:rsidRPr="00197564">
        <w:rPr>
          <w:spacing w:val="-3"/>
          <w:sz w:val="24"/>
          <w:szCs w:val="24"/>
        </w:rPr>
        <w:t>bjections.</w:t>
      </w:r>
    </w:p>
    <w:p w:rsidR="00F15449" w:rsidRPr="00F538B7" w:rsidRDefault="00F15449" w:rsidP="00D70A06">
      <w:pPr>
        <w:spacing w:line="360" w:lineRule="auto"/>
        <w:rPr>
          <w:spacing w:val="-3"/>
          <w:sz w:val="24"/>
          <w:szCs w:val="24"/>
        </w:rPr>
      </w:pPr>
    </w:p>
    <w:p w:rsidR="00B61B76" w:rsidRPr="00F538B7" w:rsidRDefault="00B61B76" w:rsidP="00D70A06">
      <w:pPr>
        <w:spacing w:line="360" w:lineRule="auto"/>
        <w:jc w:val="center"/>
        <w:outlineLvl w:val="0"/>
        <w:rPr>
          <w:sz w:val="24"/>
          <w:szCs w:val="24"/>
          <w:u w:val="single"/>
        </w:rPr>
      </w:pPr>
      <w:r w:rsidRPr="00F538B7">
        <w:rPr>
          <w:sz w:val="24"/>
          <w:szCs w:val="24"/>
          <w:u w:val="single"/>
        </w:rPr>
        <w:t>DISCUSSION</w:t>
      </w:r>
    </w:p>
    <w:p w:rsidR="00B61B76" w:rsidRPr="00F538B7" w:rsidRDefault="00B61B76" w:rsidP="00D70A06">
      <w:pPr>
        <w:spacing w:line="360" w:lineRule="auto"/>
        <w:ind w:firstLine="1440"/>
        <w:outlineLvl w:val="0"/>
        <w:rPr>
          <w:sz w:val="24"/>
          <w:szCs w:val="24"/>
          <w:u w:val="single"/>
        </w:rPr>
      </w:pPr>
    </w:p>
    <w:p w:rsidR="0036156C" w:rsidRPr="00F538B7" w:rsidRDefault="0036156C" w:rsidP="00D70A06">
      <w:pPr>
        <w:spacing w:line="360" w:lineRule="auto"/>
        <w:rPr>
          <w:sz w:val="24"/>
          <w:szCs w:val="24"/>
        </w:rPr>
      </w:pPr>
      <w:r w:rsidRPr="00F538B7">
        <w:rPr>
          <w:sz w:val="24"/>
          <w:szCs w:val="24"/>
        </w:rPr>
        <w:tab/>
      </w:r>
      <w:r w:rsidR="00504517" w:rsidRPr="00F538B7">
        <w:rPr>
          <w:sz w:val="24"/>
          <w:szCs w:val="24"/>
        </w:rPr>
        <w:tab/>
      </w:r>
      <w:r w:rsidRPr="00F538B7">
        <w:rPr>
          <w:sz w:val="24"/>
          <w:szCs w:val="24"/>
        </w:rPr>
        <w:t xml:space="preserve">Preliminary objections are appropriate under Commission regulations.  </w:t>
      </w:r>
      <w:proofErr w:type="gramStart"/>
      <w:r w:rsidRPr="00F538B7">
        <w:rPr>
          <w:sz w:val="24"/>
          <w:szCs w:val="24"/>
        </w:rPr>
        <w:t>52 Pa. Code §5.101.</w:t>
      </w:r>
      <w:proofErr w:type="gramEnd"/>
      <w:r w:rsidRPr="00F538B7">
        <w:rPr>
          <w:sz w:val="24"/>
          <w:szCs w:val="24"/>
        </w:rPr>
        <w:t xml:space="preserve">  Commission preliminary objection practice is similar to Pennsylvania civil practice respecting the filing of preliminary objections.  </w:t>
      </w:r>
      <w:r w:rsidRPr="00F538B7">
        <w:rPr>
          <w:i/>
          <w:sz w:val="24"/>
          <w:szCs w:val="24"/>
        </w:rPr>
        <w:t xml:space="preserve">Equitable Small Transportation </w:t>
      </w:r>
      <w:r w:rsidRPr="00F538B7">
        <w:rPr>
          <w:i/>
          <w:sz w:val="24"/>
          <w:szCs w:val="24"/>
        </w:rPr>
        <w:lastRenderedPageBreak/>
        <w:t xml:space="preserve">Interveners v. Equitable Gas Company, </w:t>
      </w:r>
      <w:r w:rsidRPr="00F538B7">
        <w:rPr>
          <w:sz w:val="24"/>
          <w:szCs w:val="24"/>
        </w:rPr>
        <w:t xml:space="preserve">1994 Pa. PUC LEXIS 69, PUC Docket No. </w:t>
      </w:r>
      <w:r w:rsidR="00D70A06">
        <w:rPr>
          <w:sz w:val="24"/>
          <w:szCs w:val="24"/>
        </w:rPr>
        <w:br/>
      </w:r>
      <w:proofErr w:type="gramStart"/>
      <w:r w:rsidRPr="00F538B7">
        <w:rPr>
          <w:sz w:val="24"/>
          <w:szCs w:val="24"/>
        </w:rPr>
        <w:t>C-000935435 (July 18, 1994).</w:t>
      </w:r>
      <w:proofErr w:type="gramEnd"/>
    </w:p>
    <w:p w:rsidR="00422676" w:rsidRPr="00F538B7" w:rsidRDefault="00422676" w:rsidP="00D70A06">
      <w:pPr>
        <w:spacing w:line="360" w:lineRule="auto"/>
        <w:rPr>
          <w:sz w:val="24"/>
          <w:szCs w:val="24"/>
        </w:rPr>
      </w:pPr>
    </w:p>
    <w:p w:rsidR="0036156C" w:rsidRPr="00F538B7" w:rsidRDefault="00504517" w:rsidP="00D70A06">
      <w:pPr>
        <w:spacing w:line="360" w:lineRule="auto"/>
        <w:ind w:firstLine="720"/>
        <w:rPr>
          <w:sz w:val="24"/>
          <w:szCs w:val="24"/>
        </w:rPr>
      </w:pPr>
      <w:r w:rsidRPr="00F538B7">
        <w:rPr>
          <w:sz w:val="24"/>
          <w:szCs w:val="24"/>
        </w:rPr>
        <w:tab/>
      </w:r>
      <w:r w:rsidR="0036156C" w:rsidRPr="00F538B7">
        <w:rPr>
          <w:sz w:val="24"/>
          <w:szCs w:val="24"/>
        </w:rPr>
        <w:t>Preliminary objections are limited to the following:</w:t>
      </w:r>
    </w:p>
    <w:p w:rsidR="0036156C" w:rsidRPr="00F538B7" w:rsidRDefault="0036156C" w:rsidP="00D70A06">
      <w:pPr>
        <w:spacing w:line="360" w:lineRule="auto"/>
        <w:rPr>
          <w:sz w:val="24"/>
          <w:szCs w:val="24"/>
        </w:rPr>
      </w:pPr>
    </w:p>
    <w:p w:rsidR="0036156C" w:rsidRPr="00F538B7" w:rsidRDefault="0036156C" w:rsidP="0026006A">
      <w:pPr>
        <w:ind w:left="720" w:right="720"/>
        <w:rPr>
          <w:b/>
          <w:sz w:val="24"/>
          <w:szCs w:val="24"/>
        </w:rPr>
      </w:pPr>
      <w:r w:rsidRPr="00F538B7">
        <w:rPr>
          <w:b/>
          <w:sz w:val="24"/>
          <w:szCs w:val="24"/>
        </w:rPr>
        <w:t xml:space="preserve">§ 5.101.  </w:t>
      </w:r>
      <w:proofErr w:type="gramStart"/>
      <w:r w:rsidRPr="00F538B7">
        <w:rPr>
          <w:b/>
          <w:sz w:val="24"/>
          <w:szCs w:val="24"/>
        </w:rPr>
        <w:t>Preliminary objections.</w:t>
      </w:r>
      <w:proofErr w:type="gramEnd"/>
    </w:p>
    <w:p w:rsidR="00C7592A" w:rsidRPr="00F538B7" w:rsidRDefault="00C7592A" w:rsidP="0026006A">
      <w:pPr>
        <w:ind w:left="720" w:right="720"/>
        <w:rPr>
          <w:b/>
          <w:sz w:val="24"/>
          <w:szCs w:val="24"/>
        </w:rPr>
      </w:pPr>
    </w:p>
    <w:p w:rsidR="0036156C" w:rsidRPr="00F538B7" w:rsidRDefault="0036156C" w:rsidP="0026006A">
      <w:pPr>
        <w:ind w:left="720" w:right="720"/>
        <w:rPr>
          <w:sz w:val="24"/>
          <w:szCs w:val="24"/>
        </w:rPr>
      </w:pPr>
      <w:r w:rsidRPr="00F538B7">
        <w:rPr>
          <w:sz w:val="24"/>
          <w:szCs w:val="24"/>
        </w:rPr>
        <w:t>(a)</w:t>
      </w:r>
      <w:r w:rsidRPr="00F538B7">
        <w:rPr>
          <w:sz w:val="24"/>
          <w:szCs w:val="24"/>
        </w:rPr>
        <w:tab/>
      </w:r>
      <w:r w:rsidRPr="00F538B7">
        <w:rPr>
          <w:i/>
          <w:sz w:val="24"/>
          <w:szCs w:val="24"/>
        </w:rPr>
        <w:t>Grounds.</w:t>
      </w:r>
      <w:r w:rsidRPr="00F538B7">
        <w:rPr>
          <w:sz w:val="24"/>
          <w:szCs w:val="24"/>
        </w:rPr>
        <w:t xml:space="preserve"> </w:t>
      </w:r>
      <w:r w:rsidR="00F977B0">
        <w:rPr>
          <w:sz w:val="24"/>
          <w:szCs w:val="24"/>
        </w:rPr>
        <w:t xml:space="preserve"> </w:t>
      </w:r>
      <w:r w:rsidRPr="00F538B7">
        <w:rPr>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6156C" w:rsidRPr="00F538B7" w:rsidRDefault="0036156C" w:rsidP="0026006A">
      <w:pPr>
        <w:ind w:left="720" w:right="720"/>
        <w:rPr>
          <w:i/>
          <w:sz w:val="24"/>
          <w:szCs w:val="24"/>
        </w:rPr>
      </w:pPr>
    </w:p>
    <w:p w:rsidR="0036156C" w:rsidRPr="00F538B7" w:rsidRDefault="000A18DF" w:rsidP="0026006A">
      <w:pPr>
        <w:ind w:left="720" w:right="720"/>
        <w:rPr>
          <w:sz w:val="24"/>
          <w:szCs w:val="24"/>
        </w:rPr>
      </w:pPr>
      <w:r>
        <w:rPr>
          <w:sz w:val="24"/>
          <w:szCs w:val="24"/>
        </w:rPr>
        <w:t xml:space="preserve">(1) </w:t>
      </w:r>
      <w:r w:rsidR="0094111D">
        <w:rPr>
          <w:sz w:val="24"/>
          <w:szCs w:val="24"/>
        </w:rPr>
        <w:tab/>
      </w:r>
      <w:r w:rsidR="0036156C" w:rsidRPr="00F538B7">
        <w:rPr>
          <w:sz w:val="24"/>
          <w:szCs w:val="24"/>
        </w:rPr>
        <w:t>Lack of Commission jurisdiction or improper service of the pleading initiating the proceeding.</w:t>
      </w:r>
    </w:p>
    <w:p w:rsidR="0036156C" w:rsidRPr="00F538B7" w:rsidRDefault="0036156C" w:rsidP="0026006A">
      <w:pPr>
        <w:ind w:left="720" w:right="720"/>
        <w:rPr>
          <w:sz w:val="24"/>
          <w:szCs w:val="24"/>
        </w:rPr>
      </w:pPr>
    </w:p>
    <w:p w:rsidR="0036156C" w:rsidRPr="00F538B7" w:rsidRDefault="000A18DF" w:rsidP="0026006A">
      <w:pPr>
        <w:ind w:left="720" w:right="720"/>
        <w:rPr>
          <w:sz w:val="24"/>
          <w:szCs w:val="24"/>
        </w:rPr>
      </w:pPr>
      <w:r>
        <w:rPr>
          <w:sz w:val="24"/>
          <w:szCs w:val="24"/>
        </w:rPr>
        <w:t xml:space="preserve">(2) </w:t>
      </w:r>
      <w:r w:rsidR="0094111D">
        <w:rPr>
          <w:sz w:val="24"/>
          <w:szCs w:val="24"/>
        </w:rPr>
        <w:tab/>
      </w:r>
      <w:r w:rsidR="0036156C" w:rsidRPr="00F538B7">
        <w:rPr>
          <w:sz w:val="24"/>
          <w:szCs w:val="24"/>
        </w:rPr>
        <w:t>Failure of a pleading to conform to this chapter or the inclusion of scandalous or impertinent matter.</w:t>
      </w:r>
    </w:p>
    <w:p w:rsidR="0036156C" w:rsidRPr="00F538B7" w:rsidRDefault="0036156C" w:rsidP="0026006A">
      <w:pPr>
        <w:ind w:left="720" w:right="720"/>
        <w:rPr>
          <w:sz w:val="24"/>
          <w:szCs w:val="24"/>
        </w:rPr>
      </w:pPr>
    </w:p>
    <w:p w:rsidR="0036156C" w:rsidRPr="00F538B7" w:rsidRDefault="000A18DF" w:rsidP="0026006A">
      <w:pPr>
        <w:ind w:left="720" w:right="720"/>
        <w:rPr>
          <w:sz w:val="24"/>
          <w:szCs w:val="24"/>
        </w:rPr>
      </w:pPr>
      <w:r>
        <w:rPr>
          <w:sz w:val="24"/>
          <w:szCs w:val="24"/>
        </w:rPr>
        <w:t xml:space="preserve">(3) </w:t>
      </w:r>
      <w:r w:rsidR="0094111D">
        <w:rPr>
          <w:sz w:val="24"/>
          <w:szCs w:val="24"/>
        </w:rPr>
        <w:tab/>
      </w:r>
      <w:r w:rsidR="0036156C" w:rsidRPr="00F538B7">
        <w:rPr>
          <w:sz w:val="24"/>
          <w:szCs w:val="24"/>
        </w:rPr>
        <w:t>Insufficient specificity of a pleading.</w:t>
      </w:r>
    </w:p>
    <w:p w:rsidR="0036156C" w:rsidRPr="00F538B7" w:rsidRDefault="0036156C" w:rsidP="0026006A">
      <w:pPr>
        <w:ind w:left="720" w:right="720"/>
        <w:rPr>
          <w:sz w:val="24"/>
          <w:szCs w:val="24"/>
        </w:rPr>
      </w:pPr>
    </w:p>
    <w:p w:rsidR="0036156C" w:rsidRPr="00F538B7" w:rsidRDefault="000A18DF" w:rsidP="0026006A">
      <w:pPr>
        <w:ind w:left="720" w:right="720"/>
        <w:rPr>
          <w:sz w:val="24"/>
          <w:szCs w:val="24"/>
        </w:rPr>
      </w:pPr>
      <w:r>
        <w:rPr>
          <w:sz w:val="24"/>
          <w:szCs w:val="24"/>
        </w:rPr>
        <w:t xml:space="preserve">(4) </w:t>
      </w:r>
      <w:r w:rsidR="0094111D">
        <w:rPr>
          <w:sz w:val="24"/>
          <w:szCs w:val="24"/>
        </w:rPr>
        <w:tab/>
      </w:r>
      <w:r w:rsidR="0036156C" w:rsidRPr="00F538B7">
        <w:rPr>
          <w:sz w:val="24"/>
          <w:szCs w:val="24"/>
        </w:rPr>
        <w:t>Legal insufficiency of a pleading.</w:t>
      </w:r>
    </w:p>
    <w:p w:rsidR="0036156C" w:rsidRPr="00F538B7" w:rsidRDefault="0036156C" w:rsidP="0026006A">
      <w:pPr>
        <w:ind w:left="720" w:right="720"/>
        <w:rPr>
          <w:sz w:val="24"/>
          <w:szCs w:val="24"/>
        </w:rPr>
      </w:pPr>
    </w:p>
    <w:p w:rsidR="0036156C" w:rsidRPr="00F538B7" w:rsidRDefault="0036156C" w:rsidP="0026006A">
      <w:pPr>
        <w:ind w:left="720" w:right="720"/>
        <w:rPr>
          <w:sz w:val="24"/>
          <w:szCs w:val="24"/>
        </w:rPr>
      </w:pPr>
      <w:r w:rsidRPr="00F538B7">
        <w:rPr>
          <w:sz w:val="24"/>
          <w:szCs w:val="24"/>
        </w:rPr>
        <w:t xml:space="preserve">(5) </w:t>
      </w:r>
      <w:r w:rsidR="0094111D">
        <w:rPr>
          <w:sz w:val="24"/>
          <w:szCs w:val="24"/>
        </w:rPr>
        <w:tab/>
      </w:r>
      <w:r w:rsidRPr="00F538B7">
        <w:rPr>
          <w:sz w:val="24"/>
          <w:szCs w:val="24"/>
        </w:rPr>
        <w:t>Lack of capacity to sue, nonjoinder of a necessary party or misjoinder of a cause of action.</w:t>
      </w:r>
    </w:p>
    <w:p w:rsidR="0036156C" w:rsidRPr="00F538B7" w:rsidRDefault="0036156C" w:rsidP="0026006A">
      <w:pPr>
        <w:ind w:left="720" w:right="720"/>
        <w:rPr>
          <w:sz w:val="24"/>
          <w:szCs w:val="24"/>
        </w:rPr>
      </w:pPr>
    </w:p>
    <w:p w:rsidR="0036156C" w:rsidRDefault="00B07454" w:rsidP="0026006A">
      <w:pPr>
        <w:ind w:left="720" w:right="720"/>
        <w:rPr>
          <w:sz w:val="24"/>
          <w:szCs w:val="24"/>
        </w:rPr>
      </w:pPr>
      <w:r>
        <w:rPr>
          <w:sz w:val="24"/>
          <w:szCs w:val="24"/>
        </w:rPr>
        <w:t xml:space="preserve">(6) </w:t>
      </w:r>
      <w:r w:rsidR="0094111D">
        <w:rPr>
          <w:sz w:val="24"/>
          <w:szCs w:val="24"/>
        </w:rPr>
        <w:tab/>
      </w:r>
      <w:r w:rsidR="0036156C" w:rsidRPr="00F538B7">
        <w:rPr>
          <w:sz w:val="24"/>
          <w:szCs w:val="24"/>
        </w:rPr>
        <w:t>Pendency of a prior proceeding or agreement for alternative dispute resolution.</w:t>
      </w:r>
    </w:p>
    <w:p w:rsidR="00453D3A" w:rsidRDefault="00453D3A" w:rsidP="0026006A">
      <w:pPr>
        <w:ind w:left="720" w:right="720"/>
        <w:rPr>
          <w:sz w:val="24"/>
          <w:szCs w:val="24"/>
        </w:rPr>
      </w:pPr>
    </w:p>
    <w:p w:rsidR="00453D3A" w:rsidRPr="00453D3A" w:rsidRDefault="00453D3A" w:rsidP="0026006A">
      <w:pPr>
        <w:ind w:left="720" w:right="720"/>
        <w:rPr>
          <w:sz w:val="24"/>
          <w:szCs w:val="24"/>
        </w:rPr>
      </w:pPr>
      <w:r>
        <w:rPr>
          <w:sz w:val="24"/>
          <w:szCs w:val="24"/>
        </w:rPr>
        <w:t>(7)</w:t>
      </w:r>
      <w:r w:rsidR="0094111D">
        <w:rPr>
          <w:sz w:val="24"/>
          <w:szCs w:val="24"/>
        </w:rPr>
        <w:tab/>
      </w:r>
      <w:r w:rsidRPr="00453D3A">
        <w:rPr>
          <w:sz w:val="24"/>
          <w:szCs w:val="24"/>
        </w:rPr>
        <w:t>Standing of a party to participate in the proceeding</w:t>
      </w:r>
    </w:p>
    <w:p w:rsidR="00453D3A" w:rsidRPr="00F538B7" w:rsidRDefault="00453D3A" w:rsidP="0026006A">
      <w:pPr>
        <w:ind w:left="720" w:right="720"/>
        <w:rPr>
          <w:sz w:val="24"/>
          <w:szCs w:val="24"/>
        </w:rPr>
      </w:pPr>
    </w:p>
    <w:p w:rsidR="0036156C" w:rsidRPr="00F538B7" w:rsidRDefault="0036156C" w:rsidP="0026006A">
      <w:pPr>
        <w:ind w:left="720" w:right="720"/>
        <w:jc w:val="center"/>
        <w:rPr>
          <w:sz w:val="24"/>
          <w:szCs w:val="24"/>
        </w:rPr>
      </w:pPr>
      <w:r w:rsidRPr="00F538B7">
        <w:rPr>
          <w:sz w:val="24"/>
          <w:szCs w:val="24"/>
        </w:rPr>
        <w:t xml:space="preserve">* * * </w:t>
      </w:r>
    </w:p>
    <w:p w:rsidR="0036156C" w:rsidRPr="00F538B7" w:rsidRDefault="0036156C" w:rsidP="0026006A">
      <w:pPr>
        <w:ind w:left="720" w:right="720"/>
        <w:rPr>
          <w:sz w:val="24"/>
          <w:szCs w:val="24"/>
        </w:rPr>
      </w:pPr>
      <w:proofErr w:type="gramStart"/>
      <w:r w:rsidRPr="00F538B7">
        <w:rPr>
          <w:sz w:val="24"/>
          <w:szCs w:val="24"/>
        </w:rPr>
        <w:t>52 Pa. Code § 5.101(a).</w:t>
      </w:r>
      <w:proofErr w:type="gramEnd"/>
    </w:p>
    <w:p w:rsidR="0036156C" w:rsidRPr="00F538B7" w:rsidRDefault="0036156C" w:rsidP="00D70A06">
      <w:pPr>
        <w:spacing w:line="360" w:lineRule="auto"/>
        <w:rPr>
          <w:sz w:val="24"/>
          <w:szCs w:val="24"/>
        </w:rPr>
      </w:pPr>
    </w:p>
    <w:p w:rsidR="0036156C" w:rsidRPr="00F538B7" w:rsidRDefault="0036156C" w:rsidP="00D70A06">
      <w:pPr>
        <w:spacing w:line="360" w:lineRule="auto"/>
        <w:rPr>
          <w:sz w:val="24"/>
          <w:szCs w:val="24"/>
        </w:rPr>
      </w:pPr>
      <w:r w:rsidRPr="00F538B7">
        <w:rPr>
          <w:sz w:val="24"/>
          <w:szCs w:val="24"/>
        </w:rPr>
        <w:tab/>
      </w:r>
      <w:r w:rsidRPr="00F538B7">
        <w:rPr>
          <w:sz w:val="24"/>
          <w:szCs w:val="24"/>
        </w:rPr>
        <w:tab/>
        <w:t xml:space="preserve">When considering the preliminary objection, the Commission must determine “whether the law says with certainty, based on well-pleading factual averments . . . that no recovery or relief is possible.”  </w:t>
      </w:r>
      <w:proofErr w:type="gramStart"/>
      <w:r w:rsidRPr="00F538B7">
        <w:rPr>
          <w:i/>
          <w:sz w:val="24"/>
          <w:szCs w:val="24"/>
        </w:rPr>
        <w:t xml:space="preserve">P. J. S. v. Pa. State Ethics Commission, </w:t>
      </w:r>
      <w:r w:rsidRPr="00F538B7">
        <w:rPr>
          <w:sz w:val="24"/>
          <w:szCs w:val="24"/>
        </w:rPr>
        <w:t>669 A.2d 1105 (Pa. Cmwlth. 1996).</w:t>
      </w:r>
      <w:proofErr w:type="gramEnd"/>
      <w:r w:rsidRPr="00F538B7">
        <w:rPr>
          <w:sz w:val="24"/>
          <w:szCs w:val="24"/>
        </w:rPr>
        <w:t xml:space="preserve">  Any doubt must be resolved in favor of the non-moving party by refusing to sustain the preliminary objections.  </w:t>
      </w:r>
      <w:proofErr w:type="gramStart"/>
      <w:r w:rsidRPr="00F538B7">
        <w:rPr>
          <w:i/>
          <w:sz w:val="24"/>
          <w:szCs w:val="24"/>
        </w:rPr>
        <w:t xml:space="preserve">Boyd v. Ward, </w:t>
      </w:r>
      <w:r w:rsidRPr="00F538B7">
        <w:rPr>
          <w:sz w:val="24"/>
          <w:szCs w:val="24"/>
        </w:rPr>
        <w:t>802 A.2d 705 (Pa. Cmwlth. 2002).</w:t>
      </w:r>
      <w:proofErr w:type="gramEnd"/>
      <w:r w:rsidRPr="00F538B7">
        <w:rPr>
          <w:sz w:val="24"/>
          <w:szCs w:val="24"/>
        </w:rPr>
        <w:t xml:space="preserve">  </w:t>
      </w:r>
      <w:proofErr w:type="gramStart"/>
      <w:r w:rsidRPr="00F538B7">
        <w:rPr>
          <w:i/>
          <w:sz w:val="24"/>
          <w:szCs w:val="24"/>
        </w:rPr>
        <w:t xml:space="preserve">Dept. of </w:t>
      </w:r>
      <w:r w:rsidRPr="00F538B7">
        <w:rPr>
          <w:i/>
          <w:sz w:val="24"/>
          <w:szCs w:val="24"/>
        </w:rPr>
        <w:lastRenderedPageBreak/>
        <w:t xml:space="preserve">Auditor General, et al. v. State Employees’ Retirement System, et al., </w:t>
      </w:r>
      <w:r w:rsidRPr="00F538B7">
        <w:rPr>
          <w:sz w:val="24"/>
          <w:szCs w:val="24"/>
        </w:rPr>
        <w:t>836 A.2</w:t>
      </w:r>
      <w:r w:rsidR="00532F60">
        <w:rPr>
          <w:sz w:val="24"/>
          <w:szCs w:val="24"/>
        </w:rPr>
        <w:t>d 1053, 1064 (Pa. Cmwlth. 2003).</w:t>
      </w:r>
      <w:proofErr w:type="gramEnd"/>
    </w:p>
    <w:p w:rsidR="00A51CF8" w:rsidRPr="00F538B7" w:rsidRDefault="00A51CF8" w:rsidP="00D70A06">
      <w:pPr>
        <w:tabs>
          <w:tab w:val="left" w:pos="5040"/>
        </w:tabs>
        <w:spacing w:line="360" w:lineRule="auto"/>
        <w:rPr>
          <w:sz w:val="24"/>
          <w:szCs w:val="24"/>
        </w:rPr>
      </w:pPr>
    </w:p>
    <w:p w:rsidR="0036156C" w:rsidRPr="00F538B7" w:rsidRDefault="0036156C" w:rsidP="00D70A06">
      <w:pPr>
        <w:tabs>
          <w:tab w:val="left" w:pos="-1440"/>
          <w:tab w:val="left" w:pos="-720"/>
        </w:tabs>
        <w:suppressAutoHyphens/>
        <w:spacing w:line="360" w:lineRule="auto"/>
        <w:ind w:firstLine="1440"/>
        <w:rPr>
          <w:sz w:val="24"/>
          <w:szCs w:val="24"/>
        </w:rPr>
      </w:pPr>
      <w:r w:rsidRPr="00F538B7">
        <w:rPr>
          <w:sz w:val="24"/>
          <w:szCs w:val="24"/>
        </w:rPr>
        <w:t xml:space="preserve">Preliminary objections in civil practice requesting dismissal of a pleading will be granted only where the right to relief is clearly warranted and free from doubt.  </w:t>
      </w:r>
      <w:proofErr w:type="gramStart"/>
      <w:r w:rsidRPr="00F538B7">
        <w:rPr>
          <w:i/>
          <w:sz w:val="24"/>
          <w:szCs w:val="24"/>
        </w:rPr>
        <w:t>Interstate Traveller Services, Inc. v. Pa. Dept. of Environment Resources,</w:t>
      </w:r>
      <w:r w:rsidRPr="00F538B7">
        <w:rPr>
          <w:sz w:val="24"/>
          <w:szCs w:val="24"/>
        </w:rPr>
        <w:t xml:space="preserve"> 406 A.2d 1020 (Pa. 1979); </w:t>
      </w:r>
      <w:r w:rsidRPr="00F538B7">
        <w:rPr>
          <w:i/>
          <w:sz w:val="24"/>
          <w:szCs w:val="24"/>
        </w:rPr>
        <w:t>Rivera v. Philadelphia Theological Seminary of St. Charles Borromeo, Inc.</w:t>
      </w:r>
      <w:r w:rsidRPr="00F538B7">
        <w:rPr>
          <w:sz w:val="24"/>
          <w:szCs w:val="24"/>
        </w:rPr>
        <w:t>, 595 A.2d 172 (Pa. Super 1991).</w:t>
      </w:r>
      <w:proofErr w:type="gramEnd"/>
      <w:r w:rsidRPr="00F538B7">
        <w:rPr>
          <w:sz w:val="24"/>
          <w:szCs w:val="24"/>
        </w:rPr>
        <w:t xml:space="preserve">  The Commission follows this standard.  </w:t>
      </w:r>
      <w:proofErr w:type="gramStart"/>
      <w:r w:rsidRPr="00F538B7">
        <w:rPr>
          <w:i/>
          <w:sz w:val="24"/>
          <w:szCs w:val="24"/>
        </w:rPr>
        <w:t>Montague v. Philadelphia Electric Company,</w:t>
      </w:r>
      <w:r w:rsidRPr="00F538B7">
        <w:rPr>
          <w:sz w:val="24"/>
          <w:szCs w:val="24"/>
        </w:rPr>
        <w:t xml:space="preserve"> 66 Pa.PUC 24 (1988).</w:t>
      </w:r>
      <w:proofErr w:type="gramEnd"/>
    </w:p>
    <w:p w:rsidR="0036156C" w:rsidRPr="00F538B7" w:rsidRDefault="0036156C" w:rsidP="00D70A06">
      <w:pPr>
        <w:tabs>
          <w:tab w:val="left" w:pos="-1440"/>
          <w:tab w:val="left" w:pos="-720"/>
        </w:tabs>
        <w:suppressAutoHyphens/>
        <w:spacing w:line="360" w:lineRule="auto"/>
        <w:ind w:firstLine="1440"/>
        <w:rPr>
          <w:sz w:val="24"/>
          <w:szCs w:val="24"/>
        </w:rPr>
      </w:pPr>
    </w:p>
    <w:p w:rsidR="0010756C" w:rsidRDefault="0094111D" w:rsidP="00D70A06">
      <w:pPr>
        <w:spacing w:line="360" w:lineRule="auto"/>
        <w:ind w:firstLine="1440"/>
        <w:rPr>
          <w:sz w:val="24"/>
          <w:szCs w:val="24"/>
        </w:rPr>
      </w:pPr>
      <w:r>
        <w:rPr>
          <w:sz w:val="24"/>
          <w:szCs w:val="24"/>
        </w:rPr>
        <w:t>Viewing the C</w:t>
      </w:r>
      <w:r w:rsidR="009907E5">
        <w:rPr>
          <w:sz w:val="24"/>
          <w:szCs w:val="24"/>
        </w:rPr>
        <w:t>omplaint in the instant case in t</w:t>
      </w:r>
      <w:r w:rsidR="00453D3A">
        <w:rPr>
          <w:sz w:val="24"/>
          <w:szCs w:val="24"/>
        </w:rPr>
        <w:t>he light most favorable to the Complainant, the C</w:t>
      </w:r>
      <w:r w:rsidR="0062700D">
        <w:rPr>
          <w:sz w:val="24"/>
          <w:szCs w:val="24"/>
        </w:rPr>
        <w:t xml:space="preserve">omplainant asks that the Commission </w:t>
      </w:r>
      <w:r w:rsidR="00853F5E">
        <w:rPr>
          <w:sz w:val="24"/>
          <w:szCs w:val="24"/>
        </w:rPr>
        <w:t>enjoin</w:t>
      </w:r>
      <w:r w:rsidR="00612C2C">
        <w:rPr>
          <w:sz w:val="24"/>
          <w:szCs w:val="24"/>
        </w:rPr>
        <w:t xml:space="preserve"> </w:t>
      </w:r>
      <w:r w:rsidR="0062700D" w:rsidRPr="0062700D">
        <w:rPr>
          <w:sz w:val="24"/>
          <w:szCs w:val="24"/>
        </w:rPr>
        <w:t>P</w:t>
      </w:r>
      <w:r w:rsidR="00EA4BA4">
        <w:rPr>
          <w:sz w:val="24"/>
          <w:szCs w:val="24"/>
        </w:rPr>
        <w:t>PL</w:t>
      </w:r>
      <w:r w:rsidR="0062700D" w:rsidRPr="0062700D">
        <w:rPr>
          <w:sz w:val="24"/>
          <w:szCs w:val="24"/>
        </w:rPr>
        <w:t xml:space="preserve"> </w:t>
      </w:r>
      <w:r w:rsidR="00612C2C">
        <w:rPr>
          <w:sz w:val="24"/>
          <w:szCs w:val="24"/>
        </w:rPr>
        <w:t>from</w:t>
      </w:r>
      <w:r w:rsidR="00853F5E">
        <w:rPr>
          <w:sz w:val="24"/>
          <w:szCs w:val="24"/>
        </w:rPr>
        <w:t>:</w:t>
      </w:r>
      <w:r w:rsidR="00B473D2">
        <w:rPr>
          <w:sz w:val="24"/>
          <w:szCs w:val="24"/>
        </w:rPr>
        <w:t xml:space="preserve"> 1)</w:t>
      </w:r>
      <w:r w:rsidR="00853F5E">
        <w:rPr>
          <w:sz w:val="24"/>
          <w:szCs w:val="24"/>
        </w:rPr>
        <w:t xml:space="preserve"> </w:t>
      </w:r>
      <w:r w:rsidR="00B473D2">
        <w:rPr>
          <w:sz w:val="24"/>
          <w:szCs w:val="24"/>
        </w:rPr>
        <w:t>threatening termination</w:t>
      </w:r>
      <w:r w:rsidR="00853F5E">
        <w:rPr>
          <w:sz w:val="24"/>
          <w:szCs w:val="24"/>
        </w:rPr>
        <w:t xml:space="preserve"> of electric service</w:t>
      </w:r>
      <w:r w:rsidR="00B473D2">
        <w:rPr>
          <w:sz w:val="24"/>
          <w:szCs w:val="24"/>
        </w:rPr>
        <w:t xml:space="preserve">; 2) </w:t>
      </w:r>
      <w:r w:rsidR="00612C2C">
        <w:rPr>
          <w:sz w:val="24"/>
          <w:szCs w:val="24"/>
        </w:rPr>
        <w:t xml:space="preserve">terminating </w:t>
      </w:r>
      <w:r w:rsidR="00853F5E">
        <w:rPr>
          <w:sz w:val="24"/>
          <w:szCs w:val="24"/>
        </w:rPr>
        <w:t>electric</w:t>
      </w:r>
      <w:r w:rsidR="00612C2C">
        <w:rPr>
          <w:sz w:val="24"/>
          <w:szCs w:val="24"/>
        </w:rPr>
        <w:t xml:space="preserve"> service</w:t>
      </w:r>
      <w:r w:rsidR="00B473D2">
        <w:rPr>
          <w:sz w:val="24"/>
          <w:szCs w:val="24"/>
        </w:rPr>
        <w:t>;</w:t>
      </w:r>
      <w:r w:rsidR="00612C2C">
        <w:rPr>
          <w:sz w:val="24"/>
          <w:szCs w:val="24"/>
        </w:rPr>
        <w:t xml:space="preserve"> </w:t>
      </w:r>
      <w:r w:rsidR="00853F5E">
        <w:rPr>
          <w:sz w:val="24"/>
          <w:szCs w:val="24"/>
        </w:rPr>
        <w:t>and</w:t>
      </w:r>
      <w:r w:rsidR="00612C2C">
        <w:rPr>
          <w:sz w:val="24"/>
          <w:szCs w:val="24"/>
        </w:rPr>
        <w:t xml:space="preserve"> </w:t>
      </w:r>
      <w:r w:rsidR="00B473D2">
        <w:rPr>
          <w:sz w:val="24"/>
          <w:szCs w:val="24"/>
        </w:rPr>
        <w:t xml:space="preserve">3) </w:t>
      </w:r>
      <w:r w:rsidR="00612C2C">
        <w:rPr>
          <w:sz w:val="24"/>
          <w:szCs w:val="24"/>
        </w:rPr>
        <w:t xml:space="preserve">installing a smart meter on </w:t>
      </w:r>
      <w:r w:rsidR="00853F5E">
        <w:rPr>
          <w:sz w:val="24"/>
          <w:szCs w:val="24"/>
        </w:rPr>
        <w:t>Complainant’s</w:t>
      </w:r>
      <w:r w:rsidR="00612C2C">
        <w:rPr>
          <w:sz w:val="24"/>
          <w:szCs w:val="24"/>
        </w:rPr>
        <w:t xml:space="preserve"> service property.  Complainant requests that the</w:t>
      </w:r>
      <w:r w:rsidR="0062700D" w:rsidRPr="0062700D">
        <w:rPr>
          <w:sz w:val="24"/>
          <w:szCs w:val="24"/>
        </w:rPr>
        <w:t xml:space="preserve"> Commission consider the health implications of smart meters</w:t>
      </w:r>
      <w:r w:rsidR="00612C2C">
        <w:rPr>
          <w:sz w:val="24"/>
          <w:szCs w:val="24"/>
        </w:rPr>
        <w:t xml:space="preserve">.  </w:t>
      </w:r>
      <w:r>
        <w:rPr>
          <w:sz w:val="24"/>
          <w:szCs w:val="24"/>
        </w:rPr>
        <w:t>The Complainant</w:t>
      </w:r>
      <w:r w:rsidR="009907E5">
        <w:rPr>
          <w:sz w:val="24"/>
          <w:szCs w:val="24"/>
        </w:rPr>
        <w:t xml:space="preserve"> </w:t>
      </w:r>
      <w:r w:rsidR="0010756C">
        <w:rPr>
          <w:sz w:val="24"/>
          <w:szCs w:val="24"/>
        </w:rPr>
        <w:t xml:space="preserve">responded to Preliminary Objections averring he seeks an injunction against PPL from attaching a smart meter to his home because of the negative health and safety implications for himself, his sister, and other inhabitants and </w:t>
      </w:r>
      <w:proofErr w:type="spellStart"/>
      <w:r w:rsidR="0010756C">
        <w:rPr>
          <w:sz w:val="24"/>
          <w:szCs w:val="24"/>
        </w:rPr>
        <w:t>vistors</w:t>
      </w:r>
      <w:proofErr w:type="spellEnd"/>
      <w:r w:rsidR="0010756C">
        <w:rPr>
          <w:sz w:val="24"/>
          <w:szCs w:val="24"/>
        </w:rPr>
        <w:t xml:space="preserve"> in his home and his belief that smart meters can cause EHS.  </w:t>
      </w:r>
    </w:p>
    <w:p w:rsidR="0010756C" w:rsidRDefault="0010756C" w:rsidP="00D70A06">
      <w:pPr>
        <w:spacing w:line="360" w:lineRule="auto"/>
        <w:ind w:firstLine="1440"/>
        <w:rPr>
          <w:sz w:val="24"/>
          <w:szCs w:val="24"/>
        </w:rPr>
      </w:pPr>
    </w:p>
    <w:p w:rsidR="009907E5" w:rsidRDefault="009907E5" w:rsidP="00D70A06">
      <w:pPr>
        <w:spacing w:line="360" w:lineRule="auto"/>
        <w:ind w:firstLine="1440"/>
        <w:rPr>
          <w:sz w:val="24"/>
          <w:szCs w:val="24"/>
        </w:rPr>
      </w:pPr>
      <w:r>
        <w:rPr>
          <w:sz w:val="24"/>
          <w:szCs w:val="24"/>
        </w:rPr>
        <w:t>Accepting these facts as alleged as true for the purpose of disposing of preliminary</w:t>
      </w:r>
      <w:r w:rsidR="0094111D">
        <w:rPr>
          <w:sz w:val="24"/>
          <w:szCs w:val="24"/>
        </w:rPr>
        <w:t xml:space="preserve"> objections, Respondent avers</w:t>
      </w:r>
      <w:r>
        <w:rPr>
          <w:sz w:val="24"/>
          <w:szCs w:val="24"/>
        </w:rPr>
        <w:t xml:space="preserve"> that the Complaint fails to allege that Respondent has violated the Public Utility Code, Commission regulations or orders.  The Respondent contends that the complaint is legally insufficient.  </w:t>
      </w:r>
    </w:p>
    <w:p w:rsidR="005E2CB0" w:rsidRDefault="005E2CB0" w:rsidP="00D70A06">
      <w:pPr>
        <w:spacing w:line="360" w:lineRule="auto"/>
        <w:ind w:firstLine="1440"/>
        <w:rPr>
          <w:sz w:val="24"/>
          <w:szCs w:val="24"/>
        </w:rPr>
      </w:pPr>
    </w:p>
    <w:p w:rsidR="009907E5" w:rsidRDefault="009907E5" w:rsidP="00D70A06">
      <w:pPr>
        <w:spacing w:line="360" w:lineRule="auto"/>
        <w:ind w:firstLine="1440"/>
        <w:rPr>
          <w:sz w:val="24"/>
          <w:szCs w:val="24"/>
        </w:rPr>
      </w:pPr>
      <w:r>
        <w:rPr>
          <w:sz w:val="24"/>
          <w:szCs w:val="24"/>
        </w:rPr>
        <w:t xml:space="preserve">On October 15, 2008, Governor Edward G. Rendell signed Act 129 of 2008 into law, which directed electric distribution companies with at least 100,000 customers to file, with the Commission, a smart meter deployment and installation plan.  Thus, there is a statute requiring smart meter deployment by large electric distribution companies operating within the Commonwealth.  </w:t>
      </w:r>
      <w:proofErr w:type="gramStart"/>
      <w:r>
        <w:rPr>
          <w:sz w:val="24"/>
          <w:szCs w:val="24"/>
        </w:rPr>
        <w:t>66 Pa. C.S. § 2807(f).</w:t>
      </w:r>
      <w:proofErr w:type="gramEnd"/>
      <w:r>
        <w:rPr>
          <w:sz w:val="24"/>
          <w:szCs w:val="24"/>
        </w:rPr>
        <w:t xml:space="preserve">  </w:t>
      </w:r>
      <w:r w:rsidRPr="00F538B7">
        <w:rPr>
          <w:sz w:val="24"/>
          <w:szCs w:val="24"/>
        </w:rPr>
        <w:t xml:space="preserve">  </w:t>
      </w:r>
    </w:p>
    <w:p w:rsidR="000E7231" w:rsidRDefault="000E7231" w:rsidP="00D70A06">
      <w:pPr>
        <w:spacing w:line="360" w:lineRule="auto"/>
        <w:ind w:firstLine="1440"/>
        <w:rPr>
          <w:sz w:val="24"/>
          <w:szCs w:val="24"/>
        </w:rPr>
      </w:pPr>
    </w:p>
    <w:p w:rsidR="009907E5" w:rsidRPr="00F538B7" w:rsidRDefault="00762825" w:rsidP="00D70A06">
      <w:pPr>
        <w:spacing w:line="360" w:lineRule="auto"/>
        <w:rPr>
          <w:spacing w:val="-3"/>
          <w:sz w:val="24"/>
          <w:szCs w:val="24"/>
        </w:rPr>
      </w:pPr>
      <w:r>
        <w:rPr>
          <w:spacing w:val="-3"/>
          <w:sz w:val="24"/>
          <w:szCs w:val="24"/>
        </w:rPr>
        <w:lastRenderedPageBreak/>
        <w:tab/>
      </w:r>
      <w:r>
        <w:rPr>
          <w:spacing w:val="-3"/>
          <w:sz w:val="24"/>
          <w:szCs w:val="24"/>
        </w:rPr>
        <w:tab/>
      </w:r>
      <w:r w:rsidR="0094111D">
        <w:rPr>
          <w:spacing w:val="-3"/>
          <w:sz w:val="24"/>
          <w:szCs w:val="24"/>
        </w:rPr>
        <w:t>The Commission approved the Respondent’s Smart M</w:t>
      </w:r>
      <w:r w:rsidR="00F86D7D">
        <w:rPr>
          <w:spacing w:val="-3"/>
          <w:sz w:val="24"/>
          <w:szCs w:val="24"/>
        </w:rPr>
        <w:t>eter P</w:t>
      </w:r>
      <w:r w:rsidR="0094111D">
        <w:rPr>
          <w:spacing w:val="-3"/>
          <w:sz w:val="24"/>
          <w:szCs w:val="24"/>
        </w:rPr>
        <w:t xml:space="preserve">lan by </w:t>
      </w:r>
      <w:r w:rsidR="0094111D" w:rsidRPr="0094111D">
        <w:rPr>
          <w:spacing w:val="-3"/>
          <w:sz w:val="24"/>
          <w:szCs w:val="24"/>
        </w:rPr>
        <w:t xml:space="preserve">order entered </w:t>
      </w:r>
      <w:r w:rsidR="005E2CB0">
        <w:rPr>
          <w:spacing w:val="-3"/>
          <w:sz w:val="24"/>
          <w:szCs w:val="24"/>
        </w:rPr>
        <w:t>September 3, 2015</w:t>
      </w:r>
      <w:r w:rsidR="00F86D7D">
        <w:rPr>
          <w:spacing w:val="-3"/>
          <w:sz w:val="24"/>
          <w:szCs w:val="24"/>
        </w:rPr>
        <w:t xml:space="preserve">.  </w:t>
      </w:r>
      <w:proofErr w:type="gramStart"/>
      <w:r w:rsidR="005E2CB0">
        <w:rPr>
          <w:i/>
          <w:spacing w:val="-3"/>
          <w:sz w:val="24"/>
          <w:szCs w:val="24"/>
        </w:rPr>
        <w:t xml:space="preserve">Petition of PPL Electric Utilities Corp. for Approval of Its Smart Meter Technology Procurement and Installation Plan, </w:t>
      </w:r>
      <w:r w:rsidR="005E2CB0">
        <w:rPr>
          <w:spacing w:val="-3"/>
          <w:sz w:val="24"/>
          <w:szCs w:val="24"/>
        </w:rPr>
        <w:t>Docket No.</w:t>
      </w:r>
      <w:proofErr w:type="gramEnd"/>
      <w:r w:rsidR="005E2CB0">
        <w:rPr>
          <w:spacing w:val="-3"/>
          <w:sz w:val="24"/>
          <w:szCs w:val="24"/>
        </w:rPr>
        <w:t xml:space="preserve"> M-2014-2430781 (Order entered September 3, 2015).  </w:t>
      </w:r>
      <w:r w:rsidR="0094111D">
        <w:rPr>
          <w:spacing w:val="-3"/>
          <w:sz w:val="24"/>
          <w:szCs w:val="24"/>
        </w:rPr>
        <w:t>The implementation of the Respondent’</w:t>
      </w:r>
      <w:r w:rsidR="0094111D" w:rsidRPr="00F538B7">
        <w:rPr>
          <w:spacing w:val="-3"/>
          <w:sz w:val="24"/>
          <w:szCs w:val="24"/>
        </w:rPr>
        <w:t>s</w:t>
      </w:r>
      <w:r w:rsidR="009907E5" w:rsidRPr="00F538B7">
        <w:rPr>
          <w:spacing w:val="-3"/>
          <w:sz w:val="24"/>
          <w:szCs w:val="24"/>
        </w:rPr>
        <w:t xml:space="preserve"> Smart Meter Deployment Plan and the approval of the costs associated with its implementation </w:t>
      </w:r>
      <w:r w:rsidR="009907E5">
        <w:rPr>
          <w:spacing w:val="-3"/>
          <w:sz w:val="24"/>
          <w:szCs w:val="24"/>
        </w:rPr>
        <w:t xml:space="preserve">have been found by the Commission to be </w:t>
      </w:r>
      <w:r w:rsidR="009907E5" w:rsidRPr="00F538B7">
        <w:rPr>
          <w:spacing w:val="-3"/>
          <w:sz w:val="24"/>
          <w:szCs w:val="24"/>
        </w:rPr>
        <w:t xml:space="preserve">in accordance with Act 129 of 2008, 66 Pa. C.S. § 2807(f). </w:t>
      </w:r>
      <w:r w:rsidR="009907E5">
        <w:rPr>
          <w:spacing w:val="-3"/>
          <w:sz w:val="24"/>
          <w:szCs w:val="24"/>
        </w:rPr>
        <w:t xml:space="preserve">  </w:t>
      </w:r>
      <w:r w:rsidR="0094111D">
        <w:rPr>
          <w:spacing w:val="-3"/>
          <w:sz w:val="24"/>
          <w:szCs w:val="24"/>
        </w:rPr>
        <w:t>The Respondent is required by statute and</w:t>
      </w:r>
      <w:r w:rsidR="009907E5" w:rsidRPr="00F538B7">
        <w:rPr>
          <w:spacing w:val="-3"/>
          <w:sz w:val="24"/>
          <w:szCs w:val="24"/>
        </w:rPr>
        <w:t xml:space="preserve"> Commission Order</w:t>
      </w:r>
      <w:r w:rsidR="000E7231">
        <w:rPr>
          <w:spacing w:val="-3"/>
          <w:sz w:val="24"/>
          <w:szCs w:val="24"/>
        </w:rPr>
        <w:t xml:space="preserve"> to implement a Smart Meter Program, install smart m</w:t>
      </w:r>
      <w:r w:rsidR="009907E5" w:rsidRPr="00F538B7">
        <w:rPr>
          <w:spacing w:val="-3"/>
          <w:sz w:val="24"/>
          <w:szCs w:val="24"/>
        </w:rPr>
        <w:t xml:space="preserve">eters throughout is service territory, and to charge a SMT Surcharge to all of its metered customers.  </w:t>
      </w:r>
    </w:p>
    <w:p w:rsidR="009907E5" w:rsidRPr="00F538B7" w:rsidRDefault="009907E5" w:rsidP="00D70A06">
      <w:pPr>
        <w:spacing w:line="360" w:lineRule="auto"/>
        <w:ind w:firstLine="1440"/>
        <w:rPr>
          <w:sz w:val="24"/>
          <w:szCs w:val="24"/>
        </w:rPr>
      </w:pPr>
    </w:p>
    <w:p w:rsidR="001C67E4" w:rsidRDefault="00853F5E" w:rsidP="00D70A06">
      <w:pPr>
        <w:spacing w:line="360" w:lineRule="auto"/>
        <w:ind w:firstLine="1440"/>
        <w:rPr>
          <w:sz w:val="24"/>
          <w:szCs w:val="24"/>
        </w:rPr>
      </w:pPr>
      <w:r>
        <w:rPr>
          <w:sz w:val="24"/>
          <w:szCs w:val="24"/>
        </w:rPr>
        <w:t>Recently</w:t>
      </w:r>
      <w:r w:rsidR="00B473D2">
        <w:rPr>
          <w:sz w:val="24"/>
          <w:szCs w:val="24"/>
        </w:rPr>
        <w:t xml:space="preserve">, the Commonwealth Court held that a </w:t>
      </w:r>
      <w:r>
        <w:rPr>
          <w:sz w:val="24"/>
          <w:szCs w:val="24"/>
        </w:rPr>
        <w:t xml:space="preserve">similar </w:t>
      </w:r>
      <w:r w:rsidR="00B473D2">
        <w:rPr>
          <w:sz w:val="24"/>
          <w:szCs w:val="24"/>
        </w:rPr>
        <w:t xml:space="preserve">claim </w:t>
      </w:r>
      <w:r>
        <w:rPr>
          <w:sz w:val="24"/>
          <w:szCs w:val="24"/>
        </w:rPr>
        <w:t xml:space="preserve">by a PECO Energy Company customer </w:t>
      </w:r>
      <w:r w:rsidR="00B473D2">
        <w:rPr>
          <w:sz w:val="24"/>
          <w:szCs w:val="24"/>
        </w:rPr>
        <w:t xml:space="preserve">that smart meters cause safety and fire hazards and have a negative health impact is not legally insufficient pursuant to 66 Pa. C.S. § 1501, which requires utilities </w:t>
      </w:r>
      <w:r w:rsidR="000C193D">
        <w:rPr>
          <w:sz w:val="24"/>
          <w:szCs w:val="24"/>
        </w:rPr>
        <w:t xml:space="preserve">to maintain adequate, efficient, safe and reasonable service and facilities for their customers.  </w:t>
      </w:r>
      <w:proofErr w:type="gramStart"/>
      <w:r w:rsidR="000C193D">
        <w:rPr>
          <w:i/>
          <w:sz w:val="24"/>
          <w:szCs w:val="24"/>
        </w:rPr>
        <w:t xml:space="preserve">Antonio </w:t>
      </w:r>
      <w:r w:rsidR="000C193D" w:rsidRPr="001C67E4">
        <w:rPr>
          <w:i/>
          <w:sz w:val="24"/>
          <w:szCs w:val="24"/>
        </w:rPr>
        <w:t xml:space="preserve">Romeo </w:t>
      </w:r>
      <w:r w:rsidR="000C193D">
        <w:rPr>
          <w:i/>
          <w:sz w:val="24"/>
          <w:szCs w:val="24"/>
        </w:rPr>
        <w:t>v. Pa. Pub.</w:t>
      </w:r>
      <w:proofErr w:type="gramEnd"/>
      <w:r w:rsidR="000C193D">
        <w:rPr>
          <w:i/>
          <w:sz w:val="24"/>
          <w:szCs w:val="24"/>
        </w:rPr>
        <w:t xml:space="preserve"> Util. Comm’n</w:t>
      </w:r>
      <w:r w:rsidR="001C67E4">
        <w:rPr>
          <w:i/>
          <w:sz w:val="24"/>
          <w:szCs w:val="24"/>
        </w:rPr>
        <w:t xml:space="preserve">, </w:t>
      </w:r>
      <w:r w:rsidR="001C67E4">
        <w:rPr>
          <w:sz w:val="24"/>
          <w:szCs w:val="24"/>
        </w:rPr>
        <w:t>No. 498 C.D. 2016</w:t>
      </w:r>
      <w:r w:rsidR="000C193D">
        <w:rPr>
          <w:sz w:val="24"/>
          <w:szCs w:val="24"/>
        </w:rPr>
        <w:t xml:space="preserve"> (</w:t>
      </w:r>
      <w:r w:rsidR="001C67E4">
        <w:rPr>
          <w:sz w:val="24"/>
          <w:szCs w:val="24"/>
        </w:rPr>
        <w:t>February 8,</w:t>
      </w:r>
      <w:r w:rsidR="000C193D">
        <w:rPr>
          <w:sz w:val="24"/>
          <w:szCs w:val="24"/>
        </w:rPr>
        <w:t xml:space="preserve"> 2017).  </w:t>
      </w:r>
    </w:p>
    <w:p w:rsidR="001C67E4" w:rsidRDefault="001C67E4" w:rsidP="00D70A06">
      <w:pPr>
        <w:spacing w:line="360" w:lineRule="auto"/>
        <w:ind w:firstLine="1440"/>
        <w:rPr>
          <w:sz w:val="24"/>
          <w:szCs w:val="24"/>
        </w:rPr>
      </w:pPr>
    </w:p>
    <w:p w:rsidR="001C67E4" w:rsidRDefault="001C67E4" w:rsidP="00D70A06">
      <w:pPr>
        <w:spacing w:line="360" w:lineRule="auto"/>
        <w:ind w:firstLine="1440"/>
        <w:rPr>
          <w:sz w:val="24"/>
          <w:szCs w:val="24"/>
        </w:rPr>
      </w:pPr>
      <w:r>
        <w:rPr>
          <w:sz w:val="24"/>
          <w:szCs w:val="24"/>
        </w:rPr>
        <w:t xml:space="preserve">I infer from the </w:t>
      </w:r>
      <w:r w:rsidRPr="001C67E4">
        <w:rPr>
          <w:i/>
          <w:sz w:val="24"/>
          <w:szCs w:val="24"/>
        </w:rPr>
        <w:t xml:space="preserve">Romeo </w:t>
      </w:r>
      <w:r>
        <w:rPr>
          <w:sz w:val="24"/>
          <w:szCs w:val="24"/>
        </w:rPr>
        <w:t xml:space="preserve">decision, that it is legally sufficient to plead the injunctive relief requested and the claim that smart meters </w:t>
      </w:r>
      <w:r w:rsidR="00853F5E">
        <w:rPr>
          <w:sz w:val="24"/>
          <w:szCs w:val="24"/>
        </w:rPr>
        <w:t>are</w:t>
      </w:r>
      <w:r>
        <w:rPr>
          <w:sz w:val="24"/>
          <w:szCs w:val="24"/>
        </w:rPr>
        <w:t xml:space="preserve"> generally unsafe, unhealthy, and the installation of them </w:t>
      </w:r>
      <w:r w:rsidR="00853F5E">
        <w:rPr>
          <w:sz w:val="24"/>
          <w:szCs w:val="24"/>
        </w:rPr>
        <w:t>is</w:t>
      </w:r>
      <w:r>
        <w:rPr>
          <w:sz w:val="24"/>
          <w:szCs w:val="24"/>
        </w:rPr>
        <w:t xml:space="preserve"> unreasonable service in violation of 66 Pa. C.S. § 1501.  </w:t>
      </w:r>
      <w:r w:rsidR="00853F5E">
        <w:rPr>
          <w:sz w:val="24"/>
          <w:szCs w:val="24"/>
        </w:rPr>
        <w:t xml:space="preserve">Accordingly, Respondent’s Preliminary Objections shall be denied and this case shall be set for hearing.  </w:t>
      </w:r>
    </w:p>
    <w:p w:rsidR="00853F5E" w:rsidRDefault="00853F5E" w:rsidP="00D70A06">
      <w:pPr>
        <w:spacing w:line="360" w:lineRule="auto"/>
        <w:ind w:firstLine="1440"/>
        <w:rPr>
          <w:sz w:val="24"/>
          <w:szCs w:val="24"/>
        </w:rPr>
      </w:pPr>
    </w:p>
    <w:p w:rsidR="00A76AD7" w:rsidRPr="00F538B7" w:rsidRDefault="00A76AD7" w:rsidP="00D70A06">
      <w:pPr>
        <w:spacing w:line="360" w:lineRule="auto"/>
        <w:jc w:val="center"/>
        <w:outlineLvl w:val="0"/>
        <w:rPr>
          <w:sz w:val="24"/>
          <w:szCs w:val="24"/>
          <w:u w:val="single"/>
        </w:rPr>
      </w:pPr>
      <w:r w:rsidRPr="00F538B7">
        <w:rPr>
          <w:sz w:val="24"/>
          <w:szCs w:val="24"/>
          <w:u w:val="single"/>
        </w:rPr>
        <w:t>ORDER</w:t>
      </w:r>
    </w:p>
    <w:p w:rsidR="00DB12AB" w:rsidRDefault="00DB12AB" w:rsidP="00D70A06">
      <w:pPr>
        <w:spacing w:line="360" w:lineRule="auto"/>
        <w:ind w:firstLine="1440"/>
        <w:outlineLvl w:val="0"/>
        <w:rPr>
          <w:sz w:val="24"/>
          <w:szCs w:val="24"/>
        </w:rPr>
      </w:pPr>
    </w:p>
    <w:p w:rsidR="008A506D" w:rsidRPr="00F538B7" w:rsidRDefault="008A506D" w:rsidP="00D70A06">
      <w:pPr>
        <w:spacing w:line="360" w:lineRule="auto"/>
        <w:ind w:firstLine="1440"/>
        <w:outlineLvl w:val="0"/>
        <w:rPr>
          <w:sz w:val="24"/>
          <w:szCs w:val="24"/>
        </w:rPr>
      </w:pPr>
    </w:p>
    <w:p w:rsidR="00A76AD7" w:rsidRPr="00F538B7" w:rsidRDefault="00A76AD7" w:rsidP="00D70A06">
      <w:pPr>
        <w:spacing w:line="360" w:lineRule="auto"/>
        <w:ind w:firstLine="1440"/>
        <w:outlineLvl w:val="0"/>
        <w:rPr>
          <w:sz w:val="24"/>
          <w:szCs w:val="24"/>
        </w:rPr>
      </w:pPr>
      <w:r w:rsidRPr="00F538B7">
        <w:rPr>
          <w:sz w:val="24"/>
          <w:szCs w:val="24"/>
        </w:rPr>
        <w:t>THEREFORE,</w:t>
      </w:r>
    </w:p>
    <w:p w:rsidR="00A76AD7" w:rsidRPr="00F538B7" w:rsidRDefault="00A76AD7" w:rsidP="00D70A06">
      <w:pPr>
        <w:spacing w:line="360" w:lineRule="auto"/>
        <w:ind w:firstLine="1440"/>
        <w:outlineLvl w:val="0"/>
        <w:rPr>
          <w:sz w:val="24"/>
          <w:szCs w:val="24"/>
        </w:rPr>
      </w:pPr>
    </w:p>
    <w:p w:rsidR="002B6B99" w:rsidRPr="00F538B7" w:rsidRDefault="002B6B99" w:rsidP="00D70A06">
      <w:pPr>
        <w:spacing w:line="360" w:lineRule="auto"/>
        <w:ind w:firstLine="1440"/>
        <w:outlineLvl w:val="0"/>
        <w:rPr>
          <w:sz w:val="24"/>
          <w:szCs w:val="24"/>
        </w:rPr>
      </w:pPr>
      <w:r w:rsidRPr="00F538B7">
        <w:rPr>
          <w:sz w:val="24"/>
          <w:szCs w:val="24"/>
        </w:rPr>
        <w:t>IT IS ORDERED:</w:t>
      </w:r>
    </w:p>
    <w:p w:rsidR="002B6B99" w:rsidRPr="00F538B7" w:rsidRDefault="002B6B99" w:rsidP="00D70A06">
      <w:pPr>
        <w:spacing w:line="360" w:lineRule="auto"/>
        <w:ind w:firstLine="1440"/>
        <w:rPr>
          <w:sz w:val="24"/>
          <w:szCs w:val="24"/>
        </w:rPr>
      </w:pPr>
    </w:p>
    <w:p w:rsidR="002B6B99" w:rsidRPr="00F538B7" w:rsidRDefault="002B6B99" w:rsidP="00D70A06">
      <w:pPr>
        <w:spacing w:line="360" w:lineRule="auto"/>
        <w:ind w:firstLine="1440"/>
        <w:rPr>
          <w:sz w:val="24"/>
          <w:szCs w:val="24"/>
        </w:rPr>
      </w:pPr>
      <w:r w:rsidRPr="00F538B7">
        <w:rPr>
          <w:sz w:val="24"/>
          <w:szCs w:val="24"/>
        </w:rPr>
        <w:t>1.</w:t>
      </w:r>
      <w:r w:rsidRPr="00F538B7">
        <w:rPr>
          <w:sz w:val="24"/>
          <w:szCs w:val="24"/>
        </w:rPr>
        <w:tab/>
        <w:t xml:space="preserve">That the </w:t>
      </w:r>
      <w:r w:rsidR="00441338" w:rsidRPr="00F538B7">
        <w:rPr>
          <w:sz w:val="24"/>
          <w:szCs w:val="24"/>
        </w:rPr>
        <w:t xml:space="preserve">Preliminary Objections </w:t>
      </w:r>
      <w:r w:rsidRPr="00F538B7">
        <w:rPr>
          <w:sz w:val="24"/>
          <w:szCs w:val="24"/>
        </w:rPr>
        <w:t xml:space="preserve">filed by </w:t>
      </w:r>
      <w:r w:rsidR="00853F5E">
        <w:rPr>
          <w:sz w:val="24"/>
          <w:szCs w:val="24"/>
        </w:rPr>
        <w:t xml:space="preserve">PPL Utilities Corporation at Docket No. </w:t>
      </w:r>
      <w:proofErr w:type="gramStart"/>
      <w:r w:rsidR="00853F5E">
        <w:rPr>
          <w:sz w:val="24"/>
          <w:szCs w:val="24"/>
        </w:rPr>
        <w:t>C-2016-257</w:t>
      </w:r>
      <w:r w:rsidR="0010756C">
        <w:rPr>
          <w:sz w:val="24"/>
          <w:szCs w:val="24"/>
        </w:rPr>
        <w:t>7527</w:t>
      </w:r>
      <w:r w:rsidR="00853F5E">
        <w:rPr>
          <w:sz w:val="24"/>
          <w:szCs w:val="24"/>
        </w:rPr>
        <w:t>.</w:t>
      </w:r>
      <w:proofErr w:type="gramEnd"/>
      <w:r w:rsidR="00853F5E">
        <w:rPr>
          <w:sz w:val="24"/>
          <w:szCs w:val="24"/>
        </w:rPr>
        <w:t xml:space="preserve">  </w:t>
      </w:r>
    </w:p>
    <w:p w:rsidR="002B6B99" w:rsidRPr="00F538B7" w:rsidRDefault="002B6B99" w:rsidP="00D70A06">
      <w:pPr>
        <w:spacing w:line="360" w:lineRule="auto"/>
        <w:ind w:firstLine="1440"/>
        <w:rPr>
          <w:sz w:val="24"/>
          <w:szCs w:val="24"/>
        </w:rPr>
      </w:pPr>
    </w:p>
    <w:p w:rsidR="002B6B99" w:rsidRPr="00F538B7" w:rsidRDefault="002B6B99" w:rsidP="00D70A06">
      <w:pPr>
        <w:spacing w:line="360" w:lineRule="auto"/>
        <w:ind w:firstLine="1440"/>
        <w:rPr>
          <w:sz w:val="24"/>
          <w:szCs w:val="24"/>
        </w:rPr>
      </w:pPr>
      <w:r w:rsidRPr="00F538B7">
        <w:rPr>
          <w:sz w:val="24"/>
          <w:szCs w:val="24"/>
        </w:rPr>
        <w:lastRenderedPageBreak/>
        <w:t>2.</w:t>
      </w:r>
      <w:r w:rsidRPr="00F538B7">
        <w:rPr>
          <w:sz w:val="24"/>
          <w:szCs w:val="24"/>
        </w:rPr>
        <w:tab/>
        <w:t xml:space="preserve">That the Formal Complaint filed by </w:t>
      </w:r>
      <w:r w:rsidR="0010756C">
        <w:rPr>
          <w:sz w:val="24"/>
          <w:szCs w:val="24"/>
        </w:rPr>
        <w:t xml:space="preserve">J. Jude </w:t>
      </w:r>
      <w:r w:rsidR="00853F5E">
        <w:rPr>
          <w:sz w:val="24"/>
          <w:szCs w:val="24"/>
        </w:rPr>
        <w:t xml:space="preserve">Bervinchak shall proceed to hearing.  </w:t>
      </w:r>
    </w:p>
    <w:p w:rsidR="00903694" w:rsidRPr="00F538B7" w:rsidRDefault="00903694" w:rsidP="00D70A06">
      <w:pPr>
        <w:spacing w:line="360" w:lineRule="auto"/>
        <w:ind w:firstLine="1440"/>
        <w:outlineLvl w:val="0"/>
        <w:rPr>
          <w:sz w:val="24"/>
          <w:szCs w:val="24"/>
        </w:rPr>
      </w:pPr>
    </w:p>
    <w:p w:rsidR="00A76AD7" w:rsidRPr="00F538B7" w:rsidRDefault="00A76AD7" w:rsidP="00D70A06">
      <w:pPr>
        <w:spacing w:line="360" w:lineRule="auto"/>
        <w:outlineLvl w:val="0"/>
        <w:rPr>
          <w:sz w:val="24"/>
          <w:szCs w:val="24"/>
        </w:rPr>
      </w:pPr>
    </w:p>
    <w:p w:rsidR="006C6130" w:rsidRDefault="006C6130" w:rsidP="00D70A06">
      <w:pPr>
        <w:outlineLvl w:val="0"/>
        <w:rPr>
          <w:snapToGrid w:val="0"/>
          <w:sz w:val="24"/>
          <w:szCs w:val="24"/>
          <w:u w:val="single"/>
        </w:rPr>
      </w:pPr>
      <w:r>
        <w:rPr>
          <w:snapToGrid w:val="0"/>
          <w:sz w:val="24"/>
          <w:szCs w:val="24"/>
        </w:rPr>
        <w:t xml:space="preserve">Date: </w:t>
      </w:r>
      <w:r w:rsidR="00853F5E">
        <w:rPr>
          <w:snapToGrid w:val="0"/>
          <w:sz w:val="24"/>
          <w:szCs w:val="24"/>
          <w:u w:val="single"/>
        </w:rPr>
        <w:t>May 24, 2017</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u w:val="single"/>
        </w:rPr>
        <w:tab/>
      </w:r>
      <w:r>
        <w:rPr>
          <w:snapToGrid w:val="0"/>
          <w:sz w:val="24"/>
          <w:szCs w:val="24"/>
          <w:u w:val="single"/>
        </w:rPr>
        <w:tab/>
        <w:t>/s/</w:t>
      </w:r>
      <w:r>
        <w:rPr>
          <w:snapToGrid w:val="0"/>
          <w:sz w:val="24"/>
          <w:szCs w:val="24"/>
          <w:u w:val="single"/>
        </w:rPr>
        <w:tab/>
      </w:r>
      <w:r>
        <w:rPr>
          <w:snapToGrid w:val="0"/>
          <w:sz w:val="24"/>
          <w:szCs w:val="24"/>
          <w:u w:val="single"/>
        </w:rPr>
        <w:tab/>
      </w:r>
      <w:r>
        <w:rPr>
          <w:snapToGrid w:val="0"/>
          <w:sz w:val="24"/>
          <w:szCs w:val="24"/>
          <w:u w:val="single"/>
        </w:rPr>
        <w:tab/>
      </w:r>
    </w:p>
    <w:p w:rsidR="006C6130" w:rsidRDefault="006C6130" w:rsidP="00D70A06">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Elizabeth H. Barnes</w:t>
      </w:r>
    </w:p>
    <w:p w:rsidR="006C6130" w:rsidRDefault="006C6130" w:rsidP="00D70A06">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Administrative Law Judge</w:t>
      </w:r>
    </w:p>
    <w:p w:rsidR="00321C57" w:rsidRDefault="00321C57" w:rsidP="00D70A06">
      <w:pPr>
        <w:outlineLvl w:val="0"/>
        <w:rPr>
          <w:snapToGrid w:val="0"/>
          <w:sz w:val="24"/>
          <w:szCs w:val="24"/>
        </w:rPr>
      </w:pPr>
    </w:p>
    <w:p w:rsidR="00321C57" w:rsidRDefault="00321C57" w:rsidP="00D70A06">
      <w:pPr>
        <w:outlineLvl w:val="0"/>
        <w:rPr>
          <w:snapToGrid w:val="0"/>
          <w:sz w:val="24"/>
          <w:szCs w:val="24"/>
        </w:rPr>
        <w:sectPr w:rsidR="00321C57" w:rsidSect="001B7605">
          <w:footerReference w:type="default" r:id="rId8"/>
          <w:pgSz w:w="12240" w:h="15840"/>
          <w:pgMar w:top="1440" w:right="1440" w:bottom="1440" w:left="1440" w:header="720" w:footer="720" w:gutter="0"/>
          <w:cols w:space="720"/>
          <w:titlePg/>
          <w:docGrid w:linePitch="360"/>
        </w:sectPr>
      </w:pPr>
    </w:p>
    <w:p w:rsidR="00321C57" w:rsidRDefault="00321C57" w:rsidP="00321C57">
      <w:pPr>
        <w:contextualSpacing/>
        <w:rPr>
          <w:rFonts w:ascii="Microsoft Sans Serif"/>
          <w:sz w:val="24"/>
        </w:rPr>
      </w:pPr>
      <w:r>
        <w:rPr>
          <w:rFonts w:ascii="Microsoft Sans Serif"/>
          <w:b/>
          <w:sz w:val="24"/>
          <w:u w:val="single"/>
        </w:rPr>
        <w:lastRenderedPageBreak/>
        <w:t>C-2016-2577527 - J JUDE BERVINCHAK v. PPL ELECTRIC UTILITIES CORPORATION</w:t>
      </w:r>
      <w:r>
        <w:rPr>
          <w:rFonts w:ascii="Microsoft Sans Serif"/>
          <w:b/>
          <w:sz w:val="24"/>
          <w:u w:val="single"/>
        </w:rPr>
        <w:cr/>
      </w:r>
      <w:r>
        <w:rPr>
          <w:rFonts w:ascii="Microsoft Sans Serif"/>
          <w:sz w:val="24"/>
        </w:rPr>
        <w:cr/>
      </w:r>
      <w:r>
        <w:rPr>
          <w:rFonts w:ascii="Microsoft Sans Serif"/>
          <w:sz w:val="24"/>
        </w:rPr>
        <w:cr/>
        <w:t>J JUDE BERVINCHAK</w:t>
      </w:r>
      <w:r>
        <w:rPr>
          <w:rFonts w:ascii="Microsoft Sans Serif"/>
          <w:sz w:val="24"/>
        </w:rPr>
        <w:cr/>
        <w:t>825 CHRISTINE LANE</w:t>
      </w:r>
      <w:r>
        <w:rPr>
          <w:rFonts w:ascii="Microsoft Sans Serif"/>
          <w:sz w:val="24"/>
        </w:rPr>
        <w:cr/>
        <w:t>LANCASTER PA  17601</w:t>
      </w:r>
      <w:r>
        <w:rPr>
          <w:rFonts w:ascii="Microsoft Sans Serif"/>
          <w:sz w:val="24"/>
        </w:rPr>
        <w:cr/>
        <w:t>717.898.3359</w:t>
      </w:r>
      <w:r>
        <w:rPr>
          <w:rFonts w:ascii="Microsoft Sans Serif"/>
          <w:sz w:val="24"/>
        </w:rPr>
        <w:cr/>
      </w:r>
    </w:p>
    <w:p w:rsidR="00321C57" w:rsidRDefault="00321C57" w:rsidP="00321C57">
      <w:pPr>
        <w:contextualSpacing/>
        <w:rPr>
          <w:rFonts w:ascii="Microsoft Sans Serif"/>
          <w:sz w:val="24"/>
        </w:rPr>
      </w:pPr>
      <w:r>
        <w:rPr>
          <w:rFonts w:ascii="Microsoft Sans Serif"/>
          <w:sz w:val="24"/>
        </w:rPr>
        <w:t xml:space="preserve">CHRISTOPHER T WRIGHT </w:t>
      </w:r>
      <w:proofErr w:type="gramStart"/>
      <w:r>
        <w:rPr>
          <w:rFonts w:ascii="Microsoft Sans Serif"/>
          <w:sz w:val="24"/>
        </w:rPr>
        <w:t xml:space="preserve">ESQUIRE </w:t>
      </w:r>
      <w:r>
        <w:rPr>
          <w:rFonts w:ascii="Microsoft Sans Serif"/>
          <w:sz w:val="24"/>
        </w:rPr>
        <w:cr/>
        <w:t>DEVIN</w:t>
      </w:r>
      <w:proofErr w:type="gramEnd"/>
      <w:r>
        <w:rPr>
          <w:rFonts w:ascii="Microsoft Sans Serif"/>
          <w:sz w:val="24"/>
        </w:rPr>
        <w:t xml:space="preserve">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r>
      <w:proofErr w:type="gramStart"/>
      <w:r>
        <w:rPr>
          <w:rFonts w:ascii="Microsoft Sans Serif"/>
          <w:sz w:val="24"/>
        </w:rPr>
        <w:t>HARRISBURG  PA</w:t>
      </w:r>
      <w:proofErr w:type="gramEnd"/>
      <w:r>
        <w:rPr>
          <w:rFonts w:ascii="Microsoft Sans Serif"/>
          <w:sz w:val="24"/>
        </w:rPr>
        <w:t xml:space="preserve">  17101-1601</w:t>
      </w:r>
      <w:r>
        <w:rPr>
          <w:rFonts w:ascii="Microsoft Sans Serif"/>
          <w:sz w:val="24"/>
        </w:rPr>
        <w:cr/>
        <w:t>717.731.1970</w:t>
      </w:r>
    </w:p>
    <w:p w:rsidR="00321C57" w:rsidRPr="006D384D" w:rsidRDefault="00321C57" w:rsidP="00321C57">
      <w:pPr>
        <w:contextualSpacing/>
        <w:rPr>
          <w:rFonts w:ascii="Microsoft Sans Serif"/>
          <w:b/>
          <w:i/>
          <w:sz w:val="24"/>
          <w:u w:val="single"/>
        </w:rPr>
      </w:pPr>
      <w:r>
        <w:rPr>
          <w:rFonts w:ascii="Microsoft Sans Serif"/>
          <w:sz w:val="24"/>
        </w:rPr>
        <w:t>717.612.6052</w:t>
      </w:r>
      <w:r>
        <w:rPr>
          <w:rFonts w:ascii="Microsoft Sans Serif"/>
          <w:sz w:val="24"/>
        </w:rPr>
        <w:cr/>
      </w:r>
      <w:r>
        <w:rPr>
          <w:rFonts w:ascii="Microsoft Sans Serif"/>
          <w:b/>
          <w:i/>
          <w:sz w:val="24"/>
          <w:u w:val="single"/>
        </w:rPr>
        <w:t>-E-SERVE-</w:t>
      </w:r>
    </w:p>
    <w:p w:rsidR="00321C57" w:rsidRDefault="00321C57" w:rsidP="00321C57"/>
    <w:p w:rsidR="00321C57" w:rsidRPr="006C6130" w:rsidRDefault="00321C57" w:rsidP="00D70A06">
      <w:pPr>
        <w:outlineLvl w:val="0"/>
        <w:rPr>
          <w:snapToGrid w:val="0"/>
          <w:sz w:val="24"/>
          <w:szCs w:val="24"/>
        </w:rPr>
      </w:pPr>
      <w:bookmarkStart w:id="0" w:name="_GoBack"/>
      <w:bookmarkEnd w:id="0"/>
    </w:p>
    <w:sectPr w:rsidR="00321C57" w:rsidRPr="006C613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AAE" w:rsidRDefault="00944AAE" w:rsidP="00F01477">
      <w:r>
        <w:separator/>
      </w:r>
    </w:p>
  </w:endnote>
  <w:endnote w:type="continuationSeparator" w:id="0">
    <w:p w:rsidR="00944AAE" w:rsidRDefault="00944AAE"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3D" w:rsidRPr="00C7592A" w:rsidRDefault="0087473D">
    <w:pPr>
      <w:pStyle w:val="Footer"/>
      <w:jc w:val="center"/>
      <w:rPr>
        <w:sz w:val="20"/>
      </w:rPr>
    </w:pPr>
    <w:r w:rsidRPr="00C7592A">
      <w:rPr>
        <w:sz w:val="20"/>
      </w:rPr>
      <w:fldChar w:fldCharType="begin"/>
    </w:r>
    <w:r w:rsidRPr="00C7592A">
      <w:rPr>
        <w:sz w:val="20"/>
      </w:rPr>
      <w:instrText xml:space="preserve"> PAGE   \* MERGEFORMAT </w:instrText>
    </w:r>
    <w:r w:rsidRPr="00C7592A">
      <w:rPr>
        <w:sz w:val="20"/>
      </w:rPr>
      <w:fldChar w:fldCharType="separate"/>
    </w:r>
    <w:r w:rsidR="00321C57">
      <w:rPr>
        <w:noProof/>
        <w:sz w:val="20"/>
      </w:rPr>
      <w:t>6</w:t>
    </w:r>
    <w:r w:rsidRPr="00C7592A">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57" w:rsidRPr="00321C57" w:rsidRDefault="00321C57" w:rsidP="00321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AAE" w:rsidRDefault="00944AAE" w:rsidP="00F01477">
      <w:r>
        <w:separator/>
      </w:r>
    </w:p>
  </w:footnote>
  <w:footnote w:type="continuationSeparator" w:id="0">
    <w:p w:rsidR="00944AAE" w:rsidRDefault="00944AAE" w:rsidP="00F01477">
      <w:r>
        <w:continuationSeparator/>
      </w:r>
    </w:p>
  </w:footnote>
  <w:footnote w:id="1">
    <w:p w:rsidR="00630C9D" w:rsidRDefault="00630C9D" w:rsidP="00630C9D">
      <w:pPr>
        <w:pStyle w:val="FootnoteText"/>
      </w:pPr>
      <w:r>
        <w:rPr>
          <w:rStyle w:val="FootnoteReference"/>
        </w:rPr>
        <w:footnoteRef/>
      </w:r>
      <w:r>
        <w:t xml:space="preserve"> </w:t>
      </w:r>
      <w:r w:rsidRPr="008A05D9">
        <w:t>P</w:t>
      </w:r>
      <w:r w:rsidR="009029C3">
        <w:t>PL</w:t>
      </w:r>
      <w:r w:rsidRPr="008A05D9">
        <w:t xml:space="preserve"> signed a waiver of the Section 702 requirement for registered or certified mail service of formal complaints, 66 Pa. C.S. § 702, and agreed to electronic service</w:t>
      </w:r>
      <w:r>
        <w:t xml:space="preserve"> </w:t>
      </w:r>
      <w:r w:rsidRPr="008A05D9">
        <w:t xml:space="preserve">under the Commission’s waiver of 702 program.  </w:t>
      </w:r>
      <w:r w:rsidRPr="008A05D9">
        <w:rPr>
          <w:i/>
        </w:rPr>
        <w:t xml:space="preserve">See In Re: Electronic Service of Formal Complaints, </w:t>
      </w:r>
      <w:r w:rsidRPr="008D4D95">
        <w:t xml:space="preserve">Secretarial Letter Dated December 22, 2014, at Docket Nos. </w:t>
      </w:r>
      <w:proofErr w:type="gramStart"/>
      <w:r w:rsidRPr="008D4D95">
        <w:t xml:space="preserve">M-2013-2398153 </w:t>
      </w:r>
      <w:r w:rsidRPr="008D4D95">
        <w:rPr>
          <w:i/>
        </w:rPr>
        <w:t>et al.</w:t>
      </w:r>
      <w:proofErr w:type="gramEnd"/>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1"/>
    <w:rsid w:val="000013CB"/>
    <w:rsid w:val="00004814"/>
    <w:rsid w:val="00022562"/>
    <w:rsid w:val="00022765"/>
    <w:rsid w:val="00033C16"/>
    <w:rsid w:val="00034B41"/>
    <w:rsid w:val="00041D46"/>
    <w:rsid w:val="00051044"/>
    <w:rsid w:val="00072E55"/>
    <w:rsid w:val="00076451"/>
    <w:rsid w:val="000773B2"/>
    <w:rsid w:val="00077680"/>
    <w:rsid w:val="00096CC5"/>
    <w:rsid w:val="000A18DF"/>
    <w:rsid w:val="000B2CD1"/>
    <w:rsid w:val="000C193D"/>
    <w:rsid w:val="000D4485"/>
    <w:rsid w:val="000D7CE5"/>
    <w:rsid w:val="000E2805"/>
    <w:rsid w:val="000E7231"/>
    <w:rsid w:val="000F1FDE"/>
    <w:rsid w:val="00101426"/>
    <w:rsid w:val="0010756C"/>
    <w:rsid w:val="00107AA4"/>
    <w:rsid w:val="00116DDE"/>
    <w:rsid w:val="001310C5"/>
    <w:rsid w:val="0013283A"/>
    <w:rsid w:val="00150F49"/>
    <w:rsid w:val="00166AAD"/>
    <w:rsid w:val="00192A2B"/>
    <w:rsid w:val="00194912"/>
    <w:rsid w:val="0019603B"/>
    <w:rsid w:val="00197564"/>
    <w:rsid w:val="001A16B3"/>
    <w:rsid w:val="001A376E"/>
    <w:rsid w:val="001A5FB1"/>
    <w:rsid w:val="001B7605"/>
    <w:rsid w:val="001C67E4"/>
    <w:rsid w:val="001D7CB6"/>
    <w:rsid w:val="001E006E"/>
    <w:rsid w:val="001E03F9"/>
    <w:rsid w:val="002065E1"/>
    <w:rsid w:val="00210906"/>
    <w:rsid w:val="0021607C"/>
    <w:rsid w:val="0023166D"/>
    <w:rsid w:val="00235456"/>
    <w:rsid w:val="00243B05"/>
    <w:rsid w:val="00245556"/>
    <w:rsid w:val="0026006A"/>
    <w:rsid w:val="00271244"/>
    <w:rsid w:val="002753F1"/>
    <w:rsid w:val="00275428"/>
    <w:rsid w:val="00285FF4"/>
    <w:rsid w:val="002B2E47"/>
    <w:rsid w:val="002B5E3F"/>
    <w:rsid w:val="002B6B99"/>
    <w:rsid w:val="002C5A9A"/>
    <w:rsid w:val="002F0078"/>
    <w:rsid w:val="002F1E38"/>
    <w:rsid w:val="00303AF4"/>
    <w:rsid w:val="00321C57"/>
    <w:rsid w:val="00335B8D"/>
    <w:rsid w:val="00337876"/>
    <w:rsid w:val="0034684B"/>
    <w:rsid w:val="00355797"/>
    <w:rsid w:val="0036156C"/>
    <w:rsid w:val="0036628E"/>
    <w:rsid w:val="00382280"/>
    <w:rsid w:val="00387FBD"/>
    <w:rsid w:val="00396DBC"/>
    <w:rsid w:val="00397AFE"/>
    <w:rsid w:val="003A335E"/>
    <w:rsid w:val="003C5029"/>
    <w:rsid w:val="003C6450"/>
    <w:rsid w:val="003D0248"/>
    <w:rsid w:val="003D0FAF"/>
    <w:rsid w:val="003D2866"/>
    <w:rsid w:val="003D5763"/>
    <w:rsid w:val="003E1F9A"/>
    <w:rsid w:val="003E3DD3"/>
    <w:rsid w:val="003F1366"/>
    <w:rsid w:val="003F2643"/>
    <w:rsid w:val="003F6760"/>
    <w:rsid w:val="00422676"/>
    <w:rsid w:val="0042352D"/>
    <w:rsid w:val="00423A71"/>
    <w:rsid w:val="00423E3B"/>
    <w:rsid w:val="00426DD7"/>
    <w:rsid w:val="004335D2"/>
    <w:rsid w:val="004341A5"/>
    <w:rsid w:val="00441244"/>
    <w:rsid w:val="00441338"/>
    <w:rsid w:val="00450D53"/>
    <w:rsid w:val="00453D3A"/>
    <w:rsid w:val="00456773"/>
    <w:rsid w:val="00464796"/>
    <w:rsid w:val="0046625B"/>
    <w:rsid w:val="00487EB5"/>
    <w:rsid w:val="00493C6F"/>
    <w:rsid w:val="004A070E"/>
    <w:rsid w:val="004A2E15"/>
    <w:rsid w:val="004A6A2C"/>
    <w:rsid w:val="004B5A00"/>
    <w:rsid w:val="004C2F6A"/>
    <w:rsid w:val="004C409D"/>
    <w:rsid w:val="004C42DD"/>
    <w:rsid w:val="004D357A"/>
    <w:rsid w:val="004D4D7C"/>
    <w:rsid w:val="004E1E64"/>
    <w:rsid w:val="004F2EA5"/>
    <w:rsid w:val="004F5773"/>
    <w:rsid w:val="004F5ECC"/>
    <w:rsid w:val="00502687"/>
    <w:rsid w:val="00504517"/>
    <w:rsid w:val="005073FE"/>
    <w:rsid w:val="00521681"/>
    <w:rsid w:val="00532F60"/>
    <w:rsid w:val="00570E50"/>
    <w:rsid w:val="0057491A"/>
    <w:rsid w:val="00575244"/>
    <w:rsid w:val="00581E35"/>
    <w:rsid w:val="00583767"/>
    <w:rsid w:val="0059485C"/>
    <w:rsid w:val="005B2BCC"/>
    <w:rsid w:val="005B5B6C"/>
    <w:rsid w:val="005C2A2F"/>
    <w:rsid w:val="005D0EE4"/>
    <w:rsid w:val="005D2E97"/>
    <w:rsid w:val="005D57B4"/>
    <w:rsid w:val="005E1388"/>
    <w:rsid w:val="005E2CB0"/>
    <w:rsid w:val="005E4B0D"/>
    <w:rsid w:val="00601B3D"/>
    <w:rsid w:val="00605265"/>
    <w:rsid w:val="00612C2C"/>
    <w:rsid w:val="00615EFF"/>
    <w:rsid w:val="00617D0C"/>
    <w:rsid w:val="006217C2"/>
    <w:rsid w:val="0062700D"/>
    <w:rsid w:val="00630B93"/>
    <w:rsid w:val="00630C9D"/>
    <w:rsid w:val="00632215"/>
    <w:rsid w:val="00652372"/>
    <w:rsid w:val="006536BB"/>
    <w:rsid w:val="006556B7"/>
    <w:rsid w:val="00680A3C"/>
    <w:rsid w:val="006A7C31"/>
    <w:rsid w:val="006A7C5E"/>
    <w:rsid w:val="006B2975"/>
    <w:rsid w:val="006B3FDB"/>
    <w:rsid w:val="006B75D0"/>
    <w:rsid w:val="006C0905"/>
    <w:rsid w:val="006C214C"/>
    <w:rsid w:val="006C5060"/>
    <w:rsid w:val="006C50C3"/>
    <w:rsid w:val="006C54DA"/>
    <w:rsid w:val="006C6130"/>
    <w:rsid w:val="006D47E8"/>
    <w:rsid w:val="006D4BE1"/>
    <w:rsid w:val="006E3650"/>
    <w:rsid w:val="006E64D3"/>
    <w:rsid w:val="00710526"/>
    <w:rsid w:val="007348EE"/>
    <w:rsid w:val="00751BE1"/>
    <w:rsid w:val="00762825"/>
    <w:rsid w:val="00766DFC"/>
    <w:rsid w:val="00776571"/>
    <w:rsid w:val="00782910"/>
    <w:rsid w:val="00783A5D"/>
    <w:rsid w:val="007A17B2"/>
    <w:rsid w:val="007C7451"/>
    <w:rsid w:val="007D2FB7"/>
    <w:rsid w:val="007E0AFC"/>
    <w:rsid w:val="007E17FD"/>
    <w:rsid w:val="007F0C2B"/>
    <w:rsid w:val="00801F22"/>
    <w:rsid w:val="008107AC"/>
    <w:rsid w:val="008136E8"/>
    <w:rsid w:val="00822571"/>
    <w:rsid w:val="00826780"/>
    <w:rsid w:val="008358F8"/>
    <w:rsid w:val="008373AE"/>
    <w:rsid w:val="00853F5E"/>
    <w:rsid w:val="008552E7"/>
    <w:rsid w:val="00856901"/>
    <w:rsid w:val="0087473D"/>
    <w:rsid w:val="0088342F"/>
    <w:rsid w:val="008918CF"/>
    <w:rsid w:val="008A506D"/>
    <w:rsid w:val="008C11D9"/>
    <w:rsid w:val="008D2A73"/>
    <w:rsid w:val="008D45D8"/>
    <w:rsid w:val="008F45E8"/>
    <w:rsid w:val="008F7591"/>
    <w:rsid w:val="0090057D"/>
    <w:rsid w:val="009029C3"/>
    <w:rsid w:val="00903694"/>
    <w:rsid w:val="00922ADB"/>
    <w:rsid w:val="00931BAF"/>
    <w:rsid w:val="0094111D"/>
    <w:rsid w:val="0094208F"/>
    <w:rsid w:val="0094368D"/>
    <w:rsid w:val="00944AAE"/>
    <w:rsid w:val="00964FAA"/>
    <w:rsid w:val="009711EB"/>
    <w:rsid w:val="00977130"/>
    <w:rsid w:val="00982EFD"/>
    <w:rsid w:val="00984A5A"/>
    <w:rsid w:val="009907E5"/>
    <w:rsid w:val="009A3F94"/>
    <w:rsid w:val="009A7607"/>
    <w:rsid w:val="009B4AFD"/>
    <w:rsid w:val="009C15A3"/>
    <w:rsid w:val="009C4381"/>
    <w:rsid w:val="009D51F3"/>
    <w:rsid w:val="009E1A1C"/>
    <w:rsid w:val="009E263D"/>
    <w:rsid w:val="009F43D4"/>
    <w:rsid w:val="00A027B7"/>
    <w:rsid w:val="00A04CB6"/>
    <w:rsid w:val="00A24A2C"/>
    <w:rsid w:val="00A353B0"/>
    <w:rsid w:val="00A3680E"/>
    <w:rsid w:val="00A51CF8"/>
    <w:rsid w:val="00A5470A"/>
    <w:rsid w:val="00A54CF4"/>
    <w:rsid w:val="00A63583"/>
    <w:rsid w:val="00A74685"/>
    <w:rsid w:val="00A76AD7"/>
    <w:rsid w:val="00A8315D"/>
    <w:rsid w:val="00A93178"/>
    <w:rsid w:val="00A94EE3"/>
    <w:rsid w:val="00A96052"/>
    <w:rsid w:val="00AA4FFC"/>
    <w:rsid w:val="00AB7847"/>
    <w:rsid w:val="00AD36F0"/>
    <w:rsid w:val="00AE4DDF"/>
    <w:rsid w:val="00AE79D7"/>
    <w:rsid w:val="00AF6199"/>
    <w:rsid w:val="00B00D42"/>
    <w:rsid w:val="00B02E57"/>
    <w:rsid w:val="00B046A2"/>
    <w:rsid w:val="00B07454"/>
    <w:rsid w:val="00B11C9B"/>
    <w:rsid w:val="00B13F4A"/>
    <w:rsid w:val="00B24152"/>
    <w:rsid w:val="00B26BAE"/>
    <w:rsid w:val="00B27270"/>
    <w:rsid w:val="00B40411"/>
    <w:rsid w:val="00B46D3A"/>
    <w:rsid w:val="00B470DA"/>
    <w:rsid w:val="00B473D2"/>
    <w:rsid w:val="00B53BAB"/>
    <w:rsid w:val="00B61B76"/>
    <w:rsid w:val="00B61BD8"/>
    <w:rsid w:val="00B63C44"/>
    <w:rsid w:val="00B70933"/>
    <w:rsid w:val="00BA2359"/>
    <w:rsid w:val="00BA6A3E"/>
    <w:rsid w:val="00BB4F5B"/>
    <w:rsid w:val="00BB6D2F"/>
    <w:rsid w:val="00BC4334"/>
    <w:rsid w:val="00BC6AA9"/>
    <w:rsid w:val="00BC7244"/>
    <w:rsid w:val="00BD44B7"/>
    <w:rsid w:val="00BF0D00"/>
    <w:rsid w:val="00C0004F"/>
    <w:rsid w:val="00C0016E"/>
    <w:rsid w:val="00C02520"/>
    <w:rsid w:val="00C03595"/>
    <w:rsid w:val="00C1129F"/>
    <w:rsid w:val="00C16234"/>
    <w:rsid w:val="00C17A9B"/>
    <w:rsid w:val="00C302EE"/>
    <w:rsid w:val="00C33FCD"/>
    <w:rsid w:val="00C521D8"/>
    <w:rsid w:val="00C54D95"/>
    <w:rsid w:val="00C708E7"/>
    <w:rsid w:val="00C7592A"/>
    <w:rsid w:val="00C759DF"/>
    <w:rsid w:val="00C822E3"/>
    <w:rsid w:val="00CB009D"/>
    <w:rsid w:val="00CB124B"/>
    <w:rsid w:val="00CB3587"/>
    <w:rsid w:val="00CC406F"/>
    <w:rsid w:val="00CC7EB1"/>
    <w:rsid w:val="00CE159B"/>
    <w:rsid w:val="00CE3927"/>
    <w:rsid w:val="00CE4BCD"/>
    <w:rsid w:val="00D01393"/>
    <w:rsid w:val="00D153D6"/>
    <w:rsid w:val="00D23B38"/>
    <w:rsid w:val="00D44070"/>
    <w:rsid w:val="00D531B2"/>
    <w:rsid w:val="00D53B01"/>
    <w:rsid w:val="00D60611"/>
    <w:rsid w:val="00D70A06"/>
    <w:rsid w:val="00D745F2"/>
    <w:rsid w:val="00D77A90"/>
    <w:rsid w:val="00D80EF6"/>
    <w:rsid w:val="00D8703C"/>
    <w:rsid w:val="00DA5530"/>
    <w:rsid w:val="00DB12AB"/>
    <w:rsid w:val="00DB15A3"/>
    <w:rsid w:val="00DC0D31"/>
    <w:rsid w:val="00DD43D8"/>
    <w:rsid w:val="00DD5B32"/>
    <w:rsid w:val="00DD7978"/>
    <w:rsid w:val="00DF4D98"/>
    <w:rsid w:val="00E00E54"/>
    <w:rsid w:val="00E17458"/>
    <w:rsid w:val="00E2510F"/>
    <w:rsid w:val="00E25323"/>
    <w:rsid w:val="00E321A4"/>
    <w:rsid w:val="00E500B5"/>
    <w:rsid w:val="00E6748E"/>
    <w:rsid w:val="00E76065"/>
    <w:rsid w:val="00E86F4B"/>
    <w:rsid w:val="00EA4BA4"/>
    <w:rsid w:val="00EA691B"/>
    <w:rsid w:val="00EC0F80"/>
    <w:rsid w:val="00EC1268"/>
    <w:rsid w:val="00ED1661"/>
    <w:rsid w:val="00ED3542"/>
    <w:rsid w:val="00EE7797"/>
    <w:rsid w:val="00F01477"/>
    <w:rsid w:val="00F15449"/>
    <w:rsid w:val="00F50141"/>
    <w:rsid w:val="00F538B7"/>
    <w:rsid w:val="00F83AEE"/>
    <w:rsid w:val="00F86D7D"/>
    <w:rsid w:val="00F9276B"/>
    <w:rsid w:val="00F936E1"/>
    <w:rsid w:val="00F977B0"/>
    <w:rsid w:val="00FA0D6F"/>
    <w:rsid w:val="00FB673C"/>
    <w:rsid w:val="00FC37B4"/>
    <w:rsid w:val="00FC65A7"/>
    <w:rsid w:val="00FD3AA7"/>
    <w:rsid w:val="00FE2C40"/>
    <w:rsid w:val="00FF29E2"/>
    <w:rsid w:val="00FF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rsid w:val="00F01477"/>
    <w:rPr>
      <w:sz w:val="20"/>
    </w:rPr>
  </w:style>
  <w:style w:type="character" w:customStyle="1" w:styleId="FootnoteTextChar">
    <w:name w:val="Footnote Text Char"/>
    <w:aliases w:val="Car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rsid w:val="00F01477"/>
    <w:rPr>
      <w:sz w:val="20"/>
    </w:rPr>
  </w:style>
  <w:style w:type="character" w:customStyle="1" w:styleId="FootnoteTextChar">
    <w:name w:val="Footnote Text Char"/>
    <w:aliases w:val="Car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04BB-AA4D-45BD-9F67-5AA3C365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Williams, Bobbie Jo</cp:lastModifiedBy>
  <cp:revision>2</cp:revision>
  <cp:lastPrinted>2017-05-25T18:46:00Z</cp:lastPrinted>
  <dcterms:created xsi:type="dcterms:W3CDTF">2017-05-25T18:46:00Z</dcterms:created>
  <dcterms:modified xsi:type="dcterms:W3CDTF">2017-05-25T18:46:00Z</dcterms:modified>
</cp:coreProperties>
</file>