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EF" w:rsidRPr="004C4AFE" w:rsidRDefault="009135EF" w:rsidP="009135EF">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4C4AFE">
        <w:rPr>
          <w:rFonts w:ascii="Times New Roman" w:eastAsia="Times New Roman" w:hAnsi="Times New Roman" w:cs="Times New Roman"/>
          <w:b/>
          <w:sz w:val="24"/>
          <w:szCs w:val="24"/>
        </w:rPr>
        <w:t>BEFORE THE</w:t>
      </w:r>
    </w:p>
    <w:p w:rsidR="009135EF" w:rsidRPr="004C4AFE" w:rsidRDefault="009135EF" w:rsidP="009135E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9135EF" w:rsidRDefault="009135EF" w:rsidP="00985E4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85E4A" w:rsidRPr="004C4AFE" w:rsidRDefault="00985E4A" w:rsidP="00985E4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135EF" w:rsidRPr="004C4AFE" w:rsidRDefault="009135EF" w:rsidP="00985E4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135EF" w:rsidRDefault="009135EF" w:rsidP="009135EF">
      <w:pPr>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Jannette I. Vasquez and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9135EF" w:rsidRPr="004C4AFE" w:rsidRDefault="009135EF" w:rsidP="009135E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Edwin Segarra Lagoa</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9135EF" w:rsidRPr="004C4AFE" w:rsidRDefault="009135EF" w:rsidP="009135EF">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9135EF" w:rsidRPr="008C4302" w:rsidRDefault="009135EF" w:rsidP="00985E4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985E4A">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C-2016-2543324</w:t>
      </w:r>
    </w:p>
    <w:p w:rsidR="009135EF" w:rsidRPr="004C4AFE" w:rsidRDefault="009135EF" w:rsidP="009135E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9135EF" w:rsidRPr="004C4AFE" w:rsidRDefault="009135EF" w:rsidP="009135EF">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9135EF" w:rsidRPr="004C4AFE" w:rsidRDefault="009135EF" w:rsidP="009135E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9135EF" w:rsidRDefault="009135EF" w:rsidP="00985E4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85E4A" w:rsidRDefault="00985E4A" w:rsidP="00985E4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85E4A" w:rsidRPr="004C4AFE" w:rsidRDefault="00985E4A" w:rsidP="00985E4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135EF" w:rsidRPr="00142F68" w:rsidRDefault="009135EF" w:rsidP="009135EF">
      <w:pPr>
        <w:spacing w:after="0" w:line="240" w:lineRule="auto"/>
        <w:jc w:val="center"/>
        <w:rPr>
          <w:rFonts w:ascii="Times New Roman" w:eastAsia="Times New Roman" w:hAnsi="Times New Roman" w:cs="Times New Roman"/>
          <w:b/>
          <w:sz w:val="24"/>
          <w:szCs w:val="24"/>
          <w:u w:val="single"/>
        </w:rPr>
      </w:pPr>
      <w:r w:rsidRPr="00142F68">
        <w:rPr>
          <w:rFonts w:ascii="Times New Roman" w:eastAsia="Times New Roman" w:hAnsi="Times New Roman" w:cs="Times New Roman"/>
          <w:b/>
          <w:sz w:val="24"/>
          <w:szCs w:val="24"/>
          <w:u w:val="single"/>
        </w:rPr>
        <w:t>INITIAL DECISION</w:t>
      </w:r>
    </w:p>
    <w:p w:rsidR="009135EF" w:rsidRPr="00142F68" w:rsidRDefault="009135EF" w:rsidP="009135EF">
      <w:pPr>
        <w:spacing w:after="0" w:line="240" w:lineRule="auto"/>
        <w:jc w:val="center"/>
        <w:rPr>
          <w:rFonts w:ascii="Times New Roman" w:eastAsia="Times New Roman" w:hAnsi="Times New Roman" w:cs="Times New Roman"/>
          <w:sz w:val="24"/>
          <w:szCs w:val="24"/>
        </w:rPr>
      </w:pPr>
    </w:p>
    <w:p w:rsidR="009135EF" w:rsidRPr="00142F68" w:rsidRDefault="009135EF" w:rsidP="009135EF">
      <w:pPr>
        <w:spacing w:after="0" w:line="240" w:lineRule="auto"/>
        <w:jc w:val="center"/>
        <w:rPr>
          <w:rFonts w:ascii="Times New Roman" w:eastAsia="Times New Roman" w:hAnsi="Times New Roman" w:cs="Times New Roman"/>
          <w:sz w:val="24"/>
          <w:szCs w:val="24"/>
        </w:rPr>
      </w:pPr>
    </w:p>
    <w:p w:rsidR="009135EF" w:rsidRPr="00142F68" w:rsidRDefault="009135EF" w:rsidP="009135EF">
      <w:pPr>
        <w:spacing w:after="0" w:line="240" w:lineRule="auto"/>
        <w:jc w:val="center"/>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Before</w:t>
      </w:r>
    </w:p>
    <w:p w:rsidR="009135EF" w:rsidRPr="00142F68" w:rsidRDefault="009135EF" w:rsidP="009135EF">
      <w:pPr>
        <w:spacing w:after="0" w:line="240" w:lineRule="auto"/>
        <w:jc w:val="center"/>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Eranda Vero</w:t>
      </w:r>
    </w:p>
    <w:p w:rsidR="009135EF" w:rsidRDefault="009135EF" w:rsidP="009135EF">
      <w:pPr>
        <w:spacing w:after="0" w:line="240" w:lineRule="auto"/>
        <w:jc w:val="center"/>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Administrative Law Judge</w:t>
      </w:r>
    </w:p>
    <w:p w:rsidR="009135EF" w:rsidRPr="00142F68" w:rsidRDefault="009135EF" w:rsidP="009135EF">
      <w:pPr>
        <w:spacing w:after="0" w:line="240" w:lineRule="auto"/>
        <w:jc w:val="center"/>
        <w:rPr>
          <w:rFonts w:ascii="Times New Roman" w:eastAsia="Times New Roman" w:hAnsi="Times New Roman" w:cs="Times New Roman"/>
          <w:sz w:val="24"/>
          <w:szCs w:val="24"/>
        </w:rPr>
      </w:pPr>
    </w:p>
    <w:p w:rsidR="009135EF" w:rsidRPr="00142F68" w:rsidRDefault="009135EF" w:rsidP="009135EF">
      <w:pPr>
        <w:spacing w:after="0" w:line="240" w:lineRule="auto"/>
        <w:jc w:val="center"/>
        <w:rPr>
          <w:rFonts w:ascii="Times New Roman" w:eastAsia="Times New Roman" w:hAnsi="Times New Roman" w:cs="Times New Roman"/>
          <w:sz w:val="24"/>
          <w:szCs w:val="24"/>
        </w:rPr>
      </w:pPr>
    </w:p>
    <w:p w:rsidR="009135EF" w:rsidRDefault="009135EF" w:rsidP="009135EF">
      <w:pPr>
        <w:spacing w:after="0" w:line="240" w:lineRule="auto"/>
        <w:jc w:val="center"/>
        <w:rPr>
          <w:rFonts w:ascii="Times New Roman" w:eastAsia="Times New Roman" w:hAnsi="Times New Roman" w:cs="Times New Roman"/>
          <w:sz w:val="24"/>
          <w:szCs w:val="24"/>
          <w:u w:val="single"/>
        </w:rPr>
      </w:pPr>
      <w:r w:rsidRPr="000F51B3">
        <w:rPr>
          <w:rFonts w:ascii="Times New Roman" w:eastAsia="Times New Roman" w:hAnsi="Times New Roman" w:cs="Times New Roman"/>
          <w:sz w:val="24"/>
          <w:szCs w:val="24"/>
          <w:u w:val="single"/>
        </w:rPr>
        <w:t>INTRODUCTION</w:t>
      </w:r>
    </w:p>
    <w:p w:rsidR="009135EF" w:rsidRDefault="009135EF" w:rsidP="009135EF">
      <w:pPr>
        <w:spacing w:after="0" w:line="240" w:lineRule="auto"/>
        <w:jc w:val="center"/>
        <w:rPr>
          <w:rFonts w:ascii="Times New Roman" w:eastAsia="Times New Roman" w:hAnsi="Times New Roman" w:cs="Times New Roman"/>
          <w:sz w:val="24"/>
          <w:szCs w:val="24"/>
          <w:u w:val="single"/>
        </w:rPr>
      </w:pPr>
    </w:p>
    <w:p w:rsidR="009135EF" w:rsidRPr="000F51B3" w:rsidRDefault="009135EF" w:rsidP="009135EF">
      <w:pPr>
        <w:spacing w:after="0" w:line="240" w:lineRule="auto"/>
        <w:jc w:val="center"/>
        <w:rPr>
          <w:rFonts w:ascii="Times New Roman" w:eastAsia="Times New Roman" w:hAnsi="Times New Roman" w:cs="Times New Roman"/>
          <w:sz w:val="24"/>
          <w:szCs w:val="24"/>
          <w:u w:val="single"/>
        </w:rPr>
      </w:pPr>
    </w:p>
    <w:p w:rsidR="005B4F69" w:rsidRDefault="005B4F69" w:rsidP="005B4F69">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This Initial Decision denies, in part, and grants, in part, the formal Complaint filed by </w:t>
      </w:r>
      <w:r>
        <w:rPr>
          <w:rFonts w:ascii="Times New Roman" w:eastAsia="Times New Roman" w:hAnsi="Times New Roman" w:cs="Times New Roman"/>
          <w:spacing w:val="-3"/>
          <w:sz w:val="24"/>
          <w:szCs w:val="24"/>
        </w:rPr>
        <w:t xml:space="preserve">Janette I. Vasquez </w:t>
      </w:r>
      <w:r>
        <w:rPr>
          <w:rFonts w:ascii="Times New Roman" w:eastAsia="Times New Roman" w:hAnsi="Times New Roman" w:cs="Times New Roman"/>
          <w:sz w:val="24"/>
          <w:szCs w:val="24"/>
        </w:rPr>
        <w:t>and Edwin Segarra Lagoa</w:t>
      </w:r>
      <w:r>
        <w:rPr>
          <w:rFonts w:ascii="Times New Roman" w:hAnsi="Times New Roman" w:cs="Times New Roman"/>
          <w:sz w:val="24"/>
          <w:szCs w:val="24"/>
        </w:rPr>
        <w:t xml:space="preserve"> against PECO Energy Company.  This Initial Decision denies the portion of the Complaint alleging a high billing dispute resulting from inadequate service because the Complainants failed to carry the burden of proof.  This Initial Decision grants the Complainants’ request for a Commission-issued payment arrangement.</w:t>
      </w:r>
    </w:p>
    <w:p w:rsidR="009135EF" w:rsidRPr="00142F68" w:rsidRDefault="009135EF" w:rsidP="009135EF">
      <w:pPr>
        <w:spacing w:after="0" w:line="360" w:lineRule="auto"/>
        <w:rPr>
          <w:rFonts w:ascii="Times New Roman" w:eastAsia="Times New Roman" w:hAnsi="Times New Roman" w:cs="Times New Roman"/>
          <w:caps/>
          <w:sz w:val="24"/>
          <w:szCs w:val="24"/>
          <w:u w:val="single"/>
        </w:rPr>
      </w:pPr>
    </w:p>
    <w:p w:rsidR="009135EF" w:rsidRPr="00142F68" w:rsidRDefault="009135EF" w:rsidP="009135EF">
      <w:pPr>
        <w:spacing w:after="0" w:line="360" w:lineRule="auto"/>
        <w:jc w:val="center"/>
        <w:rPr>
          <w:rFonts w:ascii="Times New Roman" w:eastAsia="Times New Roman" w:hAnsi="Times New Roman" w:cs="Times New Roman"/>
          <w:caps/>
          <w:sz w:val="24"/>
          <w:szCs w:val="24"/>
          <w:u w:val="single"/>
        </w:rPr>
      </w:pPr>
      <w:r w:rsidRPr="00142F68">
        <w:rPr>
          <w:rFonts w:ascii="Times New Roman" w:eastAsia="Times New Roman" w:hAnsi="Times New Roman" w:cs="Times New Roman"/>
          <w:caps/>
          <w:sz w:val="24"/>
          <w:szCs w:val="24"/>
          <w:u w:val="single"/>
        </w:rPr>
        <w:t>history of the proceeding</w:t>
      </w:r>
    </w:p>
    <w:p w:rsidR="009135EF" w:rsidRPr="00142F68" w:rsidRDefault="009135EF" w:rsidP="009135EF">
      <w:pPr>
        <w:spacing w:after="0" w:line="360" w:lineRule="auto"/>
        <w:jc w:val="center"/>
        <w:rPr>
          <w:rFonts w:ascii="Times New Roman" w:eastAsia="Times New Roman" w:hAnsi="Times New Roman" w:cs="Times New Roman"/>
          <w:caps/>
          <w:sz w:val="24"/>
          <w:szCs w:val="24"/>
          <w:u w:val="single"/>
        </w:rPr>
      </w:pPr>
    </w:p>
    <w:p w:rsidR="009135EF" w:rsidRPr="00142F68" w:rsidRDefault="009135EF" w:rsidP="00985E4A">
      <w:pPr>
        <w:spacing w:after="0" w:line="360" w:lineRule="auto"/>
        <w:ind w:firstLine="1440"/>
        <w:rPr>
          <w:rFonts w:ascii="Times New Roman" w:eastAsia="Times New Roman" w:hAnsi="Times New Roman" w:cs="Times New Roman"/>
          <w:sz w:val="24"/>
          <w:szCs w:val="24"/>
        </w:rPr>
      </w:pPr>
      <w:r w:rsidRPr="00314B55">
        <w:rPr>
          <w:rFonts w:ascii="Times New Roman" w:eastAsia="Times New Roman" w:hAnsi="Times New Roman" w:cs="Times New Roman"/>
          <w:sz w:val="24"/>
          <w:szCs w:val="24"/>
        </w:rPr>
        <w:t>On</w:t>
      </w:r>
      <w:r w:rsidR="00A26CC5">
        <w:rPr>
          <w:rFonts w:ascii="Times New Roman" w:eastAsia="Times New Roman" w:hAnsi="Times New Roman" w:cs="Times New Roman"/>
          <w:sz w:val="24"/>
          <w:szCs w:val="24"/>
        </w:rPr>
        <w:t xml:space="preserve"> April 28</w:t>
      </w:r>
      <w:r w:rsidRPr="00314B55">
        <w:rPr>
          <w:rFonts w:ascii="Times New Roman" w:eastAsia="Times New Roman" w:hAnsi="Times New Roman" w:cs="Times New Roman"/>
          <w:sz w:val="24"/>
          <w:szCs w:val="24"/>
        </w:rPr>
        <w:t xml:space="preserve">, 2016, </w:t>
      </w:r>
      <w:r w:rsidR="00A26CC5">
        <w:rPr>
          <w:rFonts w:ascii="Times New Roman" w:eastAsia="Times New Roman" w:hAnsi="Times New Roman" w:cs="Times New Roman"/>
          <w:spacing w:val="-3"/>
          <w:sz w:val="24"/>
          <w:szCs w:val="24"/>
        </w:rPr>
        <w:t xml:space="preserve">Janette I. Vasquez, </w:t>
      </w:r>
      <w:r w:rsidRPr="00142F68">
        <w:rPr>
          <w:rFonts w:ascii="Times New Roman" w:eastAsia="Times New Roman" w:hAnsi="Times New Roman" w:cs="Times New Roman"/>
          <w:sz w:val="24"/>
          <w:szCs w:val="24"/>
        </w:rPr>
        <w:t>(</w:t>
      </w:r>
      <w:r w:rsidR="00A26CC5">
        <w:rPr>
          <w:rFonts w:ascii="Times New Roman" w:eastAsia="Times New Roman" w:hAnsi="Times New Roman" w:cs="Times New Roman"/>
          <w:sz w:val="24"/>
          <w:szCs w:val="24"/>
        </w:rPr>
        <w:t>Ms. Vasquez)</w:t>
      </w:r>
      <w:r>
        <w:rPr>
          <w:rFonts w:ascii="Times New Roman" w:eastAsia="Times New Roman" w:hAnsi="Times New Roman" w:cs="Times New Roman"/>
          <w:sz w:val="24"/>
          <w:szCs w:val="24"/>
        </w:rPr>
        <w:t xml:space="preserve"> </w:t>
      </w:r>
      <w:r w:rsidR="00A26CC5">
        <w:rPr>
          <w:rFonts w:ascii="Times New Roman" w:eastAsia="Times New Roman" w:hAnsi="Times New Roman" w:cs="Times New Roman"/>
          <w:sz w:val="24"/>
          <w:szCs w:val="24"/>
        </w:rPr>
        <w:t>and Edwin Segarra Lagoa (Mr. Segarra) (together</w:t>
      </w:r>
      <w:r w:rsidRPr="00142F68">
        <w:rPr>
          <w:rFonts w:ascii="Times New Roman" w:eastAsia="Times New Roman" w:hAnsi="Times New Roman" w:cs="Times New Roman"/>
          <w:sz w:val="24"/>
          <w:szCs w:val="24"/>
        </w:rPr>
        <w:t xml:space="preserve"> Complainant</w:t>
      </w:r>
      <w:r w:rsidR="00A26CC5">
        <w:rPr>
          <w:rFonts w:ascii="Times New Roman" w:eastAsia="Times New Roman" w:hAnsi="Times New Roman" w:cs="Times New Roman"/>
          <w:sz w:val="24"/>
          <w:szCs w:val="24"/>
        </w:rPr>
        <w:t>s</w:t>
      </w:r>
      <w:r w:rsidRPr="00142F68">
        <w:rPr>
          <w:rFonts w:ascii="Times New Roman" w:eastAsia="Times New Roman" w:hAnsi="Times New Roman" w:cs="Times New Roman"/>
          <w:sz w:val="24"/>
          <w:szCs w:val="24"/>
        </w:rPr>
        <w:t xml:space="preserve">) filed a formal Complaint (Complaint) against PECO Energy Company (Respondent, PECO or the Company) with the Pennsylvania Public </w:t>
      </w:r>
      <w:r w:rsidR="00A26CC5">
        <w:rPr>
          <w:rFonts w:ascii="Times New Roman" w:eastAsia="Times New Roman" w:hAnsi="Times New Roman" w:cs="Times New Roman"/>
          <w:sz w:val="24"/>
          <w:szCs w:val="24"/>
        </w:rPr>
        <w:t xml:space="preserve">Utility Commission (Commission).  The </w:t>
      </w:r>
      <w:r w:rsidR="00407A1F">
        <w:rPr>
          <w:rFonts w:ascii="Times New Roman" w:eastAsia="Times New Roman" w:hAnsi="Times New Roman" w:cs="Times New Roman"/>
          <w:sz w:val="24"/>
          <w:szCs w:val="24"/>
        </w:rPr>
        <w:t xml:space="preserve">Complainants allege that </w:t>
      </w:r>
      <w:r w:rsidR="00944B00">
        <w:rPr>
          <w:rFonts w:ascii="Times New Roman" w:eastAsia="Times New Roman" w:hAnsi="Times New Roman" w:cs="Times New Roman"/>
          <w:sz w:val="24"/>
          <w:szCs w:val="24"/>
        </w:rPr>
        <w:t xml:space="preserve">the </w:t>
      </w:r>
      <w:r w:rsidR="00407A1F">
        <w:rPr>
          <w:rFonts w:ascii="Times New Roman" w:eastAsia="Times New Roman" w:hAnsi="Times New Roman" w:cs="Times New Roman"/>
          <w:sz w:val="24"/>
          <w:szCs w:val="24"/>
        </w:rPr>
        <w:t>Company</w:t>
      </w:r>
      <w:r w:rsidR="00A26CC5">
        <w:rPr>
          <w:rFonts w:ascii="Times New Roman" w:eastAsia="Times New Roman" w:hAnsi="Times New Roman" w:cs="Times New Roman"/>
          <w:sz w:val="24"/>
          <w:szCs w:val="24"/>
        </w:rPr>
        <w:t xml:space="preserve"> is threatening to shut down their service, </w:t>
      </w:r>
      <w:r w:rsidR="00407A1F">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that there are incorrect charges o</w:t>
      </w:r>
      <w:r w:rsidR="00A26CC5">
        <w:rPr>
          <w:rFonts w:ascii="Times New Roman" w:eastAsia="Times New Roman" w:hAnsi="Times New Roman" w:cs="Times New Roman"/>
          <w:sz w:val="24"/>
          <w:szCs w:val="24"/>
        </w:rPr>
        <w:t>n the</w:t>
      </w:r>
      <w:r w:rsidR="00407A1F">
        <w:rPr>
          <w:rFonts w:ascii="Times New Roman" w:eastAsia="Times New Roman" w:hAnsi="Times New Roman" w:cs="Times New Roman"/>
          <w:sz w:val="24"/>
          <w:szCs w:val="24"/>
        </w:rPr>
        <w:t xml:space="preserve"> electricity bills from PECO</w:t>
      </w:r>
      <w:r>
        <w:rPr>
          <w:rFonts w:ascii="Times New Roman" w:eastAsia="Times New Roman" w:hAnsi="Times New Roman" w:cs="Times New Roman"/>
          <w:sz w:val="24"/>
          <w:szCs w:val="24"/>
        </w:rPr>
        <w:t xml:space="preserve">.  </w:t>
      </w:r>
      <w:r w:rsidR="00407A1F">
        <w:rPr>
          <w:rFonts w:ascii="Times New Roman" w:eastAsia="Times New Roman" w:hAnsi="Times New Roman" w:cs="Times New Roman"/>
          <w:sz w:val="24"/>
          <w:szCs w:val="24"/>
        </w:rPr>
        <w:t>In addition, the Complainants allege that they experienced a reliability, saf</w:t>
      </w:r>
      <w:r w:rsidR="00EA32BC">
        <w:rPr>
          <w:rFonts w:ascii="Times New Roman" w:eastAsia="Times New Roman" w:hAnsi="Times New Roman" w:cs="Times New Roman"/>
          <w:sz w:val="24"/>
          <w:szCs w:val="24"/>
        </w:rPr>
        <w:t xml:space="preserve">ety or quality problem </w:t>
      </w:r>
      <w:r w:rsidR="00EA32BC">
        <w:rPr>
          <w:rFonts w:ascii="Times New Roman" w:eastAsia="Times New Roman" w:hAnsi="Times New Roman" w:cs="Times New Roman"/>
          <w:sz w:val="24"/>
          <w:szCs w:val="24"/>
        </w:rPr>
        <w:lastRenderedPageBreak/>
        <w:t>with PEC</w:t>
      </w:r>
      <w:r w:rsidR="00407A1F">
        <w:rPr>
          <w:rFonts w:ascii="Times New Roman" w:eastAsia="Times New Roman" w:hAnsi="Times New Roman" w:cs="Times New Roman"/>
          <w:sz w:val="24"/>
          <w:szCs w:val="24"/>
        </w:rPr>
        <w:t xml:space="preserve">O’s service which was already repaired by the time of the filing of the Complaint, but which had caused high bills and damages to the Complainants.  </w:t>
      </w:r>
      <w:r>
        <w:rPr>
          <w:rFonts w:ascii="Times New Roman" w:eastAsia="Times New Roman" w:hAnsi="Times New Roman" w:cs="Times New Roman"/>
          <w:sz w:val="24"/>
          <w:szCs w:val="24"/>
        </w:rPr>
        <w:t>As relief, the Complainant</w:t>
      </w:r>
      <w:r w:rsidR="00A26CC5">
        <w:rPr>
          <w:rFonts w:ascii="Times New Roman" w:eastAsia="Times New Roman" w:hAnsi="Times New Roman" w:cs="Times New Roman"/>
          <w:sz w:val="24"/>
          <w:szCs w:val="24"/>
        </w:rPr>
        <w:t>s</w:t>
      </w:r>
      <w:r w:rsidR="00EA32BC">
        <w:rPr>
          <w:rFonts w:ascii="Times New Roman" w:eastAsia="Times New Roman" w:hAnsi="Times New Roman" w:cs="Times New Roman"/>
          <w:sz w:val="24"/>
          <w:szCs w:val="24"/>
        </w:rPr>
        <w:t xml:space="preserve"> request</w:t>
      </w:r>
      <w:r>
        <w:rPr>
          <w:rFonts w:ascii="Times New Roman" w:eastAsia="Times New Roman" w:hAnsi="Times New Roman" w:cs="Times New Roman"/>
          <w:sz w:val="24"/>
          <w:szCs w:val="24"/>
        </w:rPr>
        <w:t xml:space="preserve"> that PECO </w:t>
      </w:r>
      <w:r w:rsidR="00407A1F">
        <w:rPr>
          <w:rFonts w:ascii="Times New Roman" w:eastAsia="Times New Roman" w:hAnsi="Times New Roman" w:cs="Times New Roman"/>
          <w:sz w:val="24"/>
          <w:szCs w:val="24"/>
        </w:rPr>
        <w:t xml:space="preserve">assume responsibility for electrical damages to the Complainants’ heater, </w:t>
      </w:r>
      <w:r w:rsidR="00EA32BC">
        <w:rPr>
          <w:rFonts w:ascii="Times New Roman" w:eastAsia="Times New Roman" w:hAnsi="Times New Roman" w:cs="Times New Roman"/>
          <w:sz w:val="24"/>
          <w:szCs w:val="24"/>
        </w:rPr>
        <w:t>TV</w:t>
      </w:r>
      <w:r w:rsidR="00407A1F">
        <w:rPr>
          <w:rFonts w:ascii="Times New Roman" w:eastAsia="Times New Roman" w:hAnsi="Times New Roman" w:cs="Times New Roman"/>
          <w:sz w:val="24"/>
          <w:szCs w:val="24"/>
        </w:rPr>
        <w:t>s, laptop and their high bills.  In the alternative, the Complainants request that</w:t>
      </w:r>
      <w:r w:rsidR="00EA32BC">
        <w:rPr>
          <w:rFonts w:ascii="Times New Roman" w:eastAsia="Times New Roman" w:hAnsi="Times New Roman" w:cs="Times New Roman"/>
          <w:sz w:val="24"/>
          <w:szCs w:val="24"/>
        </w:rPr>
        <w:t xml:space="preserve"> the Commission</w:t>
      </w:r>
      <w:r w:rsidR="00407A1F">
        <w:rPr>
          <w:rFonts w:ascii="Times New Roman" w:eastAsia="Times New Roman" w:hAnsi="Times New Roman" w:cs="Times New Roman"/>
          <w:sz w:val="24"/>
          <w:szCs w:val="24"/>
        </w:rPr>
        <w:t xml:space="preserve"> issue a payment arrangement on their behalf.</w:t>
      </w:r>
    </w:p>
    <w:p w:rsidR="009135EF" w:rsidRPr="00142F68" w:rsidRDefault="009135EF" w:rsidP="009135EF">
      <w:pPr>
        <w:spacing w:after="0" w:line="360" w:lineRule="auto"/>
        <w:rPr>
          <w:rFonts w:ascii="Times New Roman" w:eastAsia="Times New Roman" w:hAnsi="Times New Roman" w:cs="Times New Roman"/>
          <w:sz w:val="24"/>
          <w:szCs w:val="24"/>
        </w:rPr>
      </w:pPr>
    </w:p>
    <w:p w:rsidR="009135EF" w:rsidRDefault="009135EF" w:rsidP="009135EF">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On</w:t>
      </w:r>
      <w:r w:rsidR="00407A1F">
        <w:rPr>
          <w:rFonts w:ascii="Times New Roman" w:eastAsia="Times New Roman" w:hAnsi="Times New Roman" w:cs="Times New Roman"/>
          <w:sz w:val="24"/>
          <w:szCs w:val="24"/>
        </w:rPr>
        <w:t xml:space="preserve"> May 24</w:t>
      </w:r>
      <w:r>
        <w:rPr>
          <w:rFonts w:ascii="Times New Roman" w:eastAsia="Times New Roman" w:hAnsi="Times New Roman" w:cs="Times New Roman"/>
          <w:sz w:val="24"/>
          <w:szCs w:val="24"/>
        </w:rPr>
        <w:t>, 2016</w:t>
      </w:r>
      <w:r w:rsidRPr="00142F68">
        <w:rPr>
          <w:rFonts w:ascii="Times New Roman" w:eastAsia="Times New Roman" w:hAnsi="Times New Roman" w:cs="Times New Roman"/>
          <w:sz w:val="24"/>
          <w:szCs w:val="24"/>
        </w:rPr>
        <w:t>, the Respondent filed an Answer denying the material allegations of the Complaint.</w:t>
      </w:r>
    </w:p>
    <w:p w:rsidR="009135EF" w:rsidRPr="00142F68" w:rsidRDefault="009135EF" w:rsidP="009135EF">
      <w:pPr>
        <w:spacing w:after="0" w:line="360" w:lineRule="auto"/>
        <w:ind w:firstLine="1440"/>
        <w:rPr>
          <w:rFonts w:ascii="Times New Roman" w:eastAsia="Times New Roman" w:hAnsi="Times New Roman" w:cs="Times New Roman"/>
          <w:sz w:val="24"/>
          <w:szCs w:val="24"/>
        </w:rPr>
      </w:pPr>
    </w:p>
    <w:p w:rsidR="009135EF" w:rsidRDefault="009135EF" w:rsidP="009135EF">
      <w:pPr>
        <w:spacing w:after="0" w:line="360" w:lineRule="auto"/>
        <w:ind w:firstLine="1440"/>
        <w:rPr>
          <w:rFonts w:ascii="Times New Roman" w:eastAsia="Times New Roman" w:hAnsi="Times New Roman" w:cs="Times New Roman"/>
          <w:sz w:val="24"/>
          <w:szCs w:val="24"/>
        </w:rPr>
      </w:pPr>
      <w:r w:rsidRPr="00D379EC">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June 16, 2016</w:t>
      </w:r>
      <w:r w:rsidRPr="00D379EC">
        <w:rPr>
          <w:rFonts w:ascii="Times New Roman" w:eastAsia="Times New Roman" w:hAnsi="Times New Roman" w:cs="Times New Roman"/>
          <w:sz w:val="24"/>
          <w:szCs w:val="24"/>
        </w:rPr>
        <w:t>, notified the parties that an initial hearing was scheduled for</w:t>
      </w:r>
      <w:r>
        <w:rPr>
          <w:rFonts w:ascii="Times New Roman" w:eastAsia="Times New Roman" w:hAnsi="Times New Roman" w:cs="Times New Roman"/>
          <w:sz w:val="24"/>
          <w:szCs w:val="24"/>
        </w:rPr>
        <w:t xml:space="preserve"> Friday, July 29, 2016, at 10:00 a</w:t>
      </w:r>
      <w:r w:rsidRPr="00D379EC">
        <w:rPr>
          <w:rFonts w:ascii="Times New Roman" w:eastAsia="Times New Roman" w:hAnsi="Times New Roman" w:cs="Times New Roman"/>
          <w:sz w:val="24"/>
          <w:szCs w:val="24"/>
        </w:rPr>
        <w:t>.m.</w:t>
      </w:r>
    </w:p>
    <w:p w:rsidR="009135EF" w:rsidRDefault="009135EF" w:rsidP="009135EF">
      <w:pPr>
        <w:spacing w:after="0" w:line="360" w:lineRule="auto"/>
        <w:rPr>
          <w:rFonts w:ascii="Times New Roman" w:eastAsia="Times New Roman" w:hAnsi="Times New Roman" w:cs="Times New Roman"/>
          <w:sz w:val="24"/>
          <w:szCs w:val="24"/>
        </w:rPr>
      </w:pPr>
    </w:p>
    <w:p w:rsidR="009135EF" w:rsidRPr="00A80ECC" w:rsidRDefault="009135EF" w:rsidP="009135EF">
      <w:pPr>
        <w:spacing w:after="0" w:line="360" w:lineRule="auto"/>
        <w:ind w:firstLine="1440"/>
        <w:rPr>
          <w:rFonts w:ascii="Times New Roman" w:eastAsia="Times New Roman" w:hAnsi="Times New Roman" w:cs="Times New Roman"/>
          <w:sz w:val="24"/>
          <w:szCs w:val="24"/>
        </w:rPr>
      </w:pPr>
      <w:r w:rsidRPr="00A80ECC">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June 17, 2016</w:t>
      </w:r>
      <w:r w:rsidRPr="00A80ECC">
        <w:rPr>
          <w:rFonts w:ascii="Times New Roman" w:eastAsia="Times New Roman" w:hAnsi="Times New Roman" w:cs="Times New Roman"/>
          <w:sz w:val="24"/>
          <w:szCs w:val="24"/>
        </w:rPr>
        <w:t>, advising the parties of the date and time of the scheduled hearing, informing them of the procedures applicable to this proceeding, and directing the submission of documents prior to the hearing.</w:t>
      </w:r>
    </w:p>
    <w:p w:rsidR="009135EF" w:rsidRPr="00142F68" w:rsidRDefault="009135EF" w:rsidP="009135E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135EF" w:rsidRPr="00142F68" w:rsidRDefault="009135EF"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42F68">
        <w:rPr>
          <w:rFonts w:ascii="Times New Roman" w:eastAsia="Calibri" w:hAnsi="Times New Roman" w:cs="Times New Roman"/>
          <w:sz w:val="24"/>
          <w:szCs w:val="24"/>
        </w:rPr>
        <w:t>The initial hearing convened as scheduled</w:t>
      </w:r>
      <w:r w:rsidRPr="00142F68">
        <w:rPr>
          <w:rFonts w:ascii="Times New Roman" w:eastAsia="Times New Roman" w:hAnsi="Times New Roman" w:cs="Times New Roman"/>
          <w:sz w:val="24"/>
          <w:szCs w:val="24"/>
        </w:rPr>
        <w:t xml:space="preserve">.  </w:t>
      </w:r>
      <w:r w:rsidR="00A26CC5">
        <w:rPr>
          <w:rFonts w:ascii="Times New Roman" w:eastAsia="Times New Roman" w:hAnsi="Times New Roman" w:cs="Times New Roman"/>
          <w:sz w:val="24"/>
          <w:szCs w:val="24"/>
        </w:rPr>
        <w:t xml:space="preserve">Edwin Segarra Lagoa </w:t>
      </w:r>
      <w:r w:rsidRPr="00142F68">
        <w:rPr>
          <w:rFonts w:ascii="Times New Roman" w:eastAsia="Times New Roman" w:hAnsi="Times New Roman" w:cs="Times New Roman"/>
          <w:sz w:val="24"/>
          <w:szCs w:val="24"/>
        </w:rPr>
        <w:t xml:space="preserve">appeared </w:t>
      </w:r>
      <w:r w:rsidRPr="00142F68">
        <w:rPr>
          <w:rFonts w:ascii="Times New Roman" w:eastAsia="Times New Roman" w:hAnsi="Times New Roman" w:cs="Times New Roman"/>
          <w:i/>
          <w:sz w:val="24"/>
          <w:szCs w:val="24"/>
        </w:rPr>
        <w:t xml:space="preserve">pro se </w:t>
      </w:r>
      <w:r w:rsidRPr="00142F68">
        <w:rPr>
          <w:rFonts w:ascii="Times New Roman" w:eastAsia="Times New Roman" w:hAnsi="Times New Roman" w:cs="Times New Roman"/>
          <w:sz w:val="24"/>
          <w:szCs w:val="24"/>
        </w:rPr>
        <w:t>and testified in support of the Complaint</w:t>
      </w:r>
      <w:r>
        <w:rPr>
          <w:rFonts w:ascii="Times New Roman" w:eastAsia="Times New Roman" w:hAnsi="Times New Roman" w:cs="Times New Roman"/>
          <w:sz w:val="24"/>
          <w:szCs w:val="24"/>
        </w:rPr>
        <w:t xml:space="preserve">.  </w:t>
      </w:r>
      <w:r w:rsidR="00A26CC5">
        <w:rPr>
          <w:rFonts w:ascii="Times New Roman" w:eastAsia="Times New Roman" w:hAnsi="Times New Roman" w:cs="Times New Roman"/>
          <w:sz w:val="24"/>
          <w:szCs w:val="24"/>
        </w:rPr>
        <w:t xml:space="preserve">Mr. Segarra sponsored five exhibits which were admitted into the record in this matter.  </w:t>
      </w:r>
      <w:r w:rsidRPr="00007341">
        <w:rPr>
          <w:rFonts w:ascii="Times New Roman" w:eastAsia="Times New Roman" w:hAnsi="Times New Roman" w:cs="Times New Roman"/>
          <w:sz w:val="24"/>
          <w:szCs w:val="24"/>
        </w:rPr>
        <w:t xml:space="preserve">Shawane L. Lee, Esq. represented the Respondent, and </w:t>
      </w:r>
      <w:r w:rsidRPr="00975979">
        <w:rPr>
          <w:rFonts w:ascii="Times New Roman" w:eastAsia="Times New Roman" w:hAnsi="Times New Roman" w:cs="Times New Roman"/>
          <w:sz w:val="24"/>
          <w:szCs w:val="24"/>
        </w:rPr>
        <w:t xml:space="preserve">presented the testimony </w:t>
      </w:r>
      <w:r w:rsidR="00B60900">
        <w:rPr>
          <w:rFonts w:ascii="Times New Roman" w:eastAsia="Times New Roman" w:hAnsi="Times New Roman" w:cs="Times New Roman"/>
          <w:sz w:val="24"/>
          <w:szCs w:val="24"/>
        </w:rPr>
        <w:t xml:space="preserve">of </w:t>
      </w:r>
      <w:r w:rsidR="00B60900" w:rsidRPr="003C3F6A">
        <w:rPr>
          <w:rFonts w:ascii="Times New Roman" w:hAnsi="Times New Roman" w:cs="Times New Roman"/>
          <w:sz w:val="24"/>
          <w:szCs w:val="24"/>
        </w:rPr>
        <w:t>Thomas Lerro</w:t>
      </w:r>
      <w:r w:rsidR="00B60900">
        <w:rPr>
          <w:rFonts w:ascii="Times New Roman" w:hAnsi="Times New Roman" w:cs="Times New Roman"/>
          <w:sz w:val="24"/>
          <w:szCs w:val="24"/>
        </w:rPr>
        <w:t xml:space="preserve"> – who is </w:t>
      </w:r>
      <w:r w:rsidR="00B60900" w:rsidRPr="003C3F6A">
        <w:rPr>
          <w:rFonts w:ascii="Times New Roman" w:hAnsi="Times New Roman" w:cs="Times New Roman"/>
          <w:sz w:val="24"/>
          <w:szCs w:val="24"/>
        </w:rPr>
        <w:t>a senior f</w:t>
      </w:r>
      <w:r w:rsidR="00B60900">
        <w:rPr>
          <w:rFonts w:ascii="Times New Roman" w:hAnsi="Times New Roman" w:cs="Times New Roman"/>
          <w:sz w:val="24"/>
          <w:szCs w:val="24"/>
        </w:rPr>
        <w:t xml:space="preserve">ield foreman for PECO; </w:t>
      </w:r>
      <w:r w:rsidR="00D76406" w:rsidRPr="00AE2F4A">
        <w:rPr>
          <w:rFonts w:ascii="Times New Roman" w:hAnsi="Times New Roman" w:cs="Times New Roman"/>
          <w:sz w:val="24"/>
          <w:szCs w:val="24"/>
        </w:rPr>
        <w:t>Charles</w:t>
      </w:r>
      <w:r w:rsidR="00D76406">
        <w:rPr>
          <w:rFonts w:ascii="Times New Roman" w:hAnsi="Times New Roman" w:cs="Times New Roman"/>
          <w:sz w:val="24"/>
          <w:szCs w:val="24"/>
        </w:rPr>
        <w:t xml:space="preserve"> Crumbley – who is the</w:t>
      </w:r>
      <w:r w:rsidR="00D76406" w:rsidRPr="003C3F6A">
        <w:rPr>
          <w:rFonts w:ascii="Times New Roman" w:hAnsi="Times New Roman" w:cs="Times New Roman"/>
          <w:sz w:val="24"/>
          <w:szCs w:val="24"/>
        </w:rPr>
        <w:t xml:space="preserve"> manager</w:t>
      </w:r>
      <w:r w:rsidR="00D76406">
        <w:rPr>
          <w:rFonts w:ascii="Times New Roman" w:hAnsi="Times New Roman" w:cs="Times New Roman"/>
          <w:sz w:val="24"/>
          <w:szCs w:val="24"/>
        </w:rPr>
        <w:t xml:space="preserve"> of PECO’s</w:t>
      </w:r>
      <w:r w:rsidR="00D76406" w:rsidRPr="003C3F6A">
        <w:rPr>
          <w:rFonts w:ascii="Times New Roman" w:hAnsi="Times New Roman" w:cs="Times New Roman"/>
          <w:sz w:val="24"/>
          <w:szCs w:val="24"/>
        </w:rPr>
        <w:t xml:space="preserve"> </w:t>
      </w:r>
      <w:r w:rsidR="00D76406">
        <w:rPr>
          <w:rFonts w:ascii="Times New Roman" w:hAnsi="Times New Roman" w:cs="Times New Roman"/>
          <w:sz w:val="24"/>
          <w:szCs w:val="24"/>
        </w:rPr>
        <w:t xml:space="preserve">operations department; and </w:t>
      </w:r>
      <w:r w:rsidR="00B60900">
        <w:rPr>
          <w:rFonts w:ascii="Times New Roman" w:eastAsia="Times New Roman" w:hAnsi="Times New Roman" w:cs="Times New Roman"/>
          <w:sz w:val="24"/>
          <w:szCs w:val="24"/>
        </w:rPr>
        <w:t xml:space="preserve"> Renee Tarpley – </w:t>
      </w:r>
      <w:r w:rsidRPr="00007341">
        <w:rPr>
          <w:rFonts w:ascii="Times New Roman" w:eastAsia="Times New Roman" w:hAnsi="Times New Roman" w:cs="Times New Roman"/>
          <w:sz w:val="24"/>
          <w:szCs w:val="24"/>
        </w:rPr>
        <w:t xml:space="preserve">who is a </w:t>
      </w:r>
      <w:r w:rsidR="00B60900">
        <w:rPr>
          <w:rFonts w:ascii="Times New Roman" w:eastAsia="Times New Roman" w:hAnsi="Times New Roman" w:cs="Times New Roman"/>
          <w:sz w:val="24"/>
          <w:szCs w:val="24"/>
        </w:rPr>
        <w:t xml:space="preserve">senior </w:t>
      </w:r>
      <w:r w:rsidRPr="00007341">
        <w:rPr>
          <w:rFonts w:ascii="Times New Roman" w:eastAsia="Times New Roman" w:hAnsi="Times New Roman" w:cs="Times New Roman"/>
          <w:sz w:val="24"/>
          <w:szCs w:val="24"/>
        </w:rPr>
        <w:t>regulatory assessor with PECO in charge of reviewing and investigating formal complaints filed with the Commission</w:t>
      </w:r>
      <w:r>
        <w:rPr>
          <w:rFonts w:ascii="Times New Roman" w:eastAsia="Times New Roman" w:hAnsi="Times New Roman" w:cs="Times New Roman"/>
          <w:sz w:val="24"/>
          <w:szCs w:val="24"/>
        </w:rPr>
        <w:t xml:space="preserve">.  </w:t>
      </w:r>
      <w:r w:rsidRPr="00007341">
        <w:rPr>
          <w:rFonts w:ascii="Times New Roman" w:eastAsia="Times New Roman" w:hAnsi="Times New Roman" w:cs="Times New Roman"/>
          <w:sz w:val="24"/>
          <w:szCs w:val="24"/>
        </w:rPr>
        <w:t xml:space="preserve">The Respondent sponsored </w:t>
      </w:r>
      <w:r w:rsidR="00A26CC5">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Pr="00007341">
        <w:rPr>
          <w:rFonts w:ascii="Times New Roman" w:eastAsia="Times New Roman" w:hAnsi="Times New Roman" w:cs="Times New Roman"/>
          <w:sz w:val="24"/>
          <w:szCs w:val="24"/>
        </w:rPr>
        <w:t>exhibits</w:t>
      </w:r>
      <w:r>
        <w:rPr>
          <w:rFonts w:ascii="Times New Roman" w:eastAsia="Times New Roman" w:hAnsi="Times New Roman" w:cs="Times New Roman"/>
          <w:sz w:val="24"/>
          <w:szCs w:val="24"/>
        </w:rPr>
        <w:t>, all of which were admitted into the record in this matter.</w:t>
      </w:r>
    </w:p>
    <w:p w:rsidR="009135EF" w:rsidRDefault="009135EF"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9135EF" w:rsidRDefault="00272836"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concluding the hearing</w:t>
      </w:r>
      <w:r w:rsidRPr="00272836">
        <w:rPr>
          <w:rFonts w:ascii="Times New Roman" w:eastAsia="Times New Roman" w:hAnsi="Times New Roman" w:cs="Times New Roman"/>
          <w:sz w:val="24"/>
          <w:szCs w:val="24"/>
        </w:rPr>
        <w:t xml:space="preserve">, I instructed the Respondent to submit as late-filed exhibits information concerning: (1) spikes or surges recorded by PECO’s </w:t>
      </w:r>
      <w:r w:rsidRPr="00272836">
        <w:rPr>
          <w:rFonts w:ascii="Times New Roman" w:hAnsi="Times New Roman" w:cs="Times New Roman"/>
          <w:sz w:val="24"/>
          <w:szCs w:val="24"/>
        </w:rPr>
        <w:t>data raker software during the period January 2013 to February 1, 2014; (2) John Fisher’s report on voltage test conducted at the meter during his November 2013 visit at the Service Address; (3) and the work order concerning the replacement of the transformer in Complainants’ backyard.  Tr. 156-60, 202-203.</w:t>
      </w:r>
      <w:r w:rsidR="00312947">
        <w:rPr>
          <w:rFonts w:ascii="Times New Roman" w:hAnsi="Times New Roman" w:cs="Times New Roman"/>
          <w:sz w:val="24"/>
          <w:szCs w:val="24"/>
        </w:rPr>
        <w:t xml:space="preserve">  In addition, I asked Mr. Segarra to submit as </w:t>
      </w:r>
      <w:r w:rsidR="003F161E">
        <w:rPr>
          <w:rFonts w:ascii="Times New Roman" w:hAnsi="Times New Roman" w:cs="Times New Roman"/>
          <w:sz w:val="24"/>
          <w:szCs w:val="24"/>
        </w:rPr>
        <w:t>a late-</w:t>
      </w:r>
      <w:r w:rsidR="00312947">
        <w:rPr>
          <w:rFonts w:ascii="Times New Roman" w:hAnsi="Times New Roman" w:cs="Times New Roman"/>
          <w:sz w:val="24"/>
          <w:szCs w:val="24"/>
        </w:rPr>
        <w:t>filed exhibit an</w:t>
      </w:r>
      <w:r w:rsidR="003F161E">
        <w:rPr>
          <w:rFonts w:ascii="Times New Roman" w:hAnsi="Times New Roman" w:cs="Times New Roman"/>
          <w:sz w:val="24"/>
          <w:szCs w:val="24"/>
        </w:rPr>
        <w:t xml:space="preserve">y documentation or </w:t>
      </w:r>
      <w:r w:rsidR="003F161E">
        <w:rPr>
          <w:rFonts w:ascii="Times New Roman" w:hAnsi="Times New Roman" w:cs="Times New Roman"/>
          <w:sz w:val="24"/>
          <w:szCs w:val="24"/>
        </w:rPr>
        <w:lastRenderedPageBreak/>
        <w:t>report prepared by a non-PECO electrician concerning the state of M</w:t>
      </w:r>
      <w:r w:rsidR="00595FD6">
        <w:rPr>
          <w:rFonts w:ascii="Times New Roman" w:hAnsi="Times New Roman" w:cs="Times New Roman"/>
          <w:sz w:val="24"/>
          <w:szCs w:val="24"/>
        </w:rPr>
        <w:t xml:space="preserve">r. Segarra’s service line.  Tr. 200-201.  </w:t>
      </w:r>
      <w:r w:rsidR="003F161E">
        <w:rPr>
          <w:rFonts w:ascii="Times New Roman" w:hAnsi="Times New Roman" w:cs="Times New Roman"/>
          <w:sz w:val="24"/>
          <w:szCs w:val="24"/>
        </w:rPr>
        <w:t>The parties had two weeks to submit their respective late filed exhibits, and two additional weeks to file any written objections to the opposing party’s late-filed exhibits.</w:t>
      </w:r>
    </w:p>
    <w:p w:rsidR="003F161E" w:rsidRDefault="003F161E"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3F161E" w:rsidRDefault="00EA32BC"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PECO submitted its late-filed exhibits under cover letter dated August 12, 2016.  </w:t>
      </w:r>
    </w:p>
    <w:p w:rsidR="00D76406" w:rsidRDefault="00D76406" w:rsidP="00D76406">
      <w:pPr>
        <w:tabs>
          <w:tab w:val="left" w:pos="-1440"/>
          <w:tab w:val="left" w:pos="-720"/>
        </w:tabs>
        <w:suppressAutoHyphens/>
        <w:spacing w:after="0" w:line="360" w:lineRule="auto"/>
        <w:rPr>
          <w:rFonts w:ascii="Times New Roman" w:eastAsia="Times New Roman" w:hAnsi="Times New Roman" w:cs="Times New Roman"/>
          <w:sz w:val="24"/>
          <w:szCs w:val="24"/>
        </w:rPr>
      </w:pPr>
    </w:p>
    <w:p w:rsidR="009135EF" w:rsidRDefault="009135EF" w:rsidP="00944B00">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date of this Initial Decision, the Complainant</w:t>
      </w:r>
      <w:r w:rsidR="00EA32BC">
        <w:rPr>
          <w:rFonts w:ascii="Times New Roman" w:eastAsia="Times New Roman" w:hAnsi="Times New Roman" w:cs="Times New Roman"/>
          <w:sz w:val="24"/>
          <w:szCs w:val="24"/>
        </w:rPr>
        <w:t>s have</w:t>
      </w:r>
      <w:r>
        <w:rPr>
          <w:rFonts w:ascii="Times New Roman" w:eastAsia="Times New Roman" w:hAnsi="Times New Roman" w:cs="Times New Roman"/>
          <w:sz w:val="24"/>
          <w:szCs w:val="24"/>
        </w:rPr>
        <w:t xml:space="preserve"> not submitted a</w:t>
      </w:r>
      <w:r w:rsidR="00EA32BC">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late-filed exhibit</w:t>
      </w:r>
      <w:r w:rsidR="00EA32BC">
        <w:rPr>
          <w:rFonts w:ascii="Times New Roman" w:eastAsia="Times New Roman" w:hAnsi="Times New Roman" w:cs="Times New Roman"/>
          <w:sz w:val="24"/>
          <w:szCs w:val="24"/>
        </w:rPr>
        <w:t xml:space="preserve">, not have they submitted written objections to PECO’s late-filed exhibits.  </w:t>
      </w:r>
    </w:p>
    <w:p w:rsidR="00EA32BC" w:rsidRDefault="00EA32BC"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EA32BC" w:rsidRDefault="00EA32BC"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 objections having been filed, PECO late-filed Exhibit</w:t>
      </w:r>
      <w:r w:rsidR="00944B0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16(b)</w:t>
      </w:r>
      <w:r w:rsidR="00D76406">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17, and 18 shall be admitted in to the record in this matter. </w:t>
      </w:r>
    </w:p>
    <w:p w:rsidR="009135EF" w:rsidRPr="00183558" w:rsidRDefault="009135EF" w:rsidP="009135EF">
      <w:pPr>
        <w:tabs>
          <w:tab w:val="left" w:pos="-1440"/>
          <w:tab w:val="left" w:pos="-720"/>
        </w:tabs>
        <w:suppressAutoHyphens/>
        <w:spacing w:after="0" w:line="360" w:lineRule="auto"/>
        <w:rPr>
          <w:rFonts w:ascii="Times New Roman" w:eastAsia="Times New Roman" w:hAnsi="Times New Roman" w:cs="Times New Roman"/>
          <w:sz w:val="24"/>
          <w:szCs w:val="24"/>
        </w:rPr>
      </w:pPr>
    </w:p>
    <w:p w:rsidR="009135EF" w:rsidRPr="00183558" w:rsidRDefault="009135EF"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83558">
        <w:rPr>
          <w:rFonts w:ascii="Times New Roman" w:eastAsia="Times New Roman" w:hAnsi="Times New Roman" w:cs="Times New Roman"/>
          <w:sz w:val="24"/>
          <w:szCs w:val="24"/>
        </w:rPr>
        <w:t>The record closed on</w:t>
      </w:r>
      <w:r w:rsidR="00EA32BC">
        <w:rPr>
          <w:rFonts w:ascii="Times New Roman" w:eastAsia="Times New Roman" w:hAnsi="Times New Roman" w:cs="Times New Roman"/>
          <w:sz w:val="24"/>
          <w:szCs w:val="24"/>
        </w:rPr>
        <w:t xml:space="preserve"> August 29</w:t>
      </w:r>
      <w:r>
        <w:rPr>
          <w:rFonts w:ascii="Times New Roman" w:eastAsia="Times New Roman" w:hAnsi="Times New Roman" w:cs="Times New Roman"/>
          <w:sz w:val="24"/>
          <w:szCs w:val="24"/>
        </w:rPr>
        <w:t>, 2016</w:t>
      </w:r>
      <w:r w:rsidRPr="00183558">
        <w:rPr>
          <w:rFonts w:ascii="Times New Roman" w:eastAsia="Times New Roman" w:hAnsi="Times New Roman" w:cs="Times New Roman"/>
          <w:sz w:val="24"/>
          <w:szCs w:val="24"/>
        </w:rPr>
        <w:t>.</w:t>
      </w:r>
      <w:r w:rsidR="00D76406">
        <w:rPr>
          <w:rFonts w:ascii="Times New Roman" w:eastAsia="Times New Roman" w:hAnsi="Times New Roman" w:cs="Times New Roman"/>
          <w:sz w:val="24"/>
          <w:szCs w:val="24"/>
        </w:rPr>
        <w:t xml:space="preserve">  It consists of 217 pages of transcript and </w:t>
      </w:r>
      <w:r w:rsidR="005B4F69">
        <w:rPr>
          <w:rFonts w:ascii="Times New Roman" w:eastAsia="Times New Roman" w:hAnsi="Times New Roman" w:cs="Times New Roman"/>
          <w:sz w:val="24"/>
          <w:szCs w:val="24"/>
        </w:rPr>
        <w:t>24 exhibits.</w:t>
      </w:r>
    </w:p>
    <w:p w:rsidR="009135EF" w:rsidRPr="00142F68" w:rsidRDefault="009135EF" w:rsidP="009135EF">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9135EF" w:rsidRPr="00142F68" w:rsidRDefault="009135EF" w:rsidP="009135EF">
      <w:pPr>
        <w:spacing w:after="0" w:line="360" w:lineRule="auto"/>
        <w:jc w:val="center"/>
        <w:rPr>
          <w:rFonts w:ascii="Times New Roman" w:eastAsia="Times New Roman" w:hAnsi="Times New Roman" w:cs="Times New Roman"/>
          <w:sz w:val="24"/>
          <w:szCs w:val="24"/>
          <w:u w:val="single"/>
        </w:rPr>
      </w:pPr>
      <w:r w:rsidRPr="00142F68">
        <w:rPr>
          <w:rFonts w:ascii="Times New Roman" w:eastAsia="Times New Roman" w:hAnsi="Times New Roman" w:cs="Times New Roman"/>
          <w:sz w:val="24"/>
          <w:szCs w:val="24"/>
          <w:u w:val="single"/>
        </w:rPr>
        <w:t>FINDINGS OF FACT</w:t>
      </w:r>
    </w:p>
    <w:p w:rsidR="008E4C63" w:rsidRDefault="008E4C63" w:rsidP="008E4C63">
      <w:pPr>
        <w:spacing w:after="0" w:line="360" w:lineRule="auto"/>
        <w:ind w:firstLine="1440"/>
        <w:rPr>
          <w:rFonts w:ascii="Times New Roman" w:eastAsia="Times New Roman" w:hAnsi="Times New Roman" w:cs="Times New Roman"/>
          <w:spacing w:val="-3"/>
          <w:sz w:val="24"/>
          <w:szCs w:val="24"/>
        </w:rPr>
      </w:pPr>
    </w:p>
    <w:p w:rsidR="009135EF" w:rsidRDefault="00BC6561" w:rsidP="008E4C6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3"/>
          <w:sz w:val="24"/>
          <w:szCs w:val="24"/>
        </w:rPr>
        <w:tab/>
      </w:r>
      <w:r w:rsidR="00205998">
        <w:rPr>
          <w:rFonts w:ascii="Times New Roman" w:eastAsia="Times New Roman" w:hAnsi="Times New Roman" w:cs="Times New Roman"/>
          <w:spacing w:val="-3"/>
          <w:sz w:val="24"/>
          <w:szCs w:val="24"/>
        </w:rPr>
        <w:t xml:space="preserve">The Complainants are Janette I. Vasquez </w:t>
      </w:r>
      <w:r w:rsidR="00205998">
        <w:rPr>
          <w:rFonts w:ascii="Times New Roman" w:eastAsia="Times New Roman" w:hAnsi="Times New Roman" w:cs="Times New Roman"/>
          <w:sz w:val="24"/>
          <w:szCs w:val="24"/>
        </w:rPr>
        <w:t>and Edwin Segarra Lagoa, who reside at 1127 Olive Street, Coatesville, PA 19320 (Service Address).</w:t>
      </w:r>
    </w:p>
    <w:p w:rsidR="008E4C63" w:rsidRDefault="008E4C63" w:rsidP="008E4C63">
      <w:pPr>
        <w:spacing w:after="0" w:line="360" w:lineRule="auto"/>
        <w:ind w:firstLine="1440"/>
        <w:rPr>
          <w:rFonts w:ascii="Times New Roman" w:eastAsia="Times New Roman" w:hAnsi="Times New Roman" w:cs="Times New Roman"/>
          <w:sz w:val="24"/>
          <w:szCs w:val="24"/>
        </w:rPr>
      </w:pPr>
    </w:p>
    <w:p w:rsidR="00205998" w:rsidRDefault="00BC6561" w:rsidP="008E4C6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205998">
        <w:rPr>
          <w:rFonts w:ascii="Times New Roman" w:eastAsia="Times New Roman" w:hAnsi="Times New Roman" w:cs="Times New Roman"/>
          <w:sz w:val="24"/>
          <w:szCs w:val="24"/>
        </w:rPr>
        <w:t>The Respondent is PECO Energy Company.</w:t>
      </w:r>
    </w:p>
    <w:p w:rsidR="008E4C63" w:rsidRDefault="008E4C63" w:rsidP="008E4C63">
      <w:pPr>
        <w:spacing w:after="0" w:line="360" w:lineRule="auto"/>
        <w:ind w:firstLine="1440"/>
        <w:rPr>
          <w:rFonts w:ascii="Times New Roman" w:hAnsi="Times New Roman" w:cs="Times New Roman"/>
          <w:sz w:val="24"/>
          <w:szCs w:val="24"/>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9595F">
        <w:rPr>
          <w:rFonts w:ascii="Times New Roman" w:hAnsi="Times New Roman" w:cs="Times New Roman"/>
          <w:sz w:val="24"/>
          <w:szCs w:val="24"/>
        </w:rPr>
        <w:t>T</w:t>
      </w:r>
      <w:r w:rsidR="00205998">
        <w:rPr>
          <w:rFonts w:ascii="Times New Roman" w:hAnsi="Times New Roman" w:cs="Times New Roman"/>
          <w:sz w:val="24"/>
          <w:szCs w:val="24"/>
        </w:rPr>
        <w:t xml:space="preserve">he </w:t>
      </w:r>
      <w:r w:rsidR="00205998" w:rsidRPr="003C3F6A">
        <w:rPr>
          <w:rFonts w:ascii="Times New Roman" w:hAnsi="Times New Roman" w:cs="Times New Roman"/>
          <w:sz w:val="24"/>
          <w:szCs w:val="24"/>
        </w:rPr>
        <w:t>C</w:t>
      </w:r>
      <w:r w:rsidR="00205998">
        <w:rPr>
          <w:rFonts w:ascii="Times New Roman" w:hAnsi="Times New Roman" w:cs="Times New Roman"/>
          <w:sz w:val="24"/>
          <w:szCs w:val="24"/>
        </w:rPr>
        <w:t>omplainants</w:t>
      </w:r>
      <w:r w:rsidR="00205998" w:rsidRPr="003C3F6A">
        <w:rPr>
          <w:rFonts w:ascii="Times New Roman" w:hAnsi="Times New Roman" w:cs="Times New Roman"/>
          <w:sz w:val="24"/>
          <w:szCs w:val="24"/>
        </w:rPr>
        <w:t xml:space="preserve"> purchased the Service Address in late 2009 or early 2010.  Tr. 15. </w:t>
      </w:r>
      <w:r w:rsidR="00205998">
        <w:rPr>
          <w:rFonts w:ascii="Times New Roman" w:hAnsi="Times New Roman" w:cs="Times New Roman"/>
          <w:sz w:val="24"/>
          <w:szCs w:val="24"/>
        </w:rPr>
        <w:t xml:space="preserve"> </w:t>
      </w:r>
    </w:p>
    <w:p w:rsidR="008E4C63" w:rsidRDefault="008E4C63" w:rsidP="008E4C63">
      <w:pPr>
        <w:spacing w:after="0" w:line="360" w:lineRule="auto"/>
        <w:ind w:firstLine="1440"/>
        <w:rPr>
          <w:rFonts w:ascii="Times New Roman" w:hAnsi="Times New Roman" w:cs="Times New Roman"/>
          <w:sz w:val="24"/>
          <w:szCs w:val="24"/>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05998" w:rsidRPr="003C3F6A">
        <w:rPr>
          <w:rFonts w:ascii="Times New Roman" w:hAnsi="Times New Roman" w:cs="Times New Roman"/>
          <w:sz w:val="24"/>
          <w:szCs w:val="24"/>
        </w:rPr>
        <w:t xml:space="preserve">The Service Address was initially set up as a multi-unit residence so it has two PECO meters for electricity. </w:t>
      </w:r>
      <w:r w:rsidR="00205998">
        <w:rPr>
          <w:rFonts w:ascii="Times New Roman" w:hAnsi="Times New Roman" w:cs="Times New Roman"/>
          <w:sz w:val="24"/>
          <w:szCs w:val="24"/>
        </w:rPr>
        <w:t xml:space="preserve"> </w:t>
      </w:r>
      <w:r w:rsidR="00205998" w:rsidRPr="003C3F6A">
        <w:rPr>
          <w:rFonts w:ascii="Times New Roman" w:hAnsi="Times New Roman" w:cs="Times New Roman"/>
          <w:sz w:val="24"/>
          <w:szCs w:val="24"/>
        </w:rPr>
        <w:t xml:space="preserve">Tr.40, 71. </w:t>
      </w:r>
      <w:r w:rsidR="00205998">
        <w:rPr>
          <w:rFonts w:ascii="Times New Roman" w:hAnsi="Times New Roman" w:cs="Times New Roman"/>
          <w:sz w:val="24"/>
          <w:szCs w:val="24"/>
        </w:rPr>
        <w:t xml:space="preserve"> </w:t>
      </w:r>
    </w:p>
    <w:p w:rsidR="008E4C63" w:rsidRDefault="008E4C63" w:rsidP="008E4C63">
      <w:pPr>
        <w:spacing w:after="0" w:line="360" w:lineRule="auto"/>
        <w:ind w:firstLine="1440"/>
        <w:rPr>
          <w:rFonts w:ascii="Times New Roman" w:hAnsi="Times New Roman" w:cs="Times New Roman"/>
          <w:sz w:val="24"/>
          <w:szCs w:val="24"/>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205998" w:rsidRPr="003C3F6A">
        <w:rPr>
          <w:rFonts w:ascii="Times New Roman" w:hAnsi="Times New Roman" w:cs="Times New Roman"/>
          <w:sz w:val="24"/>
          <w:szCs w:val="24"/>
        </w:rPr>
        <w:t xml:space="preserve">One of the meters serves the first floor of the Service Address and the other serves the second floor.  Tr. 40. </w:t>
      </w:r>
      <w:r w:rsidR="00205998">
        <w:rPr>
          <w:rFonts w:ascii="Times New Roman" w:hAnsi="Times New Roman" w:cs="Times New Roman"/>
          <w:sz w:val="24"/>
          <w:szCs w:val="24"/>
        </w:rPr>
        <w:t xml:space="preserve"> </w:t>
      </w:r>
    </w:p>
    <w:p w:rsidR="00595FD6" w:rsidRDefault="00595FD6" w:rsidP="008E4C63">
      <w:pPr>
        <w:spacing w:after="0" w:line="360" w:lineRule="auto"/>
        <w:ind w:firstLine="1440"/>
        <w:rPr>
          <w:rFonts w:ascii="Times New Roman" w:hAnsi="Times New Roman" w:cs="Times New Roman"/>
          <w:sz w:val="24"/>
          <w:szCs w:val="24"/>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05998">
        <w:rPr>
          <w:rFonts w:ascii="Times New Roman" w:hAnsi="Times New Roman" w:cs="Times New Roman"/>
          <w:sz w:val="24"/>
          <w:szCs w:val="24"/>
        </w:rPr>
        <w:t xml:space="preserve">The </w:t>
      </w:r>
      <w:r w:rsidR="00205998" w:rsidRPr="003C3F6A">
        <w:rPr>
          <w:rFonts w:ascii="Times New Roman" w:hAnsi="Times New Roman" w:cs="Times New Roman"/>
          <w:sz w:val="24"/>
          <w:szCs w:val="24"/>
        </w:rPr>
        <w:t>C</w:t>
      </w:r>
      <w:r w:rsidR="00205998">
        <w:rPr>
          <w:rFonts w:ascii="Times New Roman" w:hAnsi="Times New Roman" w:cs="Times New Roman"/>
          <w:sz w:val="24"/>
          <w:szCs w:val="24"/>
        </w:rPr>
        <w:t>omplainants were</w:t>
      </w:r>
      <w:r w:rsidR="00205998" w:rsidRPr="003C3F6A">
        <w:rPr>
          <w:rFonts w:ascii="Times New Roman" w:hAnsi="Times New Roman" w:cs="Times New Roman"/>
          <w:sz w:val="24"/>
          <w:szCs w:val="24"/>
        </w:rPr>
        <w:t xml:space="preserve"> instructed by PECO to have the electric service lines in the house inspected for safety by a licensed electrician before PECO would turn service on </w:t>
      </w:r>
      <w:r w:rsidR="00944B00">
        <w:rPr>
          <w:rFonts w:ascii="Times New Roman" w:hAnsi="Times New Roman" w:cs="Times New Roman"/>
          <w:sz w:val="24"/>
          <w:szCs w:val="24"/>
        </w:rPr>
        <w:t xml:space="preserve">at </w:t>
      </w:r>
      <w:r w:rsidR="00205998" w:rsidRPr="003C3F6A">
        <w:rPr>
          <w:rFonts w:ascii="Times New Roman" w:hAnsi="Times New Roman" w:cs="Times New Roman"/>
          <w:sz w:val="24"/>
          <w:szCs w:val="24"/>
        </w:rPr>
        <w:t>the property.  Tr. 15, 50-51.</w:t>
      </w:r>
    </w:p>
    <w:p w:rsidR="008E4C63" w:rsidRDefault="008E4C63" w:rsidP="008E4C63">
      <w:pPr>
        <w:spacing w:after="0" w:line="360" w:lineRule="auto"/>
        <w:ind w:firstLine="1440"/>
        <w:rPr>
          <w:rFonts w:ascii="Times New Roman" w:hAnsi="Times New Roman" w:cs="Times New Roman"/>
          <w:sz w:val="24"/>
          <w:szCs w:val="24"/>
        </w:rPr>
      </w:pPr>
    </w:p>
    <w:p w:rsidR="0049595F"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9595F">
        <w:rPr>
          <w:rFonts w:ascii="Times New Roman" w:hAnsi="Times New Roman" w:cs="Times New Roman"/>
          <w:sz w:val="24"/>
          <w:szCs w:val="24"/>
        </w:rPr>
        <w:t>On December 28, 2009, PECO established electric service for the 1</w:t>
      </w:r>
      <w:r w:rsidR="0049595F" w:rsidRPr="00AB04CA">
        <w:rPr>
          <w:rFonts w:ascii="Times New Roman" w:hAnsi="Times New Roman" w:cs="Times New Roman"/>
          <w:sz w:val="24"/>
          <w:szCs w:val="24"/>
          <w:vertAlign w:val="superscript"/>
        </w:rPr>
        <w:t>st</w:t>
      </w:r>
      <w:r w:rsidR="0049595F">
        <w:rPr>
          <w:rFonts w:ascii="Times New Roman" w:hAnsi="Times New Roman" w:cs="Times New Roman"/>
          <w:sz w:val="24"/>
          <w:szCs w:val="24"/>
        </w:rPr>
        <w:t xml:space="preserve"> floor in Mr. Segarra’s name.  Tr. 161-162, PECO Exhibit 1.  </w:t>
      </w:r>
    </w:p>
    <w:p w:rsidR="008E4C63" w:rsidRDefault="008E4C63" w:rsidP="008E4C63">
      <w:pPr>
        <w:spacing w:after="0" w:line="360" w:lineRule="auto"/>
        <w:ind w:firstLine="1440"/>
        <w:rPr>
          <w:rFonts w:ascii="Times New Roman" w:hAnsi="Times New Roman" w:cs="Times New Roman"/>
          <w:sz w:val="24"/>
          <w:szCs w:val="24"/>
        </w:rPr>
      </w:pPr>
    </w:p>
    <w:p w:rsidR="0049595F"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49595F">
        <w:rPr>
          <w:rFonts w:ascii="Times New Roman" w:hAnsi="Times New Roman" w:cs="Times New Roman"/>
          <w:sz w:val="24"/>
          <w:szCs w:val="24"/>
        </w:rPr>
        <w:t>On April 22, 2011, service for the 1</w:t>
      </w:r>
      <w:r w:rsidR="0049595F" w:rsidRPr="00AB04CA">
        <w:rPr>
          <w:rFonts w:ascii="Times New Roman" w:hAnsi="Times New Roman" w:cs="Times New Roman"/>
          <w:sz w:val="24"/>
          <w:szCs w:val="24"/>
          <w:vertAlign w:val="superscript"/>
        </w:rPr>
        <w:t>st</w:t>
      </w:r>
      <w:r w:rsidR="0049595F">
        <w:rPr>
          <w:rFonts w:ascii="Times New Roman" w:hAnsi="Times New Roman" w:cs="Times New Roman"/>
          <w:sz w:val="24"/>
          <w:szCs w:val="24"/>
        </w:rPr>
        <w:t xml:space="preserve"> floor was established in Janette Vasquez’ name.  Tr. 161-162, PECO Exhibit 1.  </w:t>
      </w:r>
    </w:p>
    <w:p w:rsidR="008E4C63" w:rsidRDefault="008E4C63" w:rsidP="008E4C63">
      <w:pPr>
        <w:spacing w:after="0" w:line="360" w:lineRule="auto"/>
        <w:ind w:firstLine="1440"/>
        <w:rPr>
          <w:rFonts w:ascii="Times New Roman" w:hAnsi="Times New Roman" w:cs="Times New Roman"/>
          <w:sz w:val="24"/>
          <w:szCs w:val="24"/>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205998">
        <w:rPr>
          <w:rFonts w:ascii="Times New Roman" w:hAnsi="Times New Roman" w:cs="Times New Roman"/>
          <w:sz w:val="24"/>
          <w:szCs w:val="24"/>
        </w:rPr>
        <w:t xml:space="preserve">The Service Address has </w:t>
      </w:r>
      <w:r w:rsidR="00205998" w:rsidRPr="003C3F6A">
        <w:rPr>
          <w:rFonts w:ascii="Times New Roman" w:hAnsi="Times New Roman" w:cs="Times New Roman"/>
          <w:sz w:val="24"/>
          <w:szCs w:val="24"/>
        </w:rPr>
        <w:t>an oil heater</w:t>
      </w:r>
      <w:r w:rsidR="00205998">
        <w:rPr>
          <w:rFonts w:ascii="Times New Roman" w:hAnsi="Times New Roman" w:cs="Times New Roman"/>
          <w:sz w:val="24"/>
          <w:szCs w:val="24"/>
        </w:rPr>
        <w:t>,</w:t>
      </w:r>
      <w:r w:rsidR="00205998" w:rsidRPr="003C3F6A">
        <w:rPr>
          <w:rFonts w:ascii="Times New Roman" w:hAnsi="Times New Roman" w:cs="Times New Roman"/>
          <w:sz w:val="24"/>
          <w:szCs w:val="24"/>
        </w:rPr>
        <w:t xml:space="preserve"> which uses electricity during the burning process.  Tr. 30, 48-49</w:t>
      </w:r>
      <w:r w:rsidR="00205998">
        <w:rPr>
          <w:rFonts w:ascii="Times New Roman" w:hAnsi="Times New Roman" w:cs="Times New Roman"/>
          <w:sz w:val="24"/>
          <w:szCs w:val="24"/>
        </w:rPr>
        <w:t xml:space="preserve">.  </w:t>
      </w:r>
    </w:p>
    <w:p w:rsidR="008E4C63" w:rsidRDefault="008E4C63" w:rsidP="008E4C63">
      <w:pPr>
        <w:spacing w:after="0" w:line="360" w:lineRule="auto"/>
        <w:ind w:firstLine="1440"/>
        <w:rPr>
          <w:rFonts w:ascii="Times New Roman" w:hAnsi="Times New Roman" w:cs="Times New Roman"/>
          <w:sz w:val="24"/>
          <w:szCs w:val="24"/>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05998">
        <w:rPr>
          <w:rFonts w:ascii="Times New Roman" w:hAnsi="Times New Roman" w:cs="Times New Roman"/>
          <w:sz w:val="24"/>
          <w:szCs w:val="24"/>
        </w:rPr>
        <w:t>The oil heater is nonoperational</w:t>
      </w:r>
      <w:r w:rsidR="00944B00">
        <w:rPr>
          <w:rFonts w:ascii="Times New Roman" w:hAnsi="Times New Roman" w:cs="Times New Roman"/>
          <w:sz w:val="24"/>
          <w:szCs w:val="24"/>
        </w:rPr>
        <w:t>,</w:t>
      </w:r>
      <w:r w:rsidR="00205998">
        <w:rPr>
          <w:rFonts w:ascii="Times New Roman" w:hAnsi="Times New Roman" w:cs="Times New Roman"/>
          <w:sz w:val="24"/>
          <w:szCs w:val="24"/>
        </w:rPr>
        <w:t xml:space="preserve"> having broken down sometime after the Complainants purchased the Service Address.  Tr. 30-31.</w:t>
      </w:r>
    </w:p>
    <w:p w:rsidR="008E4C63" w:rsidRDefault="008E4C63" w:rsidP="008E4C63">
      <w:pPr>
        <w:spacing w:after="0" w:line="360" w:lineRule="auto"/>
        <w:ind w:firstLine="1440"/>
        <w:rPr>
          <w:rFonts w:ascii="Times New Roman" w:hAnsi="Times New Roman" w:cs="Times New Roman"/>
          <w:sz w:val="24"/>
          <w:szCs w:val="24"/>
        </w:rPr>
      </w:pPr>
    </w:p>
    <w:p w:rsidR="0049595F"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205998">
        <w:rPr>
          <w:rFonts w:ascii="Times New Roman" w:hAnsi="Times New Roman" w:cs="Times New Roman"/>
          <w:sz w:val="24"/>
          <w:szCs w:val="24"/>
        </w:rPr>
        <w:t xml:space="preserve">The Complainants heat their </w:t>
      </w:r>
      <w:r w:rsidR="00205998" w:rsidRPr="00113BE8">
        <w:rPr>
          <w:rFonts w:ascii="Times New Roman" w:hAnsi="Times New Roman" w:cs="Times New Roman"/>
          <w:sz w:val="24"/>
          <w:szCs w:val="24"/>
        </w:rPr>
        <w:t>home with the help of electric baseboard</w:t>
      </w:r>
      <w:r w:rsidR="00205998">
        <w:rPr>
          <w:rFonts w:ascii="Times New Roman" w:hAnsi="Times New Roman" w:cs="Times New Roman"/>
          <w:sz w:val="24"/>
          <w:szCs w:val="24"/>
        </w:rPr>
        <w:t>s</w:t>
      </w:r>
      <w:r w:rsidR="00205998" w:rsidRPr="00113BE8">
        <w:rPr>
          <w:rFonts w:ascii="Times New Roman" w:hAnsi="Times New Roman" w:cs="Times New Roman"/>
          <w:sz w:val="24"/>
          <w:szCs w:val="24"/>
        </w:rPr>
        <w:t xml:space="preserve"> and</w:t>
      </w:r>
      <w:r w:rsidR="00205998">
        <w:rPr>
          <w:rFonts w:ascii="Times New Roman" w:hAnsi="Times New Roman" w:cs="Times New Roman"/>
          <w:sz w:val="24"/>
          <w:szCs w:val="24"/>
        </w:rPr>
        <w:t xml:space="preserve"> several</w:t>
      </w:r>
      <w:r w:rsidR="00205998" w:rsidRPr="00113BE8">
        <w:rPr>
          <w:rFonts w:ascii="Times New Roman" w:hAnsi="Times New Roman" w:cs="Times New Roman"/>
          <w:sz w:val="24"/>
          <w:szCs w:val="24"/>
        </w:rPr>
        <w:t xml:space="preserve"> space heaters.  Tr. 74.  </w:t>
      </w:r>
    </w:p>
    <w:p w:rsidR="008E4C63" w:rsidRDefault="008E4C63" w:rsidP="008E4C63">
      <w:pPr>
        <w:spacing w:after="0" w:line="360" w:lineRule="auto"/>
        <w:ind w:firstLine="1440"/>
        <w:rPr>
          <w:rFonts w:ascii="Times New Roman" w:hAnsi="Times New Roman" w:cs="Times New Roman"/>
          <w:sz w:val="24"/>
          <w:szCs w:val="24"/>
          <w:highlight w:val="yellow"/>
        </w:rPr>
      </w:pPr>
    </w:p>
    <w:p w:rsidR="00205998"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49595F">
        <w:rPr>
          <w:rFonts w:ascii="Times New Roman" w:hAnsi="Times New Roman" w:cs="Times New Roman"/>
          <w:sz w:val="24"/>
          <w:szCs w:val="24"/>
        </w:rPr>
        <w:t xml:space="preserve">The Complainants have </w:t>
      </w:r>
      <w:r w:rsidR="00205998" w:rsidRPr="00113BE8">
        <w:rPr>
          <w:rFonts w:ascii="Times New Roman" w:hAnsi="Times New Roman" w:cs="Times New Roman"/>
          <w:sz w:val="24"/>
          <w:szCs w:val="24"/>
        </w:rPr>
        <w:t xml:space="preserve">either serviced or replaced water pipes, heating pipes, and radiators inside the Service Address.  Tr. 42.  </w:t>
      </w:r>
    </w:p>
    <w:p w:rsidR="008E4C63" w:rsidRDefault="008E4C63"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085BBA" w:rsidRPr="003C3F6A">
        <w:rPr>
          <w:rFonts w:ascii="Times New Roman" w:hAnsi="Times New Roman" w:cs="Times New Roman"/>
          <w:sz w:val="24"/>
          <w:szCs w:val="24"/>
        </w:rPr>
        <w:t>On May 3, 2013, a PECO field technician visited the Service Address to perform a high bill field investigation on the first floor meter, noting that the 2</w:t>
      </w:r>
      <w:r w:rsidR="00085BBA" w:rsidRPr="003C3F6A">
        <w:rPr>
          <w:rFonts w:ascii="Times New Roman" w:hAnsi="Times New Roman" w:cs="Times New Roman"/>
          <w:sz w:val="24"/>
          <w:szCs w:val="24"/>
          <w:vertAlign w:val="superscript"/>
        </w:rPr>
        <w:t>nd</w:t>
      </w:r>
      <w:r w:rsidR="00085BBA" w:rsidRPr="003C3F6A">
        <w:rPr>
          <w:rFonts w:ascii="Times New Roman" w:hAnsi="Times New Roman" w:cs="Times New Roman"/>
          <w:sz w:val="24"/>
          <w:szCs w:val="24"/>
        </w:rPr>
        <w:t xml:space="preserve"> floor meter was not in contention by the customer of record.  Tr. 90-93, PECO Exhibit 12.  </w:t>
      </w:r>
    </w:p>
    <w:p w:rsidR="008E4C63" w:rsidRDefault="008E4C63"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085BBA">
        <w:rPr>
          <w:rFonts w:ascii="Times New Roman" w:hAnsi="Times New Roman" w:cs="Times New Roman"/>
          <w:sz w:val="24"/>
          <w:szCs w:val="24"/>
        </w:rPr>
        <w:t>During the May 3, 2013 high bill filed investigation, the PECO</w:t>
      </w:r>
      <w:r w:rsidR="00085BBA" w:rsidRPr="003C3F6A">
        <w:rPr>
          <w:rFonts w:ascii="Times New Roman" w:hAnsi="Times New Roman" w:cs="Times New Roman"/>
          <w:sz w:val="24"/>
          <w:szCs w:val="24"/>
        </w:rPr>
        <w:t xml:space="preserve"> </w:t>
      </w:r>
      <w:r w:rsidR="00085BBA">
        <w:rPr>
          <w:rFonts w:ascii="Times New Roman" w:hAnsi="Times New Roman" w:cs="Times New Roman"/>
          <w:sz w:val="24"/>
          <w:szCs w:val="24"/>
        </w:rPr>
        <w:t xml:space="preserve">technician </w:t>
      </w:r>
      <w:r w:rsidR="00085BBA" w:rsidRPr="003C3F6A">
        <w:rPr>
          <w:rFonts w:ascii="Times New Roman" w:hAnsi="Times New Roman" w:cs="Times New Roman"/>
          <w:sz w:val="24"/>
          <w:szCs w:val="24"/>
        </w:rPr>
        <w:t xml:space="preserve">verified that there was no meter mix up or foreign load, verified the latest meter reading, and </w:t>
      </w:r>
      <w:r w:rsidR="00085BBA" w:rsidRPr="003C3F6A">
        <w:rPr>
          <w:rFonts w:ascii="Times New Roman" w:hAnsi="Times New Roman" w:cs="Times New Roman"/>
          <w:sz w:val="24"/>
          <w:szCs w:val="24"/>
        </w:rPr>
        <w:lastRenderedPageBreak/>
        <w:t>conducted a drop load test as well as a passing load test to determine that the 1</w:t>
      </w:r>
      <w:r w:rsidR="00085BBA" w:rsidRPr="003C3F6A">
        <w:rPr>
          <w:rFonts w:ascii="Times New Roman" w:hAnsi="Times New Roman" w:cs="Times New Roman"/>
          <w:sz w:val="24"/>
          <w:szCs w:val="24"/>
          <w:vertAlign w:val="superscript"/>
        </w:rPr>
        <w:t>st</w:t>
      </w:r>
      <w:r w:rsidR="00085BBA" w:rsidRPr="003C3F6A">
        <w:rPr>
          <w:rFonts w:ascii="Times New Roman" w:hAnsi="Times New Roman" w:cs="Times New Roman"/>
          <w:sz w:val="24"/>
          <w:szCs w:val="24"/>
        </w:rPr>
        <w:t xml:space="preserve"> floor meter was working correctly.  Tr. 90-93, PECO Exhibit 12.  </w:t>
      </w:r>
    </w:p>
    <w:p w:rsidR="00595FD6" w:rsidRDefault="00595FD6"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085BBA">
        <w:rPr>
          <w:rFonts w:ascii="Times New Roman" w:hAnsi="Times New Roman" w:cs="Times New Roman"/>
          <w:sz w:val="24"/>
          <w:szCs w:val="24"/>
        </w:rPr>
        <w:t>During the May 3, 2013 high bill filed investigation, the PECO</w:t>
      </w:r>
      <w:r w:rsidR="00085BBA" w:rsidRPr="003C3F6A">
        <w:rPr>
          <w:rFonts w:ascii="Times New Roman" w:hAnsi="Times New Roman" w:cs="Times New Roman"/>
          <w:sz w:val="24"/>
          <w:szCs w:val="24"/>
        </w:rPr>
        <w:t xml:space="preserve"> </w:t>
      </w:r>
      <w:r w:rsidR="00085BBA">
        <w:rPr>
          <w:rFonts w:ascii="Times New Roman" w:hAnsi="Times New Roman" w:cs="Times New Roman"/>
          <w:sz w:val="24"/>
          <w:szCs w:val="24"/>
        </w:rPr>
        <w:t xml:space="preserve">technician </w:t>
      </w:r>
      <w:r w:rsidR="00085BBA" w:rsidRPr="003C3F6A">
        <w:rPr>
          <w:rFonts w:ascii="Times New Roman" w:hAnsi="Times New Roman" w:cs="Times New Roman"/>
          <w:sz w:val="24"/>
          <w:szCs w:val="24"/>
        </w:rPr>
        <w:t>listed all the electric appliances connected to the 1</w:t>
      </w:r>
      <w:r w:rsidR="00085BBA" w:rsidRPr="003C3F6A">
        <w:rPr>
          <w:rFonts w:ascii="Times New Roman" w:hAnsi="Times New Roman" w:cs="Times New Roman"/>
          <w:sz w:val="24"/>
          <w:szCs w:val="24"/>
          <w:vertAlign w:val="superscript"/>
        </w:rPr>
        <w:t>st</w:t>
      </w:r>
      <w:r w:rsidR="00085BBA" w:rsidRPr="003C3F6A">
        <w:rPr>
          <w:rFonts w:ascii="Times New Roman" w:hAnsi="Times New Roman" w:cs="Times New Roman"/>
          <w:sz w:val="24"/>
          <w:szCs w:val="24"/>
        </w:rPr>
        <w:t xml:space="preserve"> floor meter: a large side-by-side refrigerator, a range, a microwave, an electric hot water heater, a big screen TV and a 20”- 27” TV, and lighting. </w:t>
      </w:r>
      <w:r w:rsidR="00085BBA">
        <w:rPr>
          <w:rFonts w:ascii="Times New Roman" w:hAnsi="Times New Roman" w:cs="Times New Roman"/>
          <w:sz w:val="24"/>
          <w:szCs w:val="24"/>
        </w:rPr>
        <w:t xml:space="preserve"> </w:t>
      </w:r>
      <w:r w:rsidR="00085BBA" w:rsidRPr="003C3F6A">
        <w:rPr>
          <w:rFonts w:ascii="Times New Roman" w:hAnsi="Times New Roman" w:cs="Times New Roman"/>
          <w:sz w:val="24"/>
          <w:szCs w:val="24"/>
        </w:rPr>
        <w:t xml:space="preserve">Tr. 92, PECO Exhibit 12.  </w:t>
      </w:r>
    </w:p>
    <w:p w:rsidR="008E4C63" w:rsidRDefault="008E4C63"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085BBA" w:rsidRPr="003C3F6A">
        <w:rPr>
          <w:rFonts w:ascii="Times New Roman" w:hAnsi="Times New Roman" w:cs="Times New Roman"/>
          <w:sz w:val="24"/>
          <w:szCs w:val="24"/>
        </w:rPr>
        <w:t xml:space="preserve">The field technician </w:t>
      </w:r>
      <w:r w:rsidR="00085BBA">
        <w:rPr>
          <w:rFonts w:ascii="Times New Roman" w:hAnsi="Times New Roman" w:cs="Times New Roman"/>
          <w:sz w:val="24"/>
          <w:szCs w:val="24"/>
        </w:rPr>
        <w:t>conducting the May 3, 2013 high bill filed investigation</w:t>
      </w:r>
      <w:r w:rsidR="00085BBA" w:rsidRPr="003C3F6A">
        <w:rPr>
          <w:rFonts w:ascii="Times New Roman" w:hAnsi="Times New Roman" w:cs="Times New Roman"/>
          <w:sz w:val="24"/>
          <w:szCs w:val="24"/>
        </w:rPr>
        <w:t xml:space="preserve"> reported that the oil boiler at the Service Address was not working, and that </w:t>
      </w:r>
      <w:r w:rsidR="00085BBA">
        <w:rPr>
          <w:rFonts w:ascii="Times New Roman" w:hAnsi="Times New Roman" w:cs="Times New Roman"/>
          <w:sz w:val="24"/>
          <w:szCs w:val="24"/>
        </w:rPr>
        <w:t xml:space="preserve">she found </w:t>
      </w:r>
      <w:r w:rsidR="00085BBA" w:rsidRPr="003C3F6A">
        <w:rPr>
          <w:rFonts w:ascii="Times New Roman" w:hAnsi="Times New Roman" w:cs="Times New Roman"/>
          <w:sz w:val="24"/>
          <w:szCs w:val="24"/>
        </w:rPr>
        <w:t>six space heat</w:t>
      </w:r>
      <w:r w:rsidR="00944B00">
        <w:rPr>
          <w:rFonts w:ascii="Times New Roman" w:hAnsi="Times New Roman" w:cs="Times New Roman"/>
          <w:sz w:val="24"/>
          <w:szCs w:val="24"/>
        </w:rPr>
        <w:t>ers, an electric fireplace and five</w:t>
      </w:r>
      <w:r w:rsidR="00085BBA" w:rsidRPr="003C3F6A">
        <w:rPr>
          <w:rFonts w:ascii="Times New Roman" w:hAnsi="Times New Roman" w:cs="Times New Roman"/>
          <w:sz w:val="24"/>
          <w:szCs w:val="24"/>
        </w:rPr>
        <w:t xml:space="preserve"> baseboard elements at the property.  Tr. 92-93, PECO Exhibit 12.  </w:t>
      </w:r>
    </w:p>
    <w:p w:rsidR="008E4C63" w:rsidRDefault="008E4C63"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085BBA" w:rsidRPr="003C3F6A">
        <w:rPr>
          <w:rFonts w:ascii="Times New Roman" w:hAnsi="Times New Roman" w:cs="Times New Roman"/>
          <w:sz w:val="24"/>
          <w:szCs w:val="24"/>
        </w:rPr>
        <w:t>Based on the electric appliances found connected to the 1</w:t>
      </w:r>
      <w:r w:rsidR="00085BBA" w:rsidRPr="003C3F6A">
        <w:rPr>
          <w:rFonts w:ascii="Times New Roman" w:hAnsi="Times New Roman" w:cs="Times New Roman"/>
          <w:sz w:val="24"/>
          <w:szCs w:val="24"/>
          <w:vertAlign w:val="superscript"/>
        </w:rPr>
        <w:t>st</w:t>
      </w:r>
      <w:r w:rsidR="00085BBA" w:rsidRPr="003C3F6A">
        <w:rPr>
          <w:rFonts w:ascii="Times New Roman" w:hAnsi="Times New Roman" w:cs="Times New Roman"/>
          <w:sz w:val="24"/>
          <w:szCs w:val="24"/>
        </w:rPr>
        <w:t xml:space="preserve"> floor meter, PECO calculated that the customer had the potential for using 8,189 </w:t>
      </w:r>
      <w:r w:rsidR="00085BBA">
        <w:rPr>
          <w:rFonts w:ascii="Times New Roman" w:hAnsi="Times New Roman" w:cs="Times New Roman"/>
          <w:sz w:val="24"/>
          <w:szCs w:val="24"/>
        </w:rPr>
        <w:t>kWh</w:t>
      </w:r>
      <w:r w:rsidR="00085BBA" w:rsidRPr="003C3F6A">
        <w:rPr>
          <w:rFonts w:ascii="Times New Roman" w:hAnsi="Times New Roman" w:cs="Times New Roman"/>
          <w:sz w:val="24"/>
          <w:szCs w:val="24"/>
        </w:rPr>
        <w:t xml:space="preserve"> per month in the heating season.  Tr. 93, PECO Exhibit 12. </w:t>
      </w:r>
      <w:r w:rsidR="00085BBA">
        <w:rPr>
          <w:rFonts w:ascii="Times New Roman" w:hAnsi="Times New Roman" w:cs="Times New Roman"/>
          <w:sz w:val="24"/>
          <w:szCs w:val="24"/>
        </w:rPr>
        <w:t xml:space="preserve"> </w:t>
      </w:r>
    </w:p>
    <w:p w:rsidR="00085BBA" w:rsidRPr="003C3F6A" w:rsidRDefault="00085BBA"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085BBA" w:rsidRPr="003C3F6A">
        <w:rPr>
          <w:rFonts w:ascii="Times New Roman" w:hAnsi="Times New Roman" w:cs="Times New Roman"/>
          <w:sz w:val="24"/>
          <w:szCs w:val="24"/>
        </w:rPr>
        <w:t xml:space="preserve">On </w:t>
      </w:r>
      <w:r w:rsidR="00085BBA" w:rsidRPr="008C0256">
        <w:rPr>
          <w:rFonts w:ascii="Times New Roman" w:hAnsi="Times New Roman" w:cs="Times New Roman"/>
          <w:sz w:val="24"/>
          <w:szCs w:val="24"/>
        </w:rPr>
        <w:t>March 2, 2016, a PECO field technici</w:t>
      </w:r>
      <w:r w:rsidR="00085BBA">
        <w:rPr>
          <w:rFonts w:ascii="Times New Roman" w:hAnsi="Times New Roman" w:cs="Times New Roman"/>
          <w:sz w:val="24"/>
          <w:szCs w:val="24"/>
        </w:rPr>
        <w:t xml:space="preserve">an visited the Service Address </w:t>
      </w:r>
      <w:r w:rsidR="00085BBA" w:rsidRPr="008C0256">
        <w:rPr>
          <w:rFonts w:ascii="Times New Roman" w:hAnsi="Times New Roman" w:cs="Times New Roman"/>
          <w:sz w:val="24"/>
          <w:szCs w:val="24"/>
        </w:rPr>
        <w:t xml:space="preserve">to perform a high bill field investigation on the </w:t>
      </w:r>
      <w:r w:rsidR="00085BBA">
        <w:rPr>
          <w:rFonts w:ascii="Times New Roman" w:hAnsi="Times New Roman" w:cs="Times New Roman"/>
          <w:sz w:val="24"/>
          <w:szCs w:val="24"/>
        </w:rPr>
        <w:t>2</w:t>
      </w:r>
      <w:r w:rsidR="00085BBA" w:rsidRPr="00085BBA">
        <w:rPr>
          <w:rFonts w:ascii="Times New Roman" w:hAnsi="Times New Roman" w:cs="Times New Roman"/>
          <w:sz w:val="24"/>
          <w:szCs w:val="24"/>
          <w:vertAlign w:val="superscript"/>
        </w:rPr>
        <w:t>nd</w:t>
      </w:r>
      <w:r w:rsidR="00085BBA">
        <w:rPr>
          <w:rFonts w:ascii="Times New Roman" w:hAnsi="Times New Roman" w:cs="Times New Roman"/>
          <w:sz w:val="24"/>
          <w:szCs w:val="24"/>
        </w:rPr>
        <w:t xml:space="preserve"> </w:t>
      </w:r>
      <w:r w:rsidR="00085BBA" w:rsidRPr="008C0256">
        <w:rPr>
          <w:rFonts w:ascii="Times New Roman" w:hAnsi="Times New Roman" w:cs="Times New Roman"/>
          <w:sz w:val="24"/>
          <w:szCs w:val="24"/>
        </w:rPr>
        <w:t>floor meter</w:t>
      </w:r>
      <w:r w:rsidR="00085BBA">
        <w:rPr>
          <w:rFonts w:ascii="Times New Roman" w:hAnsi="Times New Roman" w:cs="Times New Roman"/>
          <w:sz w:val="24"/>
          <w:szCs w:val="24"/>
        </w:rPr>
        <w:t xml:space="preserve">. </w:t>
      </w:r>
      <w:r w:rsidR="00085BBA" w:rsidRPr="003C3F6A">
        <w:rPr>
          <w:rFonts w:ascii="Times New Roman" w:hAnsi="Times New Roman" w:cs="Times New Roman"/>
          <w:sz w:val="24"/>
          <w:szCs w:val="24"/>
        </w:rPr>
        <w:t xml:space="preserve"> Tr. 94-95, 98, PECO Exhibit 13.  </w:t>
      </w:r>
    </w:p>
    <w:p w:rsidR="00085BBA" w:rsidRDefault="00085BBA"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085BBA">
        <w:rPr>
          <w:rFonts w:ascii="Times New Roman" w:hAnsi="Times New Roman" w:cs="Times New Roman"/>
          <w:sz w:val="24"/>
          <w:szCs w:val="24"/>
        </w:rPr>
        <w:t xml:space="preserve">During the March 2, 2016 high bill filed investigation, the PECO </w:t>
      </w:r>
      <w:r w:rsidR="00085BBA" w:rsidRPr="003C3F6A">
        <w:rPr>
          <w:rFonts w:ascii="Times New Roman" w:hAnsi="Times New Roman" w:cs="Times New Roman"/>
          <w:sz w:val="24"/>
          <w:szCs w:val="24"/>
        </w:rPr>
        <w:t>technician verified that there was no meter mix up or foreign load, verified the latest meter reading, and conducted a drop load test as well as a passing load test to determine that the 2</w:t>
      </w:r>
      <w:r w:rsidR="00085BBA" w:rsidRPr="003C3F6A">
        <w:rPr>
          <w:rFonts w:ascii="Times New Roman" w:hAnsi="Times New Roman" w:cs="Times New Roman"/>
          <w:sz w:val="24"/>
          <w:szCs w:val="24"/>
          <w:vertAlign w:val="superscript"/>
        </w:rPr>
        <w:t>nd</w:t>
      </w:r>
      <w:r w:rsidR="00085BBA" w:rsidRPr="003C3F6A">
        <w:rPr>
          <w:rFonts w:ascii="Times New Roman" w:hAnsi="Times New Roman" w:cs="Times New Roman"/>
          <w:sz w:val="24"/>
          <w:szCs w:val="24"/>
        </w:rPr>
        <w:t xml:space="preserve"> floor meter was working correctly.  Tr. 94, PECO Exhibit 13.  </w:t>
      </w:r>
    </w:p>
    <w:p w:rsidR="00085BBA" w:rsidRDefault="00085BBA"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085BBA">
        <w:rPr>
          <w:rFonts w:ascii="Times New Roman" w:hAnsi="Times New Roman" w:cs="Times New Roman"/>
          <w:sz w:val="24"/>
          <w:szCs w:val="24"/>
        </w:rPr>
        <w:t xml:space="preserve">During the March 2, 2016 high bill filed investigation, the PECO </w:t>
      </w:r>
      <w:r w:rsidR="00085BBA" w:rsidRPr="003C3F6A">
        <w:rPr>
          <w:rFonts w:ascii="Times New Roman" w:hAnsi="Times New Roman" w:cs="Times New Roman"/>
          <w:sz w:val="24"/>
          <w:szCs w:val="24"/>
        </w:rPr>
        <w:t>technician listed all the electric appliances connected to the 2</w:t>
      </w:r>
      <w:r w:rsidR="00085BBA" w:rsidRPr="003C3F6A">
        <w:rPr>
          <w:rFonts w:ascii="Times New Roman" w:hAnsi="Times New Roman" w:cs="Times New Roman"/>
          <w:sz w:val="24"/>
          <w:szCs w:val="24"/>
          <w:vertAlign w:val="superscript"/>
        </w:rPr>
        <w:t>nd</w:t>
      </w:r>
      <w:r w:rsidR="00085BBA">
        <w:rPr>
          <w:rFonts w:ascii="Times New Roman" w:hAnsi="Times New Roman" w:cs="Times New Roman"/>
          <w:sz w:val="24"/>
          <w:szCs w:val="24"/>
        </w:rPr>
        <w:t xml:space="preserve"> floor meter: a top-</w:t>
      </w:r>
      <w:r w:rsidR="00085BBA" w:rsidRPr="003C3F6A">
        <w:rPr>
          <w:rFonts w:ascii="Times New Roman" w:hAnsi="Times New Roman" w:cs="Times New Roman"/>
          <w:sz w:val="24"/>
          <w:szCs w:val="24"/>
        </w:rPr>
        <w:t>bottom refrigerator, an air conditioning unit, one baseboard element, a 20”- 27” TV, a computer and lighting.</w:t>
      </w:r>
      <w:r w:rsidR="00085BBA">
        <w:rPr>
          <w:rFonts w:ascii="Times New Roman" w:hAnsi="Times New Roman" w:cs="Times New Roman"/>
          <w:sz w:val="24"/>
          <w:szCs w:val="24"/>
        </w:rPr>
        <w:t xml:space="preserve"> </w:t>
      </w:r>
      <w:r w:rsidR="00085BBA" w:rsidRPr="003C3F6A">
        <w:rPr>
          <w:rFonts w:ascii="Times New Roman" w:hAnsi="Times New Roman" w:cs="Times New Roman"/>
          <w:sz w:val="24"/>
          <w:szCs w:val="24"/>
        </w:rPr>
        <w:t xml:space="preserve"> Tr. 95, PECO Exhibit 13.  </w:t>
      </w:r>
    </w:p>
    <w:p w:rsidR="00085BBA" w:rsidRDefault="00085BBA" w:rsidP="008E4C63">
      <w:pPr>
        <w:spacing w:after="0" w:line="360" w:lineRule="auto"/>
        <w:ind w:firstLine="1440"/>
        <w:rPr>
          <w:rFonts w:ascii="Times New Roman" w:hAnsi="Times New Roman" w:cs="Times New Roman"/>
          <w:sz w:val="24"/>
          <w:szCs w:val="24"/>
        </w:rPr>
      </w:pPr>
    </w:p>
    <w:p w:rsidR="00085BBA" w:rsidRDefault="00BC6561" w:rsidP="008E4C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r>
      <w:r w:rsidR="00085BBA" w:rsidRPr="003C3F6A">
        <w:rPr>
          <w:rFonts w:ascii="Times New Roman" w:hAnsi="Times New Roman" w:cs="Times New Roman"/>
          <w:sz w:val="24"/>
          <w:szCs w:val="24"/>
        </w:rPr>
        <w:t>Based on the electric appliances found connected to the</w:t>
      </w:r>
      <w:r w:rsidR="00085BBA">
        <w:rPr>
          <w:rFonts w:ascii="Times New Roman" w:hAnsi="Times New Roman" w:cs="Times New Roman"/>
          <w:sz w:val="24"/>
          <w:szCs w:val="24"/>
        </w:rPr>
        <w:t xml:space="preserve"> 2</w:t>
      </w:r>
      <w:r w:rsidR="00085BBA" w:rsidRPr="00085BBA">
        <w:rPr>
          <w:rFonts w:ascii="Times New Roman" w:hAnsi="Times New Roman" w:cs="Times New Roman"/>
          <w:sz w:val="24"/>
          <w:szCs w:val="24"/>
          <w:vertAlign w:val="superscript"/>
        </w:rPr>
        <w:t>nd</w:t>
      </w:r>
      <w:r w:rsidR="00085BBA">
        <w:rPr>
          <w:rFonts w:ascii="Times New Roman" w:hAnsi="Times New Roman" w:cs="Times New Roman"/>
          <w:sz w:val="24"/>
          <w:szCs w:val="24"/>
        </w:rPr>
        <w:t xml:space="preserve"> </w:t>
      </w:r>
      <w:r w:rsidR="00085BBA" w:rsidRPr="003C3F6A">
        <w:rPr>
          <w:rFonts w:ascii="Times New Roman" w:hAnsi="Times New Roman" w:cs="Times New Roman"/>
          <w:sz w:val="24"/>
          <w:szCs w:val="24"/>
        </w:rPr>
        <w:t>floor mete</w:t>
      </w:r>
      <w:r w:rsidR="00085BBA">
        <w:rPr>
          <w:rFonts w:ascii="Times New Roman" w:hAnsi="Times New Roman" w:cs="Times New Roman"/>
          <w:sz w:val="24"/>
          <w:szCs w:val="24"/>
        </w:rPr>
        <w:t>r during the March 2, 2016 field investigation</w:t>
      </w:r>
      <w:r w:rsidR="00085BBA" w:rsidRPr="003C3F6A">
        <w:rPr>
          <w:rFonts w:ascii="Times New Roman" w:hAnsi="Times New Roman" w:cs="Times New Roman"/>
          <w:sz w:val="24"/>
          <w:szCs w:val="24"/>
        </w:rPr>
        <w:t>, PECO calculated that the customer had the potential for using 1,691</w:t>
      </w:r>
      <w:r w:rsidR="00085BBA">
        <w:rPr>
          <w:rFonts w:ascii="Times New Roman" w:hAnsi="Times New Roman" w:cs="Times New Roman"/>
          <w:sz w:val="24"/>
          <w:szCs w:val="24"/>
        </w:rPr>
        <w:t xml:space="preserve"> kWh</w:t>
      </w:r>
      <w:r w:rsidR="00085BBA" w:rsidRPr="003C3F6A">
        <w:rPr>
          <w:rFonts w:ascii="Times New Roman" w:hAnsi="Times New Roman" w:cs="Times New Roman"/>
          <w:sz w:val="24"/>
          <w:szCs w:val="24"/>
        </w:rPr>
        <w:t xml:space="preserve"> per month in the heating season.  Tr. 97, PECO Exhibit 13. </w:t>
      </w:r>
    </w:p>
    <w:p w:rsidR="00085BBA" w:rsidRDefault="00085BBA" w:rsidP="008E4C63">
      <w:pPr>
        <w:spacing w:after="0" w:line="360" w:lineRule="auto"/>
        <w:ind w:firstLine="1440"/>
        <w:rPr>
          <w:rFonts w:ascii="Times New Roman" w:hAnsi="Times New Roman" w:cs="Times New Roman"/>
          <w:sz w:val="24"/>
          <w:szCs w:val="24"/>
        </w:rPr>
      </w:pPr>
    </w:p>
    <w:p w:rsidR="0049595F" w:rsidRDefault="00BC6561" w:rsidP="0049595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49595F">
        <w:rPr>
          <w:rFonts w:ascii="Times New Roman" w:hAnsi="Times New Roman" w:cs="Times New Roman"/>
          <w:sz w:val="24"/>
          <w:szCs w:val="24"/>
        </w:rPr>
        <w:t xml:space="preserve">Ms. Vasquez’ and </w:t>
      </w:r>
      <w:r w:rsidR="0049595F" w:rsidRPr="003C3F6A">
        <w:rPr>
          <w:rFonts w:ascii="Times New Roman" w:hAnsi="Times New Roman" w:cs="Times New Roman"/>
          <w:sz w:val="24"/>
          <w:szCs w:val="24"/>
        </w:rPr>
        <w:t>Mr. Segarra’s electricity usage is seasonal and increases in the winter months.  Tr. 73-74, 77, PECO Exhibit</w:t>
      </w:r>
      <w:r w:rsidR="0049595F">
        <w:rPr>
          <w:rFonts w:ascii="Times New Roman" w:hAnsi="Times New Roman" w:cs="Times New Roman"/>
          <w:sz w:val="24"/>
          <w:szCs w:val="24"/>
        </w:rPr>
        <w:t xml:space="preserve">s 1, 2, and </w:t>
      </w:r>
      <w:r w:rsidR="0049595F" w:rsidRPr="003C3F6A">
        <w:rPr>
          <w:rFonts w:ascii="Times New Roman" w:hAnsi="Times New Roman" w:cs="Times New Roman"/>
          <w:sz w:val="24"/>
          <w:szCs w:val="24"/>
        </w:rPr>
        <w:t>7.</w:t>
      </w:r>
      <w:r w:rsidR="0049595F">
        <w:rPr>
          <w:rFonts w:ascii="Times New Roman" w:hAnsi="Times New Roman" w:cs="Times New Roman"/>
          <w:sz w:val="24"/>
          <w:szCs w:val="24"/>
        </w:rPr>
        <w:t xml:space="preserve">  </w:t>
      </w:r>
    </w:p>
    <w:p w:rsidR="00085BBA" w:rsidRDefault="00085BBA" w:rsidP="0049595F">
      <w:pPr>
        <w:spacing w:after="0" w:line="360" w:lineRule="auto"/>
        <w:ind w:firstLine="1440"/>
        <w:rPr>
          <w:rFonts w:ascii="Times New Roman" w:hAnsi="Times New Roman" w:cs="Times New Roman"/>
          <w:sz w:val="24"/>
          <w:szCs w:val="24"/>
        </w:rPr>
      </w:pPr>
    </w:p>
    <w:p w:rsidR="0049595F" w:rsidRDefault="00BC6561" w:rsidP="0049595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49595F">
        <w:rPr>
          <w:rFonts w:ascii="Times New Roman" w:hAnsi="Times New Roman" w:cs="Times New Roman"/>
          <w:sz w:val="24"/>
          <w:szCs w:val="24"/>
        </w:rPr>
        <w:t xml:space="preserve">The </w:t>
      </w:r>
      <w:r w:rsidR="0049595F" w:rsidRPr="003C3F6A">
        <w:rPr>
          <w:rFonts w:ascii="Times New Roman" w:hAnsi="Times New Roman" w:cs="Times New Roman"/>
          <w:sz w:val="24"/>
          <w:szCs w:val="24"/>
        </w:rPr>
        <w:t>electricity usage recorded on the 1</w:t>
      </w:r>
      <w:r w:rsidR="0049595F" w:rsidRPr="003C3F6A">
        <w:rPr>
          <w:rFonts w:ascii="Times New Roman" w:hAnsi="Times New Roman" w:cs="Times New Roman"/>
          <w:sz w:val="24"/>
          <w:szCs w:val="24"/>
          <w:vertAlign w:val="superscript"/>
        </w:rPr>
        <w:t>st</w:t>
      </w:r>
      <w:r w:rsidR="0049595F" w:rsidRPr="003C3F6A">
        <w:rPr>
          <w:rFonts w:ascii="Times New Roman" w:hAnsi="Times New Roman" w:cs="Times New Roman"/>
          <w:sz w:val="24"/>
          <w:szCs w:val="24"/>
        </w:rPr>
        <w:t xml:space="preserve"> floor meter decreased in the heating season of 2015-2016</w:t>
      </w:r>
      <w:r w:rsidR="0049595F">
        <w:rPr>
          <w:rFonts w:ascii="Times New Roman" w:hAnsi="Times New Roman" w:cs="Times New Roman"/>
          <w:sz w:val="24"/>
          <w:szCs w:val="24"/>
        </w:rPr>
        <w:t xml:space="preserve"> as compared to the prior three heating seasons</w:t>
      </w:r>
      <w:r w:rsidR="0049595F" w:rsidRPr="003C3F6A">
        <w:rPr>
          <w:rFonts w:ascii="Times New Roman" w:hAnsi="Times New Roman" w:cs="Times New Roman"/>
          <w:sz w:val="24"/>
          <w:szCs w:val="24"/>
        </w:rPr>
        <w:t>:</w:t>
      </w:r>
    </w:p>
    <w:p w:rsidR="00BC6561" w:rsidRPr="003C3F6A" w:rsidRDefault="00BC6561" w:rsidP="0049595F">
      <w:pPr>
        <w:spacing w:after="0" w:line="360" w:lineRule="auto"/>
        <w:ind w:firstLine="144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24"/>
        <w:gridCol w:w="1952"/>
        <w:gridCol w:w="1960"/>
        <w:gridCol w:w="1881"/>
        <w:gridCol w:w="1951"/>
      </w:tblGrid>
      <w:tr w:rsidR="0049595F" w:rsidRPr="003C3F6A" w:rsidTr="00820787">
        <w:trPr>
          <w:trHeight w:val="557"/>
        </w:trPr>
        <w:tc>
          <w:tcPr>
            <w:tcW w:w="1724" w:type="dxa"/>
          </w:tcPr>
          <w:p w:rsidR="0049595F" w:rsidRPr="003C3F6A" w:rsidRDefault="0049595F" w:rsidP="00820787">
            <w:pPr>
              <w:spacing w:line="360" w:lineRule="auto"/>
              <w:jc w:val="center"/>
              <w:rPr>
                <w:rFonts w:ascii="Times New Roman" w:hAnsi="Times New Roman" w:cs="Times New Roman"/>
                <w:b/>
                <w:sz w:val="24"/>
                <w:szCs w:val="24"/>
              </w:rPr>
            </w:pPr>
            <w:r w:rsidRPr="003C3F6A">
              <w:rPr>
                <w:rFonts w:ascii="Times New Roman" w:hAnsi="Times New Roman" w:cs="Times New Roman"/>
                <w:b/>
                <w:sz w:val="24"/>
                <w:szCs w:val="24"/>
              </w:rPr>
              <w:t>Billing month</w:t>
            </w:r>
          </w:p>
        </w:tc>
        <w:tc>
          <w:tcPr>
            <w:tcW w:w="1952" w:type="dxa"/>
          </w:tcPr>
          <w:p w:rsidR="0049595F" w:rsidRPr="003C3F6A" w:rsidRDefault="0049595F" w:rsidP="00820787">
            <w:pPr>
              <w:spacing w:line="360" w:lineRule="auto"/>
              <w:rPr>
                <w:rFonts w:ascii="Times New Roman" w:hAnsi="Times New Roman" w:cs="Times New Roman"/>
                <w:b/>
                <w:sz w:val="24"/>
                <w:szCs w:val="24"/>
              </w:rPr>
            </w:pPr>
            <w:r>
              <w:rPr>
                <w:rFonts w:ascii="Times New Roman" w:hAnsi="Times New Roman" w:cs="Times New Roman"/>
                <w:b/>
                <w:sz w:val="24"/>
                <w:szCs w:val="24"/>
              </w:rPr>
              <w:t>Heating Season 2012-2013</w:t>
            </w:r>
          </w:p>
        </w:tc>
        <w:tc>
          <w:tcPr>
            <w:tcW w:w="1960" w:type="dxa"/>
          </w:tcPr>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 xml:space="preserve">Heating Season </w:t>
            </w:r>
          </w:p>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2013-2014</w:t>
            </w:r>
          </w:p>
        </w:tc>
        <w:tc>
          <w:tcPr>
            <w:tcW w:w="1881" w:type="dxa"/>
          </w:tcPr>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Heating Season</w:t>
            </w:r>
          </w:p>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2014-2015</w:t>
            </w:r>
          </w:p>
        </w:tc>
        <w:tc>
          <w:tcPr>
            <w:tcW w:w="1951" w:type="dxa"/>
          </w:tcPr>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 xml:space="preserve">Heating Season </w:t>
            </w:r>
          </w:p>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2015-2016</w:t>
            </w:r>
          </w:p>
        </w:tc>
      </w:tr>
      <w:tr w:rsidR="0049595F" w:rsidRPr="003C3F6A" w:rsidTr="00820787">
        <w:trPr>
          <w:trHeight w:val="263"/>
        </w:trPr>
        <w:tc>
          <w:tcPr>
            <w:tcW w:w="172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November</w:t>
            </w:r>
          </w:p>
        </w:tc>
        <w:tc>
          <w:tcPr>
            <w:tcW w:w="1952"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3771 kWh</w:t>
            </w:r>
          </w:p>
        </w:tc>
        <w:tc>
          <w:tcPr>
            <w:tcW w:w="196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3036 </w:t>
            </w:r>
            <w:r>
              <w:rPr>
                <w:rFonts w:ascii="Times New Roman" w:hAnsi="Times New Roman" w:cs="Times New Roman"/>
                <w:sz w:val="24"/>
                <w:szCs w:val="24"/>
              </w:rPr>
              <w:t>kWh</w:t>
            </w:r>
          </w:p>
        </w:tc>
        <w:tc>
          <w:tcPr>
            <w:tcW w:w="188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3093 </w:t>
            </w:r>
            <w:r>
              <w:rPr>
                <w:rFonts w:ascii="Times New Roman" w:hAnsi="Times New Roman" w:cs="Times New Roman"/>
                <w:sz w:val="24"/>
                <w:szCs w:val="24"/>
              </w:rPr>
              <w:t>kWh</w:t>
            </w:r>
          </w:p>
        </w:tc>
        <w:tc>
          <w:tcPr>
            <w:tcW w:w="195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1570 </w:t>
            </w:r>
            <w:r>
              <w:rPr>
                <w:rFonts w:ascii="Times New Roman" w:hAnsi="Times New Roman" w:cs="Times New Roman"/>
                <w:sz w:val="24"/>
                <w:szCs w:val="24"/>
              </w:rPr>
              <w:t>kWh</w:t>
            </w:r>
          </w:p>
        </w:tc>
      </w:tr>
      <w:tr w:rsidR="0049595F" w:rsidRPr="003C3F6A" w:rsidTr="00820787">
        <w:trPr>
          <w:trHeight w:val="278"/>
        </w:trPr>
        <w:tc>
          <w:tcPr>
            <w:tcW w:w="172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December</w:t>
            </w:r>
          </w:p>
        </w:tc>
        <w:tc>
          <w:tcPr>
            <w:tcW w:w="1952"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5558 kWh</w:t>
            </w:r>
          </w:p>
        </w:tc>
        <w:tc>
          <w:tcPr>
            <w:tcW w:w="196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5354 </w:t>
            </w:r>
            <w:r>
              <w:rPr>
                <w:rFonts w:ascii="Times New Roman" w:hAnsi="Times New Roman" w:cs="Times New Roman"/>
                <w:sz w:val="24"/>
                <w:szCs w:val="24"/>
              </w:rPr>
              <w:t>kWh</w:t>
            </w:r>
          </w:p>
        </w:tc>
        <w:tc>
          <w:tcPr>
            <w:tcW w:w="188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5044 </w:t>
            </w:r>
            <w:r>
              <w:rPr>
                <w:rFonts w:ascii="Times New Roman" w:hAnsi="Times New Roman" w:cs="Times New Roman"/>
                <w:sz w:val="24"/>
                <w:szCs w:val="24"/>
              </w:rPr>
              <w:t>kWh</w:t>
            </w:r>
          </w:p>
        </w:tc>
        <w:tc>
          <w:tcPr>
            <w:tcW w:w="195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2554 </w:t>
            </w:r>
            <w:r>
              <w:rPr>
                <w:rFonts w:ascii="Times New Roman" w:hAnsi="Times New Roman" w:cs="Times New Roman"/>
                <w:sz w:val="24"/>
                <w:szCs w:val="24"/>
              </w:rPr>
              <w:t>kWh</w:t>
            </w:r>
          </w:p>
        </w:tc>
      </w:tr>
      <w:tr w:rsidR="0049595F" w:rsidRPr="003C3F6A" w:rsidTr="00820787">
        <w:trPr>
          <w:trHeight w:val="263"/>
        </w:trPr>
        <w:tc>
          <w:tcPr>
            <w:tcW w:w="172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January</w:t>
            </w:r>
          </w:p>
        </w:tc>
        <w:tc>
          <w:tcPr>
            <w:tcW w:w="1952"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5318 kWh</w:t>
            </w:r>
          </w:p>
        </w:tc>
        <w:tc>
          <w:tcPr>
            <w:tcW w:w="196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5091 </w:t>
            </w:r>
            <w:r>
              <w:rPr>
                <w:rFonts w:ascii="Times New Roman" w:hAnsi="Times New Roman" w:cs="Times New Roman"/>
                <w:sz w:val="24"/>
                <w:szCs w:val="24"/>
              </w:rPr>
              <w:t>kWh</w:t>
            </w:r>
          </w:p>
        </w:tc>
        <w:tc>
          <w:tcPr>
            <w:tcW w:w="188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5210 </w:t>
            </w:r>
            <w:r>
              <w:rPr>
                <w:rFonts w:ascii="Times New Roman" w:hAnsi="Times New Roman" w:cs="Times New Roman"/>
                <w:sz w:val="24"/>
                <w:szCs w:val="24"/>
              </w:rPr>
              <w:t>kWh</w:t>
            </w:r>
          </w:p>
        </w:tc>
        <w:tc>
          <w:tcPr>
            <w:tcW w:w="195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3942 </w:t>
            </w:r>
            <w:r>
              <w:rPr>
                <w:rFonts w:ascii="Times New Roman" w:hAnsi="Times New Roman" w:cs="Times New Roman"/>
                <w:sz w:val="24"/>
                <w:szCs w:val="24"/>
              </w:rPr>
              <w:t>kWh</w:t>
            </w:r>
          </w:p>
        </w:tc>
      </w:tr>
      <w:tr w:rsidR="0049595F" w:rsidRPr="003C3F6A" w:rsidTr="00820787">
        <w:trPr>
          <w:trHeight w:val="278"/>
        </w:trPr>
        <w:tc>
          <w:tcPr>
            <w:tcW w:w="172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February</w:t>
            </w:r>
          </w:p>
        </w:tc>
        <w:tc>
          <w:tcPr>
            <w:tcW w:w="1952"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4663 kWh</w:t>
            </w:r>
          </w:p>
        </w:tc>
        <w:tc>
          <w:tcPr>
            <w:tcW w:w="196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4443 </w:t>
            </w:r>
            <w:r>
              <w:rPr>
                <w:rFonts w:ascii="Times New Roman" w:hAnsi="Times New Roman" w:cs="Times New Roman"/>
                <w:sz w:val="24"/>
                <w:szCs w:val="24"/>
              </w:rPr>
              <w:t>kWh</w:t>
            </w:r>
          </w:p>
        </w:tc>
        <w:tc>
          <w:tcPr>
            <w:tcW w:w="188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5336 </w:t>
            </w:r>
            <w:r>
              <w:rPr>
                <w:rFonts w:ascii="Times New Roman" w:hAnsi="Times New Roman" w:cs="Times New Roman"/>
                <w:sz w:val="24"/>
                <w:szCs w:val="24"/>
              </w:rPr>
              <w:t>kWh</w:t>
            </w:r>
          </w:p>
        </w:tc>
        <w:tc>
          <w:tcPr>
            <w:tcW w:w="195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3545 </w:t>
            </w:r>
            <w:r>
              <w:rPr>
                <w:rFonts w:ascii="Times New Roman" w:hAnsi="Times New Roman" w:cs="Times New Roman"/>
                <w:sz w:val="24"/>
                <w:szCs w:val="24"/>
              </w:rPr>
              <w:t>kWh</w:t>
            </w:r>
          </w:p>
        </w:tc>
      </w:tr>
      <w:tr w:rsidR="0049595F" w:rsidRPr="003C3F6A" w:rsidTr="00820787">
        <w:trPr>
          <w:trHeight w:val="278"/>
        </w:trPr>
        <w:tc>
          <w:tcPr>
            <w:tcW w:w="172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March</w:t>
            </w:r>
          </w:p>
        </w:tc>
        <w:tc>
          <w:tcPr>
            <w:tcW w:w="1952"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4035 kWh</w:t>
            </w:r>
          </w:p>
        </w:tc>
        <w:tc>
          <w:tcPr>
            <w:tcW w:w="196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4563 </w:t>
            </w:r>
            <w:r>
              <w:rPr>
                <w:rFonts w:ascii="Times New Roman" w:hAnsi="Times New Roman" w:cs="Times New Roman"/>
                <w:sz w:val="24"/>
                <w:szCs w:val="24"/>
              </w:rPr>
              <w:t>kWh</w:t>
            </w:r>
          </w:p>
        </w:tc>
        <w:tc>
          <w:tcPr>
            <w:tcW w:w="188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4273 </w:t>
            </w:r>
            <w:r>
              <w:rPr>
                <w:rFonts w:ascii="Times New Roman" w:hAnsi="Times New Roman" w:cs="Times New Roman"/>
                <w:sz w:val="24"/>
                <w:szCs w:val="24"/>
              </w:rPr>
              <w:t>kWh</w:t>
            </w:r>
          </w:p>
        </w:tc>
        <w:tc>
          <w:tcPr>
            <w:tcW w:w="1951"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2104 </w:t>
            </w:r>
            <w:r>
              <w:rPr>
                <w:rFonts w:ascii="Times New Roman" w:hAnsi="Times New Roman" w:cs="Times New Roman"/>
                <w:sz w:val="24"/>
                <w:szCs w:val="24"/>
              </w:rPr>
              <w:t>kWh</w:t>
            </w:r>
          </w:p>
        </w:tc>
      </w:tr>
    </w:tbl>
    <w:p w:rsidR="0049595F" w:rsidRDefault="0049595F" w:rsidP="0049595F">
      <w:pPr>
        <w:spacing w:after="0" w:line="360" w:lineRule="auto"/>
        <w:rPr>
          <w:rFonts w:ascii="Times New Roman" w:hAnsi="Times New Roman" w:cs="Times New Roman"/>
          <w:sz w:val="24"/>
          <w:szCs w:val="24"/>
        </w:rPr>
      </w:pPr>
      <w:r w:rsidRPr="0087079D">
        <w:rPr>
          <w:rFonts w:ascii="Times New Roman" w:hAnsi="Times New Roman" w:cs="Times New Roman"/>
          <w:sz w:val="24"/>
          <w:szCs w:val="24"/>
        </w:rPr>
        <w:t>Tr. 73-77, PECO</w:t>
      </w:r>
      <w:r w:rsidRPr="003C3F6A">
        <w:rPr>
          <w:rFonts w:ascii="Times New Roman" w:hAnsi="Times New Roman" w:cs="Times New Roman"/>
          <w:sz w:val="24"/>
          <w:szCs w:val="24"/>
        </w:rPr>
        <w:t xml:space="preserve"> Exhibit</w:t>
      </w:r>
      <w:r>
        <w:rPr>
          <w:rFonts w:ascii="Times New Roman" w:hAnsi="Times New Roman" w:cs="Times New Roman"/>
          <w:sz w:val="24"/>
          <w:szCs w:val="24"/>
        </w:rPr>
        <w:t>s 1 and</w:t>
      </w:r>
      <w:r w:rsidRPr="003C3F6A">
        <w:rPr>
          <w:rFonts w:ascii="Times New Roman" w:hAnsi="Times New Roman" w:cs="Times New Roman"/>
          <w:sz w:val="24"/>
          <w:szCs w:val="24"/>
        </w:rPr>
        <w:t xml:space="preserve"> 7.</w:t>
      </w:r>
      <w:r>
        <w:rPr>
          <w:rFonts w:ascii="Times New Roman" w:hAnsi="Times New Roman" w:cs="Times New Roman"/>
          <w:sz w:val="24"/>
          <w:szCs w:val="24"/>
        </w:rPr>
        <w:t xml:space="preserve">  </w:t>
      </w:r>
    </w:p>
    <w:p w:rsidR="0049595F" w:rsidRDefault="0049595F" w:rsidP="0049595F">
      <w:pPr>
        <w:spacing w:after="0" w:line="360" w:lineRule="auto"/>
        <w:rPr>
          <w:rFonts w:ascii="Times New Roman" w:hAnsi="Times New Roman" w:cs="Times New Roman"/>
          <w:sz w:val="24"/>
          <w:szCs w:val="24"/>
        </w:rPr>
      </w:pPr>
    </w:p>
    <w:p w:rsidR="0049595F" w:rsidRDefault="00BC6561" w:rsidP="00F0596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49595F">
        <w:rPr>
          <w:rFonts w:ascii="Times New Roman" w:hAnsi="Times New Roman" w:cs="Times New Roman"/>
          <w:sz w:val="24"/>
          <w:szCs w:val="24"/>
        </w:rPr>
        <w:t xml:space="preserve">The </w:t>
      </w:r>
      <w:r w:rsidR="0049595F" w:rsidRPr="003C3F6A">
        <w:rPr>
          <w:rFonts w:ascii="Times New Roman" w:hAnsi="Times New Roman" w:cs="Times New Roman"/>
          <w:sz w:val="24"/>
          <w:szCs w:val="24"/>
        </w:rPr>
        <w:t>electricity usage recorded on the</w:t>
      </w:r>
      <w:r w:rsidR="0049595F" w:rsidRPr="003C3F6A">
        <w:rPr>
          <w:rFonts w:ascii="Times New Roman" w:hAnsi="Times New Roman" w:cs="Times New Roman"/>
          <w:sz w:val="24"/>
          <w:szCs w:val="24"/>
          <w:vertAlign w:val="superscript"/>
        </w:rPr>
        <w:t xml:space="preserve"> </w:t>
      </w:r>
      <w:r w:rsidR="0049595F" w:rsidRPr="003C3F6A">
        <w:rPr>
          <w:rFonts w:ascii="Times New Roman" w:hAnsi="Times New Roman" w:cs="Times New Roman"/>
          <w:sz w:val="24"/>
          <w:szCs w:val="24"/>
        </w:rPr>
        <w:t>2</w:t>
      </w:r>
      <w:r w:rsidR="0049595F" w:rsidRPr="003C3F6A">
        <w:rPr>
          <w:rFonts w:ascii="Times New Roman" w:hAnsi="Times New Roman" w:cs="Times New Roman"/>
          <w:sz w:val="24"/>
          <w:szCs w:val="24"/>
          <w:vertAlign w:val="superscript"/>
        </w:rPr>
        <w:t>nd</w:t>
      </w:r>
      <w:r w:rsidR="0049595F" w:rsidRPr="003C3F6A">
        <w:rPr>
          <w:rFonts w:ascii="Times New Roman" w:hAnsi="Times New Roman" w:cs="Times New Roman"/>
          <w:sz w:val="24"/>
          <w:szCs w:val="24"/>
        </w:rPr>
        <w:t xml:space="preserve"> floor meter decreased in the heating season of 2015-2016 </w:t>
      </w:r>
      <w:r w:rsidR="0049595F">
        <w:rPr>
          <w:rFonts w:ascii="Times New Roman" w:hAnsi="Times New Roman" w:cs="Times New Roman"/>
          <w:sz w:val="24"/>
          <w:szCs w:val="24"/>
        </w:rPr>
        <w:t>as compared to the prior two heating seasons</w:t>
      </w:r>
      <w:r w:rsidR="0049595F" w:rsidRPr="003C3F6A">
        <w:rPr>
          <w:rFonts w:ascii="Times New Roman" w:hAnsi="Times New Roman" w:cs="Times New Roman"/>
          <w:sz w:val="24"/>
          <w:szCs w:val="24"/>
        </w:rPr>
        <w:t>:</w:t>
      </w:r>
    </w:p>
    <w:p w:rsidR="00BC6561" w:rsidRPr="003C3F6A" w:rsidRDefault="00BC6561" w:rsidP="00F05969">
      <w:pPr>
        <w:spacing w:after="0" w:line="360" w:lineRule="auto"/>
        <w:ind w:firstLine="144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04"/>
        <w:gridCol w:w="1810"/>
        <w:gridCol w:w="1849"/>
        <w:gridCol w:w="1935"/>
        <w:gridCol w:w="2080"/>
      </w:tblGrid>
      <w:tr w:rsidR="0049595F" w:rsidRPr="003C3F6A" w:rsidTr="00820787">
        <w:tc>
          <w:tcPr>
            <w:tcW w:w="1704" w:type="dxa"/>
          </w:tcPr>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 xml:space="preserve">Billing month </w:t>
            </w:r>
          </w:p>
        </w:tc>
        <w:tc>
          <w:tcPr>
            <w:tcW w:w="1810" w:type="dxa"/>
          </w:tcPr>
          <w:p w:rsidR="0049595F" w:rsidRDefault="0049595F" w:rsidP="0082078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p>
          <w:p w:rsidR="0049595F" w:rsidRDefault="0049595F" w:rsidP="00820787">
            <w:pPr>
              <w:spacing w:line="360" w:lineRule="auto"/>
              <w:rPr>
                <w:rFonts w:ascii="Times New Roman" w:hAnsi="Times New Roman" w:cs="Times New Roman"/>
                <w:b/>
                <w:sz w:val="24"/>
                <w:szCs w:val="24"/>
              </w:rPr>
            </w:pPr>
            <w:r>
              <w:rPr>
                <w:rFonts w:ascii="Times New Roman" w:hAnsi="Times New Roman" w:cs="Times New Roman"/>
                <w:b/>
                <w:sz w:val="24"/>
                <w:szCs w:val="24"/>
              </w:rPr>
              <w:t>2012-2013</w:t>
            </w:r>
          </w:p>
        </w:tc>
        <w:tc>
          <w:tcPr>
            <w:tcW w:w="1849" w:type="dxa"/>
          </w:tcPr>
          <w:p w:rsidR="0049595F" w:rsidRDefault="0049595F" w:rsidP="0082078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p>
          <w:p w:rsidR="0049595F" w:rsidRPr="003C3F6A" w:rsidRDefault="0049595F" w:rsidP="00820787">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2013-2014</w:t>
            </w:r>
          </w:p>
        </w:tc>
        <w:tc>
          <w:tcPr>
            <w:tcW w:w="1935" w:type="dxa"/>
          </w:tcPr>
          <w:p w:rsidR="0049595F" w:rsidRPr="003C3F6A" w:rsidRDefault="0049595F" w:rsidP="0082078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r w:rsidRPr="003C3F6A">
              <w:rPr>
                <w:rFonts w:ascii="Times New Roman" w:hAnsi="Times New Roman" w:cs="Times New Roman"/>
                <w:b/>
                <w:sz w:val="24"/>
                <w:szCs w:val="24"/>
              </w:rPr>
              <w:t>2014-2015</w:t>
            </w:r>
          </w:p>
        </w:tc>
        <w:tc>
          <w:tcPr>
            <w:tcW w:w="2080" w:type="dxa"/>
          </w:tcPr>
          <w:p w:rsidR="0049595F" w:rsidRPr="003C3F6A" w:rsidRDefault="0049595F" w:rsidP="0082078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r w:rsidRPr="003C3F6A">
              <w:rPr>
                <w:rFonts w:ascii="Times New Roman" w:hAnsi="Times New Roman" w:cs="Times New Roman"/>
                <w:b/>
                <w:sz w:val="24"/>
                <w:szCs w:val="24"/>
              </w:rPr>
              <w:t>2015-2016</w:t>
            </w:r>
          </w:p>
        </w:tc>
      </w:tr>
      <w:tr w:rsidR="0049595F" w:rsidRPr="003C3F6A" w:rsidTr="00820787">
        <w:tc>
          <w:tcPr>
            <w:tcW w:w="170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November</w:t>
            </w:r>
          </w:p>
        </w:tc>
        <w:tc>
          <w:tcPr>
            <w:tcW w:w="1810"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115 kWh</w:t>
            </w:r>
          </w:p>
        </w:tc>
        <w:tc>
          <w:tcPr>
            <w:tcW w:w="1849"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723 </w:t>
            </w:r>
            <w:r>
              <w:rPr>
                <w:rFonts w:ascii="Times New Roman" w:hAnsi="Times New Roman" w:cs="Times New Roman"/>
                <w:sz w:val="24"/>
                <w:szCs w:val="24"/>
              </w:rPr>
              <w:t>kWh</w:t>
            </w:r>
          </w:p>
        </w:tc>
        <w:tc>
          <w:tcPr>
            <w:tcW w:w="1935"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868 </w:t>
            </w:r>
            <w:r>
              <w:rPr>
                <w:rFonts w:ascii="Times New Roman" w:hAnsi="Times New Roman" w:cs="Times New Roman"/>
                <w:sz w:val="24"/>
                <w:szCs w:val="24"/>
              </w:rPr>
              <w:t>kWh</w:t>
            </w:r>
          </w:p>
        </w:tc>
        <w:tc>
          <w:tcPr>
            <w:tcW w:w="208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435 </w:t>
            </w:r>
            <w:r>
              <w:rPr>
                <w:rFonts w:ascii="Times New Roman" w:hAnsi="Times New Roman" w:cs="Times New Roman"/>
                <w:sz w:val="24"/>
                <w:szCs w:val="24"/>
              </w:rPr>
              <w:t>kWh</w:t>
            </w:r>
          </w:p>
        </w:tc>
      </w:tr>
      <w:tr w:rsidR="0049595F" w:rsidRPr="003C3F6A" w:rsidTr="00820787">
        <w:tc>
          <w:tcPr>
            <w:tcW w:w="170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December</w:t>
            </w:r>
          </w:p>
        </w:tc>
        <w:tc>
          <w:tcPr>
            <w:tcW w:w="1810"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246 kWh</w:t>
            </w:r>
          </w:p>
        </w:tc>
        <w:tc>
          <w:tcPr>
            <w:tcW w:w="1849"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1372 </w:t>
            </w:r>
            <w:r>
              <w:rPr>
                <w:rFonts w:ascii="Times New Roman" w:hAnsi="Times New Roman" w:cs="Times New Roman"/>
                <w:sz w:val="24"/>
                <w:szCs w:val="24"/>
              </w:rPr>
              <w:t>kWh</w:t>
            </w:r>
          </w:p>
        </w:tc>
        <w:tc>
          <w:tcPr>
            <w:tcW w:w="1935"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1572 </w:t>
            </w:r>
            <w:r>
              <w:rPr>
                <w:rFonts w:ascii="Times New Roman" w:hAnsi="Times New Roman" w:cs="Times New Roman"/>
                <w:sz w:val="24"/>
                <w:szCs w:val="24"/>
              </w:rPr>
              <w:t>kWh</w:t>
            </w:r>
          </w:p>
        </w:tc>
        <w:tc>
          <w:tcPr>
            <w:tcW w:w="208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936 </w:t>
            </w:r>
            <w:r>
              <w:rPr>
                <w:rFonts w:ascii="Times New Roman" w:hAnsi="Times New Roman" w:cs="Times New Roman"/>
                <w:sz w:val="24"/>
                <w:szCs w:val="24"/>
              </w:rPr>
              <w:t>kWh</w:t>
            </w:r>
          </w:p>
        </w:tc>
      </w:tr>
      <w:tr w:rsidR="0049595F" w:rsidRPr="003C3F6A" w:rsidTr="00820787">
        <w:tc>
          <w:tcPr>
            <w:tcW w:w="170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January</w:t>
            </w:r>
          </w:p>
        </w:tc>
        <w:tc>
          <w:tcPr>
            <w:tcW w:w="1810"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1501 kWh</w:t>
            </w:r>
          </w:p>
        </w:tc>
        <w:tc>
          <w:tcPr>
            <w:tcW w:w="1849"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1233 </w:t>
            </w:r>
            <w:r>
              <w:rPr>
                <w:rFonts w:ascii="Times New Roman" w:hAnsi="Times New Roman" w:cs="Times New Roman"/>
                <w:sz w:val="24"/>
                <w:szCs w:val="24"/>
              </w:rPr>
              <w:t>kWh</w:t>
            </w:r>
          </w:p>
        </w:tc>
        <w:tc>
          <w:tcPr>
            <w:tcW w:w="1935"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1670 </w:t>
            </w:r>
            <w:r>
              <w:rPr>
                <w:rFonts w:ascii="Times New Roman" w:hAnsi="Times New Roman" w:cs="Times New Roman"/>
                <w:sz w:val="24"/>
                <w:szCs w:val="24"/>
              </w:rPr>
              <w:t>kWh</w:t>
            </w:r>
          </w:p>
        </w:tc>
        <w:tc>
          <w:tcPr>
            <w:tcW w:w="208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1414 </w:t>
            </w:r>
            <w:r>
              <w:rPr>
                <w:rFonts w:ascii="Times New Roman" w:hAnsi="Times New Roman" w:cs="Times New Roman"/>
                <w:sz w:val="24"/>
                <w:szCs w:val="24"/>
              </w:rPr>
              <w:t>kWh</w:t>
            </w:r>
          </w:p>
        </w:tc>
      </w:tr>
      <w:tr w:rsidR="0049595F" w:rsidRPr="003C3F6A" w:rsidTr="00820787">
        <w:tc>
          <w:tcPr>
            <w:tcW w:w="170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February</w:t>
            </w:r>
          </w:p>
        </w:tc>
        <w:tc>
          <w:tcPr>
            <w:tcW w:w="1810"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1216 kWh</w:t>
            </w:r>
          </w:p>
        </w:tc>
        <w:tc>
          <w:tcPr>
            <w:tcW w:w="1849"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 1235 </w:t>
            </w:r>
            <w:r>
              <w:rPr>
                <w:rFonts w:ascii="Times New Roman" w:hAnsi="Times New Roman" w:cs="Times New Roman"/>
                <w:sz w:val="24"/>
                <w:szCs w:val="24"/>
              </w:rPr>
              <w:t>kWh</w:t>
            </w:r>
          </w:p>
        </w:tc>
        <w:tc>
          <w:tcPr>
            <w:tcW w:w="1935"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1482 </w:t>
            </w:r>
            <w:r>
              <w:rPr>
                <w:rFonts w:ascii="Times New Roman" w:hAnsi="Times New Roman" w:cs="Times New Roman"/>
                <w:sz w:val="24"/>
                <w:szCs w:val="24"/>
              </w:rPr>
              <w:t>kWh</w:t>
            </w:r>
          </w:p>
        </w:tc>
        <w:tc>
          <w:tcPr>
            <w:tcW w:w="208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1335 </w:t>
            </w:r>
            <w:r>
              <w:rPr>
                <w:rFonts w:ascii="Times New Roman" w:hAnsi="Times New Roman" w:cs="Times New Roman"/>
                <w:sz w:val="24"/>
                <w:szCs w:val="24"/>
              </w:rPr>
              <w:t>kWh</w:t>
            </w:r>
          </w:p>
        </w:tc>
      </w:tr>
      <w:tr w:rsidR="0049595F" w:rsidRPr="003C3F6A" w:rsidTr="00820787">
        <w:tc>
          <w:tcPr>
            <w:tcW w:w="1704"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March</w:t>
            </w:r>
          </w:p>
        </w:tc>
        <w:tc>
          <w:tcPr>
            <w:tcW w:w="1810" w:type="dxa"/>
          </w:tcPr>
          <w:p w:rsidR="0049595F" w:rsidRPr="003C3F6A" w:rsidRDefault="0049595F" w:rsidP="00820787">
            <w:pPr>
              <w:spacing w:line="360" w:lineRule="auto"/>
              <w:rPr>
                <w:rFonts w:ascii="Times New Roman" w:hAnsi="Times New Roman" w:cs="Times New Roman"/>
                <w:sz w:val="24"/>
                <w:szCs w:val="24"/>
              </w:rPr>
            </w:pPr>
            <w:r>
              <w:rPr>
                <w:rFonts w:ascii="Times New Roman" w:hAnsi="Times New Roman" w:cs="Times New Roman"/>
                <w:sz w:val="24"/>
                <w:szCs w:val="24"/>
              </w:rPr>
              <w:t>952 kWh</w:t>
            </w:r>
          </w:p>
        </w:tc>
        <w:tc>
          <w:tcPr>
            <w:tcW w:w="1849"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1083 </w:t>
            </w:r>
            <w:r>
              <w:rPr>
                <w:rFonts w:ascii="Times New Roman" w:hAnsi="Times New Roman" w:cs="Times New Roman"/>
                <w:sz w:val="24"/>
                <w:szCs w:val="24"/>
              </w:rPr>
              <w:t>kWh</w:t>
            </w:r>
          </w:p>
        </w:tc>
        <w:tc>
          <w:tcPr>
            <w:tcW w:w="1935"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1241 </w:t>
            </w:r>
            <w:r>
              <w:rPr>
                <w:rFonts w:ascii="Times New Roman" w:hAnsi="Times New Roman" w:cs="Times New Roman"/>
                <w:sz w:val="24"/>
                <w:szCs w:val="24"/>
              </w:rPr>
              <w:t>kWh</w:t>
            </w:r>
          </w:p>
        </w:tc>
        <w:tc>
          <w:tcPr>
            <w:tcW w:w="2080" w:type="dxa"/>
          </w:tcPr>
          <w:p w:rsidR="0049595F" w:rsidRPr="003C3F6A" w:rsidRDefault="0049595F" w:rsidP="00820787">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881 </w:t>
            </w:r>
            <w:r>
              <w:rPr>
                <w:rFonts w:ascii="Times New Roman" w:hAnsi="Times New Roman" w:cs="Times New Roman"/>
                <w:sz w:val="24"/>
                <w:szCs w:val="24"/>
              </w:rPr>
              <w:t>kWh</w:t>
            </w:r>
          </w:p>
        </w:tc>
      </w:tr>
    </w:tbl>
    <w:p w:rsidR="0049595F" w:rsidRDefault="0049595F" w:rsidP="00595FD6">
      <w:pPr>
        <w:spacing w:after="0" w:line="360" w:lineRule="auto"/>
        <w:rPr>
          <w:rFonts w:ascii="Times New Roman" w:hAnsi="Times New Roman" w:cs="Times New Roman"/>
          <w:sz w:val="24"/>
          <w:szCs w:val="24"/>
        </w:rPr>
      </w:pPr>
      <w:r w:rsidRPr="0087079D">
        <w:rPr>
          <w:rFonts w:ascii="Times New Roman" w:hAnsi="Times New Roman" w:cs="Times New Roman"/>
          <w:sz w:val="24"/>
          <w:szCs w:val="24"/>
        </w:rPr>
        <w:t>Tr. 73-77, PECO</w:t>
      </w:r>
      <w:r>
        <w:rPr>
          <w:rFonts w:ascii="Times New Roman" w:hAnsi="Times New Roman" w:cs="Times New Roman"/>
          <w:sz w:val="24"/>
          <w:szCs w:val="24"/>
        </w:rPr>
        <w:t xml:space="preserve"> Exhibits 2 and 7.</w:t>
      </w:r>
    </w:p>
    <w:p w:rsidR="00B2672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25.</w:t>
      </w:r>
      <w:r>
        <w:rPr>
          <w:rFonts w:ascii="Times New Roman" w:hAnsi="Times New Roman" w:cs="Times New Roman"/>
          <w:sz w:val="24"/>
          <w:szCs w:val="24"/>
        </w:rPr>
        <w:tab/>
      </w:r>
      <w:r w:rsidR="00B26726" w:rsidRPr="00AE2F4A">
        <w:rPr>
          <w:rFonts w:ascii="Times New Roman" w:hAnsi="Times New Roman" w:cs="Times New Roman"/>
          <w:sz w:val="24"/>
          <w:szCs w:val="24"/>
        </w:rPr>
        <w:t xml:space="preserve">PECO’s electric meters would have been damaged by any surges in PECO’s electric system powerful enough to damage the electric appliances at the Service Address.  Tr. 99, 100, 102.  </w:t>
      </w:r>
    </w:p>
    <w:p w:rsidR="00B26726" w:rsidRDefault="00B26726" w:rsidP="00595FD6">
      <w:pPr>
        <w:spacing w:after="0" w:line="360" w:lineRule="auto"/>
        <w:ind w:firstLine="1440"/>
        <w:rPr>
          <w:rFonts w:ascii="Times New Roman" w:hAnsi="Times New Roman" w:cs="Times New Roman"/>
          <w:sz w:val="24"/>
          <w:szCs w:val="24"/>
        </w:rPr>
      </w:pPr>
    </w:p>
    <w:p w:rsidR="00B2672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B26726" w:rsidRPr="00AE2F4A">
        <w:rPr>
          <w:rFonts w:ascii="Times New Roman" w:hAnsi="Times New Roman" w:cs="Times New Roman"/>
          <w:sz w:val="24"/>
          <w:szCs w:val="24"/>
        </w:rPr>
        <w:t>PECO’s new AMI meters</w:t>
      </w:r>
      <w:r w:rsidR="00B26726">
        <w:rPr>
          <w:rFonts w:ascii="Times New Roman" w:hAnsi="Times New Roman" w:cs="Times New Roman"/>
          <w:sz w:val="24"/>
          <w:szCs w:val="24"/>
        </w:rPr>
        <w:t>,</w:t>
      </w:r>
      <w:r w:rsidR="00B26726" w:rsidRPr="00AE2F4A">
        <w:rPr>
          <w:rFonts w:ascii="Times New Roman" w:hAnsi="Times New Roman" w:cs="Times New Roman"/>
          <w:sz w:val="24"/>
          <w:szCs w:val="24"/>
        </w:rPr>
        <w:t xml:space="preserve"> in connection with PECO’s data raker software</w:t>
      </w:r>
      <w:r w:rsidR="00B26726">
        <w:rPr>
          <w:rFonts w:ascii="Times New Roman" w:hAnsi="Times New Roman" w:cs="Times New Roman"/>
          <w:sz w:val="24"/>
          <w:szCs w:val="24"/>
        </w:rPr>
        <w:t>,</w:t>
      </w:r>
      <w:r w:rsidR="00B26726" w:rsidRPr="00AE2F4A">
        <w:rPr>
          <w:rFonts w:ascii="Times New Roman" w:hAnsi="Times New Roman" w:cs="Times New Roman"/>
          <w:sz w:val="24"/>
          <w:szCs w:val="24"/>
        </w:rPr>
        <w:t xml:space="preserve"> would report any spikes or irregularities in electricity to the Company. </w:t>
      </w:r>
      <w:r w:rsidR="00B26726">
        <w:rPr>
          <w:rFonts w:ascii="Times New Roman" w:hAnsi="Times New Roman" w:cs="Times New Roman"/>
          <w:sz w:val="24"/>
          <w:szCs w:val="24"/>
        </w:rPr>
        <w:t xml:space="preserve"> </w:t>
      </w:r>
      <w:r w:rsidR="00B26726" w:rsidRPr="00AE2F4A">
        <w:rPr>
          <w:rFonts w:ascii="Times New Roman" w:hAnsi="Times New Roman" w:cs="Times New Roman"/>
          <w:sz w:val="24"/>
          <w:szCs w:val="24"/>
        </w:rPr>
        <w:t>Tr. 99, 102</w:t>
      </w:r>
      <w:r w:rsidR="00B26726">
        <w:rPr>
          <w:rFonts w:ascii="Times New Roman" w:hAnsi="Times New Roman" w:cs="Times New Roman"/>
          <w:sz w:val="24"/>
          <w:szCs w:val="24"/>
        </w:rPr>
        <w:t>, see also PECO late-filed Exhibit 18</w:t>
      </w:r>
      <w:r w:rsidR="00B26726" w:rsidRPr="00AE2F4A">
        <w:rPr>
          <w:rFonts w:ascii="Times New Roman" w:hAnsi="Times New Roman" w:cs="Times New Roman"/>
          <w:sz w:val="24"/>
          <w:szCs w:val="24"/>
        </w:rPr>
        <w:t xml:space="preserve">.  </w:t>
      </w:r>
    </w:p>
    <w:p w:rsidR="00B26726" w:rsidRDefault="00B26726" w:rsidP="00595FD6">
      <w:pPr>
        <w:spacing w:after="0" w:line="360" w:lineRule="auto"/>
        <w:ind w:firstLine="1440"/>
        <w:rPr>
          <w:rFonts w:ascii="Times New Roman" w:hAnsi="Times New Roman" w:cs="Times New Roman"/>
          <w:sz w:val="24"/>
          <w:szCs w:val="24"/>
        </w:rPr>
      </w:pPr>
    </w:p>
    <w:p w:rsidR="00B2672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B26726">
        <w:rPr>
          <w:rFonts w:ascii="Times New Roman" w:hAnsi="Times New Roman" w:cs="Times New Roman"/>
          <w:sz w:val="24"/>
          <w:szCs w:val="24"/>
        </w:rPr>
        <w:t>L</w:t>
      </w:r>
      <w:r w:rsidR="00B26726" w:rsidRPr="00AE2F4A">
        <w:rPr>
          <w:rFonts w:ascii="Times New Roman" w:hAnsi="Times New Roman" w:cs="Times New Roman"/>
          <w:sz w:val="24"/>
          <w:szCs w:val="24"/>
        </w:rPr>
        <w:t xml:space="preserve">ow voltage does not cause an electric appliance to use more electricity.  Tr. 101. </w:t>
      </w:r>
      <w:r w:rsidR="00B26726">
        <w:rPr>
          <w:rFonts w:ascii="Times New Roman" w:hAnsi="Times New Roman" w:cs="Times New Roman"/>
          <w:sz w:val="24"/>
          <w:szCs w:val="24"/>
        </w:rPr>
        <w:t xml:space="preserve"> </w:t>
      </w:r>
    </w:p>
    <w:p w:rsidR="00B26726" w:rsidRDefault="00B26726" w:rsidP="00595FD6">
      <w:pPr>
        <w:spacing w:after="0" w:line="360" w:lineRule="auto"/>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727DE4">
        <w:rPr>
          <w:rFonts w:ascii="Times New Roman" w:hAnsi="Times New Roman" w:cs="Times New Roman"/>
          <w:sz w:val="24"/>
          <w:szCs w:val="24"/>
        </w:rPr>
        <w:t xml:space="preserve">The Service Address </w:t>
      </w:r>
      <w:r w:rsidR="00727DE4" w:rsidRPr="003C3F6A">
        <w:rPr>
          <w:rFonts w:ascii="Times New Roman" w:hAnsi="Times New Roman" w:cs="Times New Roman"/>
          <w:sz w:val="24"/>
          <w:szCs w:val="24"/>
        </w:rPr>
        <w:t xml:space="preserve">is fed off one of PECO’s 4 kV circuits called Olive-001. </w:t>
      </w:r>
      <w:r w:rsidR="00727DE4">
        <w:rPr>
          <w:rFonts w:ascii="Times New Roman" w:hAnsi="Times New Roman" w:cs="Times New Roman"/>
          <w:sz w:val="24"/>
          <w:szCs w:val="24"/>
        </w:rPr>
        <w:t xml:space="preserve"> </w:t>
      </w:r>
      <w:r w:rsidR="00727DE4" w:rsidRPr="003C3F6A">
        <w:rPr>
          <w:rFonts w:ascii="Times New Roman" w:hAnsi="Times New Roman" w:cs="Times New Roman"/>
          <w:sz w:val="24"/>
          <w:szCs w:val="24"/>
        </w:rPr>
        <w:t xml:space="preserve">Tr. 121.  </w:t>
      </w:r>
    </w:p>
    <w:p w:rsidR="008E4C63" w:rsidRDefault="008E4C63"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The 4 kV feed comes to the PECO transformer at the top of the </w:t>
      </w:r>
      <w:r w:rsidR="00727DE4">
        <w:rPr>
          <w:rFonts w:ascii="Times New Roman" w:hAnsi="Times New Roman" w:cs="Times New Roman"/>
          <w:sz w:val="24"/>
          <w:szCs w:val="24"/>
        </w:rPr>
        <w:t xml:space="preserve">utility </w:t>
      </w:r>
      <w:r w:rsidR="00727DE4" w:rsidRPr="003C3F6A">
        <w:rPr>
          <w:rFonts w:ascii="Times New Roman" w:hAnsi="Times New Roman" w:cs="Times New Roman"/>
          <w:sz w:val="24"/>
          <w:szCs w:val="24"/>
        </w:rPr>
        <w:t xml:space="preserve">pole as a single phase primary wire and feeds 850 customers on the Olive-001 circuit.  Tr. 123-124. </w:t>
      </w:r>
      <w:r w:rsidR="00727DE4">
        <w:rPr>
          <w:rFonts w:ascii="Times New Roman" w:hAnsi="Times New Roman" w:cs="Times New Roman"/>
          <w:sz w:val="24"/>
          <w:szCs w:val="24"/>
        </w:rPr>
        <w:t xml:space="preserve"> </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The transformer serves to step the voltage down from 4,000 volts to 240 volts before service branches off to other properties through secondary wires.  Tr. 124. </w:t>
      </w:r>
      <w:r w:rsidR="00727DE4">
        <w:rPr>
          <w:rFonts w:ascii="Times New Roman" w:hAnsi="Times New Roman" w:cs="Times New Roman"/>
          <w:sz w:val="24"/>
          <w:szCs w:val="24"/>
        </w:rPr>
        <w:t xml:space="preserve"> </w:t>
      </w:r>
    </w:p>
    <w:p w:rsidR="00727DE4" w:rsidRDefault="00727DE4" w:rsidP="00595FD6">
      <w:pPr>
        <w:spacing w:after="0" w:line="360" w:lineRule="auto"/>
        <w:ind w:firstLine="1440"/>
        <w:rPr>
          <w:rFonts w:ascii="Times New Roman" w:hAnsi="Times New Roman" w:cs="Times New Roman"/>
          <w:sz w:val="24"/>
          <w:szCs w:val="24"/>
        </w:rPr>
      </w:pPr>
    </w:p>
    <w:p w:rsidR="00727DE4" w:rsidRPr="003C3F6A"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27DE4" w:rsidRPr="003C3F6A">
        <w:rPr>
          <w:rFonts w:ascii="Times New Roman" w:hAnsi="Times New Roman" w:cs="Times New Roman"/>
          <w:sz w:val="24"/>
          <w:szCs w:val="24"/>
        </w:rPr>
        <w:t>The utility pole at</w:t>
      </w:r>
      <w:r w:rsidR="00727DE4">
        <w:rPr>
          <w:rFonts w:ascii="Times New Roman" w:hAnsi="Times New Roman" w:cs="Times New Roman"/>
          <w:sz w:val="24"/>
          <w:szCs w:val="24"/>
        </w:rPr>
        <w:t xml:space="preserve"> the back of the Complainant</w:t>
      </w:r>
      <w:r w:rsidR="00727DE4" w:rsidRPr="003C3F6A">
        <w:rPr>
          <w:rFonts w:ascii="Times New Roman" w:hAnsi="Times New Roman" w:cs="Times New Roman"/>
          <w:sz w:val="24"/>
          <w:szCs w:val="24"/>
        </w:rPr>
        <w:t>s</w:t>
      </w:r>
      <w:r w:rsidR="00727DE4">
        <w:rPr>
          <w:rFonts w:ascii="Times New Roman" w:hAnsi="Times New Roman" w:cs="Times New Roman"/>
          <w:sz w:val="24"/>
          <w:szCs w:val="24"/>
        </w:rPr>
        <w:t>’</w:t>
      </w:r>
      <w:r w:rsidR="00727DE4" w:rsidRPr="003C3F6A">
        <w:rPr>
          <w:rFonts w:ascii="Times New Roman" w:hAnsi="Times New Roman" w:cs="Times New Roman"/>
          <w:sz w:val="24"/>
          <w:szCs w:val="24"/>
        </w:rPr>
        <w:t xml:space="preserve"> property is a Verizon pole.  Tr. 123-124.</w:t>
      </w:r>
      <w:r w:rsidR="00727DE4">
        <w:rPr>
          <w:rFonts w:ascii="Times New Roman" w:hAnsi="Times New Roman" w:cs="Times New Roman"/>
          <w:sz w:val="24"/>
          <w:szCs w:val="24"/>
        </w:rPr>
        <w:t xml:space="preserve">  </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727DE4">
        <w:rPr>
          <w:rFonts w:ascii="Times New Roman" w:hAnsi="Times New Roman" w:cs="Times New Roman"/>
          <w:sz w:val="24"/>
          <w:szCs w:val="24"/>
        </w:rPr>
        <w:t xml:space="preserve">The </w:t>
      </w:r>
      <w:r w:rsidR="00727DE4" w:rsidRPr="003C3F6A">
        <w:rPr>
          <w:rFonts w:ascii="Times New Roman" w:hAnsi="Times New Roman" w:cs="Times New Roman"/>
          <w:sz w:val="24"/>
          <w:szCs w:val="24"/>
        </w:rPr>
        <w:t>Service Address was involved in seven sustained power outages during the period from July 25, 2012</w:t>
      </w:r>
      <w:r w:rsidR="00727DE4">
        <w:rPr>
          <w:rFonts w:ascii="Times New Roman" w:hAnsi="Times New Roman" w:cs="Times New Roman"/>
          <w:sz w:val="24"/>
          <w:szCs w:val="24"/>
        </w:rPr>
        <w:t>,</w:t>
      </w:r>
      <w:r w:rsidR="00727DE4" w:rsidRPr="003C3F6A">
        <w:rPr>
          <w:rFonts w:ascii="Times New Roman" w:hAnsi="Times New Roman" w:cs="Times New Roman"/>
          <w:sz w:val="24"/>
          <w:szCs w:val="24"/>
        </w:rPr>
        <w:t xml:space="preserve"> to July 25, 2016.  Tr. 122, 131, PECO Exhibit 14.</w:t>
      </w:r>
      <w:r w:rsidR="00727DE4">
        <w:rPr>
          <w:rFonts w:ascii="Times New Roman" w:hAnsi="Times New Roman" w:cs="Times New Roman"/>
          <w:sz w:val="24"/>
          <w:szCs w:val="24"/>
        </w:rPr>
        <w:t xml:space="preserve"> </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A sustained outage is an outage that lasts six minutes or more. </w:t>
      </w:r>
      <w:r w:rsidR="00727DE4">
        <w:rPr>
          <w:rFonts w:ascii="Times New Roman" w:hAnsi="Times New Roman" w:cs="Times New Roman"/>
          <w:sz w:val="24"/>
          <w:szCs w:val="24"/>
        </w:rPr>
        <w:t xml:space="preserve"> </w:t>
      </w:r>
      <w:r w:rsidR="00727DE4" w:rsidRPr="003C3F6A">
        <w:rPr>
          <w:rFonts w:ascii="Times New Roman" w:hAnsi="Times New Roman" w:cs="Times New Roman"/>
          <w:sz w:val="24"/>
          <w:szCs w:val="24"/>
        </w:rPr>
        <w:t xml:space="preserve">Tr. 122.  </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Six of the sustained outages experienced by </w:t>
      </w:r>
      <w:r w:rsidR="00727DE4">
        <w:rPr>
          <w:rFonts w:ascii="Times New Roman" w:hAnsi="Times New Roman" w:cs="Times New Roman"/>
          <w:sz w:val="24"/>
          <w:szCs w:val="24"/>
        </w:rPr>
        <w:t xml:space="preserve">the Complainants </w:t>
      </w:r>
      <w:r w:rsidR="00727DE4" w:rsidRPr="003C3F6A">
        <w:rPr>
          <w:rFonts w:ascii="Times New Roman" w:hAnsi="Times New Roman" w:cs="Times New Roman"/>
          <w:sz w:val="24"/>
          <w:szCs w:val="24"/>
        </w:rPr>
        <w:t xml:space="preserve">were characterized by PECO as storm-related and affected all the PECO customers in the Olive-001 circuit.  Tr. 132, PECO Exhibit 14.  </w:t>
      </w: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r>
      <w:r w:rsidR="00727DE4" w:rsidRPr="003C3F6A">
        <w:rPr>
          <w:rFonts w:ascii="Times New Roman" w:hAnsi="Times New Roman" w:cs="Times New Roman"/>
          <w:sz w:val="24"/>
          <w:szCs w:val="24"/>
        </w:rPr>
        <w:t>One of the seven sustained outages occurred on October 7, 2014, affected only 154 PECO customers, and was an intentional interruption of services in order to allow Verizon to replace a pole.  Tr. 132, 143, PECO Exhibit 14.</w:t>
      </w:r>
      <w:r w:rsidR="00727DE4" w:rsidRPr="00B83873">
        <w:rPr>
          <w:rFonts w:ascii="Times New Roman" w:hAnsi="Times New Roman" w:cs="Times New Roman"/>
          <w:sz w:val="24"/>
          <w:szCs w:val="24"/>
        </w:rPr>
        <w:t xml:space="preserve"> </w:t>
      </w:r>
      <w:r w:rsidR="00727DE4">
        <w:rPr>
          <w:rFonts w:ascii="Times New Roman" w:hAnsi="Times New Roman" w:cs="Times New Roman"/>
          <w:sz w:val="24"/>
          <w:szCs w:val="24"/>
        </w:rPr>
        <w:t xml:space="preserve"> </w:t>
      </w:r>
    </w:p>
    <w:p w:rsidR="00727DE4" w:rsidRDefault="00727DE4" w:rsidP="00595FD6">
      <w:pPr>
        <w:spacing w:after="0" w:line="360" w:lineRule="auto"/>
        <w:ind w:firstLine="1440"/>
        <w:rPr>
          <w:rFonts w:ascii="Times New Roman" w:hAnsi="Times New Roman" w:cs="Times New Roman"/>
          <w:sz w:val="24"/>
          <w:szCs w:val="24"/>
        </w:rPr>
      </w:pPr>
    </w:p>
    <w:p w:rsidR="00727DE4" w:rsidRPr="003C3F6A"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27DE4">
        <w:rPr>
          <w:rFonts w:ascii="Times New Roman" w:hAnsi="Times New Roman" w:cs="Times New Roman"/>
          <w:sz w:val="24"/>
          <w:szCs w:val="24"/>
        </w:rPr>
        <w:t xml:space="preserve">The </w:t>
      </w:r>
      <w:r w:rsidR="00727DE4" w:rsidRPr="003C3F6A">
        <w:rPr>
          <w:rFonts w:ascii="Times New Roman" w:hAnsi="Times New Roman" w:cs="Times New Roman"/>
          <w:sz w:val="24"/>
          <w:szCs w:val="24"/>
        </w:rPr>
        <w:t xml:space="preserve">PECO transformer serving </w:t>
      </w:r>
      <w:r w:rsidR="00727DE4">
        <w:rPr>
          <w:rFonts w:ascii="Times New Roman" w:hAnsi="Times New Roman" w:cs="Times New Roman"/>
          <w:sz w:val="24"/>
          <w:szCs w:val="24"/>
        </w:rPr>
        <w:t>the Service Address has never exploded</w:t>
      </w:r>
      <w:r w:rsidR="00727DE4" w:rsidRPr="003C3F6A">
        <w:rPr>
          <w:rFonts w:ascii="Times New Roman" w:hAnsi="Times New Roman" w:cs="Times New Roman"/>
          <w:sz w:val="24"/>
          <w:szCs w:val="24"/>
        </w:rPr>
        <w:t>.  Tr. 124</w:t>
      </w:r>
      <w:r w:rsidR="00727DE4">
        <w:rPr>
          <w:rFonts w:ascii="Times New Roman" w:hAnsi="Times New Roman" w:cs="Times New Roman"/>
          <w:sz w:val="24"/>
          <w:szCs w:val="24"/>
        </w:rPr>
        <w:t>-127, PECO late-filed Exhibit 16(b)</w:t>
      </w:r>
      <w:r w:rsidR="00727DE4" w:rsidRPr="003C3F6A">
        <w:rPr>
          <w:rFonts w:ascii="Times New Roman" w:hAnsi="Times New Roman" w:cs="Times New Roman"/>
          <w:sz w:val="24"/>
          <w:szCs w:val="24"/>
        </w:rPr>
        <w:t>.</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727DE4">
        <w:rPr>
          <w:rFonts w:ascii="Times New Roman" w:hAnsi="Times New Roman" w:cs="Times New Roman"/>
          <w:sz w:val="24"/>
          <w:szCs w:val="24"/>
        </w:rPr>
        <w:t>T</w:t>
      </w:r>
      <w:r w:rsidR="00727DE4" w:rsidRPr="003C3F6A">
        <w:rPr>
          <w:rFonts w:ascii="Times New Roman" w:hAnsi="Times New Roman" w:cs="Times New Roman"/>
          <w:sz w:val="24"/>
          <w:szCs w:val="24"/>
        </w:rPr>
        <w:t xml:space="preserve">housands of PECO customers </w:t>
      </w:r>
      <w:r w:rsidR="00727DE4">
        <w:rPr>
          <w:rFonts w:ascii="Times New Roman" w:hAnsi="Times New Roman" w:cs="Times New Roman"/>
          <w:sz w:val="24"/>
          <w:szCs w:val="24"/>
        </w:rPr>
        <w:t xml:space="preserve">currently </w:t>
      </w:r>
      <w:r w:rsidR="00727DE4" w:rsidRPr="003C3F6A">
        <w:rPr>
          <w:rFonts w:ascii="Times New Roman" w:hAnsi="Times New Roman" w:cs="Times New Roman"/>
          <w:sz w:val="24"/>
          <w:szCs w:val="24"/>
        </w:rPr>
        <w:t>receive electrici</w:t>
      </w:r>
      <w:r w:rsidR="00727DE4">
        <w:rPr>
          <w:rFonts w:ascii="Times New Roman" w:hAnsi="Times New Roman" w:cs="Times New Roman"/>
          <w:sz w:val="24"/>
          <w:szCs w:val="24"/>
        </w:rPr>
        <w:t>ty through “open wire secondary</w:t>
      </w:r>
      <w:r w:rsidR="00727DE4" w:rsidRPr="003C3F6A">
        <w:rPr>
          <w:rFonts w:ascii="Times New Roman" w:hAnsi="Times New Roman" w:cs="Times New Roman"/>
          <w:sz w:val="24"/>
          <w:szCs w:val="24"/>
        </w:rPr>
        <w:t>”</w:t>
      </w:r>
      <w:r w:rsidR="00727DE4">
        <w:rPr>
          <w:rFonts w:ascii="Times New Roman" w:hAnsi="Times New Roman" w:cs="Times New Roman"/>
          <w:sz w:val="24"/>
          <w:szCs w:val="24"/>
        </w:rPr>
        <w:t xml:space="preserve"> similar to the one that served the Service Address until November 23, 2013.  </w:t>
      </w:r>
      <w:r w:rsidR="00344CCA">
        <w:rPr>
          <w:rFonts w:ascii="Times New Roman" w:hAnsi="Times New Roman" w:cs="Times New Roman"/>
          <w:sz w:val="24"/>
          <w:szCs w:val="24"/>
        </w:rPr>
        <w:t>Tr. </w:t>
      </w:r>
      <w:r w:rsidR="00727DE4" w:rsidRPr="003C3F6A">
        <w:rPr>
          <w:rFonts w:ascii="Times New Roman" w:hAnsi="Times New Roman" w:cs="Times New Roman"/>
          <w:sz w:val="24"/>
          <w:szCs w:val="24"/>
        </w:rPr>
        <w:t xml:space="preserve">127, 135. </w:t>
      </w:r>
      <w:r w:rsidR="00727DE4">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727DE4" w:rsidRP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727DE4">
        <w:rPr>
          <w:rFonts w:ascii="Times New Roman" w:hAnsi="Times New Roman" w:cs="Times New Roman"/>
          <w:sz w:val="24"/>
          <w:szCs w:val="24"/>
        </w:rPr>
        <w:t>The “open wire secondary</w:t>
      </w:r>
      <w:r w:rsidR="00727DE4" w:rsidRPr="003C3F6A">
        <w:rPr>
          <w:rFonts w:ascii="Times New Roman" w:hAnsi="Times New Roman" w:cs="Times New Roman"/>
          <w:sz w:val="24"/>
          <w:szCs w:val="24"/>
        </w:rPr>
        <w:t>”</w:t>
      </w:r>
      <w:r w:rsidR="00727DE4">
        <w:rPr>
          <w:rFonts w:ascii="Times New Roman" w:hAnsi="Times New Roman" w:cs="Times New Roman"/>
          <w:sz w:val="24"/>
          <w:szCs w:val="24"/>
        </w:rPr>
        <w:t xml:space="preserve"> </w:t>
      </w:r>
      <w:r w:rsidR="00727DE4" w:rsidRPr="003C3F6A">
        <w:rPr>
          <w:rFonts w:ascii="Times New Roman" w:hAnsi="Times New Roman" w:cs="Times New Roman"/>
          <w:sz w:val="24"/>
          <w:szCs w:val="24"/>
        </w:rPr>
        <w:t xml:space="preserve">consists of three copper wires put on a spreader eight inches apart </w:t>
      </w:r>
      <w:r w:rsidR="00727DE4" w:rsidRPr="00727DE4">
        <w:rPr>
          <w:rFonts w:ascii="Times New Roman" w:hAnsi="Times New Roman" w:cs="Times New Roman"/>
          <w:sz w:val="24"/>
          <w:szCs w:val="24"/>
        </w:rPr>
        <w:t xml:space="preserve">from each other.  </w:t>
      </w:r>
      <w:r w:rsidR="00727DE4" w:rsidRPr="00727DE4">
        <w:rPr>
          <w:rFonts w:ascii="Times New Roman" w:hAnsi="Times New Roman" w:cs="Times New Roman"/>
          <w:sz w:val="24"/>
          <w:szCs w:val="24"/>
          <w:u w:val="single"/>
        </w:rPr>
        <w:t>Id.</w:t>
      </w:r>
      <w:r w:rsidR="00727DE4" w:rsidRPr="00727DE4">
        <w:rPr>
          <w:rFonts w:ascii="Times New Roman" w:hAnsi="Times New Roman" w:cs="Times New Roman"/>
          <w:sz w:val="24"/>
          <w:szCs w:val="24"/>
        </w:rPr>
        <w:t xml:space="preserve">  </w:t>
      </w:r>
    </w:p>
    <w:p w:rsidR="00727DE4" w:rsidRP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727DE4" w:rsidRPr="00727DE4">
        <w:rPr>
          <w:rFonts w:ascii="Times New Roman" w:hAnsi="Times New Roman" w:cs="Times New Roman"/>
          <w:sz w:val="24"/>
          <w:szCs w:val="24"/>
        </w:rPr>
        <w:t>The three copper wires in the “open wire secondary” consist of two 120-volt feeds and a neutral.  Tr. 132, 153.</w:t>
      </w:r>
    </w:p>
    <w:p w:rsidR="00944B00" w:rsidRPr="00727DE4" w:rsidRDefault="00944B00"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727DE4" w:rsidRPr="00727DE4">
        <w:rPr>
          <w:rFonts w:ascii="Times New Roman" w:hAnsi="Times New Roman" w:cs="Times New Roman"/>
          <w:sz w:val="24"/>
          <w:szCs w:val="24"/>
        </w:rPr>
        <w:t xml:space="preserve">The “open wire secondary” does not constitute unsafe service to PECO customers.  Tr. 135. </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The copper wires may come into contact with each other if the utility pole is damaged or if they are impacted by vegetation growth. </w:t>
      </w:r>
      <w:r w:rsidR="00727DE4">
        <w:rPr>
          <w:rFonts w:ascii="Times New Roman" w:hAnsi="Times New Roman" w:cs="Times New Roman"/>
          <w:sz w:val="24"/>
          <w:szCs w:val="24"/>
        </w:rPr>
        <w:t xml:space="preserve"> </w:t>
      </w:r>
      <w:r w:rsidR="00727DE4" w:rsidRPr="003C3F6A">
        <w:rPr>
          <w:rFonts w:ascii="Times New Roman" w:hAnsi="Times New Roman" w:cs="Times New Roman"/>
          <w:sz w:val="24"/>
          <w:szCs w:val="24"/>
        </w:rPr>
        <w:t xml:space="preserve">Tr. 128.  </w:t>
      </w:r>
    </w:p>
    <w:p w:rsidR="00E919E6" w:rsidRDefault="00E919E6" w:rsidP="00595FD6">
      <w:pPr>
        <w:spacing w:after="0" w:line="360" w:lineRule="auto"/>
        <w:ind w:firstLine="1440"/>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E919E6" w:rsidRPr="00727DE4">
        <w:rPr>
          <w:rFonts w:ascii="Times New Roman" w:hAnsi="Times New Roman" w:cs="Times New Roman"/>
          <w:sz w:val="24"/>
          <w:szCs w:val="24"/>
        </w:rPr>
        <w:t>If</w:t>
      </w:r>
      <w:r w:rsidR="005B05C3">
        <w:rPr>
          <w:rFonts w:ascii="Times New Roman" w:hAnsi="Times New Roman" w:cs="Times New Roman"/>
          <w:sz w:val="24"/>
          <w:szCs w:val="24"/>
        </w:rPr>
        <w:t xml:space="preserve"> the copp</w:t>
      </w:r>
      <w:r w:rsidR="00E919E6" w:rsidRPr="003C3F6A">
        <w:rPr>
          <w:rFonts w:ascii="Times New Roman" w:hAnsi="Times New Roman" w:cs="Times New Roman"/>
          <w:sz w:val="24"/>
          <w:szCs w:val="24"/>
        </w:rPr>
        <w:t xml:space="preserve">er wires touch each other they can potentially cause sparks, surges and flames. </w:t>
      </w:r>
      <w:r w:rsidR="00E919E6">
        <w:rPr>
          <w:rFonts w:ascii="Times New Roman" w:hAnsi="Times New Roman" w:cs="Times New Roman"/>
          <w:sz w:val="24"/>
          <w:szCs w:val="24"/>
        </w:rPr>
        <w:t xml:space="preserve"> </w:t>
      </w:r>
      <w:r w:rsidR="00E919E6" w:rsidRPr="003C3F6A">
        <w:rPr>
          <w:rFonts w:ascii="Times New Roman" w:hAnsi="Times New Roman" w:cs="Times New Roman"/>
          <w:sz w:val="24"/>
          <w:szCs w:val="24"/>
        </w:rPr>
        <w:t xml:space="preserve">Tr. 127.  </w:t>
      </w:r>
    </w:p>
    <w:p w:rsidR="00727DE4" w:rsidRDefault="00727DE4" w:rsidP="00595FD6">
      <w:pPr>
        <w:spacing w:after="0" w:line="360" w:lineRule="auto"/>
        <w:ind w:firstLine="1440"/>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PECO’s AMR and AMI meters protect a customer’s service line from any type of power surge, being programed to shut off and, in the case of the AMI meter, to notify PECO of the event.  Tr. 129-130, 141.  </w:t>
      </w:r>
    </w:p>
    <w:p w:rsidR="00E919E6" w:rsidRDefault="00E919E6"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44.</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The meter shut off would cause a power outage inside the property the meter was serving and would be reported on PECO’s Outage Management System. </w:t>
      </w:r>
      <w:r w:rsidR="00727DE4">
        <w:rPr>
          <w:rFonts w:ascii="Times New Roman" w:hAnsi="Times New Roman" w:cs="Times New Roman"/>
          <w:sz w:val="24"/>
          <w:szCs w:val="24"/>
        </w:rPr>
        <w:t xml:space="preserve"> </w:t>
      </w:r>
      <w:r w:rsidR="00727DE4" w:rsidRPr="003C3F6A">
        <w:rPr>
          <w:rFonts w:ascii="Times New Roman" w:hAnsi="Times New Roman" w:cs="Times New Roman"/>
          <w:sz w:val="24"/>
          <w:szCs w:val="24"/>
        </w:rPr>
        <w:t>Tr. 131.</w:t>
      </w:r>
    </w:p>
    <w:p w:rsidR="00944B00" w:rsidRDefault="00944B00" w:rsidP="00595FD6">
      <w:pPr>
        <w:spacing w:after="0" w:line="360" w:lineRule="auto"/>
        <w:ind w:firstLine="1440"/>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E919E6">
        <w:rPr>
          <w:rFonts w:ascii="Times New Roman" w:hAnsi="Times New Roman" w:cs="Times New Roman"/>
          <w:sz w:val="24"/>
          <w:szCs w:val="24"/>
        </w:rPr>
        <w:t>O</w:t>
      </w:r>
      <w:r w:rsidR="00727DE4" w:rsidRPr="003C3F6A">
        <w:rPr>
          <w:rFonts w:ascii="Times New Roman" w:hAnsi="Times New Roman" w:cs="Times New Roman"/>
          <w:sz w:val="24"/>
          <w:szCs w:val="24"/>
        </w:rPr>
        <w:t xml:space="preserve">n October 21, 2013, </w:t>
      </w:r>
      <w:r w:rsidR="00727DE4">
        <w:rPr>
          <w:rFonts w:ascii="Times New Roman" w:hAnsi="Times New Roman" w:cs="Times New Roman"/>
          <w:sz w:val="24"/>
          <w:szCs w:val="24"/>
        </w:rPr>
        <w:t xml:space="preserve">Mr. Segarra </w:t>
      </w:r>
      <w:r w:rsidR="00727DE4" w:rsidRPr="003C3F6A">
        <w:rPr>
          <w:rFonts w:ascii="Times New Roman" w:hAnsi="Times New Roman" w:cs="Times New Roman"/>
          <w:sz w:val="24"/>
          <w:szCs w:val="24"/>
        </w:rPr>
        <w:t>contacted PECO reporting that the wires running from the pole to the rear of his house were too close to the neighbor’s trees, were sagging, and were causing power flickers on windy days.  Tr. 132.</w:t>
      </w:r>
      <w:r w:rsidR="00727DE4">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727DE4">
        <w:rPr>
          <w:rFonts w:ascii="Times New Roman" w:hAnsi="Times New Roman" w:cs="Times New Roman"/>
          <w:sz w:val="24"/>
          <w:szCs w:val="24"/>
        </w:rPr>
        <w:t>On November 6</w:t>
      </w:r>
      <w:r w:rsidR="00727DE4" w:rsidRPr="003C3F6A">
        <w:rPr>
          <w:rFonts w:ascii="Times New Roman" w:hAnsi="Times New Roman" w:cs="Times New Roman"/>
          <w:sz w:val="24"/>
          <w:szCs w:val="24"/>
        </w:rPr>
        <w:t>, 2013, a PECO technician visited the Service Address and created a work order seeking the assistance of a specialized crew because the three copper wires ran from the transformer to the house.  Tr. 133-134, PECO Exhibit</w:t>
      </w:r>
      <w:r w:rsidR="00727DE4">
        <w:rPr>
          <w:rFonts w:ascii="Times New Roman" w:hAnsi="Times New Roman" w:cs="Times New Roman"/>
          <w:sz w:val="24"/>
          <w:szCs w:val="24"/>
        </w:rPr>
        <w:t>s</w:t>
      </w:r>
      <w:r w:rsidR="00727DE4" w:rsidRPr="003C3F6A">
        <w:rPr>
          <w:rFonts w:ascii="Times New Roman" w:hAnsi="Times New Roman" w:cs="Times New Roman"/>
          <w:sz w:val="24"/>
          <w:szCs w:val="24"/>
        </w:rPr>
        <w:t xml:space="preserve"> 15</w:t>
      </w:r>
      <w:r w:rsidR="00727DE4">
        <w:rPr>
          <w:rFonts w:ascii="Times New Roman" w:hAnsi="Times New Roman" w:cs="Times New Roman"/>
          <w:sz w:val="24"/>
          <w:szCs w:val="24"/>
        </w:rPr>
        <w:t>, 16 and late-filed Exhibit 16(b)</w:t>
      </w:r>
      <w:r w:rsidR="00727DE4" w:rsidRPr="003C3F6A">
        <w:rPr>
          <w:rFonts w:ascii="Times New Roman" w:hAnsi="Times New Roman" w:cs="Times New Roman"/>
          <w:sz w:val="24"/>
          <w:szCs w:val="24"/>
        </w:rPr>
        <w:t>.</w:t>
      </w:r>
      <w:r w:rsidR="00727DE4">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727DE4" w:rsidRPr="003C3F6A">
        <w:rPr>
          <w:rFonts w:ascii="Times New Roman" w:hAnsi="Times New Roman" w:cs="Times New Roman"/>
          <w:sz w:val="24"/>
          <w:szCs w:val="24"/>
        </w:rPr>
        <w:t>The PECO technician</w:t>
      </w:r>
      <w:r w:rsidR="00E919E6">
        <w:rPr>
          <w:rFonts w:ascii="Times New Roman" w:hAnsi="Times New Roman" w:cs="Times New Roman"/>
          <w:sz w:val="24"/>
          <w:szCs w:val="24"/>
        </w:rPr>
        <w:t xml:space="preserve"> </w:t>
      </w:r>
      <w:r w:rsidR="00727DE4" w:rsidRPr="003C3F6A">
        <w:rPr>
          <w:rFonts w:ascii="Times New Roman" w:hAnsi="Times New Roman" w:cs="Times New Roman"/>
          <w:sz w:val="24"/>
          <w:szCs w:val="24"/>
        </w:rPr>
        <w:t>who visited the Service Address on November</w:t>
      </w:r>
      <w:r w:rsidR="00727DE4">
        <w:rPr>
          <w:rFonts w:ascii="Times New Roman" w:hAnsi="Times New Roman" w:cs="Times New Roman"/>
          <w:sz w:val="24"/>
          <w:szCs w:val="24"/>
        </w:rPr>
        <w:t xml:space="preserve"> 6</w:t>
      </w:r>
      <w:r w:rsidR="00727DE4" w:rsidRPr="003C3F6A">
        <w:rPr>
          <w:rFonts w:ascii="Times New Roman" w:hAnsi="Times New Roman" w:cs="Times New Roman"/>
          <w:sz w:val="24"/>
          <w:szCs w:val="24"/>
        </w:rPr>
        <w:t>, 2013</w:t>
      </w:r>
      <w:r w:rsidR="00727DE4">
        <w:rPr>
          <w:rFonts w:ascii="Times New Roman" w:hAnsi="Times New Roman" w:cs="Times New Roman"/>
          <w:sz w:val="24"/>
          <w:szCs w:val="24"/>
        </w:rPr>
        <w:t>,</w:t>
      </w:r>
      <w:r w:rsidR="00727DE4" w:rsidRPr="003C3F6A">
        <w:rPr>
          <w:rFonts w:ascii="Times New Roman" w:hAnsi="Times New Roman" w:cs="Times New Roman"/>
          <w:sz w:val="24"/>
          <w:szCs w:val="24"/>
        </w:rPr>
        <w:t xml:space="preserve"> assessed the situation as a low priority or non-emergency.  Tr. 133-135, PECO Exhibit 15. </w:t>
      </w:r>
      <w:r w:rsidR="00727DE4">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727DE4" w:rsidRPr="003C3F6A">
        <w:rPr>
          <w:rFonts w:ascii="Times New Roman" w:hAnsi="Times New Roman" w:cs="Times New Roman"/>
          <w:sz w:val="24"/>
          <w:szCs w:val="24"/>
        </w:rPr>
        <w:t>On November 14, 2013, PECO’s crew verified that the connection taps from the PECO transformer to Mr. Segarra’s house were secure.  Tr. 136-37</w:t>
      </w:r>
      <w:r w:rsidR="00727DE4">
        <w:rPr>
          <w:rFonts w:ascii="Times New Roman" w:hAnsi="Times New Roman" w:cs="Times New Roman"/>
          <w:sz w:val="24"/>
          <w:szCs w:val="24"/>
        </w:rPr>
        <w:t>, PECO Exhibit 16 and late-filed Exhibit 16(b)</w:t>
      </w:r>
      <w:r w:rsidR="00727DE4" w:rsidRPr="003C3F6A">
        <w:rPr>
          <w:rFonts w:ascii="Times New Roman" w:hAnsi="Times New Roman" w:cs="Times New Roman"/>
          <w:sz w:val="24"/>
          <w:szCs w:val="24"/>
        </w:rPr>
        <w:t xml:space="preserve">. </w:t>
      </w:r>
      <w:r w:rsidR="00727DE4">
        <w:rPr>
          <w:rFonts w:ascii="Times New Roman" w:hAnsi="Times New Roman" w:cs="Times New Roman"/>
          <w:sz w:val="24"/>
          <w:szCs w:val="24"/>
        </w:rPr>
        <w:t xml:space="preserve"> </w:t>
      </w:r>
    </w:p>
    <w:p w:rsidR="00F502EB" w:rsidRDefault="00F502EB" w:rsidP="00595FD6">
      <w:pPr>
        <w:spacing w:after="0" w:line="360" w:lineRule="auto"/>
        <w:ind w:firstLine="1440"/>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727DE4" w:rsidRPr="003C3F6A">
        <w:rPr>
          <w:rFonts w:ascii="Times New Roman" w:hAnsi="Times New Roman" w:cs="Times New Roman"/>
          <w:sz w:val="24"/>
          <w:szCs w:val="24"/>
        </w:rPr>
        <w:t>On</w:t>
      </w:r>
      <w:r w:rsidR="00727DE4">
        <w:rPr>
          <w:rFonts w:ascii="Times New Roman" w:hAnsi="Times New Roman" w:cs="Times New Roman"/>
          <w:sz w:val="24"/>
          <w:szCs w:val="24"/>
        </w:rPr>
        <w:t xml:space="preserve"> November 23, 2013</w:t>
      </w:r>
      <w:r w:rsidR="00727DE4" w:rsidRPr="003C3F6A">
        <w:rPr>
          <w:rFonts w:ascii="Times New Roman" w:hAnsi="Times New Roman" w:cs="Times New Roman"/>
          <w:sz w:val="24"/>
          <w:szCs w:val="24"/>
        </w:rPr>
        <w:t xml:space="preserve">, </w:t>
      </w:r>
      <w:r w:rsidR="00727DE4">
        <w:rPr>
          <w:rFonts w:ascii="Times New Roman" w:hAnsi="Times New Roman" w:cs="Times New Roman"/>
          <w:sz w:val="24"/>
          <w:szCs w:val="24"/>
        </w:rPr>
        <w:t xml:space="preserve">another </w:t>
      </w:r>
      <w:r w:rsidR="00727DE4" w:rsidRPr="003C3F6A">
        <w:rPr>
          <w:rFonts w:ascii="Times New Roman" w:hAnsi="Times New Roman" w:cs="Times New Roman"/>
          <w:sz w:val="24"/>
          <w:szCs w:val="24"/>
        </w:rPr>
        <w:t>PECO’s crew visited the Service Address and replaced the copper “open wire secondary” running from the transformer to the house with an aluminum triplex wire or “bundle secondary”.  Tr.141-42, 135, 146</w:t>
      </w:r>
      <w:r w:rsidR="00727DE4">
        <w:rPr>
          <w:rFonts w:ascii="Times New Roman" w:hAnsi="Times New Roman" w:cs="Times New Roman"/>
          <w:sz w:val="24"/>
          <w:szCs w:val="24"/>
        </w:rPr>
        <w:t>, PECO late-filed Exhibit 16(b)</w:t>
      </w:r>
      <w:r w:rsidR="00727DE4" w:rsidRPr="003C3F6A">
        <w:rPr>
          <w:rFonts w:ascii="Times New Roman" w:hAnsi="Times New Roman" w:cs="Times New Roman"/>
          <w:sz w:val="24"/>
          <w:szCs w:val="24"/>
        </w:rPr>
        <w:t xml:space="preserve">. </w:t>
      </w:r>
      <w:r w:rsidR="00727DE4">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727DE4" w:rsidRPr="003C3F6A"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E919E6">
        <w:rPr>
          <w:rFonts w:ascii="Times New Roman" w:hAnsi="Times New Roman" w:cs="Times New Roman"/>
          <w:sz w:val="24"/>
          <w:szCs w:val="24"/>
        </w:rPr>
        <w:t>T</w:t>
      </w:r>
      <w:r w:rsidR="00727DE4" w:rsidRPr="003C3F6A">
        <w:rPr>
          <w:rFonts w:ascii="Times New Roman" w:hAnsi="Times New Roman" w:cs="Times New Roman"/>
          <w:sz w:val="24"/>
          <w:szCs w:val="24"/>
        </w:rPr>
        <w:t xml:space="preserve">he change from “open wire secondary” to “bundle secondary” increased by a foot the secondary’s clearance from the branches of the neighbor’s tree.  Tr. 135, 146. </w:t>
      </w:r>
    </w:p>
    <w:p w:rsidR="00E919E6" w:rsidRDefault="00E919E6" w:rsidP="00595FD6">
      <w:pPr>
        <w:spacing w:after="0" w:line="360" w:lineRule="auto"/>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727DE4" w:rsidRPr="003C3F6A">
        <w:rPr>
          <w:rFonts w:ascii="Times New Roman" w:hAnsi="Times New Roman" w:cs="Times New Roman"/>
          <w:sz w:val="24"/>
          <w:szCs w:val="24"/>
        </w:rPr>
        <w:t xml:space="preserve">PECO performs power quality inspections only </w:t>
      </w:r>
      <w:r w:rsidR="00E919E6">
        <w:rPr>
          <w:rFonts w:ascii="Times New Roman" w:hAnsi="Times New Roman" w:cs="Times New Roman"/>
          <w:sz w:val="24"/>
          <w:szCs w:val="24"/>
        </w:rPr>
        <w:t xml:space="preserve">if </w:t>
      </w:r>
      <w:r w:rsidR="00E919E6" w:rsidRPr="003C3F6A">
        <w:rPr>
          <w:rFonts w:ascii="Times New Roman" w:hAnsi="Times New Roman" w:cs="Times New Roman"/>
          <w:sz w:val="24"/>
          <w:szCs w:val="24"/>
        </w:rPr>
        <w:t xml:space="preserve">the source of the problem </w:t>
      </w:r>
      <w:r w:rsidR="00E919E6">
        <w:rPr>
          <w:rFonts w:ascii="Times New Roman" w:hAnsi="Times New Roman" w:cs="Times New Roman"/>
          <w:sz w:val="24"/>
          <w:szCs w:val="24"/>
        </w:rPr>
        <w:t xml:space="preserve">remains </w:t>
      </w:r>
      <w:r w:rsidR="00E919E6" w:rsidRPr="003C3F6A">
        <w:rPr>
          <w:rFonts w:ascii="Times New Roman" w:hAnsi="Times New Roman" w:cs="Times New Roman"/>
          <w:sz w:val="24"/>
          <w:szCs w:val="24"/>
        </w:rPr>
        <w:t xml:space="preserve">unidentified </w:t>
      </w:r>
      <w:r w:rsidR="00727DE4" w:rsidRPr="003C3F6A">
        <w:rPr>
          <w:rFonts w:ascii="Times New Roman" w:hAnsi="Times New Roman" w:cs="Times New Roman"/>
          <w:sz w:val="24"/>
          <w:szCs w:val="24"/>
        </w:rPr>
        <w:t xml:space="preserve">after PECO has checked all </w:t>
      </w:r>
      <w:r w:rsidR="00944B00">
        <w:rPr>
          <w:rFonts w:ascii="Times New Roman" w:hAnsi="Times New Roman" w:cs="Times New Roman"/>
          <w:sz w:val="24"/>
          <w:szCs w:val="24"/>
        </w:rPr>
        <w:t xml:space="preserve">of </w:t>
      </w:r>
      <w:r w:rsidR="00727DE4" w:rsidRPr="003C3F6A">
        <w:rPr>
          <w:rFonts w:ascii="Times New Roman" w:hAnsi="Times New Roman" w:cs="Times New Roman"/>
          <w:sz w:val="24"/>
          <w:szCs w:val="24"/>
        </w:rPr>
        <w:t>its facilities and the customer has the service line inside the house chec</w:t>
      </w:r>
      <w:r w:rsidR="00E919E6">
        <w:rPr>
          <w:rFonts w:ascii="Times New Roman" w:hAnsi="Times New Roman" w:cs="Times New Roman"/>
          <w:sz w:val="24"/>
          <w:szCs w:val="24"/>
        </w:rPr>
        <w:t>ked by a private electrician</w:t>
      </w:r>
      <w:r w:rsidR="00727DE4" w:rsidRPr="003C3F6A">
        <w:rPr>
          <w:rFonts w:ascii="Times New Roman" w:hAnsi="Times New Roman" w:cs="Times New Roman"/>
          <w:sz w:val="24"/>
          <w:szCs w:val="24"/>
        </w:rPr>
        <w:t xml:space="preserve">.  Tr. 155.  </w:t>
      </w:r>
    </w:p>
    <w:p w:rsidR="00E919E6" w:rsidRDefault="00E919E6"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52.</w:t>
      </w:r>
      <w:r>
        <w:rPr>
          <w:rFonts w:ascii="Times New Roman" w:hAnsi="Times New Roman" w:cs="Times New Roman"/>
          <w:sz w:val="24"/>
          <w:szCs w:val="24"/>
        </w:rPr>
        <w:tab/>
      </w:r>
      <w:r w:rsidR="00E919E6">
        <w:rPr>
          <w:rFonts w:ascii="Times New Roman" w:hAnsi="Times New Roman" w:cs="Times New Roman"/>
          <w:sz w:val="24"/>
          <w:szCs w:val="24"/>
        </w:rPr>
        <w:t>After PECO replaced its facilities in October-November 2013</w:t>
      </w:r>
      <w:r w:rsidR="00727DE4" w:rsidRPr="003C3F6A">
        <w:rPr>
          <w:rFonts w:ascii="Times New Roman" w:hAnsi="Times New Roman" w:cs="Times New Roman"/>
          <w:sz w:val="24"/>
          <w:szCs w:val="24"/>
        </w:rPr>
        <w:t>, the Complainant</w:t>
      </w:r>
      <w:r w:rsidR="00727DE4">
        <w:rPr>
          <w:rFonts w:ascii="Times New Roman" w:hAnsi="Times New Roman" w:cs="Times New Roman"/>
          <w:sz w:val="24"/>
          <w:szCs w:val="24"/>
        </w:rPr>
        <w:t>s</w:t>
      </w:r>
      <w:r w:rsidR="00727DE4" w:rsidRPr="003C3F6A">
        <w:rPr>
          <w:rFonts w:ascii="Times New Roman" w:hAnsi="Times New Roman" w:cs="Times New Roman"/>
          <w:sz w:val="24"/>
          <w:szCs w:val="24"/>
        </w:rPr>
        <w:t xml:space="preserve"> did not contact PECO to indicate that the problems persisted.  Tr. 156.  </w:t>
      </w:r>
    </w:p>
    <w:p w:rsidR="00727DE4" w:rsidRDefault="00727DE4" w:rsidP="00595FD6">
      <w:pPr>
        <w:spacing w:after="0" w:line="360" w:lineRule="auto"/>
        <w:rPr>
          <w:rFonts w:ascii="Times New Roman" w:hAnsi="Times New Roman" w:cs="Times New Roman"/>
          <w:sz w:val="24"/>
          <w:szCs w:val="24"/>
        </w:rPr>
      </w:pPr>
    </w:p>
    <w:p w:rsidR="00E919E6"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E919E6" w:rsidRPr="003C3F6A">
        <w:rPr>
          <w:rFonts w:ascii="Times New Roman" w:hAnsi="Times New Roman" w:cs="Times New Roman"/>
          <w:sz w:val="24"/>
          <w:szCs w:val="24"/>
        </w:rPr>
        <w:t xml:space="preserve">PECO </w:t>
      </w:r>
      <w:r w:rsidR="00E919E6">
        <w:rPr>
          <w:rFonts w:ascii="Times New Roman" w:hAnsi="Times New Roman" w:cs="Times New Roman"/>
          <w:sz w:val="24"/>
          <w:szCs w:val="24"/>
        </w:rPr>
        <w:t xml:space="preserve">did not test </w:t>
      </w:r>
      <w:r w:rsidR="00E919E6" w:rsidRPr="003C3F6A">
        <w:rPr>
          <w:rFonts w:ascii="Times New Roman" w:hAnsi="Times New Roman" w:cs="Times New Roman"/>
          <w:sz w:val="24"/>
          <w:szCs w:val="24"/>
        </w:rPr>
        <w:t>the</w:t>
      </w:r>
      <w:r w:rsidR="00E919E6">
        <w:rPr>
          <w:rFonts w:ascii="Times New Roman" w:hAnsi="Times New Roman" w:cs="Times New Roman"/>
          <w:sz w:val="24"/>
          <w:szCs w:val="24"/>
        </w:rPr>
        <w:t xml:space="preserve"> voltage inside the Complainant</w:t>
      </w:r>
      <w:r w:rsidR="00E919E6" w:rsidRPr="003C3F6A">
        <w:rPr>
          <w:rFonts w:ascii="Times New Roman" w:hAnsi="Times New Roman" w:cs="Times New Roman"/>
          <w:sz w:val="24"/>
          <w:szCs w:val="24"/>
        </w:rPr>
        <w:t>s</w:t>
      </w:r>
      <w:r w:rsidR="00E919E6">
        <w:rPr>
          <w:rFonts w:ascii="Times New Roman" w:hAnsi="Times New Roman" w:cs="Times New Roman"/>
          <w:sz w:val="24"/>
          <w:szCs w:val="24"/>
        </w:rPr>
        <w:t>’</w:t>
      </w:r>
      <w:r w:rsidR="00E919E6" w:rsidRPr="003C3F6A">
        <w:rPr>
          <w:rFonts w:ascii="Times New Roman" w:hAnsi="Times New Roman" w:cs="Times New Roman"/>
          <w:sz w:val="24"/>
          <w:szCs w:val="24"/>
        </w:rPr>
        <w:t xml:space="preserve"> house. </w:t>
      </w:r>
      <w:r w:rsidR="00E919E6">
        <w:rPr>
          <w:rFonts w:ascii="Times New Roman" w:hAnsi="Times New Roman" w:cs="Times New Roman"/>
          <w:sz w:val="24"/>
          <w:szCs w:val="24"/>
        </w:rPr>
        <w:t xml:space="preserve"> </w:t>
      </w:r>
      <w:r w:rsidR="00E919E6" w:rsidRPr="003C3F6A">
        <w:rPr>
          <w:rFonts w:ascii="Times New Roman" w:hAnsi="Times New Roman" w:cs="Times New Roman"/>
          <w:sz w:val="24"/>
          <w:szCs w:val="24"/>
        </w:rPr>
        <w:t xml:space="preserve">Tr. 148, 155.  </w:t>
      </w:r>
    </w:p>
    <w:p w:rsidR="00727DE4" w:rsidRDefault="00727DE4" w:rsidP="00595FD6">
      <w:pPr>
        <w:spacing w:after="0" w:line="360" w:lineRule="auto"/>
        <w:ind w:firstLine="1440"/>
        <w:rPr>
          <w:rFonts w:ascii="Times New Roman" w:hAnsi="Times New Roman" w:cs="Times New Roman"/>
          <w:sz w:val="24"/>
          <w:szCs w:val="24"/>
        </w:rPr>
      </w:pPr>
    </w:p>
    <w:p w:rsidR="0049595F"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49595F" w:rsidRPr="003C3F6A">
        <w:rPr>
          <w:rFonts w:ascii="Times New Roman" w:hAnsi="Times New Roman" w:cs="Times New Roman"/>
          <w:sz w:val="24"/>
          <w:szCs w:val="24"/>
        </w:rPr>
        <w:t xml:space="preserve">The Complainants have not received a Commission-issued payment arrangement. </w:t>
      </w:r>
      <w:r w:rsidR="0049595F">
        <w:rPr>
          <w:rFonts w:ascii="Times New Roman" w:hAnsi="Times New Roman" w:cs="Times New Roman"/>
          <w:sz w:val="24"/>
          <w:szCs w:val="24"/>
        </w:rPr>
        <w:t xml:space="preserve"> </w:t>
      </w:r>
      <w:r w:rsidR="0049595F" w:rsidRPr="003C3F6A">
        <w:rPr>
          <w:rFonts w:ascii="Times New Roman" w:hAnsi="Times New Roman" w:cs="Times New Roman"/>
          <w:sz w:val="24"/>
          <w:szCs w:val="24"/>
        </w:rPr>
        <w:t>Tr. 165.</w:t>
      </w:r>
    </w:p>
    <w:p w:rsidR="00BC6561" w:rsidRDefault="00BC6561"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00944B00">
        <w:rPr>
          <w:rFonts w:ascii="Times New Roman" w:hAnsi="Times New Roman" w:cs="Times New Roman"/>
          <w:sz w:val="24"/>
          <w:szCs w:val="24"/>
        </w:rPr>
        <w:t>I</w:t>
      </w:r>
      <w:r w:rsidR="00727DE4">
        <w:rPr>
          <w:rFonts w:ascii="Times New Roman" w:hAnsi="Times New Roman" w:cs="Times New Roman"/>
          <w:sz w:val="24"/>
          <w:szCs w:val="24"/>
        </w:rPr>
        <w:t xml:space="preserve">n February of 2014, Mr. Segarra informed the Respondent that his oil heater was no longer operable and that he was using electricity to heat his residence.  Tr. 176-177.  </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727DE4">
        <w:rPr>
          <w:rFonts w:ascii="Times New Roman" w:hAnsi="Times New Roman" w:cs="Times New Roman"/>
          <w:sz w:val="24"/>
          <w:szCs w:val="24"/>
        </w:rPr>
        <w:t>In March 2014, PECO adjusted the Complainants’ rate to residential heating rate and gave them an adjustment credit of $367.30 for the 1</w:t>
      </w:r>
      <w:r w:rsidR="00727DE4" w:rsidRPr="00EE1622">
        <w:rPr>
          <w:rFonts w:ascii="Times New Roman" w:hAnsi="Times New Roman" w:cs="Times New Roman"/>
          <w:sz w:val="24"/>
          <w:szCs w:val="24"/>
          <w:vertAlign w:val="superscript"/>
        </w:rPr>
        <w:t>st</w:t>
      </w:r>
      <w:r w:rsidR="00727DE4">
        <w:rPr>
          <w:rFonts w:ascii="Times New Roman" w:hAnsi="Times New Roman" w:cs="Times New Roman"/>
          <w:sz w:val="24"/>
          <w:szCs w:val="24"/>
        </w:rPr>
        <w:t xml:space="preserve"> floor account and $36.33 for the 2</w:t>
      </w:r>
      <w:r w:rsidR="00727DE4" w:rsidRPr="00727DE4">
        <w:rPr>
          <w:rFonts w:ascii="Times New Roman" w:hAnsi="Times New Roman" w:cs="Times New Roman"/>
          <w:sz w:val="24"/>
          <w:szCs w:val="24"/>
          <w:vertAlign w:val="superscript"/>
        </w:rPr>
        <w:t>nd</w:t>
      </w:r>
      <w:r w:rsidR="00727DE4">
        <w:rPr>
          <w:rFonts w:ascii="Times New Roman" w:hAnsi="Times New Roman" w:cs="Times New Roman"/>
          <w:sz w:val="24"/>
          <w:szCs w:val="24"/>
        </w:rPr>
        <w:t xml:space="preserve"> floor account, covering the period September 23, 2013 to February 25, 2014.  Tr. 176-177, PECO Exhibits 1 and 2.</w:t>
      </w:r>
    </w:p>
    <w:p w:rsidR="0049595F" w:rsidRPr="003C3F6A" w:rsidRDefault="0049595F" w:rsidP="00595FD6">
      <w:pPr>
        <w:spacing w:after="0" w:line="360" w:lineRule="auto"/>
        <w:ind w:firstLine="1440"/>
        <w:rPr>
          <w:rFonts w:ascii="Times New Roman" w:hAnsi="Times New Roman" w:cs="Times New Roman"/>
          <w:sz w:val="24"/>
          <w:szCs w:val="24"/>
        </w:rPr>
      </w:pPr>
    </w:p>
    <w:p w:rsidR="0049595F"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49595F">
        <w:rPr>
          <w:rFonts w:ascii="Times New Roman" w:hAnsi="Times New Roman" w:cs="Times New Roman"/>
          <w:sz w:val="24"/>
          <w:szCs w:val="24"/>
        </w:rPr>
        <w:t>The Complainants made 35 payments towards their 1</w:t>
      </w:r>
      <w:r w:rsidR="0049595F" w:rsidRPr="0049595F">
        <w:rPr>
          <w:rFonts w:ascii="Times New Roman" w:hAnsi="Times New Roman" w:cs="Times New Roman"/>
          <w:sz w:val="24"/>
          <w:szCs w:val="24"/>
          <w:vertAlign w:val="superscript"/>
        </w:rPr>
        <w:t>st</w:t>
      </w:r>
      <w:r w:rsidR="0049595F">
        <w:rPr>
          <w:rFonts w:ascii="Times New Roman" w:hAnsi="Times New Roman" w:cs="Times New Roman"/>
          <w:sz w:val="24"/>
          <w:szCs w:val="24"/>
        </w:rPr>
        <w:t xml:space="preserve"> floor account with PECO during the 40-month period May 5, 2012 to September 14, 2015.  PECO Exhibit 1.  </w:t>
      </w:r>
    </w:p>
    <w:p w:rsidR="00E919E6" w:rsidRDefault="00E919E6" w:rsidP="00595FD6">
      <w:pPr>
        <w:spacing w:after="0" w:line="360" w:lineRule="auto"/>
        <w:ind w:firstLine="1440"/>
        <w:rPr>
          <w:rFonts w:ascii="Times New Roman" w:hAnsi="Times New Roman" w:cs="Times New Roman"/>
          <w:sz w:val="24"/>
          <w:szCs w:val="24"/>
        </w:rPr>
      </w:pPr>
    </w:p>
    <w:p w:rsidR="0049595F"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r>
      <w:r w:rsidR="0049595F">
        <w:rPr>
          <w:rFonts w:ascii="Times New Roman" w:hAnsi="Times New Roman" w:cs="Times New Roman"/>
          <w:sz w:val="24"/>
          <w:szCs w:val="24"/>
        </w:rPr>
        <w:t xml:space="preserve">The Complainants made only one payment of $1,024.90 </w:t>
      </w:r>
      <w:r w:rsidR="0055036E">
        <w:rPr>
          <w:rFonts w:ascii="Times New Roman" w:hAnsi="Times New Roman" w:cs="Times New Roman"/>
          <w:sz w:val="24"/>
          <w:szCs w:val="24"/>
        </w:rPr>
        <w:t>towards their 1</w:t>
      </w:r>
      <w:r w:rsidR="0055036E" w:rsidRPr="0049595F">
        <w:rPr>
          <w:rFonts w:ascii="Times New Roman" w:hAnsi="Times New Roman" w:cs="Times New Roman"/>
          <w:sz w:val="24"/>
          <w:szCs w:val="24"/>
          <w:vertAlign w:val="superscript"/>
        </w:rPr>
        <w:t>st</w:t>
      </w:r>
      <w:r w:rsidR="0055036E">
        <w:rPr>
          <w:rFonts w:ascii="Times New Roman" w:hAnsi="Times New Roman" w:cs="Times New Roman"/>
          <w:sz w:val="24"/>
          <w:szCs w:val="24"/>
        </w:rPr>
        <w:t xml:space="preserve"> floor account with PECO </w:t>
      </w:r>
      <w:r w:rsidR="0049595F">
        <w:rPr>
          <w:rFonts w:ascii="Times New Roman" w:hAnsi="Times New Roman" w:cs="Times New Roman"/>
          <w:sz w:val="24"/>
          <w:szCs w:val="24"/>
        </w:rPr>
        <w:t xml:space="preserve">during the period October 2015 to July 2016.  </w:t>
      </w:r>
      <w:r w:rsidR="0049595F" w:rsidRPr="009D1A12">
        <w:rPr>
          <w:rFonts w:ascii="Times New Roman" w:hAnsi="Times New Roman" w:cs="Times New Roman"/>
          <w:i/>
          <w:sz w:val="24"/>
          <w:szCs w:val="24"/>
        </w:rPr>
        <w:t>Id.</w:t>
      </w:r>
      <w:r w:rsidR="0049595F" w:rsidRPr="009D1A12">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205998" w:rsidRPr="00B40472"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49595F">
        <w:rPr>
          <w:rFonts w:ascii="Times New Roman" w:hAnsi="Times New Roman" w:cs="Times New Roman"/>
          <w:sz w:val="24"/>
          <w:szCs w:val="24"/>
        </w:rPr>
        <w:t xml:space="preserve">The Complainants made 21 payments </w:t>
      </w:r>
      <w:r w:rsidR="0055036E">
        <w:rPr>
          <w:rFonts w:ascii="Times New Roman" w:hAnsi="Times New Roman" w:cs="Times New Roman"/>
          <w:sz w:val="24"/>
          <w:szCs w:val="24"/>
        </w:rPr>
        <w:t>towards their 2</w:t>
      </w:r>
      <w:r w:rsidR="0055036E" w:rsidRPr="0055036E">
        <w:rPr>
          <w:rFonts w:ascii="Times New Roman" w:hAnsi="Times New Roman" w:cs="Times New Roman"/>
          <w:sz w:val="24"/>
          <w:szCs w:val="24"/>
          <w:vertAlign w:val="superscript"/>
        </w:rPr>
        <w:t>nd</w:t>
      </w:r>
      <w:r w:rsidR="0055036E">
        <w:rPr>
          <w:rFonts w:ascii="Times New Roman" w:hAnsi="Times New Roman" w:cs="Times New Roman"/>
          <w:sz w:val="24"/>
          <w:szCs w:val="24"/>
        </w:rPr>
        <w:t xml:space="preserve"> floor account with PECO </w:t>
      </w:r>
      <w:r w:rsidR="0049595F">
        <w:rPr>
          <w:rFonts w:ascii="Times New Roman" w:hAnsi="Times New Roman" w:cs="Times New Roman"/>
          <w:sz w:val="24"/>
          <w:szCs w:val="24"/>
        </w:rPr>
        <w:t>during the period the</w:t>
      </w:r>
      <w:r w:rsidR="00F502EB">
        <w:rPr>
          <w:rFonts w:ascii="Times New Roman" w:hAnsi="Times New Roman" w:cs="Times New Roman"/>
          <w:sz w:val="24"/>
          <w:szCs w:val="24"/>
        </w:rPr>
        <w:t xml:space="preserve"> 48-month period July 2012</w:t>
      </w:r>
      <w:r w:rsidR="0049595F">
        <w:rPr>
          <w:rFonts w:ascii="Times New Roman" w:hAnsi="Times New Roman" w:cs="Times New Roman"/>
          <w:sz w:val="24"/>
          <w:szCs w:val="24"/>
        </w:rPr>
        <w:t xml:space="preserve"> to July 2016.  PECO Exhibit 2.  </w:t>
      </w:r>
    </w:p>
    <w:p w:rsidR="00E919E6" w:rsidRDefault="00E919E6" w:rsidP="00595FD6">
      <w:pPr>
        <w:spacing w:after="0" w:line="360" w:lineRule="auto"/>
        <w:ind w:firstLine="1440"/>
        <w:rPr>
          <w:rFonts w:ascii="Times New Roman" w:hAnsi="Times New Roman" w:cs="Times New Roman"/>
          <w:sz w:val="24"/>
          <w:szCs w:val="24"/>
        </w:rPr>
      </w:pPr>
    </w:p>
    <w:p w:rsidR="0055036E"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r>
      <w:r w:rsidR="0055036E" w:rsidRPr="003C3F6A">
        <w:rPr>
          <w:rFonts w:ascii="Times New Roman" w:hAnsi="Times New Roman" w:cs="Times New Roman"/>
          <w:sz w:val="24"/>
          <w:szCs w:val="24"/>
        </w:rPr>
        <w:t>As of the day of the hearing, Complainants’ balance on the first floor account with PECO was $2,239.41.</w:t>
      </w:r>
      <w:r w:rsidR="0055036E">
        <w:rPr>
          <w:rFonts w:ascii="Times New Roman" w:hAnsi="Times New Roman" w:cs="Times New Roman"/>
          <w:sz w:val="24"/>
          <w:szCs w:val="24"/>
        </w:rPr>
        <w:t xml:space="preserve"> </w:t>
      </w:r>
      <w:r w:rsidR="0055036E" w:rsidRPr="003C3F6A">
        <w:rPr>
          <w:rFonts w:ascii="Times New Roman" w:hAnsi="Times New Roman" w:cs="Times New Roman"/>
          <w:sz w:val="24"/>
          <w:szCs w:val="24"/>
        </w:rPr>
        <w:t xml:space="preserve"> Tr. 165, PECO Exhibit 1.</w:t>
      </w:r>
      <w:r w:rsidR="0055036E">
        <w:rPr>
          <w:rFonts w:ascii="Times New Roman" w:hAnsi="Times New Roman" w:cs="Times New Roman"/>
          <w:sz w:val="24"/>
          <w:szCs w:val="24"/>
        </w:rPr>
        <w:t xml:space="preserve">  </w:t>
      </w:r>
    </w:p>
    <w:p w:rsidR="0055036E" w:rsidRDefault="0055036E" w:rsidP="00595FD6">
      <w:pPr>
        <w:spacing w:after="0" w:line="360" w:lineRule="auto"/>
        <w:ind w:firstLine="1440"/>
        <w:rPr>
          <w:rFonts w:ascii="Times New Roman" w:hAnsi="Times New Roman" w:cs="Times New Roman"/>
          <w:sz w:val="24"/>
          <w:szCs w:val="24"/>
        </w:rPr>
      </w:pPr>
    </w:p>
    <w:p w:rsidR="0055036E"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61.</w:t>
      </w:r>
      <w:r>
        <w:rPr>
          <w:rFonts w:ascii="Times New Roman" w:hAnsi="Times New Roman" w:cs="Times New Roman"/>
          <w:sz w:val="24"/>
          <w:szCs w:val="24"/>
        </w:rPr>
        <w:tab/>
      </w:r>
      <w:r w:rsidR="0055036E" w:rsidRPr="003C3F6A">
        <w:rPr>
          <w:rFonts w:ascii="Times New Roman" w:hAnsi="Times New Roman" w:cs="Times New Roman"/>
          <w:sz w:val="24"/>
          <w:szCs w:val="24"/>
        </w:rPr>
        <w:t xml:space="preserve">As of the day of the hearing, Complainants’ balance on the second floor account with PECO was $1,113.44. </w:t>
      </w:r>
      <w:r w:rsidR="0055036E">
        <w:rPr>
          <w:rFonts w:ascii="Times New Roman" w:hAnsi="Times New Roman" w:cs="Times New Roman"/>
          <w:sz w:val="24"/>
          <w:szCs w:val="24"/>
        </w:rPr>
        <w:t xml:space="preserve"> </w:t>
      </w:r>
      <w:r w:rsidR="0055036E" w:rsidRPr="003C3F6A">
        <w:rPr>
          <w:rFonts w:ascii="Times New Roman" w:hAnsi="Times New Roman" w:cs="Times New Roman"/>
          <w:sz w:val="24"/>
          <w:szCs w:val="24"/>
        </w:rPr>
        <w:t>Tr. 167, PECO Exhibit 2.</w:t>
      </w:r>
    </w:p>
    <w:p w:rsidR="00E919E6" w:rsidRDefault="00E919E6"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727DE4">
        <w:rPr>
          <w:rFonts w:ascii="Times New Roman" w:hAnsi="Times New Roman" w:cs="Times New Roman"/>
          <w:sz w:val="24"/>
          <w:szCs w:val="24"/>
        </w:rPr>
        <w:t>Mr. Segarra’s gross income i</w:t>
      </w:r>
      <w:r w:rsidR="00727DE4" w:rsidRPr="003C3F6A">
        <w:rPr>
          <w:rFonts w:ascii="Times New Roman" w:hAnsi="Times New Roman" w:cs="Times New Roman"/>
          <w:sz w:val="24"/>
          <w:szCs w:val="24"/>
        </w:rPr>
        <w:t>s approximately $700.00 biweekly.  Tr. 194.</w:t>
      </w:r>
      <w:r w:rsidR="00727DE4">
        <w:rPr>
          <w:rFonts w:ascii="Times New Roman" w:hAnsi="Times New Roman" w:cs="Times New Roman"/>
          <w:sz w:val="24"/>
          <w:szCs w:val="24"/>
        </w:rPr>
        <w:t xml:space="preserve">  </w:t>
      </w:r>
    </w:p>
    <w:p w:rsidR="00944B00" w:rsidRDefault="00944B00"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727DE4">
        <w:rPr>
          <w:rFonts w:ascii="Times New Roman" w:hAnsi="Times New Roman" w:cs="Times New Roman"/>
          <w:sz w:val="24"/>
          <w:szCs w:val="24"/>
        </w:rPr>
        <w:t>Ms. Vasquez is employed full-</w:t>
      </w:r>
      <w:r w:rsidR="00727DE4" w:rsidRPr="003C3F6A">
        <w:rPr>
          <w:rFonts w:ascii="Times New Roman" w:hAnsi="Times New Roman" w:cs="Times New Roman"/>
          <w:sz w:val="24"/>
          <w:szCs w:val="24"/>
        </w:rPr>
        <w:t>time with American Telecast. Tr. 195.</w:t>
      </w:r>
      <w:r w:rsidR="00727DE4">
        <w:rPr>
          <w:rFonts w:ascii="Times New Roman" w:hAnsi="Times New Roman" w:cs="Times New Roman"/>
          <w:sz w:val="24"/>
          <w:szCs w:val="24"/>
        </w:rPr>
        <w:t xml:space="preserve"> </w:t>
      </w:r>
    </w:p>
    <w:p w:rsidR="00BC6561" w:rsidRDefault="00727DE4"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727DE4" w:rsidRPr="003C3F6A">
        <w:rPr>
          <w:rFonts w:ascii="Times New Roman" w:hAnsi="Times New Roman" w:cs="Times New Roman"/>
          <w:sz w:val="24"/>
          <w:szCs w:val="24"/>
        </w:rPr>
        <w:t>Ms. Vasquez’ gross income is $</w:t>
      </w:r>
      <w:r w:rsidR="00727DE4">
        <w:rPr>
          <w:rFonts w:ascii="Times New Roman" w:hAnsi="Times New Roman" w:cs="Times New Roman"/>
          <w:sz w:val="24"/>
          <w:szCs w:val="24"/>
        </w:rPr>
        <w:t>1,280</w:t>
      </w:r>
      <w:r w:rsidR="00727DE4" w:rsidRPr="003C3F6A">
        <w:rPr>
          <w:rFonts w:ascii="Times New Roman" w:hAnsi="Times New Roman" w:cs="Times New Roman"/>
          <w:sz w:val="24"/>
          <w:szCs w:val="24"/>
        </w:rPr>
        <w:t>.00 biweekly at a pay rate of $16.00 per hour for 40 hours per week.  Tr. 195.</w:t>
      </w:r>
      <w:r w:rsidR="00727DE4">
        <w:rPr>
          <w:rFonts w:ascii="Times New Roman" w:hAnsi="Times New Roman" w:cs="Times New Roman"/>
          <w:sz w:val="24"/>
          <w:szCs w:val="24"/>
        </w:rPr>
        <w:t xml:space="preserve">  </w:t>
      </w:r>
    </w:p>
    <w:p w:rsidR="00E919E6" w:rsidRDefault="00E919E6" w:rsidP="00595FD6">
      <w:pPr>
        <w:spacing w:after="0" w:line="360" w:lineRule="auto"/>
        <w:ind w:firstLine="1440"/>
        <w:rPr>
          <w:rFonts w:ascii="Times New Roman" w:hAnsi="Times New Roman" w:cs="Times New Roman"/>
          <w:sz w:val="24"/>
          <w:szCs w:val="24"/>
        </w:rPr>
      </w:pPr>
    </w:p>
    <w:p w:rsidR="00727DE4" w:rsidRPr="003C3F6A"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727DE4" w:rsidRPr="003C3F6A">
        <w:rPr>
          <w:rFonts w:ascii="Times New Roman" w:hAnsi="Times New Roman" w:cs="Times New Roman"/>
          <w:sz w:val="24"/>
          <w:szCs w:val="24"/>
        </w:rPr>
        <w:t>Complainants’ gross household income is $3,960 per month.  Tr. 205</w:t>
      </w:r>
      <w:r w:rsidR="00727DE4">
        <w:rPr>
          <w:rFonts w:ascii="Times New Roman" w:hAnsi="Times New Roman" w:cs="Times New Roman"/>
          <w:sz w:val="24"/>
          <w:szCs w:val="24"/>
        </w:rPr>
        <w:t>.</w:t>
      </w:r>
    </w:p>
    <w:p w:rsidR="00727DE4" w:rsidRDefault="00727DE4" w:rsidP="00595FD6">
      <w:pPr>
        <w:spacing w:after="0" w:line="360" w:lineRule="auto"/>
        <w:ind w:firstLine="1440"/>
        <w:rPr>
          <w:rFonts w:ascii="Times New Roman" w:hAnsi="Times New Roman" w:cs="Times New Roman"/>
          <w:sz w:val="24"/>
          <w:szCs w:val="24"/>
        </w:rPr>
      </w:pPr>
    </w:p>
    <w:p w:rsidR="00727DE4" w:rsidRDefault="00BC6561" w:rsidP="00595FD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T</w:t>
      </w:r>
      <w:r w:rsidR="00727DE4" w:rsidRPr="003C3F6A">
        <w:rPr>
          <w:rFonts w:ascii="Times New Roman" w:hAnsi="Times New Roman" w:cs="Times New Roman"/>
          <w:sz w:val="24"/>
          <w:szCs w:val="24"/>
        </w:rPr>
        <w:t>he Complainants have entered into and defaulted on three Company</w:t>
      </w:r>
      <w:r w:rsidR="00727DE4">
        <w:rPr>
          <w:rFonts w:ascii="Times New Roman" w:hAnsi="Times New Roman" w:cs="Times New Roman"/>
          <w:sz w:val="24"/>
          <w:szCs w:val="24"/>
        </w:rPr>
        <w:t xml:space="preserve">-issued payment arrangements.  </w:t>
      </w:r>
      <w:r w:rsidR="00727DE4" w:rsidRPr="003C3F6A">
        <w:rPr>
          <w:rFonts w:ascii="Times New Roman" w:hAnsi="Times New Roman" w:cs="Times New Roman"/>
          <w:sz w:val="24"/>
          <w:szCs w:val="24"/>
        </w:rPr>
        <w:t xml:space="preserve">Tr. 165, PECO Exhibit 3.  </w:t>
      </w:r>
    </w:p>
    <w:p w:rsidR="00B9468B" w:rsidRDefault="00B9468B">
      <w:pPr>
        <w:rPr>
          <w:rFonts w:ascii="Times New Roman" w:eastAsia="Times New Roman" w:hAnsi="Times New Roman" w:cs="Times New Roman"/>
          <w:sz w:val="24"/>
          <w:szCs w:val="24"/>
          <w:u w:val="single"/>
        </w:rPr>
      </w:pPr>
    </w:p>
    <w:p w:rsidR="00037EC6" w:rsidRPr="003C3F6A" w:rsidRDefault="00037EC6" w:rsidP="003C3F6A">
      <w:pPr>
        <w:spacing w:after="0" w:line="360" w:lineRule="auto"/>
        <w:jc w:val="center"/>
        <w:rPr>
          <w:rFonts w:ascii="Times New Roman" w:eastAsia="Times New Roman" w:hAnsi="Times New Roman" w:cs="Times New Roman"/>
          <w:sz w:val="24"/>
          <w:szCs w:val="24"/>
          <w:u w:val="single"/>
        </w:rPr>
      </w:pPr>
      <w:r w:rsidRPr="003C3F6A">
        <w:rPr>
          <w:rFonts w:ascii="Times New Roman" w:eastAsia="Times New Roman" w:hAnsi="Times New Roman" w:cs="Times New Roman"/>
          <w:sz w:val="24"/>
          <w:szCs w:val="24"/>
          <w:u w:val="single"/>
        </w:rPr>
        <w:t>DISCUSSION</w:t>
      </w:r>
    </w:p>
    <w:p w:rsidR="00037EC6" w:rsidRPr="003C3F6A" w:rsidRDefault="00037EC6" w:rsidP="003C3F6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37EC6" w:rsidRDefault="00EA32BC" w:rsidP="003C3F6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C31AF">
        <w:rPr>
          <w:rFonts w:ascii="Times New Roman" w:eastAsia="Times New Roman" w:hAnsi="Times New Roman" w:cs="Times New Roman"/>
          <w:sz w:val="24"/>
          <w:szCs w:val="24"/>
        </w:rPr>
        <w:t>In their</w:t>
      </w:r>
      <w:r w:rsidR="00037EC6" w:rsidRPr="009C31AF">
        <w:rPr>
          <w:rFonts w:ascii="Times New Roman" w:eastAsia="Times New Roman" w:hAnsi="Times New Roman" w:cs="Times New Roman"/>
          <w:sz w:val="24"/>
          <w:szCs w:val="24"/>
        </w:rPr>
        <w:t xml:space="preserve"> formal Complaint, </w:t>
      </w:r>
      <w:r w:rsidRPr="009C31AF">
        <w:rPr>
          <w:rFonts w:ascii="Times New Roman" w:eastAsia="Times New Roman" w:hAnsi="Times New Roman" w:cs="Times New Roman"/>
          <w:sz w:val="24"/>
          <w:szCs w:val="24"/>
        </w:rPr>
        <w:t>the Complainants alleged that the Company is threatening to shut down their service, and that there are incorrect charges on the electricity bills from PECO.  In addition, the Complainants allege that they experienced a reliability, saf</w:t>
      </w:r>
      <w:r w:rsidR="00944B00">
        <w:rPr>
          <w:rFonts w:ascii="Times New Roman" w:eastAsia="Times New Roman" w:hAnsi="Times New Roman" w:cs="Times New Roman"/>
          <w:sz w:val="24"/>
          <w:szCs w:val="24"/>
        </w:rPr>
        <w:t>ety or quality problem with PEC</w:t>
      </w:r>
      <w:r w:rsidRPr="009C31AF">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service which was already repaired by the time of the filing of the Complaint, but which had caused high bills and damages to the Complainants.  As relief, the Complainants requested that PECO assume responsibility for electrical damages to the Complainants’ heater, TVs, laptop and their high bills.  In the alternative, the Complainants requested that the Commission issue a payment arrangement on their behalf.</w:t>
      </w:r>
    </w:p>
    <w:p w:rsidR="00EA32BC" w:rsidRPr="003C3F6A" w:rsidRDefault="00EA32BC" w:rsidP="003C3F6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037EC6" w:rsidRPr="003C3F6A" w:rsidRDefault="00037EC6" w:rsidP="003C3F6A">
      <w:pPr>
        <w:spacing w:after="0" w:line="360" w:lineRule="auto"/>
        <w:ind w:firstLine="1440"/>
        <w:rPr>
          <w:rFonts w:ascii="Times New Roman" w:eastAsia="Times New Roman" w:hAnsi="Times New Roman" w:cs="Times New Roman"/>
          <w:sz w:val="24"/>
          <w:szCs w:val="24"/>
        </w:rPr>
      </w:pPr>
      <w:r w:rsidRPr="003C3F6A">
        <w:rPr>
          <w:rFonts w:ascii="Times New Roman" w:eastAsia="Times New Roman" w:hAnsi="Times New Roman" w:cs="Times New Roman"/>
          <w:sz w:val="24"/>
          <w:szCs w:val="24"/>
        </w:rPr>
        <w:t>As the proponent of a rule or order, the Complainant</w:t>
      </w:r>
      <w:r w:rsidR="005B4F69">
        <w:rPr>
          <w:rFonts w:ascii="Times New Roman" w:eastAsia="Times New Roman" w:hAnsi="Times New Roman" w:cs="Times New Roman"/>
          <w:sz w:val="24"/>
          <w:szCs w:val="24"/>
        </w:rPr>
        <w:t>s</w:t>
      </w:r>
      <w:r w:rsidRPr="003C3F6A">
        <w:rPr>
          <w:rFonts w:ascii="Times New Roman" w:eastAsia="Times New Roman" w:hAnsi="Times New Roman" w:cs="Times New Roman"/>
          <w:sz w:val="24"/>
          <w:szCs w:val="24"/>
        </w:rPr>
        <w:t xml:space="preserve"> in this proceeding bear the burden of proof pursuant to Section 332(a) of the Public Utility Code (Code), 66 Pa.C.S. § 332(a).  In </w:t>
      </w:r>
      <w:r w:rsidRPr="003C3F6A">
        <w:rPr>
          <w:rFonts w:ascii="Times New Roman" w:eastAsia="Times New Roman" w:hAnsi="Times New Roman" w:cs="Times New Roman"/>
          <w:i/>
          <w:sz w:val="24"/>
          <w:szCs w:val="24"/>
        </w:rPr>
        <w:t>Waldron v. Philadelphia Electric Company</w:t>
      </w:r>
      <w:r w:rsidRPr="003C3F6A">
        <w:rPr>
          <w:rFonts w:ascii="Times New Roman" w:eastAsia="Times New Roman" w:hAnsi="Times New Roman" w:cs="Times New Roman"/>
          <w:sz w:val="24"/>
          <w:szCs w:val="24"/>
        </w:rPr>
        <w:t>, 54 Pa. PUC 98 (1980) (</w:t>
      </w:r>
      <w:r w:rsidRPr="003C3F6A">
        <w:rPr>
          <w:rFonts w:ascii="Times New Roman" w:eastAsia="Times New Roman" w:hAnsi="Times New Roman" w:cs="Times New Roman"/>
          <w:i/>
          <w:sz w:val="24"/>
          <w:szCs w:val="24"/>
        </w:rPr>
        <w:t>Waldron</w:t>
      </w:r>
      <w:r w:rsidRPr="003C3F6A">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3C3F6A">
        <w:rPr>
          <w:rFonts w:ascii="Times New Roman" w:eastAsia="Times New Roman" w:hAnsi="Times New Roman" w:cs="Times New Roman"/>
          <w:bCs/>
          <w:i/>
          <w:sz w:val="24"/>
          <w:szCs w:val="24"/>
        </w:rPr>
        <w:t>prima facie</w:t>
      </w:r>
      <w:r w:rsidRPr="003C3F6A">
        <w:rPr>
          <w:rFonts w:ascii="Times New Roman" w:eastAsia="Times New Roman" w:hAnsi="Times New Roman" w:cs="Times New Roman"/>
          <w:sz w:val="24"/>
          <w:szCs w:val="24"/>
        </w:rPr>
        <w:t xml:space="preserve"> case, showing that the utility breached some duty owed to the </w:t>
      </w:r>
      <w:r w:rsidRPr="003C3F6A">
        <w:rPr>
          <w:rFonts w:ascii="Times New Roman" w:eastAsia="Times New Roman" w:hAnsi="Times New Roman" w:cs="Times New Roman"/>
          <w:sz w:val="24"/>
          <w:szCs w:val="24"/>
        </w:rPr>
        <w:lastRenderedPageBreak/>
        <w:t xml:space="preserve">complainant, in that the utility violated the Public Utility Code or a regulation or order of the Commission.  </w:t>
      </w:r>
      <w:hyperlink r:id="rId9" w:history="1">
        <w:r w:rsidRPr="003C3F6A">
          <w:rPr>
            <w:rFonts w:ascii="Times New Roman" w:eastAsia="Times New Roman" w:hAnsi="Times New Roman" w:cs="Times New Roman"/>
            <w:sz w:val="24"/>
            <w:szCs w:val="24"/>
          </w:rPr>
          <w:t>66 Pa.C.S. § 701</w:t>
        </w:r>
      </w:hyperlink>
      <w:r w:rsidRPr="003C3F6A">
        <w:rPr>
          <w:rFonts w:ascii="Times New Roman" w:eastAsia="Times New Roman" w:hAnsi="Times New Roman" w:cs="Times New Roman"/>
          <w:sz w:val="24"/>
          <w:szCs w:val="24"/>
        </w:rPr>
        <w:t xml:space="preserve">.  If the complainant establishes a </w:t>
      </w:r>
      <w:r w:rsidRPr="003C3F6A">
        <w:rPr>
          <w:rFonts w:ascii="Times New Roman" w:eastAsia="Times New Roman" w:hAnsi="Times New Roman" w:cs="Times New Roman"/>
          <w:bCs/>
          <w:i/>
          <w:sz w:val="24"/>
          <w:szCs w:val="24"/>
        </w:rPr>
        <w:t>prima facie</w:t>
      </w:r>
      <w:r w:rsidRPr="003C3F6A">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3C3F6A">
        <w:rPr>
          <w:rFonts w:ascii="Times New Roman" w:eastAsia="Times New Roman" w:hAnsi="Times New Roman" w:cs="Times New Roman"/>
          <w:bCs/>
          <w:i/>
          <w:sz w:val="24"/>
          <w:szCs w:val="24"/>
        </w:rPr>
        <w:t>prima facie</w:t>
      </w:r>
      <w:r w:rsidRPr="003C3F6A">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10" w:history="1">
        <w:r w:rsidRPr="003C3F6A">
          <w:rPr>
            <w:rFonts w:ascii="Times New Roman" w:eastAsia="Times New Roman" w:hAnsi="Times New Roman" w:cs="Times New Roman"/>
            <w:i/>
            <w:sz w:val="24"/>
            <w:szCs w:val="24"/>
          </w:rPr>
          <w:t>Poorbaugh v. West Penn Power Company</w:t>
        </w:r>
        <w:r w:rsidRPr="003C3F6A">
          <w:rPr>
            <w:rFonts w:ascii="Times New Roman" w:eastAsia="Times New Roman" w:hAnsi="Times New Roman" w:cs="Times New Roman"/>
            <w:sz w:val="24"/>
            <w:szCs w:val="24"/>
          </w:rPr>
          <w:t>, 1994 Pa. PUC LEXIS 95</w:t>
        </w:r>
      </w:hyperlink>
      <w:r w:rsidRPr="003C3F6A">
        <w:rPr>
          <w:rFonts w:ascii="Times New Roman" w:eastAsia="Times New Roman" w:hAnsi="Times New Roman" w:cs="Times New Roman"/>
          <w:sz w:val="24"/>
          <w:szCs w:val="24"/>
        </w:rPr>
        <w:t xml:space="preserve"> (</w:t>
      </w:r>
      <w:r w:rsidRPr="003C3F6A">
        <w:rPr>
          <w:rFonts w:ascii="Times New Roman" w:eastAsia="Times New Roman" w:hAnsi="Times New Roman" w:cs="Times New Roman"/>
          <w:i/>
          <w:sz w:val="24"/>
          <w:szCs w:val="24"/>
        </w:rPr>
        <w:t>Poorbaugh</w:t>
      </w:r>
      <w:r w:rsidRPr="003C3F6A">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3C3F6A">
        <w:rPr>
          <w:rFonts w:ascii="Times New Roman" w:eastAsia="Times New Roman" w:hAnsi="Times New Roman" w:cs="Times New Roman"/>
          <w:i/>
          <w:iCs/>
          <w:sz w:val="24"/>
          <w:szCs w:val="24"/>
        </w:rPr>
        <w:t>Samuel J. Lansberry, Inc. v. Pa. Pub. Util. Comm’n,</w:t>
      </w:r>
      <w:r w:rsidRPr="003C3F6A">
        <w:rPr>
          <w:rFonts w:ascii="Times New Roman" w:eastAsia="Times New Roman" w:hAnsi="Times New Roman" w:cs="Times New Roman"/>
          <w:sz w:val="24"/>
          <w:szCs w:val="24"/>
        </w:rPr>
        <w:t xml:space="preserve"> 578 A.2d 600 (Pa.Cmwlth. 1990) </w:t>
      </w:r>
      <w:r w:rsidRPr="003C3F6A">
        <w:rPr>
          <w:rFonts w:ascii="Times New Roman" w:eastAsia="Times New Roman" w:hAnsi="Times New Roman" w:cs="Times New Roman"/>
          <w:i/>
          <w:iCs/>
          <w:sz w:val="24"/>
          <w:szCs w:val="24"/>
        </w:rPr>
        <w:t>alloc. den.</w:t>
      </w:r>
      <w:r w:rsidRPr="003C3F6A">
        <w:rPr>
          <w:rFonts w:ascii="Times New Roman" w:eastAsia="Times New Roman" w:hAnsi="Times New Roman" w:cs="Times New Roman"/>
          <w:sz w:val="24"/>
          <w:szCs w:val="24"/>
        </w:rPr>
        <w:t xml:space="preserve">, 602 A.2d 863 (Pa.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3C3F6A">
        <w:rPr>
          <w:rFonts w:ascii="Times New Roman" w:eastAsia="Times New Roman" w:hAnsi="Times New Roman" w:cs="Times New Roman"/>
          <w:i/>
          <w:iCs/>
          <w:sz w:val="24"/>
          <w:szCs w:val="24"/>
        </w:rPr>
        <w:t>Norfolk and Western Railway Co. v. Pa. Pub. Util. Comm’n</w:t>
      </w:r>
      <w:r w:rsidRPr="003C3F6A">
        <w:rPr>
          <w:rFonts w:ascii="Times New Roman" w:eastAsia="Times New Roman" w:hAnsi="Times New Roman" w:cs="Times New Roman"/>
          <w:sz w:val="24"/>
          <w:szCs w:val="24"/>
        </w:rPr>
        <w:t>, 413 A.2d 1037 (Pa. 1980).</w:t>
      </w:r>
    </w:p>
    <w:p w:rsidR="00037EC6" w:rsidRPr="003C3F6A" w:rsidRDefault="00037EC6" w:rsidP="003C3F6A">
      <w:pPr>
        <w:spacing w:after="0" w:line="360" w:lineRule="auto"/>
        <w:ind w:firstLine="1440"/>
        <w:rPr>
          <w:rFonts w:ascii="Times New Roman" w:eastAsia="Times New Roman" w:hAnsi="Times New Roman" w:cs="Times New Roman"/>
          <w:sz w:val="24"/>
          <w:szCs w:val="24"/>
        </w:rPr>
      </w:pPr>
    </w:p>
    <w:p w:rsidR="00037EC6" w:rsidRPr="003C3F6A" w:rsidRDefault="00037EC6" w:rsidP="003C3F6A">
      <w:pPr>
        <w:spacing w:after="0" w:line="360" w:lineRule="auto"/>
        <w:ind w:firstLine="1440"/>
        <w:rPr>
          <w:rFonts w:ascii="Times New Roman" w:eastAsia="Times New Roman" w:hAnsi="Times New Roman" w:cs="Times New Roman"/>
          <w:sz w:val="24"/>
          <w:szCs w:val="24"/>
        </w:rPr>
      </w:pPr>
      <w:r w:rsidRPr="003C3F6A">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3C3F6A">
        <w:rPr>
          <w:rFonts w:ascii="Times New Roman" w:eastAsia="Times New Roman" w:hAnsi="Times New Roman" w:cs="Times New Roman"/>
          <w:i/>
          <w:iCs/>
          <w:sz w:val="24"/>
          <w:szCs w:val="24"/>
        </w:rPr>
        <w:t>Burleson v. Pa. Pub. Util. Comm’n</w:t>
      </w:r>
      <w:r w:rsidRPr="003C3F6A">
        <w:rPr>
          <w:rFonts w:ascii="Times New Roman" w:eastAsia="Times New Roman" w:hAnsi="Times New Roman" w:cs="Times New Roman"/>
          <w:sz w:val="24"/>
          <w:szCs w:val="24"/>
        </w:rPr>
        <w:t xml:space="preserve">, 443 A.2d 1373 (Pa.Cmwlth. 1982), </w:t>
      </w:r>
      <w:r w:rsidRPr="003C3F6A">
        <w:rPr>
          <w:rFonts w:ascii="Times New Roman" w:eastAsia="Times New Roman" w:hAnsi="Times New Roman" w:cs="Times New Roman"/>
          <w:i/>
          <w:iCs/>
          <w:sz w:val="24"/>
          <w:szCs w:val="24"/>
        </w:rPr>
        <w:t>aff'd</w:t>
      </w:r>
      <w:r w:rsidRPr="003C3F6A">
        <w:rPr>
          <w:rFonts w:ascii="Times New Roman" w:eastAsia="Times New Roman" w:hAnsi="Times New Roman" w:cs="Times New Roman"/>
          <w:sz w:val="24"/>
          <w:szCs w:val="24"/>
        </w:rPr>
        <w:t xml:space="preserve">, 461 A.2d 1234 (Pa. 1983).  </w:t>
      </w:r>
    </w:p>
    <w:p w:rsidR="00037EC6" w:rsidRPr="003C3F6A" w:rsidRDefault="00037EC6" w:rsidP="003C3F6A">
      <w:pPr>
        <w:spacing w:after="0" w:line="360" w:lineRule="auto"/>
        <w:ind w:firstLine="1440"/>
        <w:rPr>
          <w:rFonts w:ascii="Times New Roman" w:eastAsia="Times New Roman" w:hAnsi="Times New Roman" w:cs="Times New Roman"/>
          <w:sz w:val="24"/>
          <w:szCs w:val="24"/>
        </w:rPr>
      </w:pPr>
    </w:p>
    <w:p w:rsidR="00037EC6" w:rsidRDefault="00037EC6" w:rsidP="003C3F6A">
      <w:pPr>
        <w:spacing w:after="0" w:line="360" w:lineRule="auto"/>
        <w:ind w:firstLine="1440"/>
        <w:rPr>
          <w:rFonts w:ascii="Times New Roman" w:eastAsia="Times New Roman" w:hAnsi="Times New Roman" w:cs="Times New Roman"/>
          <w:sz w:val="24"/>
          <w:szCs w:val="24"/>
        </w:rPr>
      </w:pPr>
      <w:r w:rsidRPr="003C3F6A">
        <w:rPr>
          <w:rFonts w:ascii="Times New Roman" w:eastAsia="Times New Roman" w:hAnsi="Times New Roman" w:cs="Times New Roman"/>
          <w:sz w:val="24"/>
          <w:szCs w:val="24"/>
        </w:rPr>
        <w:t xml:space="preserve">While the </w:t>
      </w:r>
      <w:r w:rsidRPr="003C3F6A">
        <w:rPr>
          <w:rFonts w:ascii="Times New Roman" w:eastAsia="Times New Roman" w:hAnsi="Times New Roman" w:cs="Times New Roman"/>
          <w:bCs/>
          <w:sz w:val="24"/>
          <w:szCs w:val="24"/>
        </w:rPr>
        <w:t>burden of persuasion</w:t>
      </w:r>
      <w:r w:rsidRPr="003C3F6A">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3C3F6A">
        <w:rPr>
          <w:rFonts w:ascii="Times New Roman" w:eastAsia="Times New Roman" w:hAnsi="Times New Roman" w:cs="Times New Roman"/>
          <w:i/>
          <w:iCs/>
          <w:sz w:val="24"/>
          <w:szCs w:val="24"/>
        </w:rPr>
        <w:t>Milkie v. Pa. Pub. Util. Comm’n</w:t>
      </w:r>
      <w:r w:rsidRPr="003C3F6A">
        <w:rPr>
          <w:rFonts w:ascii="Times New Roman" w:eastAsia="Times New Roman" w:hAnsi="Times New Roman" w:cs="Times New Roman"/>
          <w:sz w:val="24"/>
          <w:szCs w:val="24"/>
        </w:rPr>
        <w:t>, 768 A.2d 1217 (Pa.Cmwlth. 2001).</w:t>
      </w:r>
    </w:p>
    <w:p w:rsidR="000B594B" w:rsidRDefault="000B594B">
      <w:pPr>
        <w:rPr>
          <w:rFonts w:ascii="Times New Roman" w:eastAsia="Times New Roman" w:hAnsi="Times New Roman" w:cs="Times New Roman"/>
          <w:b/>
          <w:sz w:val="24"/>
          <w:szCs w:val="24"/>
        </w:rPr>
      </w:pPr>
    </w:p>
    <w:p w:rsidR="009C31AF" w:rsidRDefault="009C31AF" w:rsidP="009C31AF">
      <w:pPr>
        <w:pStyle w:val="ListParagraph"/>
        <w:numPr>
          <w:ilvl w:val="0"/>
          <w:numId w:val="1"/>
        </w:numPr>
        <w:spacing w:after="0" w:line="360" w:lineRule="auto"/>
        <w:rPr>
          <w:rFonts w:ascii="Times New Roman" w:eastAsia="Times New Roman" w:hAnsi="Times New Roman" w:cs="Times New Roman"/>
          <w:b/>
          <w:sz w:val="24"/>
          <w:szCs w:val="24"/>
        </w:rPr>
      </w:pPr>
      <w:r w:rsidRPr="009C31AF">
        <w:rPr>
          <w:rFonts w:ascii="Times New Roman" w:eastAsia="Times New Roman" w:hAnsi="Times New Roman" w:cs="Times New Roman"/>
          <w:b/>
          <w:sz w:val="24"/>
          <w:szCs w:val="24"/>
        </w:rPr>
        <w:t>High billing and inadequate service claim</w:t>
      </w:r>
    </w:p>
    <w:p w:rsidR="00344CCA" w:rsidRPr="009C31AF" w:rsidRDefault="00344CCA" w:rsidP="00344CCA">
      <w:pPr>
        <w:pStyle w:val="ListParagraph"/>
        <w:spacing w:after="0" w:line="360" w:lineRule="auto"/>
        <w:ind w:left="1800"/>
        <w:rPr>
          <w:rFonts w:ascii="Times New Roman" w:eastAsia="Times New Roman" w:hAnsi="Times New Roman" w:cs="Times New Roman"/>
          <w:b/>
          <w:sz w:val="24"/>
          <w:szCs w:val="24"/>
        </w:rPr>
      </w:pPr>
    </w:p>
    <w:p w:rsidR="00037EC6" w:rsidRPr="003C3F6A" w:rsidRDefault="00C20735" w:rsidP="003C3F6A">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S</w:t>
      </w:r>
      <w:r w:rsidRPr="00A542C3">
        <w:rPr>
          <w:rFonts w:ascii="Times New Roman" w:eastAsia="Times New Roman" w:hAnsi="Times New Roman" w:cs="Times New Roman"/>
          <w:sz w:val="24"/>
          <w:szCs w:val="24"/>
        </w:rPr>
        <w:t xml:space="preserve">ection 1501 of the Public Utility Code </w:t>
      </w:r>
      <w:r>
        <w:rPr>
          <w:rFonts w:ascii="Times New Roman" w:eastAsia="Times New Roman" w:hAnsi="Times New Roman" w:cs="Times New Roman"/>
          <w:sz w:val="24"/>
          <w:szCs w:val="24"/>
        </w:rPr>
        <w:t>places on e</w:t>
      </w:r>
      <w:r w:rsidRPr="00A542C3">
        <w:rPr>
          <w:rFonts w:ascii="Times New Roman" w:eastAsia="Times New Roman" w:hAnsi="Times New Roman" w:cs="Times New Roman"/>
          <w:sz w:val="24"/>
          <w:szCs w:val="24"/>
        </w:rPr>
        <w:t xml:space="preserve">very public utility </w:t>
      </w:r>
      <w:r>
        <w:rPr>
          <w:rFonts w:ascii="Times New Roman" w:eastAsia="Times New Roman" w:hAnsi="Times New Roman" w:cs="Times New Roman"/>
          <w:sz w:val="24"/>
          <w:szCs w:val="24"/>
        </w:rPr>
        <w:t xml:space="preserve">a duty to </w:t>
      </w:r>
      <w:r w:rsidRPr="00A542C3">
        <w:rPr>
          <w:rFonts w:ascii="Times New Roman" w:eastAsia="Times New Roman" w:hAnsi="Times New Roman" w:cs="Times New Roman"/>
          <w:sz w:val="24"/>
          <w:szCs w:val="24"/>
        </w:rPr>
        <w:t>furnish and maintain adequate, efficient, safe, and reasonable service and facilities</w:t>
      </w:r>
      <w:r>
        <w:rPr>
          <w:rFonts w:ascii="Times New Roman" w:eastAsia="Times New Roman" w:hAnsi="Times New Roman" w:cs="Times New Roman"/>
          <w:sz w:val="24"/>
          <w:szCs w:val="24"/>
        </w:rPr>
        <w:t xml:space="preserve">.  66 Pa.C.S. </w:t>
      </w:r>
      <w:r>
        <w:rPr>
          <w:rFonts w:ascii="Times New Roman" w:eastAsia="Times New Roman" w:hAnsi="Times New Roman" w:cs="Times New Roman"/>
          <w:sz w:val="24"/>
          <w:szCs w:val="24"/>
        </w:rPr>
        <w:lastRenderedPageBreak/>
        <w:t>§ 1501.</w:t>
      </w:r>
      <w:r>
        <w:rPr>
          <w:rFonts w:ascii="Times New Roman" w:eastAsia="Calibri" w:hAnsi="Times New Roman" w:cs="Times New Roman"/>
          <w:sz w:val="24"/>
          <w:szCs w:val="24"/>
        </w:rPr>
        <w:t xml:space="preserve">  In addition, in</w:t>
      </w:r>
      <w:r w:rsidR="00037EC6" w:rsidRPr="003C3F6A">
        <w:rPr>
          <w:rFonts w:ascii="Times New Roman" w:eastAsia="Calibri" w:hAnsi="Times New Roman" w:cs="Times New Roman"/>
          <w:sz w:val="24"/>
          <w:szCs w:val="24"/>
        </w:rPr>
        <w:t xml:space="preserve"> </w:t>
      </w:r>
      <w:r w:rsidR="00037EC6" w:rsidRPr="003C3F6A">
        <w:rPr>
          <w:rFonts w:ascii="Times New Roman" w:eastAsia="Calibri" w:hAnsi="Times New Roman" w:cs="Times New Roman"/>
          <w:i/>
          <w:iCs/>
          <w:sz w:val="24"/>
          <w:szCs w:val="24"/>
        </w:rPr>
        <w:t>Waldron v. Philadelphia Electric Company, (Waldron)</w:t>
      </w:r>
      <w:r w:rsidR="00037EC6" w:rsidRPr="003C3F6A">
        <w:rPr>
          <w:rFonts w:ascii="Times New Roman" w:eastAsia="Calibri" w:hAnsi="Times New Roman" w:cs="Times New Roman"/>
          <w:sz w:val="24"/>
          <w:szCs w:val="24"/>
        </w:rPr>
        <w:t xml:space="preserve">, 54 Pa. PUC 98 (1980), the Commission adopted the Michigan Public Service Commission’s (PSC’s) policy annunciated in </w:t>
      </w:r>
      <w:r w:rsidR="00037EC6" w:rsidRPr="003C3F6A">
        <w:rPr>
          <w:rFonts w:ascii="Times New Roman" w:eastAsia="Calibri" w:hAnsi="Times New Roman" w:cs="Times New Roman"/>
          <w:i/>
          <w:iCs/>
          <w:sz w:val="24"/>
          <w:szCs w:val="24"/>
        </w:rPr>
        <w:t>Hallifax v. O &amp; A Electric Co-Op</w:t>
      </w:r>
      <w:r w:rsidR="00037EC6" w:rsidRPr="003C3F6A">
        <w:rPr>
          <w:rFonts w:ascii="Times New Roman" w:eastAsia="Calibri" w:hAnsi="Times New Roman" w:cs="Times New Roman"/>
          <w:sz w:val="24"/>
          <w:szCs w:val="24"/>
        </w:rPr>
        <w:t xml:space="preserve">, Case No. U-5825 (May 1979), which stated that, while the accuracy of the meter is an important factor in resolving billing disputes, it is not the sole criterion.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00037EC6" w:rsidRPr="003C3F6A">
        <w:rPr>
          <w:rFonts w:ascii="Times New Roman" w:eastAsia="Calibri" w:hAnsi="Times New Roman" w:cs="Times New Roman"/>
          <w:i/>
          <w:iCs/>
          <w:sz w:val="24"/>
          <w:szCs w:val="24"/>
        </w:rPr>
        <w:t>Waldron</w:t>
      </w:r>
      <w:r w:rsidR="00037EC6" w:rsidRPr="003C3F6A">
        <w:rPr>
          <w:rFonts w:ascii="Times New Roman" w:eastAsia="Calibri" w:hAnsi="Times New Roman" w:cs="Times New Roman"/>
          <w:sz w:val="24"/>
          <w:szCs w:val="24"/>
        </w:rPr>
        <w:t xml:space="preserve"> at 100.</w:t>
      </w:r>
    </w:p>
    <w:p w:rsidR="00037EC6" w:rsidRPr="003C3F6A" w:rsidRDefault="00037EC6" w:rsidP="003C3F6A">
      <w:pPr>
        <w:spacing w:after="0" w:line="360" w:lineRule="auto"/>
        <w:ind w:firstLine="1440"/>
        <w:rPr>
          <w:rFonts w:ascii="Times New Roman" w:eastAsia="Calibri" w:hAnsi="Times New Roman" w:cs="Times New Roman"/>
          <w:sz w:val="24"/>
          <w:szCs w:val="24"/>
        </w:rPr>
      </w:pPr>
    </w:p>
    <w:p w:rsidR="00037EC6" w:rsidRPr="003C3F6A" w:rsidRDefault="00037EC6" w:rsidP="003C3F6A">
      <w:pPr>
        <w:spacing w:after="0" w:line="360" w:lineRule="auto"/>
        <w:ind w:firstLine="1440"/>
        <w:rPr>
          <w:rFonts w:ascii="Times New Roman" w:eastAsia="Calibri" w:hAnsi="Times New Roman" w:cs="Times New Roman"/>
          <w:sz w:val="24"/>
          <w:szCs w:val="24"/>
        </w:rPr>
      </w:pPr>
      <w:r w:rsidRPr="003C3F6A">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3C3F6A">
        <w:rPr>
          <w:rFonts w:ascii="Times New Roman" w:eastAsia="Calibri" w:hAnsi="Times New Roman" w:cs="Times New Roman"/>
          <w:i/>
          <w:iCs/>
          <w:sz w:val="24"/>
          <w:szCs w:val="24"/>
        </w:rPr>
        <w:t>Waldron</w:t>
      </w:r>
      <w:r w:rsidRPr="003C3F6A">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r w:rsidRPr="003C3F6A">
        <w:rPr>
          <w:rFonts w:ascii="Times New Roman" w:eastAsia="Calibri" w:hAnsi="Times New Roman" w:cs="Times New Roman"/>
          <w:i/>
          <w:iCs/>
          <w:sz w:val="24"/>
          <w:szCs w:val="24"/>
        </w:rPr>
        <w:t>Charisse Bennett v. Peoples Natural Gas Co.</w:t>
      </w:r>
      <w:r w:rsidRPr="003C3F6A">
        <w:rPr>
          <w:rFonts w:ascii="Times New Roman" w:eastAsia="Calibri" w:hAnsi="Times New Roman" w:cs="Times New Roman"/>
          <w:sz w:val="24"/>
          <w:szCs w:val="24"/>
        </w:rPr>
        <w:t xml:space="preserve">, Docket No. C-2009-2122979 (Order entered October 13, 2010); </w:t>
      </w:r>
      <w:r w:rsidRPr="003C3F6A">
        <w:rPr>
          <w:rFonts w:ascii="Times New Roman" w:eastAsia="Calibri" w:hAnsi="Times New Roman" w:cs="Times New Roman"/>
          <w:i/>
          <w:iCs/>
          <w:sz w:val="24"/>
          <w:szCs w:val="24"/>
        </w:rPr>
        <w:t>Thomas v. PECO Energy Company</w:t>
      </w:r>
      <w:r w:rsidRPr="003C3F6A">
        <w:rPr>
          <w:rFonts w:ascii="Times New Roman" w:eastAsia="Calibri" w:hAnsi="Times New Roman" w:cs="Times New Roman"/>
          <w:sz w:val="24"/>
          <w:szCs w:val="24"/>
        </w:rPr>
        <w:t>, Docket No. C-2010-2187197 (Order entered November 15, 2011).</w:t>
      </w:r>
    </w:p>
    <w:p w:rsidR="00037EC6" w:rsidRPr="003C3F6A" w:rsidRDefault="00037EC6" w:rsidP="003C3F6A">
      <w:pPr>
        <w:spacing w:after="0" w:line="360" w:lineRule="auto"/>
        <w:ind w:firstLine="1440"/>
        <w:rPr>
          <w:rFonts w:ascii="Times New Roman" w:eastAsia="Calibri" w:hAnsi="Times New Roman" w:cs="Times New Roman"/>
          <w:sz w:val="24"/>
          <w:szCs w:val="24"/>
        </w:rPr>
      </w:pPr>
    </w:p>
    <w:p w:rsidR="00037EC6" w:rsidRPr="003C3F6A" w:rsidRDefault="00037EC6" w:rsidP="003C3F6A">
      <w:pPr>
        <w:spacing w:after="0" w:line="360" w:lineRule="auto"/>
        <w:ind w:firstLine="1440"/>
        <w:rPr>
          <w:rFonts w:ascii="Times New Roman" w:eastAsia="Calibri" w:hAnsi="Times New Roman" w:cs="Times New Roman"/>
          <w:sz w:val="24"/>
          <w:szCs w:val="24"/>
        </w:rPr>
      </w:pPr>
      <w:r w:rsidRPr="003C3F6A">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3C3F6A">
        <w:rPr>
          <w:rFonts w:ascii="Times New Roman" w:eastAsia="Calibri" w:hAnsi="Times New Roman" w:cs="Times New Roman"/>
          <w:i/>
          <w:iCs/>
          <w:sz w:val="24"/>
          <w:szCs w:val="24"/>
        </w:rPr>
        <w:t>Waldron</w:t>
      </w:r>
      <w:r w:rsidRPr="003C3F6A">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3C3F6A">
        <w:rPr>
          <w:rFonts w:ascii="Times New Roman" w:eastAsia="Calibri" w:hAnsi="Times New Roman" w:cs="Times New Roman"/>
          <w:i/>
          <w:iCs/>
          <w:sz w:val="24"/>
          <w:szCs w:val="24"/>
        </w:rPr>
        <w:t>Waldron</w:t>
      </w:r>
      <w:r w:rsidRPr="003C3F6A">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r w:rsidRPr="003C3F6A">
        <w:rPr>
          <w:rFonts w:ascii="Times New Roman" w:eastAsia="Calibri" w:hAnsi="Times New Roman" w:cs="Times New Roman"/>
          <w:i/>
          <w:iCs/>
          <w:sz w:val="24"/>
          <w:szCs w:val="24"/>
        </w:rPr>
        <w:t>Waldron</w:t>
      </w:r>
      <w:r w:rsidRPr="003C3F6A">
        <w:rPr>
          <w:rFonts w:ascii="Times New Roman" w:eastAsia="Calibri" w:hAnsi="Times New Roman" w:cs="Times New Roman"/>
          <w:sz w:val="24"/>
          <w:szCs w:val="24"/>
        </w:rPr>
        <w:t xml:space="preserve"> at 101. </w:t>
      </w:r>
      <w:r w:rsidRPr="003C3F6A">
        <w:rPr>
          <w:rFonts w:ascii="Times New Roman" w:eastAsia="Calibri" w:hAnsi="Times New Roman" w:cs="Times New Roman"/>
          <w:sz w:val="24"/>
          <w:szCs w:val="24"/>
        </w:rPr>
        <w:lastRenderedPageBreak/>
        <w:t xml:space="preserve">Therefore, to establish a prima facie case under </w:t>
      </w:r>
      <w:r w:rsidRPr="003C3F6A">
        <w:rPr>
          <w:rFonts w:ascii="Times New Roman" w:eastAsia="Calibri" w:hAnsi="Times New Roman" w:cs="Times New Roman"/>
          <w:i/>
          <w:iCs/>
          <w:sz w:val="24"/>
          <w:szCs w:val="24"/>
        </w:rPr>
        <w:t>Waldron</w:t>
      </w:r>
      <w:r w:rsidRPr="003C3F6A">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037EC6" w:rsidRPr="003C3F6A" w:rsidRDefault="00037EC6" w:rsidP="003C3F6A">
      <w:pPr>
        <w:spacing w:after="0" w:line="360" w:lineRule="auto"/>
        <w:ind w:firstLine="1440"/>
        <w:rPr>
          <w:rFonts w:ascii="Times New Roman" w:eastAsia="Calibri" w:hAnsi="Times New Roman" w:cs="Times New Roman"/>
          <w:sz w:val="24"/>
          <w:szCs w:val="24"/>
        </w:rPr>
      </w:pPr>
    </w:p>
    <w:p w:rsidR="003C3F6A" w:rsidRPr="009C31AF" w:rsidRDefault="00037EC6" w:rsidP="009C31AF">
      <w:pPr>
        <w:spacing w:after="0" w:line="360" w:lineRule="auto"/>
        <w:ind w:firstLine="1440"/>
        <w:rPr>
          <w:rFonts w:ascii="Times New Roman" w:eastAsia="Calibri" w:hAnsi="Times New Roman" w:cs="Times New Roman"/>
          <w:sz w:val="24"/>
          <w:szCs w:val="24"/>
        </w:rPr>
      </w:pPr>
      <w:r w:rsidRPr="003C3F6A">
        <w:rPr>
          <w:rFonts w:ascii="Times New Roman" w:eastAsia="Calibri" w:hAnsi="Times New Roman" w:cs="Times New Roman"/>
          <w:sz w:val="24"/>
          <w:szCs w:val="24"/>
        </w:rPr>
        <w:t xml:space="preserve">As set forth in </w:t>
      </w:r>
      <w:r w:rsidRPr="003C3F6A">
        <w:rPr>
          <w:rFonts w:ascii="Times New Roman" w:eastAsia="Calibri" w:hAnsi="Times New Roman" w:cs="Times New Roman"/>
          <w:i/>
          <w:iCs/>
          <w:sz w:val="24"/>
          <w:szCs w:val="24"/>
        </w:rPr>
        <w:t>Waldron</w:t>
      </w:r>
      <w:r w:rsidRPr="003C3F6A">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3C3F6A">
        <w:rPr>
          <w:rFonts w:ascii="Times New Roman" w:eastAsia="Calibri" w:hAnsi="Times New Roman" w:cs="Times New Roman"/>
          <w:i/>
          <w:sz w:val="24"/>
          <w:szCs w:val="24"/>
        </w:rPr>
        <w:t>Id.</w:t>
      </w:r>
      <w:r w:rsidRPr="003C3F6A">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BD0C7B" w:rsidRDefault="00BD0C7B" w:rsidP="003C3F6A">
      <w:pPr>
        <w:spacing w:after="0" w:line="360" w:lineRule="auto"/>
        <w:ind w:firstLine="1440"/>
        <w:rPr>
          <w:rFonts w:ascii="Times New Roman" w:eastAsia="Times New Roman" w:hAnsi="Times New Roman" w:cs="Times New Roman"/>
          <w:sz w:val="24"/>
          <w:szCs w:val="24"/>
        </w:rPr>
      </w:pPr>
    </w:p>
    <w:p w:rsidR="003C3F6A" w:rsidRDefault="009C31AF" w:rsidP="003C3F6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At the evidentiary hearing, Mr. Segarra testified that the </w:t>
      </w:r>
      <w:r w:rsidR="003C3F6A" w:rsidRPr="003C3F6A">
        <w:rPr>
          <w:rFonts w:ascii="Times New Roman" w:hAnsi="Times New Roman" w:cs="Times New Roman"/>
          <w:sz w:val="24"/>
          <w:szCs w:val="24"/>
        </w:rPr>
        <w:t>C</w:t>
      </w:r>
      <w:r>
        <w:rPr>
          <w:rFonts w:ascii="Times New Roman" w:hAnsi="Times New Roman" w:cs="Times New Roman"/>
          <w:sz w:val="24"/>
          <w:szCs w:val="24"/>
        </w:rPr>
        <w:t>omplainants</w:t>
      </w:r>
      <w:r w:rsidR="003C3F6A" w:rsidRPr="003C3F6A">
        <w:rPr>
          <w:rFonts w:ascii="Times New Roman" w:hAnsi="Times New Roman" w:cs="Times New Roman"/>
          <w:sz w:val="24"/>
          <w:szCs w:val="24"/>
        </w:rPr>
        <w:t xml:space="preserve"> purchased the Service Address in late 2009 or early 2010.  Tr. 15.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The Service Address was initially set up as a multi-unit residence so it has two PECO meters for electricity.</w:t>
      </w:r>
      <w:r w:rsidR="00F502EB">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 Tr.</w:t>
      </w:r>
      <w:r w:rsidR="00F502EB">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40, 71.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One of the meters serves the first floor of the Service Address and the other serves the second floor.  Tr. 40. </w:t>
      </w:r>
      <w:r>
        <w:rPr>
          <w:rFonts w:ascii="Times New Roman" w:hAnsi="Times New Roman" w:cs="Times New Roman"/>
          <w:sz w:val="24"/>
          <w:szCs w:val="24"/>
        </w:rPr>
        <w:t xml:space="preserve"> </w:t>
      </w:r>
    </w:p>
    <w:p w:rsidR="003C3F6A" w:rsidRDefault="009C31AF" w:rsidP="009C31A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3C3F6A" w:rsidRPr="003C3F6A">
        <w:rPr>
          <w:rFonts w:ascii="Times New Roman" w:hAnsi="Times New Roman" w:cs="Times New Roman"/>
          <w:sz w:val="24"/>
          <w:szCs w:val="24"/>
        </w:rPr>
        <w:t>C</w:t>
      </w:r>
      <w:r>
        <w:rPr>
          <w:rFonts w:ascii="Times New Roman" w:hAnsi="Times New Roman" w:cs="Times New Roman"/>
          <w:sz w:val="24"/>
          <w:szCs w:val="24"/>
        </w:rPr>
        <w:t>omplainants were</w:t>
      </w:r>
      <w:r w:rsidR="003C3F6A" w:rsidRPr="003C3F6A">
        <w:rPr>
          <w:rFonts w:ascii="Times New Roman" w:hAnsi="Times New Roman" w:cs="Times New Roman"/>
          <w:sz w:val="24"/>
          <w:szCs w:val="24"/>
        </w:rPr>
        <w:t xml:space="preserve"> instructed by PECO to have the electric service lines in the house inspected for safety by a licensed electrician before PECO would turn service on </w:t>
      </w:r>
      <w:r w:rsidR="00944B00">
        <w:rPr>
          <w:rFonts w:ascii="Times New Roman" w:hAnsi="Times New Roman" w:cs="Times New Roman"/>
          <w:sz w:val="24"/>
          <w:szCs w:val="24"/>
        </w:rPr>
        <w:t xml:space="preserve">at </w:t>
      </w:r>
      <w:r w:rsidR="003C3F6A" w:rsidRPr="003C3F6A">
        <w:rPr>
          <w:rFonts w:ascii="Times New Roman" w:hAnsi="Times New Roman" w:cs="Times New Roman"/>
          <w:sz w:val="24"/>
          <w:szCs w:val="24"/>
        </w:rPr>
        <w:t>the property.  Tr. 15, 50-51.</w:t>
      </w:r>
    </w:p>
    <w:p w:rsidR="003C3F6A" w:rsidRPr="003C3F6A" w:rsidRDefault="003C3F6A" w:rsidP="003C3F6A">
      <w:pPr>
        <w:spacing w:after="0" w:line="360" w:lineRule="auto"/>
        <w:ind w:firstLine="1440"/>
        <w:rPr>
          <w:rFonts w:ascii="Times New Roman" w:hAnsi="Times New Roman" w:cs="Times New Roman"/>
          <w:sz w:val="24"/>
          <w:szCs w:val="24"/>
        </w:rPr>
      </w:pPr>
    </w:p>
    <w:p w:rsidR="003C3F6A" w:rsidRDefault="009C31AF" w:rsidP="003C3F6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Segarra explained that the house has </w:t>
      </w:r>
      <w:r w:rsidR="003C3F6A" w:rsidRPr="003C3F6A">
        <w:rPr>
          <w:rFonts w:ascii="Times New Roman" w:hAnsi="Times New Roman" w:cs="Times New Roman"/>
          <w:sz w:val="24"/>
          <w:szCs w:val="24"/>
        </w:rPr>
        <w:t>an oil heater</w:t>
      </w:r>
      <w:r w:rsidR="00B83873">
        <w:rPr>
          <w:rFonts w:ascii="Times New Roman" w:hAnsi="Times New Roman" w:cs="Times New Roman"/>
          <w:sz w:val="24"/>
          <w:szCs w:val="24"/>
        </w:rPr>
        <w:t>,</w:t>
      </w:r>
      <w:r w:rsidR="003C3F6A" w:rsidRPr="003C3F6A">
        <w:rPr>
          <w:rFonts w:ascii="Times New Roman" w:hAnsi="Times New Roman" w:cs="Times New Roman"/>
          <w:sz w:val="24"/>
          <w:szCs w:val="24"/>
        </w:rPr>
        <w:t xml:space="preserve"> which uses electricity during the burning process.  Tr. 30, 48-49</w:t>
      </w:r>
      <w:r w:rsidR="003C3F6A">
        <w:rPr>
          <w:rFonts w:ascii="Times New Roman" w:hAnsi="Times New Roman" w:cs="Times New Roman"/>
          <w:sz w:val="24"/>
          <w:szCs w:val="24"/>
        </w:rPr>
        <w:t xml:space="preserve">. </w:t>
      </w:r>
      <w:r>
        <w:rPr>
          <w:rFonts w:ascii="Times New Roman" w:hAnsi="Times New Roman" w:cs="Times New Roman"/>
          <w:sz w:val="24"/>
          <w:szCs w:val="24"/>
        </w:rPr>
        <w:t xml:space="preserve"> </w:t>
      </w:r>
      <w:r w:rsidR="003C3F6A">
        <w:rPr>
          <w:rFonts w:ascii="Times New Roman" w:hAnsi="Times New Roman" w:cs="Times New Roman"/>
          <w:sz w:val="24"/>
          <w:szCs w:val="24"/>
        </w:rPr>
        <w:t>The</w:t>
      </w:r>
      <w:r w:rsidR="003C3F6A" w:rsidRPr="003C3F6A">
        <w:rPr>
          <w:rFonts w:ascii="Times New Roman" w:hAnsi="Times New Roman" w:cs="Times New Roman"/>
          <w:sz w:val="24"/>
          <w:szCs w:val="24"/>
        </w:rPr>
        <w:t xml:space="preserve"> original heater experienced a malfunction in 2010</w:t>
      </w:r>
      <w:r w:rsidRPr="009C31AF">
        <w:rPr>
          <w:rFonts w:ascii="Times New Roman" w:hAnsi="Times New Roman" w:cs="Times New Roman"/>
          <w:sz w:val="24"/>
          <w:szCs w:val="24"/>
        </w:rPr>
        <w:t xml:space="preserve"> </w:t>
      </w:r>
      <w:r>
        <w:rPr>
          <w:rFonts w:ascii="Times New Roman" w:hAnsi="Times New Roman" w:cs="Times New Roman"/>
          <w:sz w:val="24"/>
          <w:szCs w:val="24"/>
        </w:rPr>
        <w:t>and was replaced</w:t>
      </w:r>
      <w:r w:rsidRPr="003C3F6A">
        <w:rPr>
          <w:rFonts w:ascii="Times New Roman" w:hAnsi="Times New Roman" w:cs="Times New Roman"/>
          <w:sz w:val="24"/>
          <w:szCs w:val="24"/>
        </w:rPr>
        <w:t xml:space="preserve"> with a second-</w:t>
      </w:r>
      <w:r>
        <w:rPr>
          <w:rFonts w:ascii="Times New Roman" w:hAnsi="Times New Roman" w:cs="Times New Roman"/>
          <w:sz w:val="24"/>
          <w:szCs w:val="24"/>
        </w:rPr>
        <w:t xml:space="preserve">hand one.  </w:t>
      </w:r>
      <w:r w:rsidR="003C3F6A" w:rsidRPr="003C3F6A">
        <w:rPr>
          <w:rFonts w:ascii="Times New Roman" w:hAnsi="Times New Roman" w:cs="Times New Roman"/>
          <w:sz w:val="24"/>
          <w:szCs w:val="24"/>
        </w:rPr>
        <w:t xml:space="preserve">Tr. 30-31.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According to Mr. Segarra, the second heater also suffered a malfunction right after the PECO transformer </w:t>
      </w:r>
      <w:r>
        <w:rPr>
          <w:rFonts w:ascii="Times New Roman" w:hAnsi="Times New Roman" w:cs="Times New Roman"/>
          <w:sz w:val="24"/>
          <w:szCs w:val="24"/>
        </w:rPr>
        <w:t xml:space="preserve">located in his backyard </w:t>
      </w:r>
      <w:r w:rsidR="003C3F6A" w:rsidRPr="003C3F6A">
        <w:rPr>
          <w:rFonts w:ascii="Times New Roman" w:hAnsi="Times New Roman" w:cs="Times New Roman"/>
          <w:sz w:val="24"/>
          <w:szCs w:val="24"/>
        </w:rPr>
        <w:t>exploded in 2013 or 2014.  Tr. 31.</w:t>
      </w:r>
    </w:p>
    <w:p w:rsidR="00344CCA" w:rsidRDefault="00344CCA">
      <w:pPr>
        <w:rPr>
          <w:rFonts w:ascii="Times New Roman" w:hAnsi="Times New Roman" w:cs="Times New Roman"/>
          <w:sz w:val="24"/>
          <w:szCs w:val="24"/>
        </w:rPr>
      </w:pPr>
    </w:p>
    <w:p w:rsidR="003C3F6A" w:rsidRPr="003C3F6A" w:rsidRDefault="009C31AF" w:rsidP="00944B0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Segarra </w:t>
      </w:r>
      <w:r w:rsidR="003C3F6A" w:rsidRPr="003C3F6A">
        <w:rPr>
          <w:rFonts w:ascii="Times New Roman" w:hAnsi="Times New Roman" w:cs="Times New Roman"/>
          <w:sz w:val="24"/>
          <w:szCs w:val="24"/>
        </w:rPr>
        <w:t>testified that his home was served by three bare electric cables</w:t>
      </w:r>
      <w:r>
        <w:rPr>
          <w:rFonts w:ascii="Times New Roman" w:hAnsi="Times New Roman" w:cs="Times New Roman"/>
          <w:sz w:val="24"/>
          <w:szCs w:val="24"/>
        </w:rPr>
        <w:t>,</w:t>
      </w:r>
      <w:r w:rsidR="003C3F6A" w:rsidRPr="003C3F6A">
        <w:rPr>
          <w:rFonts w:ascii="Times New Roman" w:hAnsi="Times New Roman" w:cs="Times New Roman"/>
          <w:sz w:val="24"/>
          <w:szCs w:val="24"/>
        </w:rPr>
        <w:t xml:space="preserve"> which originated from a </w:t>
      </w:r>
      <w:r>
        <w:rPr>
          <w:rFonts w:ascii="Times New Roman" w:hAnsi="Times New Roman" w:cs="Times New Roman"/>
          <w:sz w:val="24"/>
          <w:szCs w:val="24"/>
        </w:rPr>
        <w:t xml:space="preserve">PECO </w:t>
      </w:r>
      <w:r w:rsidR="003C3F6A" w:rsidRPr="003C3F6A">
        <w:rPr>
          <w:rFonts w:ascii="Times New Roman" w:hAnsi="Times New Roman" w:cs="Times New Roman"/>
          <w:sz w:val="24"/>
          <w:szCs w:val="24"/>
        </w:rPr>
        <w:t xml:space="preserve">transformer on a pole and crossed the neighbor’s overgrown tree </w:t>
      </w:r>
      <w:r>
        <w:rPr>
          <w:rFonts w:ascii="Times New Roman" w:hAnsi="Times New Roman" w:cs="Times New Roman"/>
          <w:sz w:val="24"/>
          <w:szCs w:val="24"/>
        </w:rPr>
        <w:t>before reaching the Complainant</w:t>
      </w:r>
      <w:r w:rsidR="003C3F6A" w:rsidRPr="003C3F6A">
        <w:rPr>
          <w:rFonts w:ascii="Times New Roman" w:hAnsi="Times New Roman" w:cs="Times New Roman"/>
          <w:sz w:val="24"/>
          <w:szCs w:val="24"/>
        </w:rPr>
        <w:t>s</w:t>
      </w:r>
      <w:r>
        <w:rPr>
          <w:rFonts w:ascii="Times New Roman" w:hAnsi="Times New Roman" w:cs="Times New Roman"/>
          <w:sz w:val="24"/>
          <w:szCs w:val="24"/>
        </w:rPr>
        <w:t>’</w:t>
      </w:r>
      <w:r w:rsidR="003C3F6A" w:rsidRPr="003C3F6A">
        <w:rPr>
          <w:rFonts w:ascii="Times New Roman" w:hAnsi="Times New Roman" w:cs="Times New Roman"/>
          <w:sz w:val="24"/>
          <w:szCs w:val="24"/>
        </w:rPr>
        <w:t xml:space="preserve"> house.  Tr.</w:t>
      </w:r>
      <w:r w:rsidR="003C3F6A">
        <w:rPr>
          <w:rFonts w:ascii="Times New Roman" w:hAnsi="Times New Roman" w:cs="Times New Roman"/>
          <w:sz w:val="24"/>
          <w:szCs w:val="24"/>
        </w:rPr>
        <w:t xml:space="preserve"> 18-19.  </w:t>
      </w:r>
      <w:r w:rsidR="003C3F6A" w:rsidRPr="003C3F6A">
        <w:rPr>
          <w:rFonts w:ascii="Times New Roman" w:hAnsi="Times New Roman" w:cs="Times New Roman"/>
          <w:sz w:val="24"/>
          <w:szCs w:val="24"/>
        </w:rPr>
        <w:t>According to</w:t>
      </w:r>
      <w:r>
        <w:rPr>
          <w:rFonts w:ascii="Times New Roman" w:hAnsi="Times New Roman" w:cs="Times New Roman"/>
          <w:sz w:val="24"/>
          <w:szCs w:val="24"/>
        </w:rPr>
        <w:t xml:space="preserve"> Mr. Segarra</w:t>
      </w:r>
      <w:r w:rsidR="003C3F6A" w:rsidRPr="003C3F6A">
        <w:rPr>
          <w:rFonts w:ascii="Times New Roman" w:hAnsi="Times New Roman" w:cs="Times New Roman"/>
          <w:sz w:val="24"/>
          <w:szCs w:val="24"/>
        </w:rPr>
        <w:t xml:space="preserve">, the three wires laid low and the tree was never cut.  Tr. 17.  </w:t>
      </w:r>
      <w:r>
        <w:rPr>
          <w:rFonts w:ascii="Times New Roman" w:hAnsi="Times New Roman" w:cs="Times New Roman"/>
          <w:sz w:val="24"/>
          <w:szCs w:val="24"/>
        </w:rPr>
        <w:t>He maintained that a</w:t>
      </w:r>
      <w:r w:rsidR="003C3F6A" w:rsidRPr="003C3F6A">
        <w:rPr>
          <w:rFonts w:ascii="Times New Roman" w:hAnsi="Times New Roman" w:cs="Times New Roman"/>
          <w:sz w:val="24"/>
          <w:szCs w:val="24"/>
        </w:rPr>
        <w:t>ny wind or any kind of movement would cause the wires to touch each other</w:t>
      </w:r>
      <w:r>
        <w:rPr>
          <w:rFonts w:ascii="Times New Roman" w:hAnsi="Times New Roman" w:cs="Times New Roman"/>
          <w:sz w:val="24"/>
          <w:szCs w:val="24"/>
        </w:rPr>
        <w:t>,</w:t>
      </w:r>
      <w:r w:rsidR="003C3F6A" w:rsidRPr="003C3F6A">
        <w:rPr>
          <w:rFonts w:ascii="Times New Roman" w:hAnsi="Times New Roman" w:cs="Times New Roman"/>
          <w:sz w:val="24"/>
          <w:szCs w:val="24"/>
        </w:rPr>
        <w:t xml:space="preserve"> causing arcs and surges.  Tr. 17</w:t>
      </w:r>
      <w:r w:rsidR="008C0256">
        <w:rPr>
          <w:rFonts w:ascii="Times New Roman" w:hAnsi="Times New Roman" w:cs="Times New Roman"/>
          <w:sz w:val="24"/>
          <w:szCs w:val="24"/>
        </w:rPr>
        <w:t>, Complainant Exhibit 1</w:t>
      </w:r>
      <w:r w:rsidR="003C3F6A" w:rsidRPr="003C3F6A">
        <w:rPr>
          <w:rFonts w:ascii="Times New Roman" w:hAnsi="Times New Roman" w:cs="Times New Roman"/>
          <w:sz w:val="24"/>
          <w:szCs w:val="24"/>
        </w:rPr>
        <w:t xml:space="preserve">. </w:t>
      </w:r>
    </w:p>
    <w:p w:rsidR="003C3F6A" w:rsidRDefault="009C31AF" w:rsidP="008C025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Mr. Segarra </w:t>
      </w:r>
      <w:r w:rsidR="003C3F6A" w:rsidRPr="003C3F6A">
        <w:rPr>
          <w:rFonts w:ascii="Times New Roman" w:hAnsi="Times New Roman" w:cs="Times New Roman"/>
          <w:sz w:val="24"/>
          <w:szCs w:val="24"/>
        </w:rPr>
        <w:t xml:space="preserve">contacted PECO on October 21, 2013, to complain about the condition of the cables in relation to the neighbor’s tree.  Tr. 19. </w:t>
      </w:r>
      <w:r>
        <w:rPr>
          <w:rFonts w:ascii="Times New Roman" w:hAnsi="Times New Roman" w:cs="Times New Roman"/>
          <w:sz w:val="24"/>
          <w:szCs w:val="24"/>
        </w:rPr>
        <w:t xml:space="preserve"> He testified that t</w:t>
      </w:r>
      <w:r w:rsidR="003C3F6A" w:rsidRPr="003C3F6A">
        <w:rPr>
          <w:rFonts w:ascii="Times New Roman" w:hAnsi="Times New Roman" w:cs="Times New Roman"/>
          <w:sz w:val="24"/>
          <w:szCs w:val="24"/>
        </w:rPr>
        <w:t>he transformer on the pole exploded in late 2013 or early 2014.  Tr. 25, 62</w:t>
      </w:r>
      <w:r w:rsidR="008C0256">
        <w:rPr>
          <w:rFonts w:ascii="Times New Roman" w:hAnsi="Times New Roman" w:cs="Times New Roman"/>
          <w:sz w:val="24"/>
          <w:szCs w:val="24"/>
        </w:rPr>
        <w:t>,</w:t>
      </w:r>
      <w:r w:rsidR="008C0256" w:rsidRPr="008C0256">
        <w:rPr>
          <w:rFonts w:ascii="Times New Roman" w:hAnsi="Times New Roman" w:cs="Times New Roman"/>
          <w:sz w:val="24"/>
          <w:szCs w:val="24"/>
        </w:rPr>
        <w:t xml:space="preserve"> </w:t>
      </w:r>
      <w:r w:rsidR="008C0256">
        <w:rPr>
          <w:rFonts w:ascii="Times New Roman" w:hAnsi="Times New Roman" w:cs="Times New Roman"/>
          <w:sz w:val="24"/>
          <w:szCs w:val="24"/>
        </w:rPr>
        <w:t>Complainant Exhibit 1</w:t>
      </w:r>
      <w:r w:rsidR="003C3F6A" w:rsidRPr="003C3F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F6A">
        <w:rPr>
          <w:rFonts w:ascii="Times New Roman" w:hAnsi="Times New Roman" w:cs="Times New Roman"/>
          <w:sz w:val="24"/>
          <w:szCs w:val="24"/>
        </w:rPr>
        <w:t>According to Mr. Segarra</w:t>
      </w:r>
      <w:r w:rsidRPr="00B60900">
        <w:rPr>
          <w:rFonts w:ascii="Times New Roman" w:hAnsi="Times New Roman" w:cs="Times New Roman"/>
          <w:sz w:val="24"/>
          <w:szCs w:val="24"/>
        </w:rPr>
        <w:t xml:space="preserve">, that same transformer had exploded before.  Tr. 25.  </w:t>
      </w:r>
      <w:r w:rsidR="003C3F6A" w:rsidRPr="00B60900">
        <w:rPr>
          <w:rFonts w:ascii="Times New Roman" w:hAnsi="Times New Roman" w:cs="Times New Roman"/>
          <w:sz w:val="24"/>
          <w:szCs w:val="24"/>
        </w:rPr>
        <w:t>In 2014, PECO replaced the three bare wire</w:t>
      </w:r>
      <w:r w:rsidR="003C3F6A" w:rsidRPr="003C3F6A">
        <w:rPr>
          <w:rFonts w:ascii="Times New Roman" w:hAnsi="Times New Roman" w:cs="Times New Roman"/>
          <w:sz w:val="24"/>
          <w:szCs w:val="24"/>
        </w:rPr>
        <w:t xml:space="preserve"> cables </w:t>
      </w:r>
      <w:r>
        <w:rPr>
          <w:rFonts w:ascii="Times New Roman" w:hAnsi="Times New Roman" w:cs="Times New Roman"/>
          <w:sz w:val="24"/>
          <w:szCs w:val="24"/>
        </w:rPr>
        <w:t xml:space="preserve">with </w:t>
      </w:r>
      <w:r w:rsidR="003C3F6A" w:rsidRPr="003C3F6A">
        <w:rPr>
          <w:rFonts w:ascii="Times New Roman" w:hAnsi="Times New Roman" w:cs="Times New Roman"/>
          <w:sz w:val="24"/>
          <w:szCs w:val="24"/>
        </w:rPr>
        <w:t xml:space="preserve">a single insulated one.  Tr. 31.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Around the same time, PECO replaced the transformer</w:t>
      </w:r>
      <w:r>
        <w:rPr>
          <w:rFonts w:ascii="Times New Roman" w:hAnsi="Times New Roman" w:cs="Times New Roman"/>
          <w:sz w:val="24"/>
          <w:szCs w:val="24"/>
        </w:rPr>
        <w:t xml:space="preserve"> serving the Service Address</w:t>
      </w:r>
      <w:r w:rsidR="003C3F6A" w:rsidRPr="003C3F6A">
        <w:rPr>
          <w:rFonts w:ascii="Times New Roman" w:hAnsi="Times New Roman" w:cs="Times New Roman"/>
          <w:sz w:val="24"/>
          <w:szCs w:val="24"/>
        </w:rPr>
        <w:t xml:space="preserve">.  Tr. 25, 31.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Mr. Segarra testified that after PECO </w:t>
      </w:r>
      <w:r>
        <w:rPr>
          <w:rFonts w:ascii="Times New Roman" w:hAnsi="Times New Roman" w:cs="Times New Roman"/>
          <w:sz w:val="24"/>
          <w:szCs w:val="24"/>
        </w:rPr>
        <w:t xml:space="preserve">replaced its equipment the </w:t>
      </w:r>
      <w:r w:rsidRPr="00113BE8">
        <w:rPr>
          <w:rFonts w:ascii="Times New Roman" w:hAnsi="Times New Roman" w:cs="Times New Roman"/>
          <w:sz w:val="24"/>
          <w:szCs w:val="24"/>
        </w:rPr>
        <w:t>Complainants did not experience any more flickering lights at the Service Address</w:t>
      </w:r>
      <w:r w:rsidR="003C3F6A" w:rsidRPr="00113BE8">
        <w:rPr>
          <w:rFonts w:ascii="Times New Roman" w:hAnsi="Times New Roman" w:cs="Times New Roman"/>
          <w:sz w:val="24"/>
          <w:szCs w:val="24"/>
        </w:rPr>
        <w:t>.  Tr. 159.</w:t>
      </w:r>
      <w:r w:rsidR="009135EF" w:rsidRPr="00113BE8">
        <w:rPr>
          <w:rFonts w:ascii="Times New Roman" w:hAnsi="Times New Roman" w:cs="Times New Roman"/>
          <w:sz w:val="24"/>
          <w:szCs w:val="24"/>
        </w:rPr>
        <w:t xml:space="preserve">  Mr. Segarra testified that throughout this process PECO suggested to him several times to get an electrician to check the wiring inside the house for a possible cause for the fluctuation in his lights and power.  Tr. 200-201.</w:t>
      </w:r>
    </w:p>
    <w:p w:rsidR="003C3F6A" w:rsidRPr="003C3F6A" w:rsidRDefault="003C3F6A" w:rsidP="003C3F6A">
      <w:pPr>
        <w:spacing w:after="0" w:line="360" w:lineRule="auto"/>
        <w:ind w:firstLine="1440"/>
        <w:rPr>
          <w:rFonts w:ascii="Times New Roman" w:hAnsi="Times New Roman" w:cs="Times New Roman"/>
          <w:sz w:val="24"/>
          <w:szCs w:val="24"/>
        </w:rPr>
      </w:pPr>
    </w:p>
    <w:p w:rsidR="003C3F6A" w:rsidRPr="00113BE8"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 xml:space="preserve">As of the day of the hearing, Mr. Segarra had not </w:t>
      </w:r>
      <w:r w:rsidR="00344CCA">
        <w:rPr>
          <w:rFonts w:ascii="Times New Roman" w:hAnsi="Times New Roman" w:cs="Times New Roman"/>
          <w:sz w:val="24"/>
          <w:szCs w:val="24"/>
        </w:rPr>
        <w:t>replaced the house heater.  Tr. </w:t>
      </w:r>
      <w:r w:rsidRPr="003C3F6A">
        <w:rPr>
          <w:rFonts w:ascii="Times New Roman" w:hAnsi="Times New Roman" w:cs="Times New Roman"/>
          <w:sz w:val="24"/>
          <w:szCs w:val="24"/>
        </w:rPr>
        <w:t xml:space="preserve">43, 48.  Mr. Segarra now </w:t>
      </w:r>
      <w:r w:rsidRPr="00113BE8">
        <w:rPr>
          <w:rFonts w:ascii="Times New Roman" w:hAnsi="Times New Roman" w:cs="Times New Roman"/>
          <w:sz w:val="24"/>
          <w:szCs w:val="24"/>
        </w:rPr>
        <w:t xml:space="preserve">heats his home with the help of electric baseboard heating and some space heaters.  Tr. 74. </w:t>
      </w:r>
      <w:r w:rsidR="00113BE8" w:rsidRPr="00113BE8">
        <w:rPr>
          <w:rFonts w:ascii="Times New Roman" w:hAnsi="Times New Roman" w:cs="Times New Roman"/>
          <w:sz w:val="24"/>
          <w:szCs w:val="24"/>
        </w:rPr>
        <w:t xml:space="preserve"> </w:t>
      </w:r>
      <w:r w:rsidRPr="00113BE8">
        <w:rPr>
          <w:rFonts w:ascii="Times New Roman" w:hAnsi="Times New Roman" w:cs="Times New Roman"/>
          <w:sz w:val="24"/>
          <w:szCs w:val="24"/>
        </w:rPr>
        <w:t xml:space="preserve">Mr. Segarra testified that </w:t>
      </w:r>
      <w:r w:rsidR="00113BE8" w:rsidRPr="00113BE8">
        <w:rPr>
          <w:rFonts w:ascii="Times New Roman" w:hAnsi="Times New Roman" w:cs="Times New Roman"/>
          <w:sz w:val="24"/>
          <w:szCs w:val="24"/>
        </w:rPr>
        <w:t>he has either serviced or replaced w</w:t>
      </w:r>
      <w:r w:rsidRPr="00113BE8">
        <w:rPr>
          <w:rFonts w:ascii="Times New Roman" w:hAnsi="Times New Roman" w:cs="Times New Roman"/>
          <w:sz w:val="24"/>
          <w:szCs w:val="24"/>
        </w:rPr>
        <w:t>ater pipes, heating pipes</w:t>
      </w:r>
      <w:r w:rsidR="00113BE8" w:rsidRPr="00113BE8">
        <w:rPr>
          <w:rFonts w:ascii="Times New Roman" w:hAnsi="Times New Roman" w:cs="Times New Roman"/>
          <w:sz w:val="24"/>
          <w:szCs w:val="24"/>
        </w:rPr>
        <w:t xml:space="preserve">, and radiators inside the Service Address.  </w:t>
      </w:r>
      <w:r w:rsidRPr="00113BE8">
        <w:rPr>
          <w:rFonts w:ascii="Times New Roman" w:hAnsi="Times New Roman" w:cs="Times New Roman"/>
          <w:sz w:val="24"/>
          <w:szCs w:val="24"/>
        </w:rPr>
        <w:t>Tr. 42.</w:t>
      </w:r>
      <w:r w:rsidR="00113BE8" w:rsidRPr="00113BE8">
        <w:rPr>
          <w:rFonts w:ascii="Times New Roman" w:hAnsi="Times New Roman" w:cs="Times New Roman"/>
          <w:sz w:val="24"/>
          <w:szCs w:val="24"/>
        </w:rPr>
        <w:t xml:space="preserve"> </w:t>
      </w:r>
      <w:r w:rsidRPr="00113BE8">
        <w:rPr>
          <w:rFonts w:ascii="Times New Roman" w:hAnsi="Times New Roman" w:cs="Times New Roman"/>
          <w:sz w:val="24"/>
          <w:szCs w:val="24"/>
        </w:rPr>
        <w:t xml:space="preserve"> He also testified that after he performed the repairs at his residence, his electricity bills became “more stable and where they are supposed to be because in the prior two years they were dramatically higher that what you are seeing now.”  Tr. 42, 48.</w:t>
      </w:r>
    </w:p>
    <w:p w:rsidR="003C3F6A" w:rsidRPr="00113BE8" w:rsidRDefault="003C3F6A" w:rsidP="003C3F6A">
      <w:pPr>
        <w:spacing w:after="0" w:line="360" w:lineRule="auto"/>
        <w:ind w:firstLine="1440"/>
        <w:rPr>
          <w:rFonts w:ascii="Times New Roman" w:hAnsi="Times New Roman" w:cs="Times New Roman"/>
          <w:sz w:val="24"/>
          <w:szCs w:val="24"/>
        </w:rPr>
      </w:pPr>
    </w:p>
    <w:p w:rsidR="003C3F6A" w:rsidRDefault="005B4F69" w:rsidP="003C3F6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Segarra argued</w:t>
      </w:r>
      <w:r w:rsidR="003C3F6A" w:rsidRPr="003C3F6A">
        <w:rPr>
          <w:rFonts w:ascii="Times New Roman" w:hAnsi="Times New Roman" w:cs="Times New Roman"/>
          <w:sz w:val="24"/>
          <w:szCs w:val="24"/>
        </w:rPr>
        <w:t xml:space="preserve"> that, because PECO failed to trim his neighbor’s tree or to better insulate its facilities that crossed over that tree, it is responsible for the damages sustained by the appliances in the Complainant’s home.  He argued that the untrimmed branches of his neighbor’s tree caused the three bare wires to touch.  The touching of the wires caused surges of power which damaged his electric appliances.  In particular, he argued that the surges damaged a large, heavy duty refrigerator</w:t>
      </w:r>
      <w:r w:rsidR="00113BE8">
        <w:rPr>
          <w:rFonts w:ascii="Times New Roman" w:hAnsi="Times New Roman" w:cs="Times New Roman"/>
          <w:sz w:val="24"/>
          <w:szCs w:val="24"/>
        </w:rPr>
        <w:t xml:space="preserve"> causing it</w:t>
      </w:r>
      <w:r w:rsidR="003C3F6A" w:rsidRPr="003C3F6A">
        <w:rPr>
          <w:rFonts w:ascii="Times New Roman" w:hAnsi="Times New Roman" w:cs="Times New Roman"/>
          <w:sz w:val="24"/>
          <w:szCs w:val="24"/>
        </w:rPr>
        <w:t xml:space="preserve"> to draw more electricity than normal.  Tr. 41-42. </w:t>
      </w:r>
      <w:r w:rsidR="00113BE8">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In addition, he argued that the power surges damaged his oil house heater rendering it inoperable and forcing the Complainant to heat his home using electric space heaters and electric baseboards.  Tr. 42. </w:t>
      </w:r>
      <w:r w:rsidR="00113BE8">
        <w:rPr>
          <w:rFonts w:ascii="Times New Roman" w:hAnsi="Times New Roman" w:cs="Times New Roman"/>
          <w:sz w:val="24"/>
          <w:szCs w:val="24"/>
        </w:rPr>
        <w:t xml:space="preserve"> </w:t>
      </w:r>
      <w:r w:rsidR="003C3F6A" w:rsidRPr="003C3F6A">
        <w:rPr>
          <w:rFonts w:ascii="Times New Roman" w:hAnsi="Times New Roman" w:cs="Times New Roman"/>
          <w:sz w:val="24"/>
          <w:szCs w:val="24"/>
        </w:rPr>
        <w:t>In turn, the use of electric baseboards and electric space heaters for heating purposes has inc</w:t>
      </w:r>
      <w:r w:rsidR="00113BE8">
        <w:rPr>
          <w:rFonts w:ascii="Times New Roman" w:hAnsi="Times New Roman" w:cs="Times New Roman"/>
          <w:sz w:val="24"/>
          <w:szCs w:val="24"/>
        </w:rPr>
        <w:t>reased his electricity usage.  He requested</w:t>
      </w:r>
      <w:r w:rsidR="003C3F6A" w:rsidRPr="003C3F6A">
        <w:rPr>
          <w:rFonts w:ascii="Times New Roman" w:hAnsi="Times New Roman" w:cs="Times New Roman"/>
          <w:sz w:val="24"/>
          <w:szCs w:val="24"/>
        </w:rPr>
        <w:t xml:space="preserve"> that PECO replace his house heater, and/or assume responsibility for a portion of his electric bills by removing his </w:t>
      </w:r>
      <w:r w:rsidR="00113BE8">
        <w:rPr>
          <w:rFonts w:ascii="Times New Roman" w:hAnsi="Times New Roman" w:cs="Times New Roman"/>
          <w:sz w:val="24"/>
          <w:szCs w:val="24"/>
        </w:rPr>
        <w:t xml:space="preserve">entire </w:t>
      </w:r>
      <w:r w:rsidR="003C3F6A" w:rsidRPr="003C3F6A">
        <w:rPr>
          <w:rFonts w:ascii="Times New Roman" w:hAnsi="Times New Roman" w:cs="Times New Roman"/>
          <w:sz w:val="24"/>
          <w:szCs w:val="24"/>
        </w:rPr>
        <w:t xml:space="preserve">outstanding </w:t>
      </w:r>
      <w:r w:rsidR="003C3F6A" w:rsidRPr="003C3F6A">
        <w:rPr>
          <w:rFonts w:ascii="Times New Roman" w:hAnsi="Times New Roman" w:cs="Times New Roman"/>
          <w:sz w:val="24"/>
          <w:szCs w:val="24"/>
        </w:rPr>
        <w:lastRenderedPageBreak/>
        <w:t xml:space="preserve">balance.  Tr. 42, 44, 45. </w:t>
      </w:r>
      <w:r w:rsidR="00113BE8">
        <w:rPr>
          <w:rFonts w:ascii="Times New Roman" w:hAnsi="Times New Roman" w:cs="Times New Roman"/>
          <w:sz w:val="24"/>
          <w:szCs w:val="24"/>
        </w:rPr>
        <w:t xml:space="preserve"> In the alternative, he requested</w:t>
      </w:r>
      <w:r w:rsidR="003C3F6A" w:rsidRPr="003C3F6A">
        <w:rPr>
          <w:rFonts w:ascii="Times New Roman" w:hAnsi="Times New Roman" w:cs="Times New Roman"/>
          <w:sz w:val="24"/>
          <w:szCs w:val="24"/>
        </w:rPr>
        <w:t xml:space="preserve"> a Commission-issued payment arrangement.  Tr. 46</w:t>
      </w:r>
      <w:r w:rsidR="003C3F6A">
        <w:rPr>
          <w:rFonts w:ascii="Times New Roman" w:hAnsi="Times New Roman" w:cs="Times New Roman"/>
          <w:sz w:val="24"/>
          <w:szCs w:val="24"/>
        </w:rPr>
        <w:t>.</w:t>
      </w:r>
    </w:p>
    <w:p w:rsidR="003C3F6A" w:rsidRPr="003C3F6A" w:rsidRDefault="003C3F6A" w:rsidP="003C3F6A">
      <w:pPr>
        <w:spacing w:after="0" w:line="360" w:lineRule="auto"/>
        <w:ind w:firstLine="1440"/>
        <w:rPr>
          <w:rFonts w:ascii="Times New Roman" w:hAnsi="Times New Roman" w:cs="Times New Roman"/>
          <w:sz w:val="24"/>
          <w:szCs w:val="24"/>
        </w:rPr>
      </w:pPr>
    </w:p>
    <w:p w:rsidR="003C3F6A" w:rsidRP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During cross-examination, Mr. Segarra admitted that he has not made a payment toward</w:t>
      </w:r>
      <w:r w:rsidR="00113BE8">
        <w:rPr>
          <w:rFonts w:ascii="Times New Roman" w:hAnsi="Times New Roman" w:cs="Times New Roman"/>
          <w:sz w:val="24"/>
          <w:szCs w:val="24"/>
        </w:rPr>
        <w:t>s his PECO account for the 1</w:t>
      </w:r>
      <w:r w:rsidR="00113BE8" w:rsidRPr="00113BE8">
        <w:rPr>
          <w:rFonts w:ascii="Times New Roman" w:hAnsi="Times New Roman" w:cs="Times New Roman"/>
          <w:sz w:val="24"/>
          <w:szCs w:val="24"/>
          <w:vertAlign w:val="superscript"/>
        </w:rPr>
        <w:t>st</w:t>
      </w:r>
      <w:r w:rsidRPr="003C3F6A">
        <w:rPr>
          <w:rFonts w:ascii="Times New Roman" w:hAnsi="Times New Roman" w:cs="Times New Roman"/>
          <w:sz w:val="24"/>
          <w:szCs w:val="24"/>
        </w:rPr>
        <w:t xml:space="preserve"> floor since January 2016. </w:t>
      </w:r>
      <w:r w:rsidR="00113BE8">
        <w:rPr>
          <w:rFonts w:ascii="Times New Roman" w:hAnsi="Times New Roman" w:cs="Times New Roman"/>
          <w:sz w:val="24"/>
          <w:szCs w:val="24"/>
        </w:rPr>
        <w:t xml:space="preserve"> </w:t>
      </w:r>
      <w:r w:rsidRPr="003C3F6A">
        <w:rPr>
          <w:rFonts w:ascii="Times New Roman" w:hAnsi="Times New Roman" w:cs="Times New Roman"/>
          <w:sz w:val="24"/>
          <w:szCs w:val="24"/>
        </w:rPr>
        <w:t xml:space="preserve">Tr. 66-67. </w:t>
      </w:r>
      <w:r w:rsidR="00113BE8">
        <w:rPr>
          <w:rFonts w:ascii="Times New Roman" w:hAnsi="Times New Roman" w:cs="Times New Roman"/>
          <w:sz w:val="24"/>
          <w:szCs w:val="24"/>
        </w:rPr>
        <w:t xml:space="preserve"> </w:t>
      </w:r>
      <w:r w:rsidRPr="003C3F6A">
        <w:rPr>
          <w:rFonts w:ascii="Times New Roman" w:hAnsi="Times New Roman" w:cs="Times New Roman"/>
          <w:sz w:val="24"/>
          <w:szCs w:val="24"/>
        </w:rPr>
        <w:t xml:space="preserve">He also admitted that he has not made a payment towards his PECO account for the </w:t>
      </w:r>
      <w:r w:rsidR="00113BE8">
        <w:rPr>
          <w:rFonts w:ascii="Times New Roman" w:hAnsi="Times New Roman" w:cs="Times New Roman"/>
          <w:sz w:val="24"/>
          <w:szCs w:val="24"/>
        </w:rPr>
        <w:t>2</w:t>
      </w:r>
      <w:r w:rsidR="00113BE8" w:rsidRPr="00113BE8">
        <w:rPr>
          <w:rFonts w:ascii="Times New Roman" w:hAnsi="Times New Roman" w:cs="Times New Roman"/>
          <w:sz w:val="24"/>
          <w:szCs w:val="24"/>
          <w:vertAlign w:val="superscript"/>
        </w:rPr>
        <w:t>nd</w:t>
      </w:r>
      <w:r w:rsidR="00113BE8">
        <w:rPr>
          <w:rFonts w:ascii="Times New Roman" w:hAnsi="Times New Roman" w:cs="Times New Roman"/>
          <w:sz w:val="24"/>
          <w:szCs w:val="24"/>
        </w:rPr>
        <w:t xml:space="preserve"> </w:t>
      </w:r>
      <w:r w:rsidRPr="003C3F6A">
        <w:rPr>
          <w:rFonts w:ascii="Times New Roman" w:hAnsi="Times New Roman" w:cs="Times New Roman"/>
          <w:sz w:val="24"/>
          <w:szCs w:val="24"/>
        </w:rPr>
        <w:t xml:space="preserve">floor since August 2015. </w:t>
      </w:r>
      <w:r w:rsidR="008C0256">
        <w:rPr>
          <w:rFonts w:ascii="Times New Roman" w:hAnsi="Times New Roman" w:cs="Times New Roman"/>
          <w:sz w:val="24"/>
          <w:szCs w:val="24"/>
        </w:rPr>
        <w:t xml:space="preserve"> </w:t>
      </w:r>
      <w:r w:rsidR="00810EF7">
        <w:rPr>
          <w:rFonts w:ascii="Times New Roman" w:hAnsi="Times New Roman" w:cs="Times New Roman"/>
          <w:sz w:val="24"/>
          <w:szCs w:val="24"/>
        </w:rPr>
        <w:t>Tr. </w:t>
      </w:r>
      <w:r w:rsidRPr="003C3F6A">
        <w:rPr>
          <w:rFonts w:ascii="Times New Roman" w:hAnsi="Times New Roman" w:cs="Times New Roman"/>
          <w:sz w:val="24"/>
          <w:szCs w:val="24"/>
        </w:rPr>
        <w:t>66.</w:t>
      </w:r>
    </w:p>
    <w:p w:rsidR="00113BE8" w:rsidRDefault="00113BE8" w:rsidP="003C3F6A">
      <w:pPr>
        <w:spacing w:after="0" w:line="360" w:lineRule="auto"/>
        <w:rPr>
          <w:rFonts w:ascii="Times New Roman" w:hAnsi="Times New Roman" w:cs="Times New Roman"/>
          <w:sz w:val="24"/>
          <w:szCs w:val="24"/>
        </w:rPr>
      </w:pPr>
    </w:p>
    <w:p w:rsidR="00AE2F4A" w:rsidRDefault="00113BE8" w:rsidP="00AE2F4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response to Mr. Segarra’s testimony, PECO presented the testimony of </w:t>
      </w:r>
      <w:r w:rsidR="003C3F6A" w:rsidRPr="003C3F6A">
        <w:rPr>
          <w:rFonts w:ascii="Times New Roman" w:hAnsi="Times New Roman" w:cs="Times New Roman"/>
          <w:sz w:val="24"/>
          <w:szCs w:val="24"/>
        </w:rPr>
        <w:t>Thomas Lerro</w:t>
      </w:r>
      <w:r>
        <w:rPr>
          <w:rFonts w:ascii="Times New Roman" w:hAnsi="Times New Roman" w:cs="Times New Roman"/>
          <w:sz w:val="24"/>
          <w:szCs w:val="24"/>
        </w:rPr>
        <w:t>, who</w:t>
      </w:r>
      <w:r w:rsidR="003C3F6A" w:rsidRPr="003C3F6A">
        <w:rPr>
          <w:rFonts w:ascii="Times New Roman" w:hAnsi="Times New Roman" w:cs="Times New Roman"/>
          <w:sz w:val="24"/>
          <w:szCs w:val="24"/>
        </w:rPr>
        <w:t xml:space="preserve"> testified as a senior f</w:t>
      </w:r>
      <w:r>
        <w:rPr>
          <w:rFonts w:ascii="Times New Roman" w:hAnsi="Times New Roman" w:cs="Times New Roman"/>
          <w:sz w:val="24"/>
          <w:szCs w:val="24"/>
        </w:rPr>
        <w:t xml:space="preserve">ield foreman for PECO.  Tr. 70.  Mr. Lerro testified that, as part of its </w:t>
      </w:r>
      <w:r w:rsidRPr="003C3F6A">
        <w:rPr>
          <w:rFonts w:ascii="Times New Roman" w:hAnsi="Times New Roman" w:cs="Times New Roman"/>
          <w:sz w:val="24"/>
          <w:szCs w:val="24"/>
        </w:rPr>
        <w:t>smart meter deployment program</w:t>
      </w:r>
      <w:r>
        <w:rPr>
          <w:rFonts w:ascii="Times New Roman" w:hAnsi="Times New Roman" w:cs="Times New Roman"/>
          <w:sz w:val="24"/>
          <w:szCs w:val="24"/>
        </w:rPr>
        <w:t xml:space="preserve">, PECO had replaced the electric meter serving the </w:t>
      </w:r>
      <w:r w:rsidR="00AE2F4A">
        <w:rPr>
          <w:rFonts w:ascii="Times New Roman" w:hAnsi="Times New Roman" w:cs="Times New Roman"/>
          <w:sz w:val="24"/>
          <w:szCs w:val="24"/>
        </w:rPr>
        <w:t xml:space="preserve">Complainants' </w:t>
      </w:r>
      <w:r w:rsidR="003C3F6A" w:rsidRPr="003C3F6A">
        <w:rPr>
          <w:rFonts w:ascii="Times New Roman" w:hAnsi="Times New Roman" w:cs="Times New Roman"/>
          <w:sz w:val="24"/>
          <w:szCs w:val="24"/>
        </w:rPr>
        <w:t>1</w:t>
      </w:r>
      <w:r w:rsidR="003C3F6A" w:rsidRPr="003C3F6A">
        <w:rPr>
          <w:rFonts w:ascii="Times New Roman" w:hAnsi="Times New Roman" w:cs="Times New Roman"/>
          <w:sz w:val="24"/>
          <w:szCs w:val="24"/>
          <w:vertAlign w:val="superscript"/>
        </w:rPr>
        <w:t>st</w:t>
      </w:r>
      <w:r w:rsidR="003C3F6A" w:rsidRPr="003C3F6A">
        <w:rPr>
          <w:rFonts w:ascii="Times New Roman" w:hAnsi="Times New Roman" w:cs="Times New Roman"/>
          <w:sz w:val="24"/>
          <w:szCs w:val="24"/>
        </w:rPr>
        <w:t xml:space="preserve"> floor </w:t>
      </w:r>
      <w:r w:rsidR="00AE2F4A">
        <w:rPr>
          <w:rFonts w:ascii="Times New Roman" w:hAnsi="Times New Roman" w:cs="Times New Roman"/>
          <w:sz w:val="24"/>
          <w:szCs w:val="24"/>
        </w:rPr>
        <w:t>o</w:t>
      </w:r>
      <w:r w:rsidR="00AE2F4A" w:rsidRPr="003C3F6A">
        <w:rPr>
          <w:rFonts w:ascii="Times New Roman" w:hAnsi="Times New Roman" w:cs="Times New Roman"/>
          <w:sz w:val="24"/>
          <w:szCs w:val="24"/>
        </w:rPr>
        <w:t>n May 9, 2014,</w:t>
      </w:r>
      <w:r w:rsidR="003C3F6A">
        <w:rPr>
          <w:rFonts w:ascii="Times New Roman" w:hAnsi="Times New Roman" w:cs="Times New Roman"/>
          <w:sz w:val="24"/>
          <w:szCs w:val="24"/>
        </w:rPr>
        <w:t xml:space="preserve"> </w:t>
      </w:r>
      <w:r w:rsidR="00AE2F4A">
        <w:rPr>
          <w:rFonts w:ascii="Times New Roman" w:hAnsi="Times New Roman" w:cs="Times New Roman"/>
          <w:sz w:val="24"/>
          <w:szCs w:val="24"/>
        </w:rPr>
        <w:t>and the electric meter serving the Complainants’</w:t>
      </w:r>
      <w:r w:rsidR="003C3F6A" w:rsidRPr="003C3F6A">
        <w:rPr>
          <w:rFonts w:ascii="Times New Roman" w:hAnsi="Times New Roman" w:cs="Times New Roman"/>
          <w:sz w:val="24"/>
          <w:szCs w:val="24"/>
        </w:rPr>
        <w:t xml:space="preserve"> 2</w:t>
      </w:r>
      <w:r w:rsidR="003C3F6A" w:rsidRPr="003C3F6A">
        <w:rPr>
          <w:rFonts w:ascii="Times New Roman" w:hAnsi="Times New Roman" w:cs="Times New Roman"/>
          <w:sz w:val="24"/>
          <w:szCs w:val="24"/>
          <w:vertAlign w:val="superscript"/>
        </w:rPr>
        <w:t>nd</w:t>
      </w:r>
      <w:r w:rsidR="003C3F6A" w:rsidRPr="003C3F6A">
        <w:rPr>
          <w:rFonts w:ascii="Times New Roman" w:hAnsi="Times New Roman" w:cs="Times New Roman"/>
          <w:sz w:val="24"/>
          <w:szCs w:val="24"/>
        </w:rPr>
        <w:t xml:space="preserve"> floor </w:t>
      </w:r>
      <w:r w:rsidR="00AE2F4A">
        <w:rPr>
          <w:rFonts w:ascii="Times New Roman" w:hAnsi="Times New Roman" w:cs="Times New Roman"/>
          <w:sz w:val="24"/>
          <w:szCs w:val="24"/>
        </w:rPr>
        <w:t>o</w:t>
      </w:r>
      <w:r w:rsidR="00AE2F4A" w:rsidRPr="003C3F6A">
        <w:rPr>
          <w:rFonts w:ascii="Times New Roman" w:hAnsi="Times New Roman" w:cs="Times New Roman"/>
          <w:sz w:val="24"/>
          <w:szCs w:val="24"/>
        </w:rPr>
        <w:t>n Mar</w:t>
      </w:r>
      <w:r w:rsidR="00AE2F4A">
        <w:rPr>
          <w:rFonts w:ascii="Times New Roman" w:hAnsi="Times New Roman" w:cs="Times New Roman"/>
          <w:sz w:val="24"/>
          <w:szCs w:val="24"/>
        </w:rPr>
        <w:t xml:space="preserve">ch 7, 2014. </w:t>
      </w:r>
      <w:r w:rsidR="00AE2F4A" w:rsidRP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Tr. 72, 99-100.</w:t>
      </w:r>
      <w:r w:rsidR="00AE2F4A">
        <w:rPr>
          <w:rFonts w:ascii="Times New Roman" w:hAnsi="Times New Roman" w:cs="Times New Roman"/>
          <w:sz w:val="24"/>
          <w:szCs w:val="24"/>
        </w:rPr>
        <w:t xml:space="preserve">  Mr. Lerro stated that the four </w:t>
      </w:r>
      <w:r w:rsidR="00AE2F4A" w:rsidRPr="003C3F6A">
        <w:rPr>
          <w:rFonts w:ascii="Times New Roman" w:hAnsi="Times New Roman" w:cs="Times New Roman"/>
          <w:sz w:val="24"/>
          <w:szCs w:val="24"/>
        </w:rPr>
        <w:t>PECO met</w:t>
      </w:r>
      <w:r w:rsidR="00AE2F4A">
        <w:rPr>
          <w:rFonts w:ascii="Times New Roman" w:hAnsi="Times New Roman" w:cs="Times New Roman"/>
          <w:sz w:val="24"/>
          <w:szCs w:val="24"/>
        </w:rPr>
        <w:t>ers that served the Complainant</w:t>
      </w:r>
      <w:r w:rsidR="00AE2F4A" w:rsidRPr="003C3F6A">
        <w:rPr>
          <w:rFonts w:ascii="Times New Roman" w:hAnsi="Times New Roman" w:cs="Times New Roman"/>
          <w:sz w:val="24"/>
          <w:szCs w:val="24"/>
        </w:rPr>
        <w:t>s</w:t>
      </w:r>
      <w:r w:rsidR="00AE2F4A">
        <w:rPr>
          <w:rFonts w:ascii="Times New Roman" w:hAnsi="Times New Roman" w:cs="Times New Roman"/>
          <w:sz w:val="24"/>
          <w:szCs w:val="24"/>
        </w:rPr>
        <w:t>’</w:t>
      </w:r>
      <w:r w:rsidR="00AE2F4A" w:rsidRPr="003C3F6A">
        <w:rPr>
          <w:rFonts w:ascii="Times New Roman" w:hAnsi="Times New Roman" w:cs="Times New Roman"/>
          <w:sz w:val="24"/>
          <w:szCs w:val="24"/>
        </w:rPr>
        <w:t xml:space="preserve"> first floor </w:t>
      </w:r>
      <w:r w:rsidR="00AE2F4A">
        <w:rPr>
          <w:rFonts w:ascii="Times New Roman" w:hAnsi="Times New Roman" w:cs="Times New Roman"/>
          <w:sz w:val="24"/>
          <w:szCs w:val="24"/>
        </w:rPr>
        <w:t xml:space="preserve">and second floor </w:t>
      </w:r>
      <w:r w:rsidR="00AE2F4A" w:rsidRPr="003C3F6A">
        <w:rPr>
          <w:rFonts w:ascii="Times New Roman" w:hAnsi="Times New Roman" w:cs="Times New Roman"/>
          <w:sz w:val="24"/>
          <w:szCs w:val="24"/>
        </w:rPr>
        <w:t>during the period 2009 to 2016 were tested for accuracy prior to being installed</w:t>
      </w:r>
      <w:r w:rsidR="00AE2F4A">
        <w:rPr>
          <w:rFonts w:ascii="Times New Roman" w:hAnsi="Times New Roman" w:cs="Times New Roman"/>
          <w:sz w:val="24"/>
          <w:szCs w:val="24"/>
        </w:rPr>
        <w:t xml:space="preserve"> at the Service Address.  Tr. 77</w:t>
      </w:r>
      <w:r w:rsidR="00AE2F4A" w:rsidRPr="003C3F6A">
        <w:rPr>
          <w:rFonts w:ascii="Times New Roman" w:hAnsi="Times New Roman" w:cs="Times New Roman"/>
          <w:sz w:val="24"/>
          <w:szCs w:val="24"/>
        </w:rPr>
        <w:t>-80, PECO Exhibits 1</w:t>
      </w:r>
      <w:r w:rsidR="00AE2F4A">
        <w:rPr>
          <w:rFonts w:ascii="Times New Roman" w:hAnsi="Times New Roman" w:cs="Times New Roman"/>
          <w:sz w:val="24"/>
          <w:szCs w:val="24"/>
        </w:rPr>
        <w:t>, 2</w:t>
      </w:r>
      <w:r w:rsidR="00AE2F4A" w:rsidRPr="003C3F6A">
        <w:rPr>
          <w:rFonts w:ascii="Times New Roman" w:hAnsi="Times New Roman" w:cs="Times New Roman"/>
          <w:sz w:val="24"/>
          <w:szCs w:val="24"/>
        </w:rPr>
        <w:t xml:space="preserve"> and 8</w:t>
      </w:r>
      <w:r w:rsidR="00AE2F4A">
        <w:rPr>
          <w:rFonts w:ascii="Times New Roman" w:hAnsi="Times New Roman" w:cs="Times New Roman"/>
          <w:sz w:val="24"/>
          <w:szCs w:val="24"/>
        </w:rPr>
        <w:t>, 9</w:t>
      </w:r>
      <w:r w:rsidR="00AE2F4A" w:rsidRPr="003C3F6A">
        <w:rPr>
          <w:rFonts w:ascii="Times New Roman" w:hAnsi="Times New Roman" w:cs="Times New Roman"/>
          <w:sz w:val="24"/>
          <w:szCs w:val="24"/>
        </w:rPr>
        <w:t xml:space="preserve">.  </w:t>
      </w:r>
    </w:p>
    <w:p w:rsidR="00F502EB" w:rsidRDefault="00F502EB" w:rsidP="00AE2F4A">
      <w:pPr>
        <w:spacing w:after="0" w:line="360" w:lineRule="auto"/>
        <w:ind w:firstLine="1440"/>
        <w:rPr>
          <w:rFonts w:ascii="Times New Roman" w:hAnsi="Times New Roman" w:cs="Times New Roman"/>
          <w:sz w:val="24"/>
          <w:szCs w:val="24"/>
        </w:rPr>
      </w:pPr>
    </w:p>
    <w:p w:rsidR="00AE2F4A" w:rsidRDefault="00AE2F4A" w:rsidP="00AE2F4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On March 8, 2013,</w:t>
      </w:r>
      <w:r>
        <w:rPr>
          <w:rFonts w:ascii="Times New Roman" w:hAnsi="Times New Roman" w:cs="Times New Roman"/>
          <w:sz w:val="24"/>
          <w:szCs w:val="24"/>
        </w:rPr>
        <w:t xml:space="preserve"> Janette Vasquez contacted PECO</w:t>
      </w:r>
      <w:r w:rsidRPr="003C3F6A">
        <w:rPr>
          <w:rFonts w:ascii="Times New Roman" w:hAnsi="Times New Roman" w:cs="Times New Roman"/>
          <w:sz w:val="24"/>
          <w:szCs w:val="24"/>
        </w:rPr>
        <w:t xml:space="preserve"> challenging the accuracy of her electric bill for the 1</w:t>
      </w:r>
      <w:r w:rsidRPr="003C3F6A">
        <w:rPr>
          <w:rFonts w:ascii="Times New Roman" w:hAnsi="Times New Roman" w:cs="Times New Roman"/>
          <w:sz w:val="24"/>
          <w:szCs w:val="24"/>
          <w:vertAlign w:val="superscript"/>
        </w:rPr>
        <w:t>st</w:t>
      </w:r>
      <w:r w:rsidRPr="003C3F6A">
        <w:rPr>
          <w:rFonts w:ascii="Times New Roman" w:hAnsi="Times New Roman" w:cs="Times New Roman"/>
          <w:sz w:val="24"/>
          <w:szCs w:val="24"/>
        </w:rPr>
        <w:t xml:space="preserve"> floor.  Tr. 82, PECO Exhibit 11. </w:t>
      </w:r>
      <w:r>
        <w:rPr>
          <w:rFonts w:ascii="Times New Roman" w:hAnsi="Times New Roman" w:cs="Times New Roman"/>
          <w:sz w:val="24"/>
          <w:szCs w:val="24"/>
        </w:rPr>
        <w:t xml:space="preserve"> </w:t>
      </w:r>
      <w:r w:rsidRPr="003C3F6A">
        <w:rPr>
          <w:rFonts w:ascii="Times New Roman" w:hAnsi="Times New Roman" w:cs="Times New Roman"/>
          <w:sz w:val="24"/>
          <w:szCs w:val="24"/>
        </w:rPr>
        <w:t xml:space="preserve">On April 1, 2013, a PECO field technician visited the Service Address to perform a high bill field investigation.  Tr. 80, PECO Exhibit 10. </w:t>
      </w:r>
      <w:r>
        <w:rPr>
          <w:rFonts w:ascii="Times New Roman" w:hAnsi="Times New Roman" w:cs="Times New Roman"/>
          <w:sz w:val="24"/>
          <w:szCs w:val="24"/>
        </w:rPr>
        <w:t xml:space="preserve"> </w:t>
      </w:r>
      <w:r w:rsidRPr="003C3F6A">
        <w:rPr>
          <w:rFonts w:ascii="Times New Roman" w:hAnsi="Times New Roman" w:cs="Times New Roman"/>
          <w:sz w:val="24"/>
          <w:szCs w:val="24"/>
        </w:rPr>
        <w:t xml:space="preserve">The PECO field technician was unable to perform the investigation on April 1, 2013 as there was no one </w:t>
      </w:r>
      <w:r w:rsidR="00944B00">
        <w:rPr>
          <w:rFonts w:ascii="Times New Roman" w:hAnsi="Times New Roman" w:cs="Times New Roman"/>
          <w:sz w:val="24"/>
          <w:szCs w:val="24"/>
        </w:rPr>
        <w:t xml:space="preserve">at </w:t>
      </w:r>
      <w:r w:rsidRPr="003C3F6A">
        <w:rPr>
          <w:rFonts w:ascii="Times New Roman" w:hAnsi="Times New Roman" w:cs="Times New Roman"/>
          <w:sz w:val="24"/>
          <w:szCs w:val="24"/>
        </w:rPr>
        <w:t>the Service Address to answer her call.</w:t>
      </w:r>
      <w:r>
        <w:rPr>
          <w:rFonts w:ascii="Times New Roman" w:hAnsi="Times New Roman" w:cs="Times New Roman"/>
          <w:sz w:val="24"/>
          <w:szCs w:val="24"/>
        </w:rPr>
        <w:t xml:space="preserve"> </w:t>
      </w:r>
      <w:r w:rsidRPr="003C3F6A">
        <w:rPr>
          <w:rFonts w:ascii="Times New Roman" w:hAnsi="Times New Roman" w:cs="Times New Roman"/>
          <w:sz w:val="24"/>
          <w:szCs w:val="24"/>
        </w:rPr>
        <w:t xml:space="preserve"> </w:t>
      </w:r>
      <w:r w:rsidR="004B6100">
        <w:rPr>
          <w:rFonts w:ascii="Times New Roman" w:hAnsi="Times New Roman" w:cs="Times New Roman"/>
          <w:sz w:val="24"/>
          <w:szCs w:val="24"/>
        </w:rPr>
        <w:t xml:space="preserve">Tr. 80-81, PECO Exhibit 10.  On </w:t>
      </w:r>
      <w:r w:rsidRPr="003C3F6A">
        <w:rPr>
          <w:rFonts w:ascii="Times New Roman" w:hAnsi="Times New Roman" w:cs="Times New Roman"/>
          <w:sz w:val="24"/>
          <w:szCs w:val="24"/>
        </w:rPr>
        <w:t>April 3, 2013, the field technician prepared and mailed to Ms. Vasquez a Utility Company Report regarding the results of the April 1, 2013 high bill filed investigation.  Tr. 82, PECO Exhibit 11.</w:t>
      </w:r>
    </w:p>
    <w:p w:rsidR="00AE2F4A" w:rsidRPr="003C3F6A" w:rsidRDefault="00AE2F4A" w:rsidP="00AE2F4A">
      <w:pPr>
        <w:spacing w:after="0" w:line="360" w:lineRule="auto"/>
        <w:ind w:firstLine="1440"/>
        <w:rPr>
          <w:rFonts w:ascii="Times New Roman" w:hAnsi="Times New Roman" w:cs="Times New Roman"/>
          <w:sz w:val="24"/>
          <w:szCs w:val="24"/>
        </w:rPr>
      </w:pPr>
    </w:p>
    <w:p w:rsidR="00AE2F4A" w:rsidRDefault="00AE2F4A" w:rsidP="00AE2F4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On May 3, 2013, a PECO field technician visited the Service Address again to perform a high bill field investigation on the first floor meter, noting that the 2</w:t>
      </w:r>
      <w:r w:rsidRPr="003C3F6A">
        <w:rPr>
          <w:rFonts w:ascii="Times New Roman" w:hAnsi="Times New Roman" w:cs="Times New Roman"/>
          <w:sz w:val="24"/>
          <w:szCs w:val="24"/>
          <w:vertAlign w:val="superscript"/>
        </w:rPr>
        <w:t>nd</w:t>
      </w:r>
      <w:r w:rsidRPr="003C3F6A">
        <w:rPr>
          <w:rFonts w:ascii="Times New Roman" w:hAnsi="Times New Roman" w:cs="Times New Roman"/>
          <w:sz w:val="24"/>
          <w:szCs w:val="24"/>
        </w:rPr>
        <w:t xml:space="preserve"> floor meter was not in contention by the customer of record.  Tr. 90-93, PECO Exhibit 12.  While at the Service Address, the field technician verified that there was no meter mix up or foreign load, verified the latest meter reading, and conducted a drop load test as well as a passing load test to determine that the 1</w:t>
      </w:r>
      <w:r w:rsidRPr="003C3F6A">
        <w:rPr>
          <w:rFonts w:ascii="Times New Roman" w:hAnsi="Times New Roman" w:cs="Times New Roman"/>
          <w:sz w:val="24"/>
          <w:szCs w:val="24"/>
          <w:vertAlign w:val="superscript"/>
        </w:rPr>
        <w:t>st</w:t>
      </w:r>
      <w:r w:rsidRPr="003C3F6A">
        <w:rPr>
          <w:rFonts w:ascii="Times New Roman" w:hAnsi="Times New Roman" w:cs="Times New Roman"/>
          <w:sz w:val="24"/>
          <w:szCs w:val="24"/>
        </w:rPr>
        <w:t xml:space="preserve"> floor meter was working correctly.  Tr. 90-93, PECO Exhibit 12.  While at the Service </w:t>
      </w:r>
      <w:r w:rsidRPr="003C3F6A">
        <w:rPr>
          <w:rFonts w:ascii="Times New Roman" w:hAnsi="Times New Roman" w:cs="Times New Roman"/>
          <w:sz w:val="24"/>
          <w:szCs w:val="24"/>
        </w:rPr>
        <w:lastRenderedPageBreak/>
        <w:t>Address, the field technician listed all the electric appliances connected to the 1</w:t>
      </w:r>
      <w:r w:rsidRPr="003C3F6A">
        <w:rPr>
          <w:rFonts w:ascii="Times New Roman" w:hAnsi="Times New Roman" w:cs="Times New Roman"/>
          <w:sz w:val="24"/>
          <w:szCs w:val="24"/>
          <w:vertAlign w:val="superscript"/>
        </w:rPr>
        <w:t>st</w:t>
      </w:r>
      <w:r w:rsidRPr="003C3F6A">
        <w:rPr>
          <w:rFonts w:ascii="Times New Roman" w:hAnsi="Times New Roman" w:cs="Times New Roman"/>
          <w:sz w:val="24"/>
          <w:szCs w:val="24"/>
        </w:rPr>
        <w:t xml:space="preserve"> floor meter: a large side-by-side refrigerator, a range, a microwave, an electric hot water heater, a big screen TV and a 20”- 27” TV, and lighting. </w:t>
      </w:r>
      <w:r>
        <w:rPr>
          <w:rFonts w:ascii="Times New Roman" w:hAnsi="Times New Roman" w:cs="Times New Roman"/>
          <w:sz w:val="24"/>
          <w:szCs w:val="24"/>
        </w:rPr>
        <w:t xml:space="preserve"> </w:t>
      </w:r>
      <w:r w:rsidRPr="003C3F6A">
        <w:rPr>
          <w:rFonts w:ascii="Times New Roman" w:hAnsi="Times New Roman" w:cs="Times New Roman"/>
          <w:sz w:val="24"/>
          <w:szCs w:val="24"/>
        </w:rPr>
        <w:t>Tr. 92, PECO Exhibit 12.  The field technician reported that the oil boiler at the Service Address was not working, and that instead she noted six space heaters, an electric fireplace and 5 baseboard elements at the property.  Tr. 92-93, PECO Exhibit 12.  Five of the six space heaters were mobile, whereas the sixth was on the 1</w:t>
      </w:r>
      <w:r w:rsidRPr="003C3F6A">
        <w:rPr>
          <w:rFonts w:ascii="Times New Roman" w:hAnsi="Times New Roman" w:cs="Times New Roman"/>
          <w:sz w:val="24"/>
          <w:szCs w:val="24"/>
          <w:vertAlign w:val="superscript"/>
        </w:rPr>
        <w:t>st</w:t>
      </w:r>
      <w:r w:rsidRPr="003C3F6A">
        <w:rPr>
          <w:rFonts w:ascii="Times New Roman" w:hAnsi="Times New Roman" w:cs="Times New Roman"/>
          <w:sz w:val="24"/>
          <w:szCs w:val="24"/>
        </w:rPr>
        <w:t xml:space="preserve"> floor meter. </w:t>
      </w:r>
      <w:r>
        <w:rPr>
          <w:rFonts w:ascii="Times New Roman" w:hAnsi="Times New Roman" w:cs="Times New Roman"/>
          <w:sz w:val="24"/>
          <w:szCs w:val="24"/>
        </w:rPr>
        <w:t xml:space="preserve"> </w:t>
      </w:r>
      <w:r w:rsidR="00B9468B">
        <w:rPr>
          <w:rFonts w:ascii="Times New Roman" w:hAnsi="Times New Roman" w:cs="Times New Roman"/>
          <w:sz w:val="24"/>
          <w:szCs w:val="24"/>
        </w:rPr>
        <w:t>Tr. </w:t>
      </w:r>
      <w:r w:rsidRPr="003C3F6A">
        <w:rPr>
          <w:rFonts w:ascii="Times New Roman" w:hAnsi="Times New Roman" w:cs="Times New Roman"/>
          <w:sz w:val="24"/>
          <w:szCs w:val="24"/>
        </w:rPr>
        <w:t>92-93, PECO Exhibit 12.  Based on the electric appliances found connected to the 1</w:t>
      </w:r>
      <w:r w:rsidRPr="003C3F6A">
        <w:rPr>
          <w:rFonts w:ascii="Times New Roman" w:hAnsi="Times New Roman" w:cs="Times New Roman"/>
          <w:sz w:val="24"/>
          <w:szCs w:val="24"/>
          <w:vertAlign w:val="superscript"/>
        </w:rPr>
        <w:t>st</w:t>
      </w:r>
      <w:r w:rsidRPr="003C3F6A">
        <w:rPr>
          <w:rFonts w:ascii="Times New Roman" w:hAnsi="Times New Roman" w:cs="Times New Roman"/>
          <w:sz w:val="24"/>
          <w:szCs w:val="24"/>
        </w:rPr>
        <w:t xml:space="preserve"> floor meter, PECO calculated that the customer had the potential for using 8,189 </w:t>
      </w:r>
      <w:r w:rsidR="00085BBA">
        <w:rPr>
          <w:rFonts w:ascii="Times New Roman" w:hAnsi="Times New Roman" w:cs="Times New Roman"/>
          <w:sz w:val="24"/>
          <w:szCs w:val="24"/>
        </w:rPr>
        <w:t>k</w:t>
      </w:r>
      <w:r w:rsidR="002A0212">
        <w:rPr>
          <w:rFonts w:ascii="Times New Roman" w:hAnsi="Times New Roman" w:cs="Times New Roman"/>
          <w:sz w:val="24"/>
          <w:szCs w:val="24"/>
        </w:rPr>
        <w:t>Wh</w:t>
      </w:r>
      <w:r w:rsidRPr="003C3F6A">
        <w:rPr>
          <w:rFonts w:ascii="Times New Roman" w:hAnsi="Times New Roman" w:cs="Times New Roman"/>
          <w:sz w:val="24"/>
          <w:szCs w:val="24"/>
        </w:rPr>
        <w:t xml:space="preserve"> per month in the heating season.  Tr. 93, PECO Exhibit 12. </w:t>
      </w:r>
      <w:r w:rsidR="00B60900">
        <w:rPr>
          <w:rFonts w:ascii="Times New Roman" w:hAnsi="Times New Roman" w:cs="Times New Roman"/>
          <w:sz w:val="24"/>
          <w:szCs w:val="24"/>
        </w:rPr>
        <w:t xml:space="preserve"> According to Mr. Lerro, the electronic appliances found on the 1</w:t>
      </w:r>
      <w:r w:rsidR="00B60900" w:rsidRPr="00B60900">
        <w:rPr>
          <w:rFonts w:ascii="Times New Roman" w:hAnsi="Times New Roman" w:cs="Times New Roman"/>
          <w:sz w:val="24"/>
          <w:szCs w:val="24"/>
          <w:vertAlign w:val="superscript"/>
        </w:rPr>
        <w:t>st</w:t>
      </w:r>
      <w:r w:rsidR="00B60900">
        <w:rPr>
          <w:rFonts w:ascii="Times New Roman" w:hAnsi="Times New Roman" w:cs="Times New Roman"/>
          <w:sz w:val="24"/>
          <w:szCs w:val="24"/>
        </w:rPr>
        <w:t xml:space="preserve"> floor had the potential of using the</w:t>
      </w:r>
      <w:r w:rsidR="00944B00">
        <w:rPr>
          <w:rFonts w:ascii="Times New Roman" w:hAnsi="Times New Roman" w:cs="Times New Roman"/>
          <w:sz w:val="24"/>
          <w:szCs w:val="24"/>
        </w:rPr>
        <w:t xml:space="preserve"> amount of electricity recorded</w:t>
      </w:r>
      <w:r w:rsidR="00B60900">
        <w:rPr>
          <w:rFonts w:ascii="Times New Roman" w:hAnsi="Times New Roman" w:cs="Times New Roman"/>
          <w:sz w:val="24"/>
          <w:szCs w:val="24"/>
        </w:rPr>
        <w:t xml:space="preserve"> in their PECO bills.</w:t>
      </w:r>
    </w:p>
    <w:p w:rsidR="00B60900" w:rsidRPr="003C3F6A" w:rsidRDefault="00B60900" w:rsidP="00AE2F4A">
      <w:pPr>
        <w:spacing w:after="0" w:line="360" w:lineRule="auto"/>
        <w:ind w:firstLine="1440"/>
        <w:rPr>
          <w:rFonts w:ascii="Times New Roman" w:hAnsi="Times New Roman" w:cs="Times New Roman"/>
          <w:sz w:val="24"/>
          <w:szCs w:val="24"/>
        </w:rPr>
      </w:pPr>
    </w:p>
    <w:p w:rsidR="00AE2F4A" w:rsidRDefault="00AE2F4A" w:rsidP="00AE2F4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 xml:space="preserve">On </w:t>
      </w:r>
      <w:r w:rsidRPr="008C0256">
        <w:rPr>
          <w:rFonts w:ascii="Times New Roman" w:hAnsi="Times New Roman" w:cs="Times New Roman"/>
          <w:sz w:val="24"/>
          <w:szCs w:val="24"/>
        </w:rPr>
        <w:t>March 2, 2016, a PECO field technician visited the Service Address again to perform a high bill field investigation on the second floor meter, again marking</w:t>
      </w:r>
      <w:r w:rsidRPr="003C3F6A">
        <w:rPr>
          <w:rFonts w:ascii="Times New Roman" w:hAnsi="Times New Roman" w:cs="Times New Roman"/>
          <w:sz w:val="24"/>
          <w:szCs w:val="24"/>
        </w:rPr>
        <w:t xml:space="preserve"> in his notes that the customer did not have an issue with the second floor meter.  Tr. 94-95, 98, PECO Exhibit 13.  While at the Service Address, the field technician verified that there was no meter mix up or foreign load, verified the latest meter reading, and conducted a drop load test as well as a passing load test to determine that the 2</w:t>
      </w:r>
      <w:r w:rsidRPr="003C3F6A">
        <w:rPr>
          <w:rFonts w:ascii="Times New Roman" w:hAnsi="Times New Roman" w:cs="Times New Roman"/>
          <w:sz w:val="24"/>
          <w:szCs w:val="24"/>
          <w:vertAlign w:val="superscript"/>
        </w:rPr>
        <w:t>nd</w:t>
      </w:r>
      <w:r w:rsidRPr="003C3F6A">
        <w:rPr>
          <w:rFonts w:ascii="Times New Roman" w:hAnsi="Times New Roman" w:cs="Times New Roman"/>
          <w:sz w:val="24"/>
          <w:szCs w:val="24"/>
        </w:rPr>
        <w:t xml:space="preserve"> floor meter was working correctly.  Tr. 94, PECO Exhibit 13.  While at the Service Address, the field technician listed all the electric appliances connected to the 2</w:t>
      </w:r>
      <w:r w:rsidRPr="003C3F6A">
        <w:rPr>
          <w:rFonts w:ascii="Times New Roman" w:hAnsi="Times New Roman" w:cs="Times New Roman"/>
          <w:sz w:val="24"/>
          <w:szCs w:val="24"/>
          <w:vertAlign w:val="superscript"/>
        </w:rPr>
        <w:t>nd</w:t>
      </w:r>
      <w:r w:rsidR="0087079D">
        <w:rPr>
          <w:rFonts w:ascii="Times New Roman" w:hAnsi="Times New Roman" w:cs="Times New Roman"/>
          <w:sz w:val="24"/>
          <w:szCs w:val="24"/>
        </w:rPr>
        <w:t xml:space="preserve"> floor meter: a top-</w:t>
      </w:r>
      <w:r w:rsidRPr="003C3F6A">
        <w:rPr>
          <w:rFonts w:ascii="Times New Roman" w:hAnsi="Times New Roman" w:cs="Times New Roman"/>
          <w:sz w:val="24"/>
          <w:szCs w:val="24"/>
        </w:rPr>
        <w:t>bottom refrigerator, an air conditioning unit, one baseboard element, a 20”- 27” TV, a computer and lighting.</w:t>
      </w:r>
      <w:r>
        <w:rPr>
          <w:rFonts w:ascii="Times New Roman" w:hAnsi="Times New Roman" w:cs="Times New Roman"/>
          <w:sz w:val="24"/>
          <w:szCs w:val="24"/>
        </w:rPr>
        <w:t xml:space="preserve"> </w:t>
      </w:r>
      <w:r w:rsidRPr="003C3F6A">
        <w:rPr>
          <w:rFonts w:ascii="Times New Roman" w:hAnsi="Times New Roman" w:cs="Times New Roman"/>
          <w:sz w:val="24"/>
          <w:szCs w:val="24"/>
        </w:rPr>
        <w:t xml:space="preserve"> Tr. 95, PECO Exhibit 13.  Based on the electric appliances found connected to the </w:t>
      </w:r>
      <w:r w:rsidR="00085BBA">
        <w:rPr>
          <w:rFonts w:ascii="Times New Roman" w:hAnsi="Times New Roman" w:cs="Times New Roman"/>
          <w:sz w:val="24"/>
          <w:szCs w:val="24"/>
        </w:rPr>
        <w:t>2</w:t>
      </w:r>
      <w:r w:rsidR="00085BBA" w:rsidRPr="00085BBA">
        <w:rPr>
          <w:rFonts w:ascii="Times New Roman" w:hAnsi="Times New Roman" w:cs="Times New Roman"/>
          <w:sz w:val="24"/>
          <w:szCs w:val="24"/>
          <w:vertAlign w:val="superscript"/>
        </w:rPr>
        <w:t>nd</w:t>
      </w:r>
      <w:r w:rsidR="00085BBA">
        <w:rPr>
          <w:rFonts w:ascii="Times New Roman" w:hAnsi="Times New Roman" w:cs="Times New Roman"/>
          <w:sz w:val="24"/>
          <w:szCs w:val="24"/>
        </w:rPr>
        <w:t xml:space="preserve"> </w:t>
      </w:r>
      <w:r w:rsidRPr="003C3F6A">
        <w:rPr>
          <w:rFonts w:ascii="Times New Roman" w:hAnsi="Times New Roman" w:cs="Times New Roman"/>
          <w:sz w:val="24"/>
          <w:szCs w:val="24"/>
        </w:rPr>
        <w:t>floor meter, PECO calculated that the customer had the potential for using 1,691</w:t>
      </w:r>
      <w:r w:rsidR="00085BBA">
        <w:rPr>
          <w:rFonts w:ascii="Times New Roman" w:hAnsi="Times New Roman" w:cs="Times New Roman"/>
          <w:sz w:val="24"/>
          <w:szCs w:val="24"/>
        </w:rPr>
        <w:t xml:space="preserve"> k</w:t>
      </w:r>
      <w:r w:rsidR="002A0212">
        <w:rPr>
          <w:rFonts w:ascii="Times New Roman" w:hAnsi="Times New Roman" w:cs="Times New Roman"/>
          <w:sz w:val="24"/>
          <w:szCs w:val="24"/>
        </w:rPr>
        <w:t>Wh</w:t>
      </w:r>
      <w:r w:rsidRPr="003C3F6A">
        <w:rPr>
          <w:rFonts w:ascii="Times New Roman" w:hAnsi="Times New Roman" w:cs="Times New Roman"/>
          <w:sz w:val="24"/>
          <w:szCs w:val="24"/>
        </w:rPr>
        <w:t xml:space="preserve"> per month in the heating season.  Tr. 97, PECO Exhibit 13. </w:t>
      </w:r>
      <w:r w:rsidR="00B60900">
        <w:rPr>
          <w:rFonts w:ascii="Times New Roman" w:hAnsi="Times New Roman" w:cs="Times New Roman"/>
          <w:sz w:val="24"/>
          <w:szCs w:val="24"/>
        </w:rPr>
        <w:t>According to Mr. Lerro, the electronic appliances found on the 2</w:t>
      </w:r>
      <w:r w:rsidR="00B60900" w:rsidRPr="00B60900">
        <w:rPr>
          <w:rFonts w:ascii="Times New Roman" w:hAnsi="Times New Roman" w:cs="Times New Roman"/>
          <w:sz w:val="24"/>
          <w:szCs w:val="24"/>
          <w:vertAlign w:val="superscript"/>
        </w:rPr>
        <w:t>nd</w:t>
      </w:r>
      <w:r w:rsidR="00B60900">
        <w:rPr>
          <w:rFonts w:ascii="Times New Roman" w:hAnsi="Times New Roman" w:cs="Times New Roman"/>
          <w:sz w:val="24"/>
          <w:szCs w:val="24"/>
        </w:rPr>
        <w:t xml:space="preserve"> floor had the potential of using the</w:t>
      </w:r>
      <w:r w:rsidR="00944B00">
        <w:rPr>
          <w:rFonts w:ascii="Times New Roman" w:hAnsi="Times New Roman" w:cs="Times New Roman"/>
          <w:sz w:val="24"/>
          <w:szCs w:val="24"/>
        </w:rPr>
        <w:t xml:space="preserve"> amount of electricity recorded</w:t>
      </w:r>
      <w:r w:rsidR="00B60900">
        <w:rPr>
          <w:rFonts w:ascii="Times New Roman" w:hAnsi="Times New Roman" w:cs="Times New Roman"/>
          <w:sz w:val="24"/>
          <w:szCs w:val="24"/>
        </w:rPr>
        <w:t xml:space="preserve"> in their PECO bills.</w:t>
      </w:r>
    </w:p>
    <w:p w:rsidR="007934C5" w:rsidRDefault="007934C5" w:rsidP="00AE2F4A">
      <w:pPr>
        <w:spacing w:after="0" w:line="360" w:lineRule="auto"/>
        <w:ind w:firstLine="1440"/>
        <w:rPr>
          <w:rFonts w:ascii="Times New Roman" w:hAnsi="Times New Roman" w:cs="Times New Roman"/>
          <w:sz w:val="24"/>
          <w:szCs w:val="24"/>
        </w:rPr>
      </w:pPr>
    </w:p>
    <w:p w:rsidR="001E47E9" w:rsidRDefault="0087079D" w:rsidP="00944B0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Lerro testified that he had reviewed the Complainants’ account statement and concluded that Ms. Vasquez’ and </w:t>
      </w:r>
      <w:r w:rsidR="003C3F6A" w:rsidRPr="003C3F6A">
        <w:rPr>
          <w:rFonts w:ascii="Times New Roman" w:hAnsi="Times New Roman" w:cs="Times New Roman"/>
          <w:sz w:val="24"/>
          <w:szCs w:val="24"/>
        </w:rPr>
        <w:t>Mr. Segarra’s electricity usage is seasonal and increases in the winter months.  Tr. 73-74, 77, PECO Exhibit</w:t>
      </w:r>
      <w:r w:rsidR="0009777F">
        <w:rPr>
          <w:rFonts w:ascii="Times New Roman" w:hAnsi="Times New Roman" w:cs="Times New Roman"/>
          <w:sz w:val="24"/>
          <w:szCs w:val="24"/>
        </w:rPr>
        <w:t>s 1, 2</w:t>
      </w:r>
      <w:r>
        <w:rPr>
          <w:rFonts w:ascii="Times New Roman" w:hAnsi="Times New Roman" w:cs="Times New Roman"/>
          <w:sz w:val="24"/>
          <w:szCs w:val="24"/>
        </w:rPr>
        <w:t xml:space="preserve">, and </w:t>
      </w:r>
      <w:r w:rsidR="003C3F6A" w:rsidRPr="003C3F6A">
        <w:rPr>
          <w:rFonts w:ascii="Times New Roman" w:hAnsi="Times New Roman" w:cs="Times New Roman"/>
          <w:sz w:val="24"/>
          <w:szCs w:val="24"/>
        </w:rPr>
        <w:t>7.</w:t>
      </w:r>
      <w:r w:rsidR="003C3F6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C3F6A" w:rsidRPr="003C3F6A">
        <w:rPr>
          <w:rFonts w:ascii="Times New Roman" w:hAnsi="Times New Roman" w:cs="Times New Roman"/>
          <w:sz w:val="24"/>
          <w:szCs w:val="24"/>
        </w:rPr>
        <w:t>electricity usage recorded on the 1</w:t>
      </w:r>
      <w:r w:rsidR="003C3F6A" w:rsidRPr="003C3F6A">
        <w:rPr>
          <w:rFonts w:ascii="Times New Roman" w:hAnsi="Times New Roman" w:cs="Times New Roman"/>
          <w:sz w:val="24"/>
          <w:szCs w:val="24"/>
          <w:vertAlign w:val="superscript"/>
        </w:rPr>
        <w:t>st</w:t>
      </w:r>
      <w:r w:rsidR="003C3F6A" w:rsidRPr="003C3F6A">
        <w:rPr>
          <w:rFonts w:ascii="Times New Roman" w:hAnsi="Times New Roman" w:cs="Times New Roman"/>
          <w:sz w:val="24"/>
          <w:szCs w:val="24"/>
        </w:rPr>
        <w:t xml:space="preserve"> floor meter decreased in the heating season of 2015-2016</w:t>
      </w:r>
      <w:r w:rsidR="0009777F">
        <w:rPr>
          <w:rFonts w:ascii="Times New Roman" w:hAnsi="Times New Roman" w:cs="Times New Roman"/>
          <w:sz w:val="24"/>
          <w:szCs w:val="24"/>
        </w:rPr>
        <w:t xml:space="preserve"> as compared to the prior three heating seasons</w:t>
      </w:r>
      <w:r w:rsidR="003C3F6A" w:rsidRPr="003C3F6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724"/>
        <w:gridCol w:w="1952"/>
        <w:gridCol w:w="1960"/>
        <w:gridCol w:w="1881"/>
        <w:gridCol w:w="1951"/>
      </w:tblGrid>
      <w:tr w:rsidR="0009777F" w:rsidRPr="003C3F6A" w:rsidTr="008C0256">
        <w:trPr>
          <w:trHeight w:val="557"/>
        </w:trPr>
        <w:tc>
          <w:tcPr>
            <w:tcW w:w="1724" w:type="dxa"/>
          </w:tcPr>
          <w:p w:rsidR="0009777F" w:rsidRPr="003C3F6A" w:rsidRDefault="0009777F" w:rsidP="003C3F6A">
            <w:pPr>
              <w:spacing w:line="360" w:lineRule="auto"/>
              <w:jc w:val="center"/>
              <w:rPr>
                <w:rFonts w:ascii="Times New Roman" w:hAnsi="Times New Roman" w:cs="Times New Roman"/>
                <w:b/>
                <w:sz w:val="24"/>
                <w:szCs w:val="24"/>
              </w:rPr>
            </w:pPr>
            <w:r w:rsidRPr="003C3F6A">
              <w:rPr>
                <w:rFonts w:ascii="Times New Roman" w:hAnsi="Times New Roman" w:cs="Times New Roman"/>
                <w:b/>
                <w:sz w:val="24"/>
                <w:szCs w:val="24"/>
              </w:rPr>
              <w:lastRenderedPageBreak/>
              <w:t>Billing month</w:t>
            </w:r>
          </w:p>
        </w:tc>
        <w:tc>
          <w:tcPr>
            <w:tcW w:w="1952" w:type="dxa"/>
          </w:tcPr>
          <w:p w:rsidR="0009777F" w:rsidRPr="003C3F6A" w:rsidRDefault="0009777F" w:rsidP="003C3F6A">
            <w:pPr>
              <w:spacing w:line="360" w:lineRule="auto"/>
              <w:rPr>
                <w:rFonts w:ascii="Times New Roman" w:hAnsi="Times New Roman" w:cs="Times New Roman"/>
                <w:b/>
                <w:sz w:val="24"/>
                <w:szCs w:val="24"/>
              </w:rPr>
            </w:pPr>
            <w:r>
              <w:rPr>
                <w:rFonts w:ascii="Times New Roman" w:hAnsi="Times New Roman" w:cs="Times New Roman"/>
                <w:b/>
                <w:sz w:val="24"/>
                <w:szCs w:val="24"/>
              </w:rPr>
              <w:t>Heating Season 2012-2013</w:t>
            </w:r>
          </w:p>
        </w:tc>
        <w:tc>
          <w:tcPr>
            <w:tcW w:w="1960" w:type="dxa"/>
          </w:tcPr>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 xml:space="preserve">Heating Season </w:t>
            </w:r>
          </w:p>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2013-2014</w:t>
            </w:r>
          </w:p>
        </w:tc>
        <w:tc>
          <w:tcPr>
            <w:tcW w:w="1881" w:type="dxa"/>
          </w:tcPr>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Heating Season</w:t>
            </w:r>
          </w:p>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2014-2015</w:t>
            </w:r>
          </w:p>
        </w:tc>
        <w:tc>
          <w:tcPr>
            <w:tcW w:w="1951" w:type="dxa"/>
          </w:tcPr>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 xml:space="preserve">Heating Season </w:t>
            </w:r>
          </w:p>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2015-2016</w:t>
            </w:r>
          </w:p>
        </w:tc>
      </w:tr>
      <w:tr w:rsidR="0009777F" w:rsidRPr="003C3F6A" w:rsidTr="008C0256">
        <w:trPr>
          <w:trHeight w:val="263"/>
        </w:trPr>
        <w:tc>
          <w:tcPr>
            <w:tcW w:w="172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November</w:t>
            </w:r>
          </w:p>
        </w:tc>
        <w:tc>
          <w:tcPr>
            <w:tcW w:w="1952"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 xml:space="preserve">3771 </w:t>
            </w:r>
            <w:r w:rsidR="002A0212">
              <w:rPr>
                <w:rFonts w:ascii="Times New Roman" w:hAnsi="Times New Roman" w:cs="Times New Roman"/>
                <w:sz w:val="24"/>
                <w:szCs w:val="24"/>
              </w:rPr>
              <w:t>kWh</w:t>
            </w:r>
          </w:p>
        </w:tc>
        <w:tc>
          <w:tcPr>
            <w:tcW w:w="196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3036 </w:t>
            </w:r>
            <w:r w:rsidR="002A0212">
              <w:rPr>
                <w:rFonts w:ascii="Times New Roman" w:hAnsi="Times New Roman" w:cs="Times New Roman"/>
                <w:sz w:val="24"/>
                <w:szCs w:val="24"/>
              </w:rPr>
              <w:t>kWh</w:t>
            </w:r>
          </w:p>
        </w:tc>
        <w:tc>
          <w:tcPr>
            <w:tcW w:w="188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3093 </w:t>
            </w:r>
            <w:r w:rsidR="002A0212">
              <w:rPr>
                <w:rFonts w:ascii="Times New Roman" w:hAnsi="Times New Roman" w:cs="Times New Roman"/>
                <w:sz w:val="24"/>
                <w:szCs w:val="24"/>
              </w:rPr>
              <w:t>kWh</w:t>
            </w:r>
          </w:p>
        </w:tc>
        <w:tc>
          <w:tcPr>
            <w:tcW w:w="195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1570 </w:t>
            </w:r>
            <w:r w:rsidR="002A0212">
              <w:rPr>
                <w:rFonts w:ascii="Times New Roman" w:hAnsi="Times New Roman" w:cs="Times New Roman"/>
                <w:sz w:val="24"/>
                <w:szCs w:val="24"/>
              </w:rPr>
              <w:t>kWh</w:t>
            </w:r>
          </w:p>
        </w:tc>
      </w:tr>
      <w:tr w:rsidR="0009777F" w:rsidRPr="003C3F6A" w:rsidTr="008C0256">
        <w:trPr>
          <w:trHeight w:val="278"/>
        </w:trPr>
        <w:tc>
          <w:tcPr>
            <w:tcW w:w="172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December</w:t>
            </w:r>
          </w:p>
        </w:tc>
        <w:tc>
          <w:tcPr>
            <w:tcW w:w="1952"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 xml:space="preserve">5558 </w:t>
            </w:r>
            <w:r w:rsidR="002A0212">
              <w:rPr>
                <w:rFonts w:ascii="Times New Roman" w:hAnsi="Times New Roman" w:cs="Times New Roman"/>
                <w:sz w:val="24"/>
                <w:szCs w:val="24"/>
              </w:rPr>
              <w:t>kWh</w:t>
            </w:r>
          </w:p>
        </w:tc>
        <w:tc>
          <w:tcPr>
            <w:tcW w:w="196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5354 </w:t>
            </w:r>
            <w:r w:rsidR="002A0212">
              <w:rPr>
                <w:rFonts w:ascii="Times New Roman" w:hAnsi="Times New Roman" w:cs="Times New Roman"/>
                <w:sz w:val="24"/>
                <w:szCs w:val="24"/>
              </w:rPr>
              <w:t>kWh</w:t>
            </w:r>
          </w:p>
        </w:tc>
        <w:tc>
          <w:tcPr>
            <w:tcW w:w="188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5044 </w:t>
            </w:r>
            <w:r w:rsidR="002A0212">
              <w:rPr>
                <w:rFonts w:ascii="Times New Roman" w:hAnsi="Times New Roman" w:cs="Times New Roman"/>
                <w:sz w:val="24"/>
                <w:szCs w:val="24"/>
              </w:rPr>
              <w:t>kWh</w:t>
            </w:r>
          </w:p>
        </w:tc>
        <w:tc>
          <w:tcPr>
            <w:tcW w:w="195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2554 </w:t>
            </w:r>
            <w:r w:rsidR="002A0212">
              <w:rPr>
                <w:rFonts w:ascii="Times New Roman" w:hAnsi="Times New Roman" w:cs="Times New Roman"/>
                <w:sz w:val="24"/>
                <w:szCs w:val="24"/>
              </w:rPr>
              <w:t>kWh</w:t>
            </w:r>
          </w:p>
        </w:tc>
      </w:tr>
      <w:tr w:rsidR="0009777F" w:rsidRPr="003C3F6A" w:rsidTr="008C0256">
        <w:trPr>
          <w:trHeight w:val="263"/>
        </w:trPr>
        <w:tc>
          <w:tcPr>
            <w:tcW w:w="172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January</w:t>
            </w:r>
          </w:p>
        </w:tc>
        <w:tc>
          <w:tcPr>
            <w:tcW w:w="1952"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 xml:space="preserve">5318 </w:t>
            </w:r>
            <w:r w:rsidR="002A0212">
              <w:rPr>
                <w:rFonts w:ascii="Times New Roman" w:hAnsi="Times New Roman" w:cs="Times New Roman"/>
                <w:sz w:val="24"/>
                <w:szCs w:val="24"/>
              </w:rPr>
              <w:t>kWh</w:t>
            </w:r>
          </w:p>
        </w:tc>
        <w:tc>
          <w:tcPr>
            <w:tcW w:w="196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5091 </w:t>
            </w:r>
            <w:r w:rsidR="002A0212">
              <w:rPr>
                <w:rFonts w:ascii="Times New Roman" w:hAnsi="Times New Roman" w:cs="Times New Roman"/>
                <w:sz w:val="24"/>
                <w:szCs w:val="24"/>
              </w:rPr>
              <w:t>kWh</w:t>
            </w:r>
          </w:p>
        </w:tc>
        <w:tc>
          <w:tcPr>
            <w:tcW w:w="188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5210 </w:t>
            </w:r>
            <w:r w:rsidR="002A0212">
              <w:rPr>
                <w:rFonts w:ascii="Times New Roman" w:hAnsi="Times New Roman" w:cs="Times New Roman"/>
                <w:sz w:val="24"/>
                <w:szCs w:val="24"/>
              </w:rPr>
              <w:t>kWh</w:t>
            </w:r>
          </w:p>
        </w:tc>
        <w:tc>
          <w:tcPr>
            <w:tcW w:w="195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3942 </w:t>
            </w:r>
            <w:r w:rsidR="002A0212">
              <w:rPr>
                <w:rFonts w:ascii="Times New Roman" w:hAnsi="Times New Roman" w:cs="Times New Roman"/>
                <w:sz w:val="24"/>
                <w:szCs w:val="24"/>
              </w:rPr>
              <w:t>kWh</w:t>
            </w:r>
          </w:p>
        </w:tc>
      </w:tr>
      <w:tr w:rsidR="0009777F" w:rsidRPr="003C3F6A" w:rsidTr="008C0256">
        <w:trPr>
          <w:trHeight w:val="278"/>
        </w:trPr>
        <w:tc>
          <w:tcPr>
            <w:tcW w:w="172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February</w:t>
            </w:r>
          </w:p>
        </w:tc>
        <w:tc>
          <w:tcPr>
            <w:tcW w:w="1952"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 xml:space="preserve">4663 </w:t>
            </w:r>
            <w:r w:rsidR="002A0212">
              <w:rPr>
                <w:rFonts w:ascii="Times New Roman" w:hAnsi="Times New Roman" w:cs="Times New Roman"/>
                <w:sz w:val="24"/>
                <w:szCs w:val="24"/>
              </w:rPr>
              <w:t>kWh</w:t>
            </w:r>
          </w:p>
        </w:tc>
        <w:tc>
          <w:tcPr>
            <w:tcW w:w="196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4443 </w:t>
            </w:r>
            <w:r w:rsidR="002A0212">
              <w:rPr>
                <w:rFonts w:ascii="Times New Roman" w:hAnsi="Times New Roman" w:cs="Times New Roman"/>
                <w:sz w:val="24"/>
                <w:szCs w:val="24"/>
              </w:rPr>
              <w:t>kWh</w:t>
            </w:r>
          </w:p>
        </w:tc>
        <w:tc>
          <w:tcPr>
            <w:tcW w:w="188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5336 </w:t>
            </w:r>
            <w:r w:rsidR="002A0212">
              <w:rPr>
                <w:rFonts w:ascii="Times New Roman" w:hAnsi="Times New Roman" w:cs="Times New Roman"/>
                <w:sz w:val="24"/>
                <w:szCs w:val="24"/>
              </w:rPr>
              <w:t>kWh</w:t>
            </w:r>
          </w:p>
        </w:tc>
        <w:tc>
          <w:tcPr>
            <w:tcW w:w="195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3545 </w:t>
            </w:r>
            <w:r w:rsidR="002A0212">
              <w:rPr>
                <w:rFonts w:ascii="Times New Roman" w:hAnsi="Times New Roman" w:cs="Times New Roman"/>
                <w:sz w:val="24"/>
                <w:szCs w:val="24"/>
              </w:rPr>
              <w:t>kWh</w:t>
            </w:r>
          </w:p>
        </w:tc>
      </w:tr>
      <w:tr w:rsidR="0009777F" w:rsidRPr="003C3F6A" w:rsidTr="008C0256">
        <w:trPr>
          <w:trHeight w:val="278"/>
        </w:trPr>
        <w:tc>
          <w:tcPr>
            <w:tcW w:w="172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March</w:t>
            </w:r>
          </w:p>
        </w:tc>
        <w:tc>
          <w:tcPr>
            <w:tcW w:w="1952"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 xml:space="preserve">4035 </w:t>
            </w:r>
            <w:r w:rsidR="002A0212">
              <w:rPr>
                <w:rFonts w:ascii="Times New Roman" w:hAnsi="Times New Roman" w:cs="Times New Roman"/>
                <w:sz w:val="24"/>
                <w:szCs w:val="24"/>
              </w:rPr>
              <w:t>kWh</w:t>
            </w:r>
          </w:p>
        </w:tc>
        <w:tc>
          <w:tcPr>
            <w:tcW w:w="196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4563 </w:t>
            </w:r>
            <w:r w:rsidR="002A0212">
              <w:rPr>
                <w:rFonts w:ascii="Times New Roman" w:hAnsi="Times New Roman" w:cs="Times New Roman"/>
                <w:sz w:val="24"/>
                <w:szCs w:val="24"/>
              </w:rPr>
              <w:t>kWh</w:t>
            </w:r>
          </w:p>
        </w:tc>
        <w:tc>
          <w:tcPr>
            <w:tcW w:w="188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4273 </w:t>
            </w:r>
            <w:r w:rsidR="002A0212">
              <w:rPr>
                <w:rFonts w:ascii="Times New Roman" w:hAnsi="Times New Roman" w:cs="Times New Roman"/>
                <w:sz w:val="24"/>
                <w:szCs w:val="24"/>
              </w:rPr>
              <w:t>kWh</w:t>
            </w:r>
          </w:p>
        </w:tc>
        <w:tc>
          <w:tcPr>
            <w:tcW w:w="1951"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2104 </w:t>
            </w:r>
            <w:r w:rsidR="002A0212">
              <w:rPr>
                <w:rFonts w:ascii="Times New Roman" w:hAnsi="Times New Roman" w:cs="Times New Roman"/>
                <w:sz w:val="24"/>
                <w:szCs w:val="24"/>
              </w:rPr>
              <w:t>kWh</w:t>
            </w:r>
          </w:p>
        </w:tc>
      </w:tr>
    </w:tbl>
    <w:p w:rsidR="003C3F6A" w:rsidRPr="003C3F6A" w:rsidRDefault="003C3F6A" w:rsidP="003C3F6A">
      <w:pPr>
        <w:spacing w:after="0" w:line="360" w:lineRule="auto"/>
        <w:rPr>
          <w:rFonts w:ascii="Times New Roman" w:hAnsi="Times New Roman" w:cs="Times New Roman"/>
          <w:sz w:val="24"/>
          <w:szCs w:val="24"/>
        </w:rPr>
      </w:pPr>
    </w:p>
    <w:p w:rsidR="003C3F6A" w:rsidRDefault="003C3F6A" w:rsidP="003C3F6A">
      <w:pPr>
        <w:spacing w:after="0" w:line="360" w:lineRule="auto"/>
        <w:rPr>
          <w:rFonts w:ascii="Times New Roman" w:hAnsi="Times New Roman" w:cs="Times New Roman"/>
          <w:sz w:val="24"/>
          <w:szCs w:val="24"/>
        </w:rPr>
      </w:pPr>
      <w:r w:rsidRPr="0087079D">
        <w:rPr>
          <w:rFonts w:ascii="Times New Roman" w:hAnsi="Times New Roman" w:cs="Times New Roman"/>
          <w:sz w:val="24"/>
          <w:szCs w:val="24"/>
        </w:rPr>
        <w:t xml:space="preserve">Tr. </w:t>
      </w:r>
      <w:r w:rsidR="0087079D" w:rsidRPr="0087079D">
        <w:rPr>
          <w:rFonts w:ascii="Times New Roman" w:hAnsi="Times New Roman" w:cs="Times New Roman"/>
          <w:sz w:val="24"/>
          <w:szCs w:val="24"/>
        </w:rPr>
        <w:t>73-77</w:t>
      </w:r>
      <w:r w:rsidRPr="0087079D">
        <w:rPr>
          <w:rFonts w:ascii="Times New Roman" w:hAnsi="Times New Roman" w:cs="Times New Roman"/>
          <w:sz w:val="24"/>
          <w:szCs w:val="24"/>
        </w:rPr>
        <w:t>, PECO</w:t>
      </w:r>
      <w:r w:rsidRPr="003C3F6A">
        <w:rPr>
          <w:rFonts w:ascii="Times New Roman" w:hAnsi="Times New Roman" w:cs="Times New Roman"/>
          <w:sz w:val="24"/>
          <w:szCs w:val="24"/>
        </w:rPr>
        <w:t xml:space="preserve"> Exhibit</w:t>
      </w:r>
      <w:r w:rsidR="0009777F">
        <w:rPr>
          <w:rFonts w:ascii="Times New Roman" w:hAnsi="Times New Roman" w:cs="Times New Roman"/>
          <w:sz w:val="24"/>
          <w:szCs w:val="24"/>
        </w:rPr>
        <w:t>s 1 and</w:t>
      </w:r>
      <w:r w:rsidRPr="003C3F6A">
        <w:rPr>
          <w:rFonts w:ascii="Times New Roman" w:hAnsi="Times New Roman" w:cs="Times New Roman"/>
          <w:sz w:val="24"/>
          <w:szCs w:val="24"/>
        </w:rPr>
        <w:t xml:space="preserve"> 7.</w:t>
      </w:r>
      <w:r>
        <w:rPr>
          <w:rFonts w:ascii="Times New Roman" w:hAnsi="Times New Roman" w:cs="Times New Roman"/>
          <w:sz w:val="24"/>
          <w:szCs w:val="24"/>
        </w:rPr>
        <w:t xml:space="preserve">  </w:t>
      </w:r>
      <w:r w:rsidR="0087079D">
        <w:rPr>
          <w:rFonts w:ascii="Times New Roman" w:hAnsi="Times New Roman" w:cs="Times New Roman"/>
          <w:sz w:val="24"/>
          <w:szCs w:val="24"/>
        </w:rPr>
        <w:t xml:space="preserve">The </w:t>
      </w:r>
      <w:r w:rsidRPr="003C3F6A">
        <w:rPr>
          <w:rFonts w:ascii="Times New Roman" w:hAnsi="Times New Roman" w:cs="Times New Roman"/>
          <w:sz w:val="24"/>
          <w:szCs w:val="24"/>
        </w:rPr>
        <w:t>electricity usage recorded on the</w:t>
      </w:r>
      <w:r w:rsidRPr="003C3F6A">
        <w:rPr>
          <w:rFonts w:ascii="Times New Roman" w:hAnsi="Times New Roman" w:cs="Times New Roman"/>
          <w:sz w:val="24"/>
          <w:szCs w:val="24"/>
          <w:vertAlign w:val="superscript"/>
        </w:rPr>
        <w:t xml:space="preserve"> </w:t>
      </w:r>
      <w:r w:rsidRPr="003C3F6A">
        <w:rPr>
          <w:rFonts w:ascii="Times New Roman" w:hAnsi="Times New Roman" w:cs="Times New Roman"/>
          <w:sz w:val="24"/>
          <w:szCs w:val="24"/>
        </w:rPr>
        <w:t>2</w:t>
      </w:r>
      <w:r w:rsidRPr="003C3F6A">
        <w:rPr>
          <w:rFonts w:ascii="Times New Roman" w:hAnsi="Times New Roman" w:cs="Times New Roman"/>
          <w:sz w:val="24"/>
          <w:szCs w:val="24"/>
          <w:vertAlign w:val="superscript"/>
        </w:rPr>
        <w:t>nd</w:t>
      </w:r>
      <w:r w:rsidRPr="003C3F6A">
        <w:rPr>
          <w:rFonts w:ascii="Times New Roman" w:hAnsi="Times New Roman" w:cs="Times New Roman"/>
          <w:sz w:val="24"/>
          <w:szCs w:val="24"/>
        </w:rPr>
        <w:t xml:space="preserve"> floor meter decreased in the heating season of 2015-2016 </w:t>
      </w:r>
      <w:r w:rsidR="0009777F">
        <w:rPr>
          <w:rFonts w:ascii="Times New Roman" w:hAnsi="Times New Roman" w:cs="Times New Roman"/>
          <w:sz w:val="24"/>
          <w:szCs w:val="24"/>
        </w:rPr>
        <w:t>as compared to the prior two heating seasons</w:t>
      </w:r>
      <w:r w:rsidRPr="003C3F6A">
        <w:rPr>
          <w:rFonts w:ascii="Times New Roman" w:hAnsi="Times New Roman" w:cs="Times New Roman"/>
          <w:sz w:val="24"/>
          <w:szCs w:val="24"/>
        </w:rPr>
        <w:t>:</w:t>
      </w:r>
    </w:p>
    <w:p w:rsidR="00810EF7" w:rsidRPr="003C3F6A" w:rsidRDefault="00810EF7" w:rsidP="003C3F6A">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04"/>
        <w:gridCol w:w="1810"/>
        <w:gridCol w:w="1849"/>
        <w:gridCol w:w="1935"/>
        <w:gridCol w:w="2080"/>
      </w:tblGrid>
      <w:tr w:rsidR="0009777F" w:rsidRPr="003C3F6A" w:rsidTr="008C0256">
        <w:tc>
          <w:tcPr>
            <w:tcW w:w="1704" w:type="dxa"/>
          </w:tcPr>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 xml:space="preserve">Billing month </w:t>
            </w:r>
          </w:p>
        </w:tc>
        <w:tc>
          <w:tcPr>
            <w:tcW w:w="1810" w:type="dxa"/>
          </w:tcPr>
          <w:p w:rsidR="0009777F" w:rsidRDefault="0009777F" w:rsidP="0009777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p>
          <w:p w:rsidR="0009777F" w:rsidRDefault="0009777F" w:rsidP="003C3F6A">
            <w:pPr>
              <w:spacing w:line="360" w:lineRule="auto"/>
              <w:rPr>
                <w:rFonts w:ascii="Times New Roman" w:hAnsi="Times New Roman" w:cs="Times New Roman"/>
                <w:b/>
                <w:sz w:val="24"/>
                <w:szCs w:val="24"/>
              </w:rPr>
            </w:pPr>
            <w:r>
              <w:rPr>
                <w:rFonts w:ascii="Times New Roman" w:hAnsi="Times New Roman" w:cs="Times New Roman"/>
                <w:b/>
                <w:sz w:val="24"/>
                <w:szCs w:val="24"/>
              </w:rPr>
              <w:t>2012-2013</w:t>
            </w:r>
          </w:p>
        </w:tc>
        <w:tc>
          <w:tcPr>
            <w:tcW w:w="1849" w:type="dxa"/>
          </w:tcPr>
          <w:p w:rsidR="0009777F" w:rsidRDefault="0009777F" w:rsidP="003C3F6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p>
          <w:p w:rsidR="0009777F" w:rsidRPr="003C3F6A" w:rsidRDefault="0009777F" w:rsidP="003C3F6A">
            <w:pPr>
              <w:spacing w:line="360" w:lineRule="auto"/>
              <w:rPr>
                <w:rFonts w:ascii="Times New Roman" w:hAnsi="Times New Roman" w:cs="Times New Roman"/>
                <w:b/>
                <w:sz w:val="24"/>
                <w:szCs w:val="24"/>
              </w:rPr>
            </w:pPr>
            <w:r w:rsidRPr="003C3F6A">
              <w:rPr>
                <w:rFonts w:ascii="Times New Roman" w:hAnsi="Times New Roman" w:cs="Times New Roman"/>
                <w:b/>
                <w:sz w:val="24"/>
                <w:szCs w:val="24"/>
              </w:rPr>
              <w:t>2013-2014</w:t>
            </w:r>
          </w:p>
        </w:tc>
        <w:tc>
          <w:tcPr>
            <w:tcW w:w="1935" w:type="dxa"/>
          </w:tcPr>
          <w:p w:rsidR="0009777F" w:rsidRPr="003C3F6A" w:rsidRDefault="0009777F" w:rsidP="003C3F6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r w:rsidRPr="003C3F6A">
              <w:rPr>
                <w:rFonts w:ascii="Times New Roman" w:hAnsi="Times New Roman" w:cs="Times New Roman"/>
                <w:b/>
                <w:sz w:val="24"/>
                <w:szCs w:val="24"/>
              </w:rPr>
              <w:t>2014-2015</w:t>
            </w:r>
          </w:p>
        </w:tc>
        <w:tc>
          <w:tcPr>
            <w:tcW w:w="2080" w:type="dxa"/>
          </w:tcPr>
          <w:p w:rsidR="0009777F" w:rsidRPr="003C3F6A" w:rsidRDefault="0009777F" w:rsidP="003C3F6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Heating Season </w:t>
            </w:r>
            <w:r w:rsidRPr="003C3F6A">
              <w:rPr>
                <w:rFonts w:ascii="Times New Roman" w:hAnsi="Times New Roman" w:cs="Times New Roman"/>
                <w:b/>
                <w:sz w:val="24"/>
                <w:szCs w:val="24"/>
              </w:rPr>
              <w:t>2015-2016</w:t>
            </w:r>
          </w:p>
        </w:tc>
      </w:tr>
      <w:tr w:rsidR="0009777F" w:rsidRPr="003C3F6A" w:rsidTr="008C0256">
        <w:tc>
          <w:tcPr>
            <w:tcW w:w="170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November</w:t>
            </w:r>
          </w:p>
        </w:tc>
        <w:tc>
          <w:tcPr>
            <w:tcW w:w="1810"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115</w:t>
            </w:r>
            <w:r w:rsidR="002A0212">
              <w:rPr>
                <w:rFonts w:ascii="Times New Roman" w:hAnsi="Times New Roman" w:cs="Times New Roman"/>
                <w:sz w:val="24"/>
                <w:szCs w:val="24"/>
              </w:rPr>
              <w:t xml:space="preserve"> kWh</w:t>
            </w:r>
          </w:p>
        </w:tc>
        <w:tc>
          <w:tcPr>
            <w:tcW w:w="1849"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723 </w:t>
            </w:r>
            <w:r w:rsidR="002A0212">
              <w:rPr>
                <w:rFonts w:ascii="Times New Roman" w:hAnsi="Times New Roman" w:cs="Times New Roman"/>
                <w:sz w:val="24"/>
                <w:szCs w:val="24"/>
              </w:rPr>
              <w:t>kWh</w:t>
            </w:r>
          </w:p>
        </w:tc>
        <w:tc>
          <w:tcPr>
            <w:tcW w:w="1935"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868 </w:t>
            </w:r>
            <w:r w:rsidR="002A0212">
              <w:rPr>
                <w:rFonts w:ascii="Times New Roman" w:hAnsi="Times New Roman" w:cs="Times New Roman"/>
                <w:sz w:val="24"/>
                <w:szCs w:val="24"/>
              </w:rPr>
              <w:t>kWh</w:t>
            </w:r>
          </w:p>
        </w:tc>
        <w:tc>
          <w:tcPr>
            <w:tcW w:w="208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435 </w:t>
            </w:r>
            <w:r w:rsidR="002A0212">
              <w:rPr>
                <w:rFonts w:ascii="Times New Roman" w:hAnsi="Times New Roman" w:cs="Times New Roman"/>
                <w:sz w:val="24"/>
                <w:szCs w:val="24"/>
              </w:rPr>
              <w:t>kWh</w:t>
            </w:r>
          </w:p>
        </w:tc>
      </w:tr>
      <w:tr w:rsidR="0009777F" w:rsidRPr="003C3F6A" w:rsidTr="008C0256">
        <w:tc>
          <w:tcPr>
            <w:tcW w:w="170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December</w:t>
            </w:r>
          </w:p>
        </w:tc>
        <w:tc>
          <w:tcPr>
            <w:tcW w:w="1810"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246</w:t>
            </w:r>
            <w:r w:rsidR="002A0212">
              <w:rPr>
                <w:rFonts w:ascii="Times New Roman" w:hAnsi="Times New Roman" w:cs="Times New Roman"/>
                <w:sz w:val="24"/>
                <w:szCs w:val="24"/>
              </w:rPr>
              <w:t xml:space="preserve"> kWh</w:t>
            </w:r>
          </w:p>
        </w:tc>
        <w:tc>
          <w:tcPr>
            <w:tcW w:w="1849"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1372 </w:t>
            </w:r>
            <w:r w:rsidR="002A0212">
              <w:rPr>
                <w:rFonts w:ascii="Times New Roman" w:hAnsi="Times New Roman" w:cs="Times New Roman"/>
                <w:sz w:val="24"/>
                <w:szCs w:val="24"/>
              </w:rPr>
              <w:t>kWh</w:t>
            </w:r>
          </w:p>
        </w:tc>
        <w:tc>
          <w:tcPr>
            <w:tcW w:w="1935"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1572 </w:t>
            </w:r>
            <w:r w:rsidR="002A0212">
              <w:rPr>
                <w:rFonts w:ascii="Times New Roman" w:hAnsi="Times New Roman" w:cs="Times New Roman"/>
                <w:sz w:val="24"/>
                <w:szCs w:val="24"/>
              </w:rPr>
              <w:t>kWh</w:t>
            </w:r>
          </w:p>
        </w:tc>
        <w:tc>
          <w:tcPr>
            <w:tcW w:w="208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936 </w:t>
            </w:r>
            <w:r w:rsidR="002A0212">
              <w:rPr>
                <w:rFonts w:ascii="Times New Roman" w:hAnsi="Times New Roman" w:cs="Times New Roman"/>
                <w:sz w:val="24"/>
                <w:szCs w:val="24"/>
              </w:rPr>
              <w:t>kWh</w:t>
            </w:r>
          </w:p>
        </w:tc>
      </w:tr>
      <w:tr w:rsidR="0009777F" w:rsidRPr="003C3F6A" w:rsidTr="008C0256">
        <w:tc>
          <w:tcPr>
            <w:tcW w:w="170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January</w:t>
            </w:r>
          </w:p>
        </w:tc>
        <w:tc>
          <w:tcPr>
            <w:tcW w:w="1810"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1501</w:t>
            </w:r>
            <w:r w:rsidR="002A0212">
              <w:rPr>
                <w:rFonts w:ascii="Times New Roman" w:hAnsi="Times New Roman" w:cs="Times New Roman"/>
                <w:sz w:val="24"/>
                <w:szCs w:val="24"/>
              </w:rPr>
              <w:t xml:space="preserve"> kWh</w:t>
            </w:r>
          </w:p>
        </w:tc>
        <w:tc>
          <w:tcPr>
            <w:tcW w:w="1849"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1233 </w:t>
            </w:r>
            <w:r w:rsidR="002A0212">
              <w:rPr>
                <w:rFonts w:ascii="Times New Roman" w:hAnsi="Times New Roman" w:cs="Times New Roman"/>
                <w:sz w:val="24"/>
                <w:szCs w:val="24"/>
              </w:rPr>
              <w:t>kWh</w:t>
            </w:r>
          </w:p>
        </w:tc>
        <w:tc>
          <w:tcPr>
            <w:tcW w:w="1935"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1670 </w:t>
            </w:r>
            <w:r w:rsidR="002A0212">
              <w:rPr>
                <w:rFonts w:ascii="Times New Roman" w:hAnsi="Times New Roman" w:cs="Times New Roman"/>
                <w:sz w:val="24"/>
                <w:szCs w:val="24"/>
              </w:rPr>
              <w:t>kWh</w:t>
            </w:r>
          </w:p>
        </w:tc>
        <w:tc>
          <w:tcPr>
            <w:tcW w:w="208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1414 </w:t>
            </w:r>
            <w:r w:rsidR="002A0212">
              <w:rPr>
                <w:rFonts w:ascii="Times New Roman" w:hAnsi="Times New Roman" w:cs="Times New Roman"/>
                <w:sz w:val="24"/>
                <w:szCs w:val="24"/>
              </w:rPr>
              <w:t>kWh</w:t>
            </w:r>
          </w:p>
        </w:tc>
      </w:tr>
      <w:tr w:rsidR="0009777F" w:rsidRPr="003C3F6A" w:rsidTr="008C0256">
        <w:tc>
          <w:tcPr>
            <w:tcW w:w="170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February</w:t>
            </w:r>
          </w:p>
        </w:tc>
        <w:tc>
          <w:tcPr>
            <w:tcW w:w="1810"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1216</w:t>
            </w:r>
            <w:r w:rsidR="002A0212">
              <w:rPr>
                <w:rFonts w:ascii="Times New Roman" w:hAnsi="Times New Roman" w:cs="Times New Roman"/>
                <w:sz w:val="24"/>
                <w:szCs w:val="24"/>
              </w:rPr>
              <w:t xml:space="preserve"> kWh</w:t>
            </w:r>
          </w:p>
        </w:tc>
        <w:tc>
          <w:tcPr>
            <w:tcW w:w="1849"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 1235 </w:t>
            </w:r>
            <w:r w:rsidR="002A0212">
              <w:rPr>
                <w:rFonts w:ascii="Times New Roman" w:hAnsi="Times New Roman" w:cs="Times New Roman"/>
                <w:sz w:val="24"/>
                <w:szCs w:val="24"/>
              </w:rPr>
              <w:t>kWh</w:t>
            </w:r>
          </w:p>
        </w:tc>
        <w:tc>
          <w:tcPr>
            <w:tcW w:w="1935"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1482 </w:t>
            </w:r>
            <w:r w:rsidR="002A0212">
              <w:rPr>
                <w:rFonts w:ascii="Times New Roman" w:hAnsi="Times New Roman" w:cs="Times New Roman"/>
                <w:sz w:val="24"/>
                <w:szCs w:val="24"/>
              </w:rPr>
              <w:t>kWh</w:t>
            </w:r>
          </w:p>
        </w:tc>
        <w:tc>
          <w:tcPr>
            <w:tcW w:w="208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1335 </w:t>
            </w:r>
            <w:r w:rsidR="002A0212">
              <w:rPr>
                <w:rFonts w:ascii="Times New Roman" w:hAnsi="Times New Roman" w:cs="Times New Roman"/>
                <w:sz w:val="24"/>
                <w:szCs w:val="24"/>
              </w:rPr>
              <w:t>kWh</w:t>
            </w:r>
          </w:p>
        </w:tc>
      </w:tr>
      <w:tr w:rsidR="0009777F" w:rsidRPr="003C3F6A" w:rsidTr="008C0256">
        <w:tc>
          <w:tcPr>
            <w:tcW w:w="1704"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March</w:t>
            </w:r>
          </w:p>
        </w:tc>
        <w:tc>
          <w:tcPr>
            <w:tcW w:w="1810" w:type="dxa"/>
          </w:tcPr>
          <w:p w:rsidR="0009777F" w:rsidRPr="003C3F6A" w:rsidRDefault="0009777F" w:rsidP="003C3F6A">
            <w:pPr>
              <w:spacing w:line="360" w:lineRule="auto"/>
              <w:rPr>
                <w:rFonts w:ascii="Times New Roman" w:hAnsi="Times New Roman" w:cs="Times New Roman"/>
                <w:sz w:val="24"/>
                <w:szCs w:val="24"/>
              </w:rPr>
            </w:pPr>
            <w:r>
              <w:rPr>
                <w:rFonts w:ascii="Times New Roman" w:hAnsi="Times New Roman" w:cs="Times New Roman"/>
                <w:sz w:val="24"/>
                <w:szCs w:val="24"/>
              </w:rPr>
              <w:t>952</w:t>
            </w:r>
            <w:r w:rsidR="002A0212">
              <w:rPr>
                <w:rFonts w:ascii="Times New Roman" w:hAnsi="Times New Roman" w:cs="Times New Roman"/>
                <w:sz w:val="24"/>
                <w:szCs w:val="24"/>
              </w:rPr>
              <w:t xml:space="preserve"> kWh</w:t>
            </w:r>
          </w:p>
        </w:tc>
        <w:tc>
          <w:tcPr>
            <w:tcW w:w="1849"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1083 </w:t>
            </w:r>
            <w:r w:rsidR="002A0212">
              <w:rPr>
                <w:rFonts w:ascii="Times New Roman" w:hAnsi="Times New Roman" w:cs="Times New Roman"/>
                <w:sz w:val="24"/>
                <w:szCs w:val="24"/>
              </w:rPr>
              <w:t>kWh</w:t>
            </w:r>
          </w:p>
        </w:tc>
        <w:tc>
          <w:tcPr>
            <w:tcW w:w="1935"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1241 </w:t>
            </w:r>
            <w:r w:rsidR="002A0212">
              <w:rPr>
                <w:rFonts w:ascii="Times New Roman" w:hAnsi="Times New Roman" w:cs="Times New Roman"/>
                <w:sz w:val="24"/>
                <w:szCs w:val="24"/>
              </w:rPr>
              <w:t>kWh</w:t>
            </w:r>
          </w:p>
        </w:tc>
        <w:tc>
          <w:tcPr>
            <w:tcW w:w="2080" w:type="dxa"/>
          </w:tcPr>
          <w:p w:rsidR="0009777F" w:rsidRPr="003C3F6A" w:rsidRDefault="0009777F" w:rsidP="003C3F6A">
            <w:pPr>
              <w:spacing w:line="360" w:lineRule="auto"/>
              <w:rPr>
                <w:rFonts w:ascii="Times New Roman" w:hAnsi="Times New Roman" w:cs="Times New Roman"/>
                <w:sz w:val="24"/>
                <w:szCs w:val="24"/>
              </w:rPr>
            </w:pPr>
            <w:r w:rsidRPr="003C3F6A">
              <w:rPr>
                <w:rFonts w:ascii="Times New Roman" w:hAnsi="Times New Roman" w:cs="Times New Roman"/>
                <w:sz w:val="24"/>
                <w:szCs w:val="24"/>
              </w:rPr>
              <w:t xml:space="preserve">881 </w:t>
            </w:r>
            <w:r w:rsidR="002A0212">
              <w:rPr>
                <w:rFonts w:ascii="Times New Roman" w:hAnsi="Times New Roman" w:cs="Times New Roman"/>
                <w:sz w:val="24"/>
                <w:szCs w:val="24"/>
              </w:rPr>
              <w:t>kWh</w:t>
            </w:r>
          </w:p>
        </w:tc>
      </w:tr>
    </w:tbl>
    <w:p w:rsidR="003C3F6A" w:rsidRPr="003C3F6A" w:rsidRDefault="003C3F6A" w:rsidP="003C3F6A">
      <w:pPr>
        <w:spacing w:after="0" w:line="360" w:lineRule="auto"/>
        <w:rPr>
          <w:rFonts w:ascii="Times New Roman" w:hAnsi="Times New Roman" w:cs="Times New Roman"/>
          <w:sz w:val="24"/>
          <w:szCs w:val="24"/>
        </w:rPr>
      </w:pPr>
      <w:r w:rsidRPr="0087079D">
        <w:rPr>
          <w:rFonts w:ascii="Times New Roman" w:hAnsi="Times New Roman" w:cs="Times New Roman"/>
          <w:sz w:val="24"/>
          <w:szCs w:val="24"/>
        </w:rPr>
        <w:t xml:space="preserve">Tr. </w:t>
      </w:r>
      <w:r w:rsidR="0087079D" w:rsidRPr="0087079D">
        <w:rPr>
          <w:rFonts w:ascii="Times New Roman" w:hAnsi="Times New Roman" w:cs="Times New Roman"/>
          <w:sz w:val="24"/>
          <w:szCs w:val="24"/>
        </w:rPr>
        <w:t>73-77</w:t>
      </w:r>
      <w:r w:rsidRPr="0087079D">
        <w:rPr>
          <w:rFonts w:ascii="Times New Roman" w:hAnsi="Times New Roman" w:cs="Times New Roman"/>
          <w:sz w:val="24"/>
          <w:szCs w:val="24"/>
        </w:rPr>
        <w:t>,</w:t>
      </w:r>
      <w:r w:rsidR="00AE2F4A" w:rsidRPr="0087079D">
        <w:rPr>
          <w:rFonts w:ascii="Times New Roman" w:hAnsi="Times New Roman" w:cs="Times New Roman"/>
          <w:sz w:val="24"/>
          <w:szCs w:val="24"/>
        </w:rPr>
        <w:t xml:space="preserve"> PECO</w:t>
      </w:r>
      <w:r w:rsidR="00AE2F4A">
        <w:rPr>
          <w:rFonts w:ascii="Times New Roman" w:hAnsi="Times New Roman" w:cs="Times New Roman"/>
          <w:sz w:val="24"/>
          <w:szCs w:val="24"/>
        </w:rPr>
        <w:t xml:space="preserve"> Exhibit</w:t>
      </w:r>
      <w:r w:rsidR="0009777F">
        <w:rPr>
          <w:rFonts w:ascii="Times New Roman" w:hAnsi="Times New Roman" w:cs="Times New Roman"/>
          <w:sz w:val="24"/>
          <w:szCs w:val="24"/>
        </w:rPr>
        <w:t>s 2 and</w:t>
      </w:r>
      <w:r w:rsidR="00AE2F4A">
        <w:rPr>
          <w:rFonts w:ascii="Times New Roman" w:hAnsi="Times New Roman" w:cs="Times New Roman"/>
          <w:sz w:val="24"/>
          <w:szCs w:val="24"/>
        </w:rPr>
        <w:t xml:space="preserve"> 7.</w:t>
      </w:r>
    </w:p>
    <w:p w:rsidR="009135EF" w:rsidRPr="003C3F6A" w:rsidRDefault="009135EF" w:rsidP="003C3F6A">
      <w:pPr>
        <w:spacing w:after="0" w:line="360" w:lineRule="auto"/>
        <w:ind w:firstLine="1440"/>
        <w:rPr>
          <w:rFonts w:ascii="Times New Roman" w:hAnsi="Times New Roman" w:cs="Times New Roman"/>
          <w:sz w:val="24"/>
          <w:szCs w:val="24"/>
        </w:rPr>
      </w:pPr>
    </w:p>
    <w:p w:rsidR="00AE2F4A" w:rsidRDefault="00AE2F4A" w:rsidP="00AE2F4A">
      <w:pPr>
        <w:spacing w:after="0" w:line="360" w:lineRule="auto"/>
        <w:ind w:firstLine="1440"/>
        <w:rPr>
          <w:rFonts w:ascii="Times New Roman" w:hAnsi="Times New Roman" w:cs="Times New Roman"/>
          <w:sz w:val="24"/>
          <w:szCs w:val="24"/>
        </w:rPr>
      </w:pPr>
      <w:r w:rsidRPr="00AE2F4A">
        <w:rPr>
          <w:rFonts w:ascii="Times New Roman" w:hAnsi="Times New Roman" w:cs="Times New Roman"/>
          <w:sz w:val="24"/>
          <w:szCs w:val="24"/>
        </w:rPr>
        <w:t xml:space="preserve">With regard to Complainants’ claim that power surges damage electric appliances causing them to use more electricity, Mr. Lerro explained that </w:t>
      </w:r>
      <w:r w:rsidR="003C3F6A" w:rsidRPr="00AE2F4A">
        <w:rPr>
          <w:rFonts w:ascii="Times New Roman" w:hAnsi="Times New Roman" w:cs="Times New Roman"/>
          <w:sz w:val="24"/>
          <w:szCs w:val="24"/>
        </w:rPr>
        <w:t>PECO’s electric meters would have been damaged by any surges in PECO’s electric system powerful enough to damage the electric appliances at the Service Address.  Tr. 99, 100, 102.</w:t>
      </w:r>
      <w:r w:rsidR="009135EF" w:rsidRPr="00AE2F4A">
        <w:rPr>
          <w:rFonts w:ascii="Times New Roman" w:hAnsi="Times New Roman" w:cs="Times New Roman"/>
          <w:sz w:val="24"/>
          <w:szCs w:val="24"/>
        </w:rPr>
        <w:t xml:space="preserve">  </w:t>
      </w:r>
      <w:r w:rsidR="003C3F6A" w:rsidRPr="00AE2F4A">
        <w:rPr>
          <w:rFonts w:ascii="Times New Roman" w:hAnsi="Times New Roman" w:cs="Times New Roman"/>
          <w:sz w:val="24"/>
          <w:szCs w:val="24"/>
        </w:rPr>
        <w:t>PECO’s new AMI meters</w:t>
      </w:r>
      <w:r w:rsidR="0087079D">
        <w:rPr>
          <w:rFonts w:ascii="Times New Roman" w:hAnsi="Times New Roman" w:cs="Times New Roman"/>
          <w:sz w:val="24"/>
          <w:szCs w:val="24"/>
        </w:rPr>
        <w:t>,</w:t>
      </w:r>
      <w:r w:rsidR="003C3F6A" w:rsidRPr="00AE2F4A">
        <w:rPr>
          <w:rFonts w:ascii="Times New Roman" w:hAnsi="Times New Roman" w:cs="Times New Roman"/>
          <w:sz w:val="24"/>
          <w:szCs w:val="24"/>
        </w:rPr>
        <w:t xml:space="preserve"> in connection with PECO’s data raker software</w:t>
      </w:r>
      <w:r w:rsidR="0087079D">
        <w:rPr>
          <w:rFonts w:ascii="Times New Roman" w:hAnsi="Times New Roman" w:cs="Times New Roman"/>
          <w:sz w:val="24"/>
          <w:szCs w:val="24"/>
        </w:rPr>
        <w:t>,</w:t>
      </w:r>
      <w:r w:rsidR="003C3F6A" w:rsidRPr="00AE2F4A">
        <w:rPr>
          <w:rFonts w:ascii="Times New Roman" w:hAnsi="Times New Roman" w:cs="Times New Roman"/>
          <w:sz w:val="24"/>
          <w:szCs w:val="24"/>
        </w:rPr>
        <w:t xml:space="preserve"> would report any spikes or irregularities in electricity to the Company. </w:t>
      </w:r>
      <w:r w:rsidR="0087079D">
        <w:rPr>
          <w:rFonts w:ascii="Times New Roman" w:hAnsi="Times New Roman" w:cs="Times New Roman"/>
          <w:sz w:val="24"/>
          <w:szCs w:val="24"/>
        </w:rPr>
        <w:t xml:space="preserve"> </w:t>
      </w:r>
      <w:r w:rsidR="003C3F6A" w:rsidRPr="00AE2F4A">
        <w:rPr>
          <w:rFonts w:ascii="Times New Roman" w:hAnsi="Times New Roman" w:cs="Times New Roman"/>
          <w:sz w:val="24"/>
          <w:szCs w:val="24"/>
        </w:rPr>
        <w:t>Tr. 99, 102</w:t>
      </w:r>
      <w:r w:rsidR="00B26726">
        <w:rPr>
          <w:rFonts w:ascii="Times New Roman" w:hAnsi="Times New Roman" w:cs="Times New Roman"/>
          <w:sz w:val="24"/>
          <w:szCs w:val="24"/>
        </w:rPr>
        <w:t>, see also PECO late-filed Exhibit 18</w:t>
      </w:r>
      <w:r w:rsidR="003C3F6A" w:rsidRPr="00AE2F4A">
        <w:rPr>
          <w:rFonts w:ascii="Times New Roman" w:hAnsi="Times New Roman" w:cs="Times New Roman"/>
          <w:sz w:val="24"/>
          <w:szCs w:val="24"/>
        </w:rPr>
        <w:t xml:space="preserve">. </w:t>
      </w:r>
      <w:r w:rsidRPr="00AE2F4A">
        <w:rPr>
          <w:rFonts w:ascii="Times New Roman" w:hAnsi="Times New Roman" w:cs="Times New Roman"/>
          <w:sz w:val="24"/>
          <w:szCs w:val="24"/>
        </w:rPr>
        <w:t xml:space="preserve"> Mr. Lerro also explained that low voltage does not cause an electric appliance to use more electricity.  Tr. 101. </w:t>
      </w:r>
      <w:r>
        <w:rPr>
          <w:rFonts w:ascii="Times New Roman" w:hAnsi="Times New Roman" w:cs="Times New Roman"/>
          <w:sz w:val="24"/>
          <w:szCs w:val="24"/>
        </w:rPr>
        <w:t xml:space="preserve"> </w:t>
      </w:r>
      <w:r w:rsidRPr="00AE2F4A">
        <w:rPr>
          <w:rFonts w:ascii="Times New Roman" w:hAnsi="Times New Roman" w:cs="Times New Roman"/>
          <w:sz w:val="24"/>
          <w:szCs w:val="24"/>
        </w:rPr>
        <w:t xml:space="preserve">He testified that oil burners </w:t>
      </w:r>
      <w:r w:rsidR="0087079D">
        <w:rPr>
          <w:rFonts w:ascii="Times New Roman" w:hAnsi="Times New Roman" w:cs="Times New Roman"/>
          <w:sz w:val="24"/>
          <w:szCs w:val="24"/>
        </w:rPr>
        <w:t xml:space="preserve">like the one serving the Service Address </w:t>
      </w:r>
      <w:r w:rsidRPr="00AE2F4A">
        <w:rPr>
          <w:rFonts w:ascii="Times New Roman" w:hAnsi="Times New Roman" w:cs="Times New Roman"/>
          <w:sz w:val="24"/>
          <w:szCs w:val="24"/>
        </w:rPr>
        <w:t xml:space="preserve">are usually equipped with a high voltage generator responsible for creating a high voltage spark which burns the fuel.  Tr. 109.  </w:t>
      </w:r>
      <w:r w:rsidR="0009777F">
        <w:rPr>
          <w:rFonts w:ascii="Times New Roman" w:hAnsi="Times New Roman" w:cs="Times New Roman"/>
          <w:sz w:val="24"/>
          <w:szCs w:val="24"/>
        </w:rPr>
        <w:t>According to Mr. Lerro, i</w:t>
      </w:r>
      <w:r w:rsidRPr="00AE2F4A">
        <w:rPr>
          <w:rFonts w:ascii="Times New Roman" w:hAnsi="Times New Roman" w:cs="Times New Roman"/>
          <w:sz w:val="24"/>
          <w:szCs w:val="24"/>
        </w:rPr>
        <w:t xml:space="preserve">f the oil burner does not receive enough power or enough voltage, </w:t>
      </w:r>
      <w:r w:rsidRPr="00AE2F4A">
        <w:rPr>
          <w:rFonts w:ascii="Times New Roman" w:hAnsi="Times New Roman" w:cs="Times New Roman"/>
          <w:sz w:val="24"/>
          <w:szCs w:val="24"/>
        </w:rPr>
        <w:lastRenderedPageBreak/>
        <w:t>a circuit board inside the unit will automatically shut down the unit so that no fuel is pumped into the unit.  Tr. 108-109.</w:t>
      </w:r>
    </w:p>
    <w:p w:rsidR="0009777F" w:rsidRPr="00AE2F4A" w:rsidRDefault="0009777F" w:rsidP="00AE2F4A">
      <w:pPr>
        <w:spacing w:after="0" w:line="360" w:lineRule="auto"/>
        <w:ind w:firstLine="1440"/>
        <w:rPr>
          <w:rFonts w:ascii="Times New Roman" w:hAnsi="Times New Roman" w:cs="Times New Roman"/>
          <w:sz w:val="24"/>
          <w:szCs w:val="24"/>
        </w:rPr>
      </w:pPr>
    </w:p>
    <w:p w:rsidR="003C3F6A" w:rsidRPr="003C3F6A" w:rsidRDefault="0087079D" w:rsidP="0087079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Lerro’s testimony was followed by that of </w:t>
      </w:r>
      <w:r w:rsidR="003C3F6A" w:rsidRPr="00AE2F4A">
        <w:rPr>
          <w:rFonts w:ascii="Times New Roman" w:hAnsi="Times New Roman" w:cs="Times New Roman"/>
          <w:sz w:val="24"/>
          <w:szCs w:val="24"/>
        </w:rPr>
        <w:t>Charles</w:t>
      </w:r>
      <w:r>
        <w:rPr>
          <w:rFonts w:ascii="Times New Roman" w:hAnsi="Times New Roman" w:cs="Times New Roman"/>
          <w:sz w:val="24"/>
          <w:szCs w:val="24"/>
        </w:rPr>
        <w:t xml:space="preserve"> Crumbley who is the</w:t>
      </w:r>
      <w:r w:rsidR="003C3F6A" w:rsidRPr="003C3F6A">
        <w:rPr>
          <w:rFonts w:ascii="Times New Roman" w:hAnsi="Times New Roman" w:cs="Times New Roman"/>
          <w:sz w:val="24"/>
          <w:szCs w:val="24"/>
        </w:rPr>
        <w:t xml:space="preserve"> manager</w:t>
      </w:r>
      <w:r>
        <w:rPr>
          <w:rFonts w:ascii="Times New Roman" w:hAnsi="Times New Roman" w:cs="Times New Roman"/>
          <w:sz w:val="24"/>
          <w:szCs w:val="24"/>
        </w:rPr>
        <w:t xml:space="preserve"> of PECO’s</w:t>
      </w:r>
      <w:r w:rsidR="003C3F6A" w:rsidRPr="003C3F6A">
        <w:rPr>
          <w:rFonts w:ascii="Times New Roman" w:hAnsi="Times New Roman" w:cs="Times New Roman"/>
          <w:sz w:val="24"/>
          <w:szCs w:val="24"/>
        </w:rPr>
        <w:t xml:space="preserve"> </w:t>
      </w:r>
      <w:r>
        <w:rPr>
          <w:rFonts w:ascii="Times New Roman" w:hAnsi="Times New Roman" w:cs="Times New Roman"/>
          <w:sz w:val="24"/>
          <w:szCs w:val="24"/>
        </w:rPr>
        <w:t>operations department.  T</w:t>
      </w:r>
      <w:r w:rsidR="003C3F6A" w:rsidRPr="003C3F6A">
        <w:rPr>
          <w:rFonts w:ascii="Times New Roman" w:hAnsi="Times New Roman" w:cs="Times New Roman"/>
          <w:sz w:val="24"/>
          <w:szCs w:val="24"/>
        </w:rPr>
        <w:t>r. 120.</w:t>
      </w:r>
      <w:r>
        <w:rPr>
          <w:rFonts w:ascii="Times New Roman" w:hAnsi="Times New Roman" w:cs="Times New Roman"/>
          <w:sz w:val="24"/>
          <w:szCs w:val="24"/>
        </w:rPr>
        <w:t xml:space="preserve">  Mr. Crumbley testified that the Service Address </w:t>
      </w:r>
      <w:r w:rsidR="003C3F6A" w:rsidRPr="003C3F6A">
        <w:rPr>
          <w:rFonts w:ascii="Times New Roman" w:hAnsi="Times New Roman" w:cs="Times New Roman"/>
          <w:sz w:val="24"/>
          <w:szCs w:val="24"/>
        </w:rPr>
        <w:t xml:space="preserve">is fed off one of PECO’s 4 kV circuits called Olive-001.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Tr. 121.  The 4 kV feed comes to the PECO transformer at the top of the pole as a single phase primary wire and feeds 850 customers on the Olive-001 circuit.  Tr. 123-124.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The transformer serves to step the voltage down from 4,000 volts to 240 volts before service branches off to other properties through secondary wires.  Tr. 124.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The utility pole at</w:t>
      </w:r>
      <w:r>
        <w:rPr>
          <w:rFonts w:ascii="Times New Roman" w:hAnsi="Times New Roman" w:cs="Times New Roman"/>
          <w:sz w:val="24"/>
          <w:szCs w:val="24"/>
        </w:rPr>
        <w:t xml:space="preserve"> the back of the Complainant</w:t>
      </w:r>
      <w:r w:rsidR="003C3F6A" w:rsidRPr="003C3F6A">
        <w:rPr>
          <w:rFonts w:ascii="Times New Roman" w:hAnsi="Times New Roman" w:cs="Times New Roman"/>
          <w:sz w:val="24"/>
          <w:szCs w:val="24"/>
        </w:rPr>
        <w:t>s</w:t>
      </w:r>
      <w:r>
        <w:rPr>
          <w:rFonts w:ascii="Times New Roman" w:hAnsi="Times New Roman" w:cs="Times New Roman"/>
          <w:sz w:val="24"/>
          <w:szCs w:val="24"/>
        </w:rPr>
        <w:t>’</w:t>
      </w:r>
      <w:r w:rsidR="003C3F6A" w:rsidRPr="003C3F6A">
        <w:rPr>
          <w:rFonts w:ascii="Times New Roman" w:hAnsi="Times New Roman" w:cs="Times New Roman"/>
          <w:sz w:val="24"/>
          <w:szCs w:val="24"/>
        </w:rPr>
        <w:t xml:space="preserve"> property is a Verizon pole.  Tr. 123-124.</w:t>
      </w:r>
      <w:r w:rsidR="003C3F6A">
        <w:rPr>
          <w:rFonts w:ascii="Times New Roman" w:hAnsi="Times New Roman" w:cs="Times New Roman"/>
          <w:sz w:val="24"/>
          <w:szCs w:val="24"/>
        </w:rPr>
        <w:t xml:space="preserve">  </w:t>
      </w:r>
    </w:p>
    <w:p w:rsidR="003C3F6A" w:rsidRDefault="003C3F6A" w:rsidP="003C3F6A">
      <w:pPr>
        <w:spacing w:after="0" w:line="360" w:lineRule="auto"/>
        <w:ind w:firstLine="1440"/>
        <w:rPr>
          <w:rFonts w:ascii="Times New Roman" w:hAnsi="Times New Roman" w:cs="Times New Roman"/>
          <w:sz w:val="24"/>
          <w:szCs w:val="24"/>
        </w:rPr>
      </w:pPr>
    </w:p>
    <w:p w:rsidR="003C3F6A" w:rsidRPr="003C3F6A" w:rsidRDefault="00DE3F92" w:rsidP="003C3F6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According to PECO’s Outage Management System, </w:t>
      </w:r>
      <w:r w:rsidR="003C3F6A" w:rsidRPr="003C3F6A">
        <w:rPr>
          <w:rFonts w:ascii="Times New Roman" w:hAnsi="Times New Roman" w:cs="Times New Roman"/>
          <w:sz w:val="24"/>
          <w:szCs w:val="24"/>
        </w:rPr>
        <w:t>the Service Address was involved in seven sustained power outages during the period from July 25, 2012</w:t>
      </w:r>
      <w:r>
        <w:rPr>
          <w:rFonts w:ascii="Times New Roman" w:hAnsi="Times New Roman" w:cs="Times New Roman"/>
          <w:sz w:val="24"/>
          <w:szCs w:val="24"/>
        </w:rPr>
        <w:t>,</w:t>
      </w:r>
      <w:r w:rsidR="003C3F6A" w:rsidRPr="003C3F6A">
        <w:rPr>
          <w:rFonts w:ascii="Times New Roman" w:hAnsi="Times New Roman" w:cs="Times New Roman"/>
          <w:sz w:val="24"/>
          <w:szCs w:val="24"/>
        </w:rPr>
        <w:t xml:space="preserve"> to July 25, 2016.  Tr. 122, 131, PECO Exhibit 14.</w:t>
      </w:r>
      <w:r w:rsid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A sustained outage is an outage that lasts six minutes or more. Tr. 122.  Six of the sustained outages experienced by Mr. Segarra were characterized by PECO as storm-related and affected all the PECO customers in the Olive-001 circuit.  Tr. 132, PECO Exhibit 14.  One of the seven sustained outages occurred on October 7, 2014, affected only 154 PECO customers, and was an intentional interruption of services in order to allow Verizon to replace a pole.  Tr. 132, 143, PECO Exhibit 14.</w:t>
      </w:r>
      <w:r w:rsidR="00B83873" w:rsidRPr="00B83873">
        <w:rPr>
          <w:rFonts w:ascii="Times New Roman" w:hAnsi="Times New Roman" w:cs="Times New Roman"/>
          <w:sz w:val="24"/>
          <w:szCs w:val="24"/>
        </w:rPr>
        <w:t xml:space="preserve"> </w:t>
      </w:r>
      <w:r w:rsidR="00B83873">
        <w:rPr>
          <w:rFonts w:ascii="Times New Roman" w:hAnsi="Times New Roman" w:cs="Times New Roman"/>
          <w:sz w:val="24"/>
          <w:szCs w:val="24"/>
        </w:rPr>
        <w:t xml:space="preserve"> </w:t>
      </w:r>
      <w:r w:rsidR="00B83873" w:rsidRPr="003C3F6A">
        <w:rPr>
          <w:rFonts w:ascii="Times New Roman" w:hAnsi="Times New Roman" w:cs="Times New Roman"/>
          <w:sz w:val="24"/>
          <w:szCs w:val="24"/>
        </w:rPr>
        <w:t>PECO has no record of the transformer serving Mr. Segarra’s property ever exploding.  Tr. 124</w:t>
      </w:r>
      <w:r w:rsidR="00B83873">
        <w:rPr>
          <w:rFonts w:ascii="Times New Roman" w:hAnsi="Times New Roman" w:cs="Times New Roman"/>
          <w:sz w:val="24"/>
          <w:szCs w:val="24"/>
        </w:rPr>
        <w:t>-127, PECO late-filed Exhibit 16(b)</w:t>
      </w:r>
      <w:r w:rsidR="00B83873" w:rsidRPr="003C3F6A">
        <w:rPr>
          <w:rFonts w:ascii="Times New Roman" w:hAnsi="Times New Roman" w:cs="Times New Roman"/>
          <w:sz w:val="24"/>
          <w:szCs w:val="24"/>
        </w:rPr>
        <w:t>.</w:t>
      </w:r>
    </w:p>
    <w:p w:rsidR="003C3F6A" w:rsidRDefault="003C3F6A" w:rsidP="003C3F6A">
      <w:pPr>
        <w:spacing w:after="0" w:line="360" w:lineRule="auto"/>
        <w:ind w:firstLine="1440"/>
        <w:rPr>
          <w:rFonts w:ascii="Times New Roman" w:hAnsi="Times New Roman" w:cs="Times New Roman"/>
          <w:sz w:val="24"/>
          <w:szCs w:val="24"/>
        </w:rPr>
      </w:pPr>
    </w:p>
    <w:p w:rsidR="003C3F6A" w:rsidRPr="003C3F6A" w:rsidRDefault="00DE3F92" w:rsidP="003C3F6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Crumbley testified that </w:t>
      </w:r>
      <w:r w:rsidR="003C3F6A" w:rsidRPr="003C3F6A">
        <w:rPr>
          <w:rFonts w:ascii="Times New Roman" w:hAnsi="Times New Roman" w:cs="Times New Roman"/>
          <w:sz w:val="24"/>
          <w:szCs w:val="24"/>
        </w:rPr>
        <w:t xml:space="preserve">hundreds of thousands of PECO customers </w:t>
      </w:r>
      <w:r>
        <w:rPr>
          <w:rFonts w:ascii="Times New Roman" w:hAnsi="Times New Roman" w:cs="Times New Roman"/>
          <w:sz w:val="24"/>
          <w:szCs w:val="24"/>
        </w:rPr>
        <w:t xml:space="preserve">currently </w:t>
      </w:r>
      <w:r w:rsidR="003C3F6A" w:rsidRPr="003C3F6A">
        <w:rPr>
          <w:rFonts w:ascii="Times New Roman" w:hAnsi="Times New Roman" w:cs="Times New Roman"/>
          <w:sz w:val="24"/>
          <w:szCs w:val="24"/>
        </w:rPr>
        <w:t>receive electricity through “open wire secondary,”</w:t>
      </w:r>
      <w:r w:rsidR="00B83873">
        <w:rPr>
          <w:rFonts w:ascii="Times New Roman" w:hAnsi="Times New Roman" w:cs="Times New Roman"/>
          <w:sz w:val="24"/>
          <w:szCs w:val="24"/>
        </w:rPr>
        <w:t xml:space="preserve"> similar to the one that served the Service Address until November 23, 2013.  </w:t>
      </w:r>
      <w:r w:rsidR="00B83873" w:rsidRPr="003C3F6A">
        <w:rPr>
          <w:rFonts w:ascii="Times New Roman" w:hAnsi="Times New Roman" w:cs="Times New Roman"/>
          <w:sz w:val="24"/>
          <w:szCs w:val="24"/>
        </w:rPr>
        <w:t xml:space="preserve">Tr. 127, 135. </w:t>
      </w:r>
      <w:r w:rsidR="00B83873">
        <w:rPr>
          <w:rFonts w:ascii="Times New Roman" w:hAnsi="Times New Roman" w:cs="Times New Roman"/>
          <w:sz w:val="24"/>
          <w:szCs w:val="24"/>
        </w:rPr>
        <w:t xml:space="preserve"> He explained that </w:t>
      </w:r>
      <w:r w:rsidR="00282580">
        <w:rPr>
          <w:rFonts w:ascii="Times New Roman" w:hAnsi="Times New Roman" w:cs="Times New Roman"/>
          <w:sz w:val="24"/>
          <w:szCs w:val="24"/>
        </w:rPr>
        <w:t xml:space="preserve">the </w:t>
      </w:r>
      <w:r w:rsidR="00B83873">
        <w:rPr>
          <w:rFonts w:ascii="Times New Roman" w:hAnsi="Times New Roman" w:cs="Times New Roman"/>
          <w:sz w:val="24"/>
          <w:szCs w:val="24"/>
        </w:rPr>
        <w:t>“open wire secondary</w:t>
      </w:r>
      <w:r w:rsidR="00B83873" w:rsidRPr="003C3F6A">
        <w:rPr>
          <w:rFonts w:ascii="Times New Roman" w:hAnsi="Times New Roman" w:cs="Times New Roman"/>
          <w:sz w:val="24"/>
          <w:szCs w:val="24"/>
        </w:rPr>
        <w:t>”</w:t>
      </w:r>
      <w:r w:rsidR="00B83873">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consists of three copper wires put on a spreader eight inches apart from each other.  </w:t>
      </w:r>
      <w:r w:rsidR="00B83873" w:rsidRPr="00B83873">
        <w:rPr>
          <w:rFonts w:ascii="Times New Roman" w:hAnsi="Times New Roman" w:cs="Times New Roman"/>
          <w:sz w:val="24"/>
          <w:szCs w:val="24"/>
          <w:u w:val="single"/>
        </w:rPr>
        <w:t>Id.</w:t>
      </w:r>
      <w:r w:rsidR="00B83873">
        <w:rPr>
          <w:rFonts w:ascii="Times New Roman" w:hAnsi="Times New Roman" w:cs="Times New Roman"/>
          <w:sz w:val="24"/>
          <w:szCs w:val="24"/>
        </w:rPr>
        <w:t xml:space="preserve"> </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The </w:t>
      </w:r>
      <w:r w:rsidR="00B83873">
        <w:rPr>
          <w:rFonts w:ascii="Times New Roman" w:hAnsi="Times New Roman" w:cs="Times New Roman"/>
          <w:sz w:val="24"/>
          <w:szCs w:val="24"/>
        </w:rPr>
        <w:t>“</w:t>
      </w:r>
      <w:r w:rsidR="003C3F6A" w:rsidRPr="003C3F6A">
        <w:rPr>
          <w:rFonts w:ascii="Times New Roman" w:hAnsi="Times New Roman" w:cs="Times New Roman"/>
          <w:sz w:val="24"/>
          <w:szCs w:val="24"/>
        </w:rPr>
        <w:t>open wire secondary</w:t>
      </w:r>
      <w:r w:rsidR="00B83873">
        <w:rPr>
          <w:rFonts w:ascii="Times New Roman" w:hAnsi="Times New Roman" w:cs="Times New Roman"/>
          <w:sz w:val="24"/>
          <w:szCs w:val="24"/>
        </w:rPr>
        <w:t>”</w:t>
      </w:r>
      <w:r w:rsidR="003C3F6A" w:rsidRPr="003C3F6A">
        <w:rPr>
          <w:rFonts w:ascii="Times New Roman" w:hAnsi="Times New Roman" w:cs="Times New Roman"/>
          <w:sz w:val="24"/>
          <w:szCs w:val="24"/>
        </w:rPr>
        <w:t xml:space="preserve"> does not constitute unsafe service to PECO customers.  Tr. 135. </w:t>
      </w:r>
      <w:r w:rsid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If the cop</w:t>
      </w:r>
      <w:r w:rsidR="005B05C3">
        <w:rPr>
          <w:rFonts w:ascii="Times New Roman" w:hAnsi="Times New Roman" w:cs="Times New Roman"/>
          <w:sz w:val="24"/>
          <w:szCs w:val="24"/>
        </w:rPr>
        <w:t>p</w:t>
      </w:r>
      <w:r w:rsidR="003C3F6A" w:rsidRPr="003C3F6A">
        <w:rPr>
          <w:rFonts w:ascii="Times New Roman" w:hAnsi="Times New Roman" w:cs="Times New Roman"/>
          <w:sz w:val="24"/>
          <w:szCs w:val="24"/>
        </w:rPr>
        <w:t xml:space="preserve">er wires touch each other they can potentially cause sparks, surges and flames. </w:t>
      </w:r>
      <w:r w:rsidR="00B83873">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Tr. 127.  The copper wires may come into contact with each other if the utility pole is damaged or if they are impacted by vegetation growth. </w:t>
      </w:r>
      <w:r w:rsidR="00346FFD">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Tr. 128.  </w:t>
      </w:r>
      <w:r w:rsidR="00346FFD">
        <w:rPr>
          <w:rFonts w:ascii="Times New Roman" w:hAnsi="Times New Roman" w:cs="Times New Roman"/>
          <w:sz w:val="24"/>
          <w:szCs w:val="24"/>
        </w:rPr>
        <w:t xml:space="preserve">According to Mr. Crumbley, </w:t>
      </w:r>
      <w:r w:rsidR="003C3F6A" w:rsidRPr="003C3F6A">
        <w:rPr>
          <w:rFonts w:ascii="Times New Roman" w:hAnsi="Times New Roman" w:cs="Times New Roman"/>
          <w:sz w:val="24"/>
          <w:szCs w:val="24"/>
        </w:rPr>
        <w:t xml:space="preserve">PECO is responsible </w:t>
      </w:r>
      <w:r w:rsidR="003C3F6A" w:rsidRPr="003C3F6A">
        <w:rPr>
          <w:rFonts w:ascii="Times New Roman" w:hAnsi="Times New Roman" w:cs="Times New Roman"/>
          <w:sz w:val="24"/>
          <w:szCs w:val="24"/>
        </w:rPr>
        <w:lastRenderedPageBreak/>
        <w:t xml:space="preserve">for vegetation maintenance on primary lines. </w:t>
      </w:r>
      <w:r w:rsidR="00B83873">
        <w:rPr>
          <w:rFonts w:ascii="Times New Roman" w:hAnsi="Times New Roman" w:cs="Times New Roman"/>
          <w:sz w:val="24"/>
          <w:szCs w:val="24"/>
        </w:rPr>
        <w:t xml:space="preserve"> </w:t>
      </w:r>
      <w:r w:rsidR="003C3F6A" w:rsidRPr="003C3F6A">
        <w:rPr>
          <w:rFonts w:ascii="Times New Roman" w:hAnsi="Times New Roman" w:cs="Times New Roman"/>
          <w:sz w:val="24"/>
          <w:szCs w:val="24"/>
        </w:rPr>
        <w:t>Tr. 128.  PECO is not responsible for vegetation maintenance around secondary lines.  Tr. 128.</w:t>
      </w:r>
      <w:r w:rsid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PECO’s record for the Service Address contains no indication that the three copper wires making up </w:t>
      </w:r>
      <w:r w:rsidR="00346FFD">
        <w:rPr>
          <w:rFonts w:ascii="Times New Roman" w:hAnsi="Times New Roman" w:cs="Times New Roman"/>
          <w:sz w:val="24"/>
          <w:szCs w:val="24"/>
        </w:rPr>
        <w:t xml:space="preserve">the Complainants’ </w:t>
      </w:r>
      <w:r w:rsidR="003C3F6A" w:rsidRPr="003C3F6A">
        <w:rPr>
          <w:rFonts w:ascii="Times New Roman" w:hAnsi="Times New Roman" w:cs="Times New Roman"/>
          <w:sz w:val="24"/>
          <w:szCs w:val="24"/>
        </w:rPr>
        <w:t xml:space="preserve">old “open wire secondary” were involved in sparks, surges </w:t>
      </w:r>
      <w:r w:rsidR="00346FFD">
        <w:rPr>
          <w:rFonts w:ascii="Times New Roman" w:hAnsi="Times New Roman" w:cs="Times New Roman"/>
          <w:sz w:val="24"/>
          <w:szCs w:val="24"/>
        </w:rPr>
        <w:t xml:space="preserve">or </w:t>
      </w:r>
      <w:r w:rsidR="003C3F6A" w:rsidRPr="003C3F6A">
        <w:rPr>
          <w:rFonts w:ascii="Times New Roman" w:hAnsi="Times New Roman" w:cs="Times New Roman"/>
          <w:sz w:val="24"/>
          <w:szCs w:val="24"/>
        </w:rPr>
        <w:t xml:space="preserve">flames. </w:t>
      </w:r>
      <w:r w:rsidR="00346FFD">
        <w:rPr>
          <w:rFonts w:ascii="Times New Roman" w:hAnsi="Times New Roman" w:cs="Times New Roman"/>
          <w:sz w:val="24"/>
          <w:szCs w:val="24"/>
        </w:rPr>
        <w:t xml:space="preserve"> </w:t>
      </w:r>
      <w:r w:rsidR="003C3F6A" w:rsidRPr="003C3F6A">
        <w:rPr>
          <w:rFonts w:ascii="Times New Roman" w:hAnsi="Times New Roman" w:cs="Times New Roman"/>
          <w:sz w:val="24"/>
          <w:szCs w:val="24"/>
        </w:rPr>
        <w:t>Tr. 127, PECO Exhibit 14.</w:t>
      </w:r>
      <w:r w:rsidR="00B83873" w:rsidRPr="00B83873">
        <w:rPr>
          <w:rFonts w:ascii="Times New Roman" w:hAnsi="Times New Roman" w:cs="Times New Roman"/>
          <w:sz w:val="24"/>
          <w:szCs w:val="24"/>
        </w:rPr>
        <w:t xml:space="preserve"> </w:t>
      </w:r>
      <w:r w:rsidR="00B83873">
        <w:rPr>
          <w:rFonts w:ascii="Times New Roman" w:hAnsi="Times New Roman" w:cs="Times New Roman"/>
          <w:sz w:val="24"/>
          <w:szCs w:val="24"/>
        </w:rPr>
        <w:t xml:space="preserve"> </w:t>
      </w:r>
    </w:p>
    <w:p w:rsidR="003C3F6A" w:rsidRDefault="003C3F6A" w:rsidP="003C3F6A">
      <w:pPr>
        <w:spacing w:after="0" w:line="360" w:lineRule="auto"/>
        <w:ind w:firstLine="1440"/>
        <w:rPr>
          <w:rFonts w:ascii="Times New Roman" w:hAnsi="Times New Roman" w:cs="Times New Roman"/>
          <w:sz w:val="24"/>
          <w:szCs w:val="24"/>
        </w:rPr>
      </w:pPr>
    </w:p>
    <w:p w:rsid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 xml:space="preserve">According to Mr. Crumbley, PECO’s AMR and AMI meters protect a customer’s service line from any type of power surge, being programed to shut off and, in the case of the AMI meter, to notify PECO of the event.  Tr. 129-130, 141.  The meter shut off would cause a power outage inside the property the meter was serving and would be reported on PECO’s Outage Management System. </w:t>
      </w:r>
      <w:r>
        <w:rPr>
          <w:rFonts w:ascii="Times New Roman" w:hAnsi="Times New Roman" w:cs="Times New Roman"/>
          <w:sz w:val="24"/>
          <w:szCs w:val="24"/>
        </w:rPr>
        <w:t xml:space="preserve"> </w:t>
      </w:r>
      <w:r w:rsidRPr="003C3F6A">
        <w:rPr>
          <w:rFonts w:ascii="Times New Roman" w:hAnsi="Times New Roman" w:cs="Times New Roman"/>
          <w:sz w:val="24"/>
          <w:szCs w:val="24"/>
        </w:rPr>
        <w:t>Tr. 131.</w:t>
      </w:r>
    </w:p>
    <w:p w:rsidR="003C3F6A" w:rsidRPr="003C3F6A" w:rsidRDefault="003C3F6A" w:rsidP="003C3F6A">
      <w:pPr>
        <w:spacing w:after="0" w:line="360" w:lineRule="auto"/>
        <w:ind w:firstLine="1440"/>
        <w:rPr>
          <w:rFonts w:ascii="Times New Roman" w:hAnsi="Times New Roman" w:cs="Times New Roman"/>
          <w:sz w:val="24"/>
          <w:szCs w:val="24"/>
        </w:rPr>
      </w:pPr>
    </w:p>
    <w:p w:rsid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 xml:space="preserve">Mr. Crumbley confirmed Mr. Segarra’s statement that on October 21, 2013, </w:t>
      </w:r>
      <w:r w:rsidR="00810EF7">
        <w:rPr>
          <w:rFonts w:ascii="Times New Roman" w:hAnsi="Times New Roman" w:cs="Times New Roman"/>
          <w:sz w:val="24"/>
          <w:szCs w:val="24"/>
        </w:rPr>
        <w:t>Mr. </w:t>
      </w:r>
      <w:r w:rsidR="00346FFD">
        <w:rPr>
          <w:rFonts w:ascii="Times New Roman" w:hAnsi="Times New Roman" w:cs="Times New Roman"/>
          <w:sz w:val="24"/>
          <w:szCs w:val="24"/>
        </w:rPr>
        <w:t xml:space="preserve">Segarra </w:t>
      </w:r>
      <w:r w:rsidRPr="003C3F6A">
        <w:rPr>
          <w:rFonts w:ascii="Times New Roman" w:hAnsi="Times New Roman" w:cs="Times New Roman"/>
          <w:sz w:val="24"/>
          <w:szCs w:val="24"/>
        </w:rPr>
        <w:t>contacted PECO reporting that the wires running from the pole to the rear of his house were too close to the neighbor’s trees, were sagging, and were causing power flickers on windy days.  Tr. 132.</w:t>
      </w:r>
      <w:r>
        <w:rPr>
          <w:rFonts w:ascii="Times New Roman" w:hAnsi="Times New Roman" w:cs="Times New Roman"/>
          <w:sz w:val="24"/>
          <w:szCs w:val="24"/>
        </w:rPr>
        <w:t xml:space="preserve">  </w:t>
      </w:r>
      <w:r w:rsidR="00DE3F92">
        <w:rPr>
          <w:rFonts w:ascii="Times New Roman" w:hAnsi="Times New Roman" w:cs="Times New Roman"/>
          <w:sz w:val="24"/>
          <w:szCs w:val="24"/>
        </w:rPr>
        <w:t>On November 6</w:t>
      </w:r>
      <w:r w:rsidRPr="003C3F6A">
        <w:rPr>
          <w:rFonts w:ascii="Times New Roman" w:hAnsi="Times New Roman" w:cs="Times New Roman"/>
          <w:sz w:val="24"/>
          <w:szCs w:val="24"/>
        </w:rPr>
        <w:t>, 2013, a PECO technician visited the Service Address and created a work order seeking the assistance of a specialized crew because the three copper wires ran from the transformer to the house.  Tr. 133-134, PECO Exhibit</w:t>
      </w:r>
      <w:r w:rsidR="00B83873">
        <w:rPr>
          <w:rFonts w:ascii="Times New Roman" w:hAnsi="Times New Roman" w:cs="Times New Roman"/>
          <w:sz w:val="24"/>
          <w:szCs w:val="24"/>
        </w:rPr>
        <w:t>s</w:t>
      </w:r>
      <w:r w:rsidRPr="003C3F6A">
        <w:rPr>
          <w:rFonts w:ascii="Times New Roman" w:hAnsi="Times New Roman" w:cs="Times New Roman"/>
          <w:sz w:val="24"/>
          <w:szCs w:val="24"/>
        </w:rPr>
        <w:t xml:space="preserve"> 15</w:t>
      </w:r>
      <w:r w:rsidR="00B83873">
        <w:rPr>
          <w:rFonts w:ascii="Times New Roman" w:hAnsi="Times New Roman" w:cs="Times New Roman"/>
          <w:sz w:val="24"/>
          <w:szCs w:val="24"/>
        </w:rPr>
        <w:t>, 16 and late-filed Exhibit 16(b)</w:t>
      </w:r>
      <w:r w:rsidRPr="003C3F6A">
        <w:rPr>
          <w:rFonts w:ascii="Times New Roman" w:hAnsi="Times New Roman" w:cs="Times New Roman"/>
          <w:sz w:val="24"/>
          <w:szCs w:val="24"/>
        </w:rPr>
        <w:t>.</w:t>
      </w:r>
      <w:r>
        <w:rPr>
          <w:rFonts w:ascii="Times New Roman" w:hAnsi="Times New Roman" w:cs="Times New Roman"/>
          <w:sz w:val="24"/>
          <w:szCs w:val="24"/>
        </w:rPr>
        <w:t xml:space="preserve">  </w:t>
      </w:r>
      <w:r w:rsidRPr="003C3F6A">
        <w:rPr>
          <w:rFonts w:ascii="Times New Roman" w:hAnsi="Times New Roman" w:cs="Times New Roman"/>
          <w:sz w:val="24"/>
          <w:szCs w:val="24"/>
        </w:rPr>
        <w:t>The PECO technician, Jim Fisher, who visited the Service Address on November</w:t>
      </w:r>
      <w:r w:rsidR="00B83873">
        <w:rPr>
          <w:rFonts w:ascii="Times New Roman" w:hAnsi="Times New Roman" w:cs="Times New Roman"/>
          <w:sz w:val="24"/>
          <w:szCs w:val="24"/>
        </w:rPr>
        <w:t xml:space="preserve"> 6</w:t>
      </w:r>
      <w:r w:rsidRPr="003C3F6A">
        <w:rPr>
          <w:rFonts w:ascii="Times New Roman" w:hAnsi="Times New Roman" w:cs="Times New Roman"/>
          <w:sz w:val="24"/>
          <w:szCs w:val="24"/>
        </w:rPr>
        <w:t>, 2013</w:t>
      </w:r>
      <w:r w:rsidR="00DE3F92">
        <w:rPr>
          <w:rFonts w:ascii="Times New Roman" w:hAnsi="Times New Roman" w:cs="Times New Roman"/>
          <w:sz w:val="24"/>
          <w:szCs w:val="24"/>
        </w:rPr>
        <w:t>,</w:t>
      </w:r>
      <w:r w:rsidRPr="003C3F6A">
        <w:rPr>
          <w:rFonts w:ascii="Times New Roman" w:hAnsi="Times New Roman" w:cs="Times New Roman"/>
          <w:sz w:val="24"/>
          <w:szCs w:val="24"/>
        </w:rPr>
        <w:t xml:space="preserve"> assessed the situation as a low priority or non-emergency.  Tr. 133-135, PECO Exhibit 15. </w:t>
      </w:r>
      <w:r>
        <w:rPr>
          <w:rFonts w:ascii="Times New Roman" w:hAnsi="Times New Roman" w:cs="Times New Roman"/>
          <w:sz w:val="24"/>
          <w:szCs w:val="24"/>
        </w:rPr>
        <w:t xml:space="preserve"> </w:t>
      </w:r>
      <w:r w:rsidRPr="003C3F6A">
        <w:rPr>
          <w:rFonts w:ascii="Times New Roman" w:hAnsi="Times New Roman" w:cs="Times New Roman"/>
          <w:sz w:val="24"/>
          <w:szCs w:val="24"/>
        </w:rPr>
        <w:t>On November 14, 2013, PECO’s crew verified that the connection taps from the PECO transformer to Mr. Segarra’s house were secure.  Tr. 136-37</w:t>
      </w:r>
      <w:r w:rsidR="00B83873">
        <w:rPr>
          <w:rFonts w:ascii="Times New Roman" w:hAnsi="Times New Roman" w:cs="Times New Roman"/>
          <w:sz w:val="24"/>
          <w:szCs w:val="24"/>
        </w:rPr>
        <w:t>, PECO Exhibit 16 and late-filed Exhibit 16(b)</w:t>
      </w:r>
      <w:r w:rsidRPr="003C3F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F6A">
        <w:rPr>
          <w:rFonts w:ascii="Times New Roman" w:hAnsi="Times New Roman" w:cs="Times New Roman"/>
          <w:sz w:val="24"/>
          <w:szCs w:val="24"/>
        </w:rPr>
        <w:t>Mr. Crumbley explained that loose connections at the pole, at the taps, or at the meter could cause flickering lights at the customer’s residence.  Tr. 135-36.</w:t>
      </w:r>
    </w:p>
    <w:p w:rsidR="003C3F6A" w:rsidRPr="003C3F6A" w:rsidRDefault="003C3F6A" w:rsidP="003C3F6A">
      <w:pPr>
        <w:spacing w:after="0" w:line="360" w:lineRule="auto"/>
        <w:ind w:firstLine="1440"/>
        <w:rPr>
          <w:rFonts w:ascii="Times New Roman" w:hAnsi="Times New Roman" w:cs="Times New Roman"/>
          <w:sz w:val="24"/>
          <w:szCs w:val="24"/>
        </w:rPr>
      </w:pPr>
    </w:p>
    <w:p w:rsidR="003C3F6A" w:rsidRP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On</w:t>
      </w:r>
      <w:r w:rsidR="00B83873">
        <w:rPr>
          <w:rFonts w:ascii="Times New Roman" w:hAnsi="Times New Roman" w:cs="Times New Roman"/>
          <w:sz w:val="24"/>
          <w:szCs w:val="24"/>
        </w:rPr>
        <w:t xml:space="preserve"> November 23, 2013</w:t>
      </w:r>
      <w:r w:rsidRPr="003C3F6A">
        <w:rPr>
          <w:rFonts w:ascii="Times New Roman" w:hAnsi="Times New Roman" w:cs="Times New Roman"/>
          <w:sz w:val="24"/>
          <w:szCs w:val="24"/>
        </w:rPr>
        <w:t xml:space="preserve">, </w:t>
      </w:r>
      <w:r w:rsidR="00B83873">
        <w:rPr>
          <w:rFonts w:ascii="Times New Roman" w:hAnsi="Times New Roman" w:cs="Times New Roman"/>
          <w:sz w:val="24"/>
          <w:szCs w:val="24"/>
        </w:rPr>
        <w:t xml:space="preserve">another </w:t>
      </w:r>
      <w:r w:rsidRPr="003C3F6A">
        <w:rPr>
          <w:rFonts w:ascii="Times New Roman" w:hAnsi="Times New Roman" w:cs="Times New Roman"/>
          <w:sz w:val="24"/>
          <w:szCs w:val="24"/>
        </w:rPr>
        <w:t>PECO’s crew visited the Service Address and replaced the copper “open wire secondary” running from the transformer to the house with an aluminum triplex wire or “bundle secondary”.  Tr.141-42, 135, 146</w:t>
      </w:r>
      <w:r w:rsidR="00B83873">
        <w:rPr>
          <w:rFonts w:ascii="Times New Roman" w:hAnsi="Times New Roman" w:cs="Times New Roman"/>
          <w:sz w:val="24"/>
          <w:szCs w:val="24"/>
        </w:rPr>
        <w:t>, PECO late-filed Exhibit 16(b)</w:t>
      </w:r>
      <w:r w:rsidRPr="003C3F6A">
        <w:rPr>
          <w:rFonts w:ascii="Times New Roman" w:hAnsi="Times New Roman" w:cs="Times New Roman"/>
          <w:sz w:val="24"/>
          <w:szCs w:val="24"/>
        </w:rPr>
        <w:t xml:space="preserve">. </w:t>
      </w:r>
      <w:r w:rsidR="00DE3F92">
        <w:rPr>
          <w:rFonts w:ascii="Times New Roman" w:hAnsi="Times New Roman" w:cs="Times New Roman"/>
          <w:sz w:val="24"/>
          <w:szCs w:val="24"/>
        </w:rPr>
        <w:t xml:space="preserve"> </w:t>
      </w:r>
      <w:r w:rsidRPr="003C3F6A">
        <w:rPr>
          <w:rFonts w:ascii="Times New Roman" w:hAnsi="Times New Roman" w:cs="Times New Roman"/>
          <w:sz w:val="24"/>
          <w:szCs w:val="24"/>
        </w:rPr>
        <w:t xml:space="preserve">According to Mr. Crumbley, the change from “open wire secondary” to “bundle secondary” increased by a foot the secondary’s clearance from the branches of the neighbor’s tree.  Tr. 135, 146. </w:t>
      </w:r>
    </w:p>
    <w:p w:rsidR="003C3F6A" w:rsidRDefault="003C3F6A" w:rsidP="003C3F6A">
      <w:pPr>
        <w:spacing w:after="0" w:line="360" w:lineRule="auto"/>
        <w:ind w:firstLine="1440"/>
        <w:rPr>
          <w:rFonts w:ascii="Times New Roman" w:hAnsi="Times New Roman" w:cs="Times New Roman"/>
          <w:sz w:val="24"/>
          <w:szCs w:val="24"/>
        </w:rPr>
      </w:pPr>
    </w:p>
    <w:p w:rsid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lastRenderedPageBreak/>
        <w:t>Mr. Crumbley testified that PECO did not test the</w:t>
      </w:r>
      <w:r w:rsidR="00B83873">
        <w:rPr>
          <w:rFonts w:ascii="Times New Roman" w:hAnsi="Times New Roman" w:cs="Times New Roman"/>
          <w:sz w:val="24"/>
          <w:szCs w:val="24"/>
        </w:rPr>
        <w:t xml:space="preserve"> voltage inside the Complainant</w:t>
      </w:r>
      <w:r w:rsidRPr="003C3F6A">
        <w:rPr>
          <w:rFonts w:ascii="Times New Roman" w:hAnsi="Times New Roman" w:cs="Times New Roman"/>
          <w:sz w:val="24"/>
          <w:szCs w:val="24"/>
        </w:rPr>
        <w:t>s</w:t>
      </w:r>
      <w:r w:rsidR="00B83873">
        <w:rPr>
          <w:rFonts w:ascii="Times New Roman" w:hAnsi="Times New Roman" w:cs="Times New Roman"/>
          <w:sz w:val="24"/>
          <w:szCs w:val="24"/>
        </w:rPr>
        <w:t>’</w:t>
      </w:r>
      <w:r w:rsidRPr="003C3F6A">
        <w:rPr>
          <w:rFonts w:ascii="Times New Roman" w:hAnsi="Times New Roman" w:cs="Times New Roman"/>
          <w:sz w:val="24"/>
          <w:szCs w:val="24"/>
        </w:rPr>
        <w:t xml:space="preserve"> house. </w:t>
      </w:r>
      <w:r w:rsidR="00B83873">
        <w:rPr>
          <w:rFonts w:ascii="Times New Roman" w:hAnsi="Times New Roman" w:cs="Times New Roman"/>
          <w:sz w:val="24"/>
          <w:szCs w:val="24"/>
        </w:rPr>
        <w:t xml:space="preserve"> </w:t>
      </w:r>
      <w:r w:rsidRPr="003C3F6A">
        <w:rPr>
          <w:rFonts w:ascii="Times New Roman" w:hAnsi="Times New Roman" w:cs="Times New Roman"/>
          <w:sz w:val="24"/>
          <w:szCs w:val="24"/>
        </w:rPr>
        <w:t>Tr. 148, 155.  Mr. Crumbley explained that PECO performs power quality inspections only after PECO has checked all its facilities and the customer has the service line inside the house checked by a private electrician yet the source of the problem is yet unidentified.  Tr. 155.  In Mr. Segarra’s case, after PECO checked its facilities in the period October 2013 to January 2014, the Complainant</w:t>
      </w:r>
      <w:r w:rsidR="000C7384">
        <w:rPr>
          <w:rFonts w:ascii="Times New Roman" w:hAnsi="Times New Roman" w:cs="Times New Roman"/>
          <w:sz w:val="24"/>
          <w:szCs w:val="24"/>
        </w:rPr>
        <w:t>s</w:t>
      </w:r>
      <w:r w:rsidRPr="003C3F6A">
        <w:rPr>
          <w:rFonts w:ascii="Times New Roman" w:hAnsi="Times New Roman" w:cs="Times New Roman"/>
          <w:sz w:val="24"/>
          <w:szCs w:val="24"/>
        </w:rPr>
        <w:t xml:space="preserve"> did not contact PECO back to indicate that the problems persisted.  Tr. 156.  According to PECO, the situation reported by Mr. Segarra and observed by PECO did not warrant a power quality inspection to be performed inside the Complainant’s residence.  Tr. 156. </w:t>
      </w:r>
      <w:r w:rsidR="00DE3F92">
        <w:rPr>
          <w:rFonts w:ascii="Times New Roman" w:hAnsi="Times New Roman" w:cs="Times New Roman"/>
          <w:sz w:val="24"/>
          <w:szCs w:val="24"/>
        </w:rPr>
        <w:t xml:space="preserve"> </w:t>
      </w:r>
    </w:p>
    <w:p w:rsidR="003C3F6A" w:rsidRDefault="003C3F6A" w:rsidP="003C3F6A">
      <w:pPr>
        <w:spacing w:after="0" w:line="360" w:lineRule="auto"/>
        <w:rPr>
          <w:rFonts w:ascii="Times New Roman" w:hAnsi="Times New Roman" w:cs="Times New Roman"/>
          <w:sz w:val="24"/>
          <w:szCs w:val="24"/>
        </w:rPr>
      </w:pPr>
    </w:p>
    <w:p w:rsidR="002A5AA2" w:rsidRDefault="00AB04CA" w:rsidP="00EE6BF4">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 xml:space="preserve">Lastly, PECO presented the testimony of </w:t>
      </w:r>
      <w:r w:rsidRPr="00AB04CA">
        <w:rPr>
          <w:rFonts w:ascii="Times New Roman" w:hAnsi="Times New Roman" w:cs="Times New Roman"/>
          <w:sz w:val="24"/>
          <w:szCs w:val="24"/>
        </w:rPr>
        <w:t>Renee Tarple</w:t>
      </w:r>
      <w:r>
        <w:rPr>
          <w:rFonts w:ascii="Times New Roman" w:hAnsi="Times New Roman" w:cs="Times New Roman"/>
          <w:sz w:val="24"/>
          <w:szCs w:val="24"/>
        </w:rPr>
        <w:t xml:space="preserve">y, who is a </w:t>
      </w:r>
      <w:r w:rsidRPr="00AB04CA">
        <w:rPr>
          <w:rFonts w:ascii="Times New Roman" w:hAnsi="Times New Roman" w:cs="Times New Roman"/>
          <w:sz w:val="24"/>
          <w:szCs w:val="24"/>
        </w:rPr>
        <w:t>senior regulatory assessor</w:t>
      </w:r>
      <w:r>
        <w:rPr>
          <w:rFonts w:ascii="Times New Roman" w:hAnsi="Times New Roman" w:cs="Times New Roman"/>
          <w:sz w:val="24"/>
          <w:szCs w:val="24"/>
        </w:rPr>
        <w:t xml:space="preserve"> with PECO.  Tr. 161.  Ms. Tarpley testified that on December </w:t>
      </w:r>
      <w:r w:rsidR="00EE6BF4">
        <w:rPr>
          <w:rFonts w:ascii="Times New Roman" w:hAnsi="Times New Roman" w:cs="Times New Roman"/>
          <w:sz w:val="24"/>
          <w:szCs w:val="24"/>
        </w:rPr>
        <w:t>2</w:t>
      </w:r>
      <w:r>
        <w:rPr>
          <w:rFonts w:ascii="Times New Roman" w:hAnsi="Times New Roman" w:cs="Times New Roman"/>
          <w:sz w:val="24"/>
          <w:szCs w:val="24"/>
        </w:rPr>
        <w:t>8, 2009, PECO established electric service for the 1</w:t>
      </w:r>
      <w:r w:rsidRPr="00AB04CA">
        <w:rPr>
          <w:rFonts w:ascii="Times New Roman" w:hAnsi="Times New Roman" w:cs="Times New Roman"/>
          <w:sz w:val="24"/>
          <w:szCs w:val="24"/>
          <w:vertAlign w:val="superscript"/>
        </w:rPr>
        <w:t>st</w:t>
      </w:r>
      <w:r>
        <w:rPr>
          <w:rFonts w:ascii="Times New Roman" w:hAnsi="Times New Roman" w:cs="Times New Roman"/>
          <w:sz w:val="24"/>
          <w:szCs w:val="24"/>
        </w:rPr>
        <w:t xml:space="preserve"> floor in Mr. Segarra’s name.  On April 22, 2011</w:t>
      </w:r>
      <w:r w:rsidR="00EE6BF4">
        <w:rPr>
          <w:rFonts w:ascii="Times New Roman" w:hAnsi="Times New Roman" w:cs="Times New Roman"/>
          <w:sz w:val="24"/>
          <w:szCs w:val="24"/>
        </w:rPr>
        <w:t>, s</w:t>
      </w:r>
      <w:r>
        <w:rPr>
          <w:rFonts w:ascii="Times New Roman" w:hAnsi="Times New Roman" w:cs="Times New Roman"/>
          <w:sz w:val="24"/>
          <w:szCs w:val="24"/>
        </w:rPr>
        <w:t>ervice for the 1</w:t>
      </w:r>
      <w:r w:rsidRPr="00AB04CA">
        <w:rPr>
          <w:rFonts w:ascii="Times New Roman" w:hAnsi="Times New Roman" w:cs="Times New Roman"/>
          <w:sz w:val="24"/>
          <w:szCs w:val="24"/>
          <w:vertAlign w:val="superscript"/>
        </w:rPr>
        <w:t>st</w:t>
      </w:r>
      <w:r>
        <w:rPr>
          <w:rFonts w:ascii="Times New Roman" w:hAnsi="Times New Roman" w:cs="Times New Roman"/>
          <w:sz w:val="24"/>
          <w:szCs w:val="24"/>
        </w:rPr>
        <w:t xml:space="preserve"> floor was established in Janette Vasquez’ name.  Tr. 161-162, PECO Exhibit 1</w:t>
      </w:r>
      <w:r w:rsidR="00EE6BF4">
        <w:rPr>
          <w:rFonts w:ascii="Times New Roman" w:hAnsi="Times New Roman" w:cs="Times New Roman"/>
          <w:sz w:val="24"/>
          <w:szCs w:val="24"/>
        </w:rPr>
        <w:t>.  On April 4, 2012,</w:t>
      </w:r>
      <w:r>
        <w:rPr>
          <w:rFonts w:ascii="Times New Roman" w:hAnsi="Times New Roman" w:cs="Times New Roman"/>
          <w:sz w:val="24"/>
          <w:szCs w:val="24"/>
        </w:rPr>
        <w:t xml:space="preserve"> </w:t>
      </w:r>
      <w:r w:rsidR="00EE6BF4">
        <w:rPr>
          <w:rFonts w:ascii="Times New Roman" w:hAnsi="Times New Roman" w:cs="Times New Roman"/>
          <w:sz w:val="24"/>
          <w:szCs w:val="24"/>
        </w:rPr>
        <w:t>service for the 2</w:t>
      </w:r>
      <w:r w:rsidR="00EE6BF4" w:rsidRPr="00EE6BF4">
        <w:rPr>
          <w:rFonts w:ascii="Times New Roman" w:hAnsi="Times New Roman" w:cs="Times New Roman"/>
          <w:sz w:val="24"/>
          <w:szCs w:val="24"/>
          <w:vertAlign w:val="superscript"/>
        </w:rPr>
        <w:t>nd</w:t>
      </w:r>
      <w:r w:rsidR="00EE6BF4">
        <w:rPr>
          <w:rFonts w:ascii="Times New Roman" w:hAnsi="Times New Roman" w:cs="Times New Roman"/>
          <w:sz w:val="24"/>
          <w:szCs w:val="24"/>
        </w:rPr>
        <w:t xml:space="preserve"> floor was established in Janette Vasquez’ name.  PECO Exhibit 2.  Ms. Tarpley testified that </w:t>
      </w:r>
      <w:r w:rsidR="002A5AA2">
        <w:rPr>
          <w:rFonts w:ascii="Times New Roman" w:hAnsi="Times New Roman" w:cs="Times New Roman"/>
          <w:sz w:val="24"/>
          <w:szCs w:val="24"/>
        </w:rPr>
        <w:t>the Complainants receive electric residential heating service from PECO.  Tr. 163.  She stated that in February of 2014, Mr. Segarra contacted PECO disputing his bills.  He informed the Respondent that his oil heater was no longer operable and that he was using electricity to heat his residence.  Tr. 176-177.</w:t>
      </w:r>
      <w:r w:rsidR="00EE1622">
        <w:rPr>
          <w:rFonts w:ascii="Times New Roman" w:hAnsi="Times New Roman" w:cs="Times New Roman"/>
          <w:sz w:val="24"/>
          <w:szCs w:val="24"/>
        </w:rPr>
        <w:t xml:space="preserve">  Upon receiving this information, PECO adjusted the Complainants’ rate to residential heating rate and gave them an adjustment credit of $367.30 for the 1</w:t>
      </w:r>
      <w:r w:rsidR="00EE1622" w:rsidRPr="00EE1622">
        <w:rPr>
          <w:rFonts w:ascii="Times New Roman" w:hAnsi="Times New Roman" w:cs="Times New Roman"/>
          <w:sz w:val="24"/>
          <w:szCs w:val="24"/>
          <w:vertAlign w:val="superscript"/>
        </w:rPr>
        <w:t>st</w:t>
      </w:r>
      <w:r w:rsidR="00EE1622">
        <w:rPr>
          <w:rFonts w:ascii="Times New Roman" w:hAnsi="Times New Roman" w:cs="Times New Roman"/>
          <w:sz w:val="24"/>
          <w:szCs w:val="24"/>
        </w:rPr>
        <w:t xml:space="preserve"> floor account and $36.33 for the second floor account, covering the period September 23, 2013 to February 25, 2014.  Tr. 176-177, PECO Exhibits 1 and 2.</w:t>
      </w:r>
    </w:p>
    <w:p w:rsidR="002A5AA2" w:rsidRDefault="002A5AA2" w:rsidP="00EE6BF4">
      <w:pPr>
        <w:spacing w:after="0" w:line="360" w:lineRule="auto"/>
        <w:ind w:firstLine="1530"/>
        <w:rPr>
          <w:rFonts w:ascii="Times New Roman" w:hAnsi="Times New Roman" w:cs="Times New Roman"/>
          <w:sz w:val="24"/>
          <w:szCs w:val="24"/>
        </w:rPr>
      </w:pPr>
    </w:p>
    <w:p w:rsidR="003C3F6A" w:rsidRDefault="004C6303" w:rsidP="00EE6BF4">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 xml:space="preserve">According to Ms. Tarpley, her </w:t>
      </w:r>
      <w:r w:rsidR="00EE6BF4">
        <w:rPr>
          <w:rFonts w:ascii="Times New Roman" w:hAnsi="Times New Roman" w:cs="Times New Roman"/>
          <w:sz w:val="24"/>
          <w:szCs w:val="24"/>
        </w:rPr>
        <w:t>review of the accounts history for the Service Address revealed that, f</w:t>
      </w:r>
      <w:r w:rsidR="003C3F6A" w:rsidRPr="003C3F6A">
        <w:rPr>
          <w:rFonts w:ascii="Times New Roman" w:hAnsi="Times New Roman" w:cs="Times New Roman"/>
          <w:sz w:val="24"/>
          <w:szCs w:val="24"/>
        </w:rPr>
        <w:t xml:space="preserve">rom October 2015 to July 2016, PECO received only two payments for Complainant’s first floor account: one for $1,024.90 on January 19, 2016, and another for $84.00 right before the hearing date.  Tr. 164, PECO Exhibit 1. </w:t>
      </w:r>
      <w:r w:rsid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As of the day of the hearing, Complainants’ balance on the first floor account with PECO was $2,239.41.</w:t>
      </w:r>
      <w:r w:rsidR="00AB04CA">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 Tr. 165, PECO Exhibit 1.</w:t>
      </w:r>
      <w:r w:rsidR="00EE6BF4">
        <w:rPr>
          <w:rFonts w:ascii="Times New Roman" w:hAnsi="Times New Roman" w:cs="Times New Roman"/>
          <w:sz w:val="24"/>
          <w:szCs w:val="24"/>
        </w:rPr>
        <w:t xml:space="preserve">  In addition, f</w:t>
      </w:r>
      <w:r w:rsidR="003C3F6A" w:rsidRPr="003C3F6A">
        <w:rPr>
          <w:rFonts w:ascii="Times New Roman" w:hAnsi="Times New Roman" w:cs="Times New Roman"/>
          <w:sz w:val="24"/>
          <w:szCs w:val="24"/>
        </w:rPr>
        <w:t>rom September 2015 to July 2016, PECO received no payments for Complainant’s second floor account</w:t>
      </w:r>
      <w:r w:rsidR="00EE6BF4">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 Tr. 164, PECO Exhibit 2. </w:t>
      </w:r>
      <w:r w:rsid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As of the day of the hearing, </w:t>
      </w:r>
      <w:r w:rsidR="003C3F6A" w:rsidRPr="003C3F6A">
        <w:rPr>
          <w:rFonts w:ascii="Times New Roman" w:hAnsi="Times New Roman" w:cs="Times New Roman"/>
          <w:sz w:val="24"/>
          <w:szCs w:val="24"/>
        </w:rPr>
        <w:lastRenderedPageBreak/>
        <w:t xml:space="preserve">Complainants’ balance on the second floor account with PECO was $1,113.44. </w:t>
      </w:r>
      <w:r w:rsidR="00AB04CA">
        <w:rPr>
          <w:rFonts w:ascii="Times New Roman" w:hAnsi="Times New Roman" w:cs="Times New Roman"/>
          <w:sz w:val="24"/>
          <w:szCs w:val="24"/>
        </w:rPr>
        <w:t xml:space="preserve"> </w:t>
      </w:r>
      <w:r w:rsidR="003C3F6A" w:rsidRPr="003C3F6A">
        <w:rPr>
          <w:rFonts w:ascii="Times New Roman" w:hAnsi="Times New Roman" w:cs="Times New Roman"/>
          <w:sz w:val="24"/>
          <w:szCs w:val="24"/>
        </w:rPr>
        <w:t>Tr. 167, PECO Exhibit 2.</w:t>
      </w:r>
    </w:p>
    <w:p w:rsidR="00346FFD" w:rsidRPr="003C3F6A" w:rsidRDefault="00346FFD" w:rsidP="003C3F6A">
      <w:pPr>
        <w:spacing w:after="0" w:line="360" w:lineRule="auto"/>
        <w:ind w:firstLine="1440"/>
        <w:rPr>
          <w:rFonts w:ascii="Times New Roman" w:hAnsi="Times New Roman" w:cs="Times New Roman"/>
          <w:sz w:val="24"/>
          <w:szCs w:val="24"/>
        </w:rPr>
      </w:pPr>
    </w:p>
    <w:p w:rsidR="003C3F6A" w:rsidRPr="003C3F6A" w:rsidRDefault="00EE6BF4" w:rsidP="003C3F6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Tarpley testified that</w:t>
      </w:r>
      <w:r w:rsidRPr="00EE6BF4">
        <w:rPr>
          <w:rFonts w:ascii="Times New Roman" w:hAnsi="Times New Roman" w:cs="Times New Roman"/>
          <w:sz w:val="24"/>
          <w:szCs w:val="24"/>
        </w:rPr>
        <w:t xml:space="preserve"> </w:t>
      </w:r>
      <w:r>
        <w:rPr>
          <w:rFonts w:ascii="Times New Roman" w:hAnsi="Times New Roman" w:cs="Times New Roman"/>
          <w:sz w:val="24"/>
          <w:szCs w:val="24"/>
        </w:rPr>
        <w:t>her review of the contact history for the Service Address revealed that while the</w:t>
      </w:r>
      <w:r w:rsidR="002D04DF">
        <w:rPr>
          <w:rFonts w:ascii="Times New Roman" w:hAnsi="Times New Roman" w:cs="Times New Roman"/>
          <w:sz w:val="24"/>
          <w:szCs w:val="24"/>
        </w:rPr>
        <w:t xml:space="preserve"> Complainants had contacted PECO</w:t>
      </w:r>
      <w:r>
        <w:rPr>
          <w:rFonts w:ascii="Times New Roman" w:hAnsi="Times New Roman" w:cs="Times New Roman"/>
          <w:sz w:val="24"/>
          <w:szCs w:val="24"/>
        </w:rPr>
        <w:t xml:space="preserve"> on several occasions with high </w:t>
      </w:r>
      <w:r w:rsidR="002D04DF">
        <w:rPr>
          <w:rFonts w:ascii="Times New Roman" w:hAnsi="Times New Roman" w:cs="Times New Roman"/>
          <w:sz w:val="24"/>
          <w:szCs w:val="24"/>
        </w:rPr>
        <w:t xml:space="preserve">usage and high </w:t>
      </w:r>
      <w:r>
        <w:rPr>
          <w:rFonts w:ascii="Times New Roman" w:hAnsi="Times New Roman" w:cs="Times New Roman"/>
          <w:sz w:val="24"/>
          <w:szCs w:val="24"/>
        </w:rPr>
        <w:t>billing concerns or disputes</w:t>
      </w:r>
      <w:r w:rsidR="002D04DF">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9B04F5">
        <w:rPr>
          <w:rFonts w:ascii="Times New Roman" w:hAnsi="Times New Roman" w:cs="Times New Roman"/>
          <w:sz w:val="24"/>
          <w:szCs w:val="24"/>
        </w:rPr>
        <w:t>had only raised</w:t>
      </w:r>
      <w:r w:rsidR="002D04DF">
        <w:rPr>
          <w:rFonts w:ascii="Times New Roman" w:hAnsi="Times New Roman" w:cs="Times New Roman"/>
          <w:sz w:val="24"/>
          <w:szCs w:val="24"/>
        </w:rPr>
        <w:t xml:space="preserve"> power quality conc</w:t>
      </w:r>
      <w:r w:rsidR="009B04F5">
        <w:rPr>
          <w:rFonts w:ascii="Times New Roman" w:hAnsi="Times New Roman" w:cs="Times New Roman"/>
          <w:sz w:val="24"/>
          <w:szCs w:val="24"/>
        </w:rPr>
        <w:t>erns with PECO in October of 2013 and March of 2016</w:t>
      </w:r>
      <w:r w:rsidR="002D04DF">
        <w:rPr>
          <w:rFonts w:ascii="Times New Roman" w:hAnsi="Times New Roman" w:cs="Times New Roman"/>
          <w:sz w:val="24"/>
          <w:szCs w:val="24"/>
        </w:rPr>
        <w:t xml:space="preserve">. </w:t>
      </w:r>
      <w:r>
        <w:rPr>
          <w:rFonts w:ascii="Times New Roman" w:hAnsi="Times New Roman" w:cs="Times New Roman"/>
          <w:sz w:val="24"/>
          <w:szCs w:val="24"/>
        </w:rPr>
        <w:t xml:space="preserve"> Tr. 167-169, </w:t>
      </w:r>
      <w:r w:rsidR="002A5AA2">
        <w:rPr>
          <w:rFonts w:ascii="Times New Roman" w:hAnsi="Times New Roman" w:cs="Times New Roman"/>
          <w:sz w:val="24"/>
          <w:szCs w:val="24"/>
        </w:rPr>
        <w:t xml:space="preserve">173, </w:t>
      </w:r>
      <w:r w:rsidR="009B04F5">
        <w:rPr>
          <w:rFonts w:ascii="Times New Roman" w:hAnsi="Times New Roman" w:cs="Times New Roman"/>
          <w:sz w:val="24"/>
          <w:szCs w:val="24"/>
        </w:rPr>
        <w:t>176</w:t>
      </w:r>
      <w:r w:rsidR="002A5AA2">
        <w:rPr>
          <w:rFonts w:ascii="Times New Roman" w:hAnsi="Times New Roman" w:cs="Times New Roman"/>
          <w:sz w:val="24"/>
          <w:szCs w:val="24"/>
        </w:rPr>
        <w:t>, 179-182</w:t>
      </w:r>
      <w:r w:rsidR="009B04F5">
        <w:rPr>
          <w:rFonts w:ascii="Times New Roman" w:hAnsi="Times New Roman" w:cs="Times New Roman"/>
          <w:sz w:val="24"/>
          <w:szCs w:val="24"/>
        </w:rPr>
        <w:t xml:space="preserve">, </w:t>
      </w:r>
      <w:r>
        <w:rPr>
          <w:rFonts w:ascii="Times New Roman" w:hAnsi="Times New Roman" w:cs="Times New Roman"/>
          <w:sz w:val="24"/>
          <w:szCs w:val="24"/>
        </w:rPr>
        <w:t xml:space="preserve">PECO Exhibit 4.  </w:t>
      </w:r>
      <w:r w:rsidR="009B04F5">
        <w:rPr>
          <w:rFonts w:ascii="Times New Roman" w:hAnsi="Times New Roman" w:cs="Times New Roman"/>
          <w:sz w:val="24"/>
          <w:szCs w:val="24"/>
        </w:rPr>
        <w:t>In particular, on</w:t>
      </w:r>
      <w:r w:rsidR="003C3F6A" w:rsidRPr="003C3F6A">
        <w:rPr>
          <w:rFonts w:ascii="Times New Roman" w:hAnsi="Times New Roman" w:cs="Times New Roman"/>
          <w:sz w:val="24"/>
          <w:szCs w:val="24"/>
        </w:rPr>
        <w:t xml:space="preserve"> March 3, 2016, </w:t>
      </w:r>
      <w:r>
        <w:rPr>
          <w:rFonts w:ascii="Times New Roman" w:hAnsi="Times New Roman" w:cs="Times New Roman"/>
          <w:sz w:val="24"/>
          <w:szCs w:val="24"/>
        </w:rPr>
        <w:t xml:space="preserve">Mr. Segarra </w:t>
      </w:r>
      <w:r w:rsidR="003C3F6A" w:rsidRPr="003C3F6A">
        <w:rPr>
          <w:rFonts w:ascii="Times New Roman" w:hAnsi="Times New Roman" w:cs="Times New Roman"/>
          <w:sz w:val="24"/>
          <w:szCs w:val="24"/>
        </w:rPr>
        <w:t>contacted the Company claiming that he lost his water heater and boiler due to a short that was caused by PECO equipment.</w:t>
      </w:r>
      <w:r>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Tr. 181, PECO Exhibit 4. </w:t>
      </w:r>
      <w:r w:rsidR="003C3F6A">
        <w:rPr>
          <w:rFonts w:ascii="Times New Roman" w:hAnsi="Times New Roman" w:cs="Times New Roman"/>
          <w:sz w:val="24"/>
          <w:szCs w:val="24"/>
        </w:rPr>
        <w:t xml:space="preserve"> </w:t>
      </w:r>
      <w:r w:rsidR="003C3F6A" w:rsidRPr="003C3F6A">
        <w:rPr>
          <w:rFonts w:ascii="Times New Roman" w:hAnsi="Times New Roman" w:cs="Times New Roman"/>
          <w:sz w:val="24"/>
          <w:szCs w:val="24"/>
        </w:rPr>
        <w:t xml:space="preserve">Complainants never submitted a claim for loss of appliances to PECO. </w:t>
      </w:r>
      <w:r w:rsidR="002D04DF">
        <w:rPr>
          <w:rFonts w:ascii="Times New Roman" w:hAnsi="Times New Roman" w:cs="Times New Roman"/>
          <w:sz w:val="24"/>
          <w:szCs w:val="24"/>
        </w:rPr>
        <w:t xml:space="preserve"> </w:t>
      </w:r>
      <w:r w:rsidR="002A5AA2">
        <w:rPr>
          <w:rFonts w:ascii="Times New Roman" w:hAnsi="Times New Roman" w:cs="Times New Roman"/>
          <w:sz w:val="24"/>
          <w:szCs w:val="24"/>
        </w:rPr>
        <w:t>Tr. 181-182</w:t>
      </w:r>
      <w:r w:rsidR="003C3F6A" w:rsidRPr="003C3F6A">
        <w:rPr>
          <w:rFonts w:ascii="Times New Roman" w:hAnsi="Times New Roman" w:cs="Times New Roman"/>
          <w:sz w:val="24"/>
          <w:szCs w:val="24"/>
        </w:rPr>
        <w:t>.</w:t>
      </w:r>
    </w:p>
    <w:p w:rsidR="003C3F6A" w:rsidRDefault="003C3F6A" w:rsidP="003C3F6A">
      <w:pPr>
        <w:spacing w:after="0" w:line="360" w:lineRule="auto"/>
        <w:rPr>
          <w:rFonts w:ascii="Times New Roman" w:hAnsi="Times New Roman" w:cs="Times New Roman"/>
          <w:b/>
          <w:sz w:val="24"/>
          <w:szCs w:val="24"/>
        </w:rPr>
      </w:pPr>
    </w:p>
    <w:p w:rsidR="00D4000A" w:rsidRDefault="005D3E85" w:rsidP="005D3E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After reviewing the evidence collected on these issues, I find that the Complainants have failed to carry their burden of proving, by a preponderance of the evidence, that their electricity bills were abnormally high as a result of PECO’s failure to provide them with reasonable, safe and adequate service.  </w:t>
      </w:r>
      <w:r w:rsidR="004B6100">
        <w:rPr>
          <w:rFonts w:ascii="Times New Roman" w:hAnsi="Times New Roman" w:cs="Times New Roman"/>
          <w:sz w:val="24"/>
          <w:szCs w:val="24"/>
        </w:rPr>
        <w:t xml:space="preserve">PECO’s high bill field investigations of May 3, 2013 and March 8, 2016, indicated that there was no foreign wiring, no meter mix-up, no meter malfunction, and that </w:t>
      </w:r>
      <w:r w:rsidR="00944B00">
        <w:rPr>
          <w:rFonts w:ascii="Times New Roman" w:hAnsi="Times New Roman" w:cs="Times New Roman"/>
          <w:sz w:val="24"/>
          <w:szCs w:val="24"/>
        </w:rPr>
        <w:t xml:space="preserve">Complainants’ electric appliances </w:t>
      </w:r>
      <w:r w:rsidR="004B6100">
        <w:rPr>
          <w:rFonts w:ascii="Times New Roman" w:hAnsi="Times New Roman" w:cs="Times New Roman"/>
          <w:sz w:val="24"/>
          <w:szCs w:val="24"/>
        </w:rPr>
        <w:t>had the potential to use the electricity for which they were being charged.  Although the Complainants frequently challenged their electricity bill to PECO as abnormally high, they only questioned the safety and adequacy of PECO’s service twice: once on October 23, 2013 and again on March 3, 2016.</w:t>
      </w:r>
      <w:r w:rsidR="00D4000A">
        <w:rPr>
          <w:rFonts w:ascii="Times New Roman" w:hAnsi="Times New Roman" w:cs="Times New Roman"/>
          <w:sz w:val="24"/>
          <w:szCs w:val="24"/>
        </w:rPr>
        <w:t xml:space="preserve">  In response to Mr. Segarra’s October 23, 2013 complaint, PECO changed the secondary conductors from the PECO transformer to the Service Address by November 21, 2013.  </w:t>
      </w:r>
    </w:p>
    <w:p w:rsidR="00F24982" w:rsidRDefault="00F24982" w:rsidP="005D3E85">
      <w:pPr>
        <w:spacing w:after="0" w:line="360" w:lineRule="auto"/>
        <w:ind w:firstLine="1440"/>
        <w:rPr>
          <w:rFonts w:ascii="Times New Roman" w:hAnsi="Times New Roman" w:cs="Times New Roman"/>
          <w:sz w:val="24"/>
          <w:szCs w:val="24"/>
        </w:rPr>
      </w:pPr>
    </w:p>
    <w:p w:rsidR="005D3E85" w:rsidRDefault="00D4000A" w:rsidP="005D3E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Segarra stated that after PECO replaced its facilities</w:t>
      </w:r>
      <w:r w:rsidR="00F24982">
        <w:rPr>
          <w:rFonts w:ascii="Times New Roman" w:hAnsi="Times New Roman" w:cs="Times New Roman"/>
          <w:sz w:val="24"/>
          <w:szCs w:val="24"/>
        </w:rPr>
        <w:t xml:space="preserve"> in November of 2013</w:t>
      </w:r>
      <w:r>
        <w:rPr>
          <w:rFonts w:ascii="Times New Roman" w:hAnsi="Times New Roman" w:cs="Times New Roman"/>
          <w:sz w:val="24"/>
          <w:szCs w:val="24"/>
        </w:rPr>
        <w:t xml:space="preserve">, the lights inside his house stopped flickering and his electricity bills became more manageable.  However, he also stated that he had done a lot of </w:t>
      </w:r>
      <w:r w:rsidR="00F24982">
        <w:rPr>
          <w:rFonts w:ascii="Times New Roman" w:hAnsi="Times New Roman" w:cs="Times New Roman"/>
          <w:sz w:val="24"/>
          <w:szCs w:val="24"/>
        </w:rPr>
        <w:t xml:space="preserve">work inside the house replacing </w:t>
      </w:r>
      <w:r w:rsidR="00F24982" w:rsidRPr="00113BE8">
        <w:rPr>
          <w:rFonts w:ascii="Times New Roman" w:hAnsi="Times New Roman" w:cs="Times New Roman"/>
          <w:sz w:val="24"/>
          <w:szCs w:val="24"/>
        </w:rPr>
        <w:t>water pipes, heating pipes, and radiators</w:t>
      </w:r>
      <w:r w:rsidR="00F24982">
        <w:rPr>
          <w:rFonts w:ascii="Times New Roman" w:hAnsi="Times New Roman" w:cs="Times New Roman"/>
          <w:sz w:val="24"/>
          <w:szCs w:val="24"/>
        </w:rPr>
        <w:t xml:space="preserve">.  He did not provide a time frame for the work done, but presumably it occurred between 2010 and the date of the hearing.  Mr. Segarra also stated that his second boiler stopped working in 2013 </w:t>
      </w:r>
      <w:r w:rsidR="003C7E61">
        <w:rPr>
          <w:rFonts w:ascii="Times New Roman" w:hAnsi="Times New Roman" w:cs="Times New Roman"/>
          <w:sz w:val="24"/>
          <w:szCs w:val="24"/>
        </w:rPr>
        <w:t xml:space="preserve">or 2014, </w:t>
      </w:r>
      <w:r w:rsidR="00F24982">
        <w:rPr>
          <w:rFonts w:ascii="Times New Roman" w:hAnsi="Times New Roman" w:cs="Times New Roman"/>
          <w:sz w:val="24"/>
          <w:szCs w:val="24"/>
        </w:rPr>
        <w:t xml:space="preserve">around the time PECO replaced its </w:t>
      </w:r>
      <w:r w:rsidR="003C7E61">
        <w:rPr>
          <w:rFonts w:ascii="Times New Roman" w:hAnsi="Times New Roman" w:cs="Times New Roman"/>
          <w:sz w:val="24"/>
          <w:szCs w:val="24"/>
        </w:rPr>
        <w:t>facilities serving</w:t>
      </w:r>
      <w:r w:rsidR="00F24982">
        <w:rPr>
          <w:rFonts w:ascii="Times New Roman" w:hAnsi="Times New Roman" w:cs="Times New Roman"/>
          <w:sz w:val="24"/>
          <w:szCs w:val="24"/>
        </w:rPr>
        <w:t xml:space="preserve"> the Service Address</w:t>
      </w:r>
      <w:r w:rsidR="003C7E61">
        <w:rPr>
          <w:rFonts w:ascii="Times New Roman" w:hAnsi="Times New Roman" w:cs="Times New Roman"/>
          <w:sz w:val="24"/>
          <w:szCs w:val="24"/>
        </w:rPr>
        <w:t>,</w:t>
      </w:r>
      <w:r w:rsidR="00F24982">
        <w:rPr>
          <w:rFonts w:ascii="Times New Roman" w:hAnsi="Times New Roman" w:cs="Times New Roman"/>
          <w:sz w:val="24"/>
          <w:szCs w:val="24"/>
        </w:rPr>
        <w:t xml:space="preserve"> and that he has been heating his residence with electricity since then.  However</w:t>
      </w:r>
      <w:r w:rsidR="00F502EB">
        <w:rPr>
          <w:rFonts w:ascii="Times New Roman" w:hAnsi="Times New Roman" w:cs="Times New Roman"/>
          <w:sz w:val="24"/>
          <w:szCs w:val="24"/>
        </w:rPr>
        <w:t>,</w:t>
      </w:r>
      <w:r w:rsidR="00F24982">
        <w:rPr>
          <w:rFonts w:ascii="Times New Roman" w:hAnsi="Times New Roman" w:cs="Times New Roman"/>
          <w:sz w:val="24"/>
          <w:szCs w:val="24"/>
        </w:rPr>
        <w:t xml:space="preserve"> he failed to explain why </w:t>
      </w:r>
      <w:r w:rsidR="00BF596D">
        <w:rPr>
          <w:rFonts w:ascii="Times New Roman" w:hAnsi="Times New Roman" w:cs="Times New Roman"/>
          <w:sz w:val="24"/>
          <w:szCs w:val="24"/>
        </w:rPr>
        <w:t xml:space="preserve">his electricity usage for the heating season November 2012 – March </w:t>
      </w:r>
      <w:r w:rsidR="00BF596D">
        <w:rPr>
          <w:rFonts w:ascii="Times New Roman" w:hAnsi="Times New Roman" w:cs="Times New Roman"/>
          <w:sz w:val="24"/>
          <w:szCs w:val="24"/>
        </w:rPr>
        <w:lastRenderedPageBreak/>
        <w:t xml:space="preserve">2013 (when the oil heater was allegedly working) are comparable to his electricity bills for the heating season November 2013-March 2014 (when the </w:t>
      </w:r>
      <w:r w:rsidR="00944B00">
        <w:rPr>
          <w:rFonts w:ascii="Times New Roman" w:hAnsi="Times New Roman" w:cs="Times New Roman"/>
          <w:sz w:val="24"/>
          <w:szCs w:val="24"/>
        </w:rPr>
        <w:t xml:space="preserve">second </w:t>
      </w:r>
      <w:r w:rsidR="00BF596D">
        <w:rPr>
          <w:rFonts w:ascii="Times New Roman" w:hAnsi="Times New Roman" w:cs="Times New Roman"/>
          <w:sz w:val="24"/>
          <w:szCs w:val="24"/>
        </w:rPr>
        <w:t xml:space="preserve">oil heater </w:t>
      </w:r>
      <w:r w:rsidR="00944B00">
        <w:rPr>
          <w:rFonts w:ascii="Times New Roman" w:hAnsi="Times New Roman" w:cs="Times New Roman"/>
          <w:sz w:val="24"/>
          <w:szCs w:val="24"/>
        </w:rPr>
        <w:t xml:space="preserve">stopped </w:t>
      </w:r>
      <w:r w:rsidR="00BF596D">
        <w:rPr>
          <w:rFonts w:ascii="Times New Roman" w:hAnsi="Times New Roman" w:cs="Times New Roman"/>
          <w:sz w:val="24"/>
          <w:szCs w:val="24"/>
        </w:rPr>
        <w:t xml:space="preserve">working </w:t>
      </w:r>
      <w:r w:rsidR="00944B00">
        <w:rPr>
          <w:rFonts w:ascii="Times New Roman" w:hAnsi="Times New Roman" w:cs="Times New Roman"/>
          <w:sz w:val="24"/>
          <w:szCs w:val="24"/>
        </w:rPr>
        <w:t xml:space="preserve">and </w:t>
      </w:r>
      <w:r w:rsidR="00BF596D">
        <w:rPr>
          <w:rFonts w:ascii="Times New Roman" w:hAnsi="Times New Roman" w:cs="Times New Roman"/>
          <w:sz w:val="24"/>
          <w:szCs w:val="24"/>
        </w:rPr>
        <w:t>PECO changed its facilities) and approximately the same for the heating season November 2014 to March 2015</w:t>
      </w:r>
      <w:r w:rsidR="00944B00" w:rsidRPr="00944B00">
        <w:rPr>
          <w:rFonts w:ascii="Times New Roman" w:hAnsi="Times New Roman" w:cs="Times New Roman"/>
          <w:sz w:val="24"/>
          <w:szCs w:val="24"/>
        </w:rPr>
        <w:t xml:space="preserve"> </w:t>
      </w:r>
      <w:r w:rsidR="00944B00">
        <w:rPr>
          <w:rFonts w:ascii="Times New Roman" w:hAnsi="Times New Roman" w:cs="Times New Roman"/>
          <w:sz w:val="24"/>
          <w:szCs w:val="24"/>
        </w:rPr>
        <w:t>(when the oil heater was still not working)</w:t>
      </w:r>
      <w:r w:rsidR="00BF596D">
        <w:rPr>
          <w:rFonts w:ascii="Times New Roman" w:hAnsi="Times New Roman" w:cs="Times New Roman"/>
          <w:sz w:val="24"/>
          <w:szCs w:val="24"/>
        </w:rPr>
        <w:t>, but experienced a drastic decrease in the heating season November 2015-March 2016 (when there is no record of any changes undertaken by PECO or the Complainants).  See Tr. 46-47, PECO Exhibits 1, 2 and 7.</w:t>
      </w:r>
      <w:r w:rsidR="003C7E61">
        <w:rPr>
          <w:rFonts w:ascii="Times New Roman" w:hAnsi="Times New Roman" w:cs="Times New Roman"/>
          <w:sz w:val="24"/>
          <w:szCs w:val="24"/>
        </w:rPr>
        <w:t xml:space="preserve">  In addition, his statement that his second boiler stopped working towards the end of 2013 or early 2014 is contradicted by his statement to PECO, recorded in the Company’s May 3, 2013 high bill investigation report, which highlighted the fact that the Complainants’ boiler was inoperable.</w:t>
      </w:r>
      <w:r w:rsidR="00385F35">
        <w:rPr>
          <w:rStyle w:val="FootnoteReference"/>
          <w:rFonts w:ascii="Times New Roman" w:hAnsi="Times New Roman" w:cs="Times New Roman"/>
          <w:sz w:val="24"/>
          <w:szCs w:val="24"/>
        </w:rPr>
        <w:footnoteReference w:id="2"/>
      </w:r>
      <w:r w:rsidR="003C7E61">
        <w:rPr>
          <w:rFonts w:ascii="Times New Roman" w:hAnsi="Times New Roman" w:cs="Times New Roman"/>
          <w:sz w:val="24"/>
          <w:szCs w:val="24"/>
        </w:rPr>
        <w:t xml:space="preserve">  See PECO Exhibit 12. </w:t>
      </w:r>
      <w:r w:rsidR="00385F35">
        <w:rPr>
          <w:rFonts w:ascii="Times New Roman" w:hAnsi="Times New Roman" w:cs="Times New Roman"/>
          <w:sz w:val="24"/>
          <w:szCs w:val="24"/>
        </w:rPr>
        <w:t xml:space="preserve"> </w:t>
      </w:r>
    </w:p>
    <w:p w:rsidR="00385F35" w:rsidRDefault="00385F35" w:rsidP="005D3E85">
      <w:pPr>
        <w:spacing w:after="0" w:line="360" w:lineRule="auto"/>
        <w:ind w:firstLine="1440"/>
        <w:rPr>
          <w:rFonts w:ascii="Times New Roman" w:hAnsi="Times New Roman" w:cs="Times New Roman"/>
          <w:sz w:val="24"/>
          <w:szCs w:val="24"/>
        </w:rPr>
      </w:pPr>
    </w:p>
    <w:p w:rsidR="00385F35" w:rsidRDefault="00385F35" w:rsidP="005D3E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Throughout his </w:t>
      </w:r>
      <w:r w:rsidR="004C6303">
        <w:rPr>
          <w:rFonts w:ascii="Times New Roman" w:hAnsi="Times New Roman" w:cs="Times New Roman"/>
          <w:sz w:val="24"/>
          <w:szCs w:val="24"/>
        </w:rPr>
        <w:t>testimony,</w:t>
      </w:r>
      <w:r>
        <w:rPr>
          <w:rFonts w:ascii="Times New Roman" w:hAnsi="Times New Roman" w:cs="Times New Roman"/>
          <w:sz w:val="24"/>
          <w:szCs w:val="24"/>
        </w:rPr>
        <w:t xml:space="preserve"> Mr. Segarra made vague statements about </w:t>
      </w:r>
      <w:r w:rsidR="004C6303">
        <w:rPr>
          <w:rFonts w:ascii="Times New Roman" w:hAnsi="Times New Roman" w:cs="Times New Roman"/>
          <w:sz w:val="24"/>
          <w:szCs w:val="24"/>
        </w:rPr>
        <w:t>non-PECO electricians, who had checked the electrical wiring inside the Service Address and had concluded that there was a power quality problem caused by PECO’s equipment and facilities.  Although he was provided with the opportunity to substantiate his claims with supporting documentation he failed to do so as of the date of this Initial Decision.  While he contacted PECO on March 3, 2016 claiming that PECO’s inade</w:t>
      </w:r>
      <w:r w:rsidR="001479B1">
        <w:rPr>
          <w:rFonts w:ascii="Times New Roman" w:hAnsi="Times New Roman" w:cs="Times New Roman"/>
          <w:sz w:val="24"/>
          <w:szCs w:val="24"/>
        </w:rPr>
        <w:t>quate service was responsible for</w:t>
      </w:r>
      <w:r w:rsidR="004C6303">
        <w:rPr>
          <w:rFonts w:ascii="Times New Roman" w:hAnsi="Times New Roman" w:cs="Times New Roman"/>
          <w:sz w:val="24"/>
          <w:szCs w:val="24"/>
        </w:rPr>
        <w:t xml:space="preserve"> damaging his second oil heater, Mr. Segarra never submitted a claim form to PECO for the oil heater.  He also did not submit any documentation of the replaced electrical appliances he claimed were damaged by PECO’s service.</w:t>
      </w:r>
    </w:p>
    <w:p w:rsidR="004C6303" w:rsidRDefault="004C6303" w:rsidP="005D3E85">
      <w:pPr>
        <w:spacing w:after="0" w:line="360" w:lineRule="auto"/>
        <w:ind w:firstLine="1440"/>
        <w:rPr>
          <w:rFonts w:ascii="Times New Roman" w:hAnsi="Times New Roman" w:cs="Times New Roman"/>
          <w:sz w:val="24"/>
          <w:szCs w:val="24"/>
        </w:rPr>
      </w:pPr>
    </w:p>
    <w:p w:rsidR="004C6303" w:rsidRDefault="004C6303" w:rsidP="005D3E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view of the above, the portion of the Complaint concerning high billing dispute and quality of service is dismissed.</w:t>
      </w:r>
    </w:p>
    <w:p w:rsidR="00F502EB" w:rsidRDefault="00F502EB" w:rsidP="005D3E85">
      <w:pPr>
        <w:spacing w:after="0" w:line="360" w:lineRule="auto"/>
        <w:ind w:firstLine="1440"/>
        <w:rPr>
          <w:rFonts w:ascii="Times New Roman" w:hAnsi="Times New Roman" w:cs="Times New Roman"/>
          <w:sz w:val="24"/>
          <w:szCs w:val="24"/>
        </w:rPr>
      </w:pPr>
    </w:p>
    <w:p w:rsidR="003C3F6A" w:rsidRDefault="003C3F6A" w:rsidP="00B60900">
      <w:pPr>
        <w:pStyle w:val="ListParagraph"/>
        <w:numPr>
          <w:ilvl w:val="0"/>
          <w:numId w:val="1"/>
        </w:numPr>
        <w:spacing w:after="0" w:line="360" w:lineRule="auto"/>
        <w:rPr>
          <w:rFonts w:ascii="Times New Roman" w:hAnsi="Times New Roman" w:cs="Times New Roman"/>
          <w:b/>
          <w:sz w:val="24"/>
          <w:szCs w:val="24"/>
        </w:rPr>
      </w:pPr>
      <w:r w:rsidRPr="00B60900">
        <w:rPr>
          <w:rFonts w:ascii="Times New Roman" w:hAnsi="Times New Roman" w:cs="Times New Roman"/>
          <w:b/>
          <w:sz w:val="24"/>
          <w:szCs w:val="24"/>
        </w:rPr>
        <w:t>Payment arrangement</w:t>
      </w:r>
    </w:p>
    <w:p w:rsidR="00B60900" w:rsidRPr="00B60900" w:rsidRDefault="00B60900" w:rsidP="00B60900">
      <w:pPr>
        <w:pStyle w:val="ListParagraph"/>
        <w:spacing w:after="0" w:line="360" w:lineRule="auto"/>
        <w:ind w:left="1800"/>
        <w:rPr>
          <w:rFonts w:ascii="Times New Roman" w:hAnsi="Times New Roman" w:cs="Times New Roman"/>
          <w:b/>
          <w:sz w:val="24"/>
          <w:szCs w:val="24"/>
        </w:rPr>
      </w:pPr>
    </w:p>
    <w:p w:rsidR="003C3F6A" w:rsidRP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 xml:space="preserve">The Complainants’ household consists of Ms. Vasquez and Mr. Segarra. </w:t>
      </w:r>
      <w:r>
        <w:rPr>
          <w:rFonts w:ascii="Times New Roman" w:hAnsi="Times New Roman" w:cs="Times New Roman"/>
          <w:sz w:val="24"/>
          <w:szCs w:val="24"/>
        </w:rPr>
        <w:t xml:space="preserve"> </w:t>
      </w:r>
      <w:r w:rsidRPr="003C3F6A">
        <w:rPr>
          <w:rFonts w:ascii="Times New Roman" w:hAnsi="Times New Roman" w:cs="Times New Roman"/>
          <w:sz w:val="24"/>
          <w:szCs w:val="24"/>
        </w:rPr>
        <w:t>Tr. 193.</w:t>
      </w:r>
      <w:r>
        <w:rPr>
          <w:rFonts w:ascii="Times New Roman" w:hAnsi="Times New Roman" w:cs="Times New Roman"/>
          <w:sz w:val="24"/>
          <w:szCs w:val="24"/>
        </w:rPr>
        <w:t xml:space="preserve">  </w:t>
      </w:r>
      <w:r w:rsidRPr="003C3F6A">
        <w:rPr>
          <w:rFonts w:ascii="Times New Roman" w:hAnsi="Times New Roman" w:cs="Times New Roman"/>
          <w:sz w:val="24"/>
          <w:szCs w:val="24"/>
        </w:rPr>
        <w:t xml:space="preserve">At the time of the hearing, Mr. Segarra’s gross income was approximately $700.00 biweekly.  </w:t>
      </w:r>
      <w:r w:rsidRPr="003C3F6A">
        <w:rPr>
          <w:rFonts w:ascii="Times New Roman" w:hAnsi="Times New Roman" w:cs="Times New Roman"/>
          <w:sz w:val="24"/>
          <w:szCs w:val="24"/>
        </w:rPr>
        <w:lastRenderedPageBreak/>
        <w:t>Tr. 194.</w:t>
      </w:r>
      <w:r>
        <w:rPr>
          <w:rFonts w:ascii="Times New Roman" w:hAnsi="Times New Roman" w:cs="Times New Roman"/>
          <w:sz w:val="24"/>
          <w:szCs w:val="24"/>
        </w:rPr>
        <w:t xml:space="preserve">  </w:t>
      </w:r>
      <w:r w:rsidR="004C6303">
        <w:rPr>
          <w:rFonts w:ascii="Times New Roman" w:hAnsi="Times New Roman" w:cs="Times New Roman"/>
          <w:sz w:val="24"/>
          <w:szCs w:val="24"/>
        </w:rPr>
        <w:t>Ms. Vasquez is employed full-</w:t>
      </w:r>
      <w:r w:rsidRPr="003C3F6A">
        <w:rPr>
          <w:rFonts w:ascii="Times New Roman" w:hAnsi="Times New Roman" w:cs="Times New Roman"/>
          <w:sz w:val="24"/>
          <w:szCs w:val="24"/>
        </w:rPr>
        <w:t>time with American Telecast. Tr. 195.</w:t>
      </w:r>
      <w:r>
        <w:rPr>
          <w:rFonts w:ascii="Times New Roman" w:hAnsi="Times New Roman" w:cs="Times New Roman"/>
          <w:sz w:val="24"/>
          <w:szCs w:val="24"/>
        </w:rPr>
        <w:t xml:space="preserve">  </w:t>
      </w:r>
      <w:r w:rsidRPr="003C3F6A">
        <w:rPr>
          <w:rFonts w:ascii="Times New Roman" w:hAnsi="Times New Roman" w:cs="Times New Roman"/>
          <w:sz w:val="24"/>
          <w:szCs w:val="24"/>
        </w:rPr>
        <w:t>Ms. Vasquez’ gross income is $</w:t>
      </w:r>
      <w:r w:rsidR="00B45745">
        <w:rPr>
          <w:rFonts w:ascii="Times New Roman" w:hAnsi="Times New Roman" w:cs="Times New Roman"/>
          <w:sz w:val="24"/>
          <w:szCs w:val="24"/>
        </w:rPr>
        <w:t>1,280</w:t>
      </w:r>
      <w:r w:rsidRPr="003C3F6A">
        <w:rPr>
          <w:rFonts w:ascii="Times New Roman" w:hAnsi="Times New Roman" w:cs="Times New Roman"/>
          <w:sz w:val="24"/>
          <w:szCs w:val="24"/>
        </w:rPr>
        <w:t>.00 biweekly at a pay rate of $16.00 per h</w:t>
      </w:r>
      <w:r w:rsidR="00756E7A">
        <w:rPr>
          <w:rFonts w:ascii="Times New Roman" w:hAnsi="Times New Roman" w:cs="Times New Roman"/>
          <w:sz w:val="24"/>
          <w:szCs w:val="24"/>
        </w:rPr>
        <w:t>our for 40 hours per week.  Tr. </w:t>
      </w:r>
      <w:r w:rsidRPr="003C3F6A">
        <w:rPr>
          <w:rFonts w:ascii="Times New Roman" w:hAnsi="Times New Roman" w:cs="Times New Roman"/>
          <w:sz w:val="24"/>
          <w:szCs w:val="24"/>
        </w:rPr>
        <w:t>195.</w:t>
      </w:r>
      <w:r>
        <w:rPr>
          <w:rFonts w:ascii="Times New Roman" w:hAnsi="Times New Roman" w:cs="Times New Roman"/>
          <w:sz w:val="24"/>
          <w:szCs w:val="24"/>
        </w:rPr>
        <w:t xml:space="preserve">  </w:t>
      </w:r>
      <w:r w:rsidRPr="003C3F6A">
        <w:rPr>
          <w:rFonts w:ascii="Times New Roman" w:hAnsi="Times New Roman" w:cs="Times New Roman"/>
          <w:sz w:val="24"/>
          <w:szCs w:val="24"/>
        </w:rPr>
        <w:t>Complainants’ gross household income is $3,960 per month.  Tr. 205</w:t>
      </w:r>
      <w:r w:rsidR="004C6303">
        <w:rPr>
          <w:rFonts w:ascii="Times New Roman" w:hAnsi="Times New Roman" w:cs="Times New Roman"/>
          <w:sz w:val="24"/>
          <w:szCs w:val="24"/>
        </w:rPr>
        <w:t>.</w:t>
      </w:r>
    </w:p>
    <w:p w:rsidR="00B45745" w:rsidRDefault="00B45745" w:rsidP="003C3F6A">
      <w:pPr>
        <w:spacing w:after="0" w:line="360" w:lineRule="auto"/>
        <w:ind w:firstLine="1440"/>
        <w:rPr>
          <w:rFonts w:ascii="Times New Roman" w:hAnsi="Times New Roman" w:cs="Times New Roman"/>
          <w:sz w:val="24"/>
          <w:szCs w:val="24"/>
        </w:rPr>
      </w:pPr>
    </w:p>
    <w:p w:rsidR="003C3F6A" w:rsidRDefault="003C3F6A" w:rsidP="003C3F6A">
      <w:pPr>
        <w:spacing w:after="0" w:line="360" w:lineRule="auto"/>
        <w:ind w:firstLine="1440"/>
        <w:rPr>
          <w:rFonts w:ascii="Times New Roman" w:hAnsi="Times New Roman" w:cs="Times New Roman"/>
          <w:sz w:val="24"/>
          <w:szCs w:val="24"/>
        </w:rPr>
      </w:pPr>
      <w:r w:rsidRPr="003C3F6A">
        <w:rPr>
          <w:rFonts w:ascii="Times New Roman" w:hAnsi="Times New Roman" w:cs="Times New Roman"/>
          <w:sz w:val="24"/>
          <w:szCs w:val="24"/>
        </w:rPr>
        <w:t>Ms. Tarpley testified that the Complainants have entered into and defaulted on three Company</w:t>
      </w:r>
      <w:r w:rsidR="00385F35">
        <w:rPr>
          <w:rFonts w:ascii="Times New Roman" w:hAnsi="Times New Roman" w:cs="Times New Roman"/>
          <w:sz w:val="24"/>
          <w:szCs w:val="24"/>
        </w:rPr>
        <w:t xml:space="preserve">-issued payment arrangements.  </w:t>
      </w:r>
      <w:r w:rsidRPr="003C3F6A">
        <w:rPr>
          <w:rFonts w:ascii="Times New Roman" w:hAnsi="Times New Roman" w:cs="Times New Roman"/>
          <w:sz w:val="24"/>
          <w:szCs w:val="24"/>
        </w:rPr>
        <w:t xml:space="preserve">Tr. 165, PECO Exhibit 3.  The Complainants have not received a Commission-issued payment arrangement. </w:t>
      </w:r>
      <w:r w:rsidR="00B45745">
        <w:rPr>
          <w:rFonts w:ascii="Times New Roman" w:hAnsi="Times New Roman" w:cs="Times New Roman"/>
          <w:sz w:val="24"/>
          <w:szCs w:val="24"/>
        </w:rPr>
        <w:t xml:space="preserve"> </w:t>
      </w:r>
      <w:r w:rsidRPr="003C3F6A">
        <w:rPr>
          <w:rFonts w:ascii="Times New Roman" w:hAnsi="Times New Roman" w:cs="Times New Roman"/>
          <w:sz w:val="24"/>
          <w:szCs w:val="24"/>
        </w:rPr>
        <w:t>Tr. 165.</w:t>
      </w:r>
    </w:p>
    <w:p w:rsidR="009D1A12" w:rsidRPr="003C3F6A" w:rsidRDefault="009D1A12" w:rsidP="003C3F6A">
      <w:pPr>
        <w:spacing w:after="0" w:line="360" w:lineRule="auto"/>
        <w:ind w:firstLine="1440"/>
        <w:rPr>
          <w:rFonts w:ascii="Times New Roman" w:hAnsi="Times New Roman" w:cs="Times New Roman"/>
          <w:sz w:val="24"/>
          <w:szCs w:val="24"/>
        </w:rPr>
      </w:pPr>
    </w:p>
    <w:p w:rsidR="00B45745" w:rsidRDefault="00B45745" w:rsidP="00B45745">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The Responsible Utility Customer Protection Act, 66 Pa.C.S. §§ 1401, et seq. (the Act or Chapter 14) applies to complaints alleging inability to pay and requesting a Commission-issued payment arrangement.  This law provides strict guidelines that the Commission must follow in handling customer complaints. </w:t>
      </w:r>
      <w:r>
        <w:rPr>
          <w:rFonts w:ascii="Times New Roman" w:hAnsi="Times New Roman" w:cs="Times New Roman"/>
          <w:sz w:val="24"/>
          <w:szCs w:val="24"/>
        </w:rPr>
        <w:t xml:space="preserve">In cases where the Commission is authorized by law to establish a </w:t>
      </w:r>
      <w:r>
        <w:rPr>
          <w:rFonts w:ascii="Times New Roman" w:hAnsi="Times New Roman" w:cs="Times New Roman"/>
          <w:bCs/>
          <w:sz w:val="24"/>
          <w:szCs w:val="24"/>
        </w:rPr>
        <w:t>payment arrangement</w:t>
      </w:r>
      <w:r>
        <w:rPr>
          <w:rFonts w:ascii="Times New Roman" w:hAnsi="Times New Roman" w:cs="Times New Roman"/>
          <w:sz w:val="24"/>
          <w:szCs w:val="24"/>
        </w:rPr>
        <w:t xml:space="preserve"> between a customer and a utility, it has the responsibility to exercise its authority very judiciously.  Specifically, the </w:t>
      </w:r>
      <w:r>
        <w:rPr>
          <w:rFonts w:ascii="Times New Roman" w:hAnsi="Times New Roman" w:cs="Times New Roman"/>
          <w:bCs/>
          <w:sz w:val="24"/>
          <w:szCs w:val="24"/>
        </w:rPr>
        <w:t>Commission</w:t>
      </w:r>
      <w:r>
        <w:rPr>
          <w:rFonts w:ascii="Times New Roman" w:hAnsi="Times New Roman" w:cs="Times New Roman"/>
          <w:sz w:val="24"/>
          <w:szCs w:val="24"/>
        </w:rPr>
        <w:t xml:space="preserve"> should exercise its </w:t>
      </w:r>
      <w:r>
        <w:rPr>
          <w:rFonts w:ascii="Times New Roman" w:hAnsi="Times New Roman" w:cs="Times New Roman"/>
          <w:bCs/>
          <w:sz w:val="24"/>
          <w:szCs w:val="24"/>
        </w:rPr>
        <w:t>discretion</w:t>
      </w:r>
      <w:r>
        <w:rPr>
          <w:rFonts w:ascii="Times New Roman" w:hAnsi="Times New Roman" w:cs="Times New Roman"/>
          <w:sz w:val="24"/>
          <w:szCs w:val="24"/>
        </w:rPr>
        <w:t xml:space="preserve"> to issue </w:t>
      </w:r>
      <w:r>
        <w:rPr>
          <w:rFonts w:ascii="Times New Roman" w:hAnsi="Times New Roman" w:cs="Times New Roman"/>
          <w:bCs/>
          <w:sz w:val="24"/>
          <w:szCs w:val="24"/>
        </w:rPr>
        <w:t>payment arrangements</w:t>
      </w:r>
      <w:r>
        <w:rPr>
          <w:rFonts w:ascii="Times New Roman" w:hAnsi="Times New Roman" w:cs="Times New Roman"/>
          <w:sz w:val="24"/>
          <w:szCs w:val="24"/>
        </w:rPr>
        <w:t xml:space="preserve"> only on behalf of customers who have demonstrated some evidence of good faith effort to pay their utility bills or who have experienced a significant change of circumstances beyond their control.  </w:t>
      </w:r>
      <w:r>
        <w:rPr>
          <w:rFonts w:ascii="Times New Roman" w:hAnsi="Times New Roman" w:cs="Times New Roman"/>
          <w:i/>
          <w:iCs/>
          <w:sz w:val="24"/>
          <w:szCs w:val="24"/>
        </w:rPr>
        <w:t>George Crawford v. National Fuel Gas Distribution Corp.</w:t>
      </w:r>
      <w:r>
        <w:rPr>
          <w:rFonts w:ascii="Times New Roman" w:hAnsi="Times New Roman" w:cs="Times New Roman"/>
          <w:sz w:val="24"/>
          <w:szCs w:val="24"/>
        </w:rPr>
        <w:t>, C-20066348 (Opinion and Order entered December 6, 2007), see</w:t>
      </w:r>
      <w:r>
        <w:rPr>
          <w:rFonts w:ascii="Times New Roman" w:hAnsi="Times New Roman" w:cs="Times New Roman"/>
          <w:i/>
          <w:sz w:val="24"/>
          <w:szCs w:val="24"/>
        </w:rPr>
        <w:t xml:space="preserve"> also Susan Hewitt</w:t>
      </w:r>
      <w:r>
        <w:rPr>
          <w:rFonts w:ascii="Times New Roman" w:hAnsi="Times New Roman" w:cs="Times New Roman"/>
          <w:sz w:val="24"/>
          <w:szCs w:val="24"/>
        </w:rPr>
        <w:t xml:space="preserve"> </w:t>
      </w:r>
      <w:r>
        <w:rPr>
          <w:rFonts w:ascii="Times New Roman" w:hAnsi="Times New Roman" w:cs="Times New Roman"/>
          <w:i/>
          <w:sz w:val="24"/>
          <w:szCs w:val="24"/>
        </w:rPr>
        <w:t>v. PECO Energy Co.</w:t>
      </w:r>
      <w:r>
        <w:rPr>
          <w:rFonts w:ascii="Times New Roman" w:hAnsi="Times New Roman" w:cs="Times New Roman"/>
          <w:sz w:val="24"/>
          <w:szCs w:val="24"/>
        </w:rPr>
        <w:t>, Docket No. F-2011-2273271, (Opinion and Order entered Sept. 12, 2013).</w:t>
      </w:r>
    </w:p>
    <w:p w:rsidR="00B45745" w:rsidRDefault="00B45745" w:rsidP="00B45745">
      <w:pPr>
        <w:spacing w:after="0" w:line="360" w:lineRule="auto"/>
        <w:ind w:firstLine="1440"/>
        <w:rPr>
          <w:rFonts w:ascii="Times New Roman" w:hAnsi="Times New Roman" w:cs="Times New Roman"/>
          <w:sz w:val="24"/>
          <w:szCs w:val="24"/>
        </w:rPr>
      </w:pPr>
    </w:p>
    <w:p w:rsidR="00B45745" w:rsidRPr="001479B1" w:rsidRDefault="00B45745" w:rsidP="001479B1">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A review of </w:t>
      </w:r>
      <w:r w:rsidR="009D1A12">
        <w:rPr>
          <w:rFonts w:ascii="Times New Roman" w:hAnsi="Times New Roman" w:cs="Times New Roman"/>
          <w:sz w:val="24"/>
          <w:szCs w:val="24"/>
        </w:rPr>
        <w:t xml:space="preserve">the Complainants’ </w:t>
      </w:r>
      <w:r>
        <w:rPr>
          <w:rFonts w:ascii="Times New Roman" w:hAnsi="Times New Roman" w:cs="Times New Roman"/>
          <w:sz w:val="24"/>
          <w:szCs w:val="24"/>
        </w:rPr>
        <w:t xml:space="preserve">payment history </w:t>
      </w:r>
      <w:r w:rsidR="009D1A12">
        <w:rPr>
          <w:rFonts w:ascii="Times New Roman" w:hAnsi="Times New Roman" w:cs="Times New Roman"/>
          <w:sz w:val="24"/>
          <w:szCs w:val="24"/>
        </w:rPr>
        <w:t>for the 1</w:t>
      </w:r>
      <w:r w:rsidR="009D1A12" w:rsidRPr="009D1A12">
        <w:rPr>
          <w:rFonts w:ascii="Times New Roman" w:hAnsi="Times New Roman" w:cs="Times New Roman"/>
          <w:sz w:val="24"/>
          <w:szCs w:val="24"/>
          <w:vertAlign w:val="superscript"/>
        </w:rPr>
        <w:t>st</w:t>
      </w:r>
      <w:r w:rsidR="009D1A12">
        <w:rPr>
          <w:rFonts w:ascii="Times New Roman" w:hAnsi="Times New Roman" w:cs="Times New Roman"/>
          <w:sz w:val="24"/>
          <w:szCs w:val="24"/>
        </w:rPr>
        <w:t xml:space="preserve"> floor account </w:t>
      </w:r>
      <w:r>
        <w:rPr>
          <w:rFonts w:ascii="Times New Roman" w:hAnsi="Times New Roman" w:cs="Times New Roman"/>
          <w:sz w:val="24"/>
          <w:szCs w:val="24"/>
        </w:rPr>
        <w:t xml:space="preserve">reveals </w:t>
      </w:r>
      <w:r w:rsidR="009D1A12">
        <w:rPr>
          <w:rFonts w:ascii="Times New Roman" w:hAnsi="Times New Roman" w:cs="Times New Roman"/>
          <w:sz w:val="24"/>
          <w:szCs w:val="24"/>
        </w:rPr>
        <w:t xml:space="preserve">that they made 35 payments during the 40-month period May 5, 2012 to September 14, 2015.  PECO Exhibit 1.  They made only one payment of $1,024.90 during the period October 2015 to July 2016.  </w:t>
      </w:r>
      <w:r w:rsidR="009D1A12" w:rsidRPr="009D1A12">
        <w:rPr>
          <w:rFonts w:ascii="Times New Roman" w:hAnsi="Times New Roman" w:cs="Times New Roman"/>
          <w:i/>
          <w:sz w:val="24"/>
          <w:szCs w:val="24"/>
        </w:rPr>
        <w:t>Id.</w:t>
      </w:r>
      <w:r w:rsidR="009D1A12" w:rsidRPr="009D1A12">
        <w:rPr>
          <w:rFonts w:ascii="Times New Roman" w:hAnsi="Times New Roman" w:cs="Times New Roman"/>
          <w:sz w:val="24"/>
          <w:szCs w:val="24"/>
        </w:rPr>
        <w:t xml:space="preserve">  </w:t>
      </w:r>
      <w:r w:rsidR="009D1A12">
        <w:rPr>
          <w:rFonts w:ascii="Times New Roman" w:hAnsi="Times New Roman" w:cs="Times New Roman"/>
          <w:sz w:val="24"/>
          <w:szCs w:val="24"/>
        </w:rPr>
        <w:t>A review of the Complainants’ payment history for the 2</w:t>
      </w:r>
      <w:r w:rsidR="009D1A12" w:rsidRPr="009D1A12">
        <w:rPr>
          <w:rFonts w:ascii="Times New Roman" w:hAnsi="Times New Roman" w:cs="Times New Roman"/>
          <w:sz w:val="24"/>
          <w:szCs w:val="24"/>
          <w:vertAlign w:val="superscript"/>
        </w:rPr>
        <w:t>nd</w:t>
      </w:r>
      <w:r w:rsidR="009D1A12">
        <w:rPr>
          <w:rFonts w:ascii="Times New Roman" w:hAnsi="Times New Roman" w:cs="Times New Roman"/>
          <w:sz w:val="24"/>
          <w:szCs w:val="24"/>
        </w:rPr>
        <w:t xml:space="preserve"> floor account reveals that they made </w:t>
      </w:r>
      <w:r w:rsidR="005F7A58">
        <w:rPr>
          <w:rFonts w:ascii="Times New Roman" w:hAnsi="Times New Roman" w:cs="Times New Roman"/>
          <w:sz w:val="24"/>
          <w:szCs w:val="24"/>
        </w:rPr>
        <w:t>21</w:t>
      </w:r>
      <w:r w:rsidR="009D1A12">
        <w:rPr>
          <w:rFonts w:ascii="Times New Roman" w:hAnsi="Times New Roman" w:cs="Times New Roman"/>
          <w:sz w:val="24"/>
          <w:szCs w:val="24"/>
        </w:rPr>
        <w:t xml:space="preserve"> payments during the </w:t>
      </w:r>
      <w:r w:rsidR="005F7A58">
        <w:rPr>
          <w:rFonts w:ascii="Times New Roman" w:hAnsi="Times New Roman" w:cs="Times New Roman"/>
          <w:sz w:val="24"/>
          <w:szCs w:val="24"/>
        </w:rPr>
        <w:t>48</w:t>
      </w:r>
      <w:r w:rsidR="009D1A12">
        <w:rPr>
          <w:rFonts w:ascii="Times New Roman" w:hAnsi="Times New Roman" w:cs="Times New Roman"/>
          <w:sz w:val="24"/>
          <w:szCs w:val="24"/>
        </w:rPr>
        <w:t>-month period</w:t>
      </w:r>
      <w:r w:rsidR="005F7A58">
        <w:rPr>
          <w:rFonts w:ascii="Times New Roman" w:hAnsi="Times New Roman" w:cs="Times New Roman"/>
          <w:sz w:val="24"/>
          <w:szCs w:val="24"/>
        </w:rPr>
        <w:t xml:space="preserve"> </w:t>
      </w:r>
      <w:r w:rsidR="001479B1">
        <w:rPr>
          <w:rFonts w:ascii="Times New Roman" w:hAnsi="Times New Roman" w:cs="Times New Roman"/>
          <w:sz w:val="24"/>
          <w:szCs w:val="24"/>
        </w:rPr>
        <w:t xml:space="preserve">from </w:t>
      </w:r>
      <w:r w:rsidR="005F7A58">
        <w:rPr>
          <w:rFonts w:ascii="Times New Roman" w:hAnsi="Times New Roman" w:cs="Times New Roman"/>
          <w:sz w:val="24"/>
          <w:szCs w:val="24"/>
        </w:rPr>
        <w:t>July 2012</w:t>
      </w:r>
      <w:r w:rsidR="009D1A12">
        <w:rPr>
          <w:rFonts w:ascii="Times New Roman" w:hAnsi="Times New Roman" w:cs="Times New Roman"/>
          <w:sz w:val="24"/>
          <w:szCs w:val="24"/>
        </w:rPr>
        <w:t>, 2012 to</w:t>
      </w:r>
      <w:r w:rsidR="005F7A58">
        <w:rPr>
          <w:rFonts w:ascii="Times New Roman" w:hAnsi="Times New Roman" w:cs="Times New Roman"/>
          <w:sz w:val="24"/>
          <w:szCs w:val="24"/>
        </w:rPr>
        <w:t xml:space="preserve"> July 2016.  PECO Exhibit 2</w:t>
      </w:r>
      <w:r w:rsidR="009D1A12">
        <w:rPr>
          <w:rFonts w:ascii="Times New Roman" w:hAnsi="Times New Roman" w:cs="Times New Roman"/>
          <w:sz w:val="24"/>
          <w:szCs w:val="24"/>
        </w:rPr>
        <w:t xml:space="preserve">.  </w:t>
      </w:r>
      <w:r w:rsidR="005F7A58">
        <w:rPr>
          <w:rFonts w:ascii="Times New Roman" w:hAnsi="Times New Roman" w:cs="Times New Roman"/>
          <w:sz w:val="24"/>
          <w:szCs w:val="24"/>
        </w:rPr>
        <w:t xml:space="preserve">After carefully considering the Complainants’ payment history for both accounts, I do not find that it exhibits a lack of good faith effort on the part of the Complainants to pay off their outstanding balance.  </w:t>
      </w:r>
      <w:r>
        <w:rPr>
          <w:rFonts w:ascii="Times New Roman" w:hAnsi="Times New Roman" w:cs="Times New Roman"/>
          <w:sz w:val="24"/>
          <w:szCs w:val="24"/>
        </w:rPr>
        <w:t xml:space="preserve">For these </w:t>
      </w:r>
      <w:r w:rsidR="005F7A58">
        <w:rPr>
          <w:rFonts w:ascii="Times New Roman" w:eastAsia="Calibri" w:hAnsi="Times New Roman" w:cs="Times New Roman"/>
          <w:sz w:val="24"/>
          <w:szCs w:val="24"/>
        </w:rPr>
        <w:t>reason</w:t>
      </w:r>
      <w:r>
        <w:rPr>
          <w:rFonts w:ascii="Times New Roman" w:eastAsia="Calibri" w:hAnsi="Times New Roman" w:cs="Times New Roman"/>
          <w:sz w:val="24"/>
          <w:szCs w:val="24"/>
        </w:rPr>
        <w:t>, I find that a payment arrangement is appropriate in this case.  Section 1405 of the Public Utility Code regarding payment arrangements reads in pertinent part:</w:t>
      </w:r>
    </w:p>
    <w:p w:rsidR="00B45745" w:rsidRDefault="00B45745" w:rsidP="00B4574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Section 1405 of the Public Utility Code regarding payment arrangements reads in pertinent part:</w:t>
      </w:r>
    </w:p>
    <w:p w:rsidR="00B45745" w:rsidRDefault="00B45745" w:rsidP="00B45745">
      <w:pPr>
        <w:spacing w:after="0" w:line="240" w:lineRule="auto"/>
        <w:ind w:left="1440" w:right="1440"/>
        <w:rPr>
          <w:rFonts w:ascii="Times New Roman" w:eastAsia="Calibri" w:hAnsi="Times New Roman" w:cs="Times New Roman"/>
          <w:sz w:val="24"/>
          <w:szCs w:val="24"/>
        </w:rPr>
      </w:pPr>
      <w:r>
        <w:rPr>
          <w:rFonts w:ascii="Verdana" w:eastAsia="Calibri" w:hAnsi="Verdana" w:cs="Times New Roman"/>
          <w:sz w:val="20"/>
          <w:szCs w:val="20"/>
        </w:rPr>
        <w:br/>
      </w:r>
      <w:r>
        <w:rPr>
          <w:rFonts w:ascii="Times New Roman" w:eastAsia="Calibri" w:hAnsi="Times New Roman" w:cs="Times New Roman"/>
          <w:sz w:val="24"/>
          <w:szCs w:val="24"/>
        </w:rPr>
        <w:t xml:space="preserve">(a) </w:t>
      </w:r>
      <w:r>
        <w:rPr>
          <w:rFonts w:ascii="Times New Roman" w:eastAsia="Calibri" w:hAnsi="Times New Roman" w:cs="Times New Roman"/>
          <w:i/>
          <w:iCs/>
          <w:sz w:val="24"/>
          <w:szCs w:val="24"/>
        </w:rPr>
        <w:t xml:space="preserve">General rule. </w:t>
      </w:r>
      <w:r>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B45745" w:rsidRDefault="00B45745" w:rsidP="00B45745">
      <w:pPr>
        <w:spacing w:after="0" w:line="240" w:lineRule="auto"/>
        <w:ind w:left="1440" w:right="1440"/>
        <w:rPr>
          <w:rFonts w:ascii="Times New Roman" w:eastAsia="Calibri" w:hAnsi="Times New Roman" w:cs="Times New Roman"/>
          <w:sz w:val="24"/>
          <w:szCs w:val="24"/>
        </w:rPr>
      </w:pPr>
      <w:r>
        <w:rPr>
          <w:rFonts w:ascii="Times New Roman" w:eastAsia="Calibri" w:hAnsi="Times New Roman" w:cs="Times New Roman"/>
          <w:sz w:val="24"/>
          <w:szCs w:val="24"/>
        </w:rPr>
        <w:b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B45745" w:rsidRDefault="00B45745" w:rsidP="00B45745">
      <w:pPr>
        <w:spacing w:after="0" w:line="240" w:lineRule="auto"/>
        <w:ind w:left="1440" w:right="1440"/>
        <w:rPr>
          <w:rFonts w:ascii="Times New Roman" w:eastAsia="Calibri" w:hAnsi="Times New Roman" w:cs="Times New Roman"/>
          <w:sz w:val="24"/>
          <w:szCs w:val="24"/>
        </w:rPr>
      </w:pPr>
    </w:p>
    <w:p w:rsidR="00B45745" w:rsidRDefault="00B45745" w:rsidP="00B45745">
      <w:pPr>
        <w:spacing w:after="0" w:line="240" w:lineRule="auto"/>
        <w:ind w:left="1620" w:right="1440"/>
        <w:rPr>
          <w:rFonts w:ascii="Times New Roman" w:eastAsia="Calibri" w:hAnsi="Times New Roman" w:cs="Times New Roman"/>
          <w:sz w:val="24"/>
          <w:szCs w:val="24"/>
        </w:rPr>
      </w:pPr>
      <w:r>
        <w:rPr>
          <w:rFonts w:ascii="Times New Roman" w:eastAsia="Calibri" w:hAnsi="Times New Roman" w:cs="Times New Roman"/>
          <w:sz w:val="24"/>
          <w:szCs w:val="24"/>
        </w:rPr>
        <w:t xml:space="preserve">   (1) Five years for customers with a gross monthly household income level not exceeding 150% of the Federal poverty level. </w:t>
      </w:r>
      <w:r>
        <w:rPr>
          <w:rFonts w:ascii="Times New Roman" w:eastAsia="Calibri" w:hAnsi="Times New Roman" w:cs="Times New Roman"/>
          <w:sz w:val="24"/>
          <w:szCs w:val="24"/>
        </w:rPr>
        <w:br/>
      </w:r>
    </w:p>
    <w:p w:rsidR="00B45745" w:rsidRDefault="00B45745" w:rsidP="00B45745">
      <w:pPr>
        <w:spacing w:after="0" w:line="240" w:lineRule="auto"/>
        <w:ind w:left="1620" w:right="1728"/>
        <w:rPr>
          <w:rFonts w:ascii="Times New Roman" w:eastAsia="Calibri" w:hAnsi="Times New Roman" w:cs="Times New Roman"/>
          <w:sz w:val="24"/>
          <w:szCs w:val="24"/>
        </w:rPr>
      </w:pPr>
      <w:r>
        <w:rPr>
          <w:rFonts w:ascii="Times New Roman" w:eastAsia="Calibri" w:hAnsi="Times New Roman" w:cs="Times New Roman"/>
          <w:sz w:val="24"/>
          <w:szCs w:val="24"/>
        </w:rPr>
        <w:t>   (2) Three years for customers with a gross monthly household income level exceeding 150% and not more than 250% of 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(3) One year for customers with a gross monthly household income level exceeding 250% of the Federal poverty level and not more than 300% of</w:t>
      </w:r>
      <w:r>
        <w:rPr>
          <w:rFonts w:ascii="Times New Roman" w:eastAsia="Calibri" w:hAnsi="Times New Roman" w:cs="Times New Roman"/>
          <w:sz w:val="24"/>
          <w:szCs w:val="24"/>
        </w:rPr>
        <w:br/>
        <w:t>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(4) Six months for customers with a gross monthly household income level exceeding 300% of the Federal poverty level.</w:t>
      </w:r>
    </w:p>
    <w:p w:rsidR="00B45745" w:rsidRDefault="00B45745" w:rsidP="00B45745">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p>
    <w:p w:rsidR="00B45745" w:rsidRDefault="00B45745" w:rsidP="00B45745">
      <w:pPr>
        <w:spacing w:after="0" w:line="360" w:lineRule="auto"/>
        <w:ind w:left="1440" w:right="1440"/>
        <w:rPr>
          <w:rFonts w:ascii="Times New Roman" w:eastAsia="Calibri" w:hAnsi="Times New Roman" w:cs="Times New Roman"/>
          <w:sz w:val="24"/>
          <w:szCs w:val="24"/>
        </w:rPr>
      </w:pPr>
    </w:p>
    <w:p w:rsidR="00B45745" w:rsidRDefault="00B45745" w:rsidP="00B457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66 Pa.C.S. § 1405(a) and (b).  In addition, "Household income" is defined in section 1403 as "[t]he combined gross income of all adults in a residential household who benefit from the public service." 66 Pa.C.S. § 1403 (Definition of "Household income"). </w:t>
      </w:r>
    </w:p>
    <w:p w:rsidR="00F502EB" w:rsidRDefault="00F502EB" w:rsidP="00B45745">
      <w:pPr>
        <w:spacing w:after="0" w:line="360" w:lineRule="auto"/>
        <w:rPr>
          <w:rFonts w:ascii="Times New Roman" w:eastAsia="Calibri" w:hAnsi="Times New Roman" w:cs="Times New Roman"/>
          <w:sz w:val="24"/>
          <w:szCs w:val="24"/>
        </w:rPr>
      </w:pPr>
    </w:p>
    <w:p w:rsidR="00B45745" w:rsidRDefault="005F7A58" w:rsidP="00B45745">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At </w:t>
      </w:r>
      <w:r w:rsidRPr="003C3F6A">
        <w:rPr>
          <w:rFonts w:ascii="Times New Roman" w:hAnsi="Times New Roman" w:cs="Times New Roman"/>
          <w:sz w:val="24"/>
          <w:szCs w:val="24"/>
        </w:rPr>
        <w:t>$3,960 per month</w:t>
      </w:r>
      <w:r>
        <w:rPr>
          <w:rFonts w:ascii="Times New Roman" w:hAnsi="Times New Roman" w:cs="Times New Roman"/>
          <w:sz w:val="24"/>
          <w:szCs w:val="24"/>
        </w:rPr>
        <w:t xml:space="preserve"> for a household of two individuals, the Complainants’ household income falls between 250% and 30</w:t>
      </w:r>
      <w:r w:rsidR="00B45745">
        <w:rPr>
          <w:rFonts w:ascii="Times New Roman" w:hAnsi="Times New Roman" w:cs="Times New Roman"/>
          <w:sz w:val="24"/>
          <w:szCs w:val="24"/>
        </w:rPr>
        <w:t>0% of the Fede</w:t>
      </w:r>
      <w:r>
        <w:rPr>
          <w:rFonts w:ascii="Times New Roman" w:hAnsi="Times New Roman" w:cs="Times New Roman"/>
          <w:sz w:val="24"/>
          <w:szCs w:val="24"/>
        </w:rPr>
        <w:t>ral poverty level.  As a level 3</w:t>
      </w:r>
      <w:r w:rsidR="00B45745">
        <w:rPr>
          <w:rFonts w:ascii="Times New Roman" w:hAnsi="Times New Roman" w:cs="Times New Roman"/>
          <w:sz w:val="24"/>
          <w:szCs w:val="24"/>
        </w:rPr>
        <w:t xml:space="preserve"> income customer, </w:t>
      </w:r>
      <w:r>
        <w:rPr>
          <w:rFonts w:ascii="Times New Roman" w:eastAsia="Calibri" w:hAnsi="Times New Roman" w:cs="Times New Roman"/>
          <w:sz w:val="24"/>
          <w:szCs w:val="24"/>
        </w:rPr>
        <w:t>the Complainants are</w:t>
      </w:r>
      <w:r w:rsidR="00B45745">
        <w:rPr>
          <w:rFonts w:ascii="Times New Roman" w:eastAsia="Calibri" w:hAnsi="Times New Roman" w:cs="Times New Roman"/>
          <w:sz w:val="24"/>
          <w:szCs w:val="24"/>
        </w:rPr>
        <w:t xml:space="preserve"> required to retire </w:t>
      </w:r>
      <w:r>
        <w:rPr>
          <w:rFonts w:ascii="Times New Roman" w:eastAsia="Calibri" w:hAnsi="Times New Roman" w:cs="Times New Roman"/>
          <w:sz w:val="24"/>
          <w:szCs w:val="24"/>
        </w:rPr>
        <w:t>their balance with PECO within one year, or 12</w:t>
      </w:r>
      <w:r w:rsidR="00B45745">
        <w:rPr>
          <w:rFonts w:ascii="Times New Roman" w:eastAsia="Calibri" w:hAnsi="Times New Roman" w:cs="Times New Roman"/>
          <w:sz w:val="24"/>
          <w:szCs w:val="24"/>
        </w:rPr>
        <w:t xml:space="preserve"> months.</w:t>
      </w:r>
      <w:r w:rsidR="00B45745">
        <w:rPr>
          <w:rFonts w:ascii="Times New Roman" w:hAnsi="Times New Roman" w:cs="Times New Roman"/>
          <w:sz w:val="24"/>
          <w:szCs w:val="24"/>
        </w:rPr>
        <w:t xml:space="preserve">  See </w:t>
      </w:r>
      <w:r w:rsidR="00B45745">
        <w:rPr>
          <w:rFonts w:ascii="Times New Roman" w:eastAsia="Calibri" w:hAnsi="Times New Roman" w:cs="Times New Roman"/>
          <w:sz w:val="24"/>
          <w:szCs w:val="24"/>
        </w:rPr>
        <w:t>66 Pa.C.S. § 1405(b)(2).</w:t>
      </w:r>
    </w:p>
    <w:p w:rsidR="00C20735" w:rsidRDefault="00C20735" w:rsidP="00C20735">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CONCLUSIONS OF LAW</w:t>
      </w:r>
    </w:p>
    <w:p w:rsidR="00C20735" w:rsidRDefault="00C20735" w:rsidP="00C20735">
      <w:pPr>
        <w:spacing w:after="0" w:line="360" w:lineRule="auto"/>
        <w:rPr>
          <w:rFonts w:ascii="Times New Roman" w:eastAsia="Calibri" w:hAnsi="Times New Roman" w:cs="Times New Roman"/>
          <w:sz w:val="24"/>
          <w:szCs w:val="24"/>
        </w:rPr>
      </w:pPr>
    </w:p>
    <w:p w:rsidR="00C20735" w:rsidRDefault="00C20735" w:rsidP="008C3FF4">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w:t>
      </w:r>
      <w:r>
        <w:rPr>
          <w:rFonts w:ascii="Times New Roman" w:eastAsia="Times New Roman" w:hAnsi="Times New Roman"/>
          <w:spacing w:val="-3"/>
          <w:sz w:val="24"/>
          <w:szCs w:val="24"/>
        </w:rPr>
        <w:tab/>
        <w:t>The Commission has jurisdiction over the parties and the subject matter o</w:t>
      </w:r>
      <w:r w:rsidR="00F502EB">
        <w:rPr>
          <w:rFonts w:ascii="Times New Roman" w:eastAsia="Times New Roman" w:hAnsi="Times New Roman"/>
          <w:spacing w:val="-3"/>
          <w:sz w:val="24"/>
          <w:szCs w:val="24"/>
        </w:rPr>
        <w:t>f this proceeding.  66 Pa.C.S.</w:t>
      </w:r>
      <w:r>
        <w:rPr>
          <w:rFonts w:ascii="Times New Roman" w:eastAsia="Times New Roman" w:hAnsi="Times New Roman"/>
          <w:spacing w:val="-3"/>
          <w:sz w:val="24"/>
          <w:szCs w:val="24"/>
        </w:rPr>
        <w:t xml:space="preserve"> § 701.</w:t>
      </w:r>
    </w:p>
    <w:p w:rsidR="00C20735" w:rsidRDefault="00C20735" w:rsidP="008C3FF4">
      <w:pPr>
        <w:spacing w:after="0" w:line="360" w:lineRule="auto"/>
        <w:rPr>
          <w:rFonts w:ascii="Times New Roman" w:eastAsia="Times New Roman" w:hAnsi="Times New Roman"/>
          <w:spacing w:val="-3"/>
          <w:sz w:val="24"/>
          <w:szCs w:val="24"/>
        </w:rPr>
      </w:pPr>
    </w:p>
    <w:p w:rsidR="00C20735" w:rsidRDefault="000C7384" w:rsidP="008C3FF4">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2.</w:t>
      </w:r>
      <w:r>
        <w:rPr>
          <w:rFonts w:ascii="Times New Roman" w:eastAsia="Times New Roman" w:hAnsi="Times New Roman"/>
          <w:spacing w:val="-3"/>
          <w:sz w:val="24"/>
          <w:szCs w:val="24"/>
        </w:rPr>
        <w:tab/>
        <w:t>The c</w:t>
      </w:r>
      <w:r w:rsidR="00C20735">
        <w:rPr>
          <w:rFonts w:ascii="Times New Roman" w:eastAsia="Times New Roman" w:hAnsi="Times New Roman"/>
          <w:spacing w:val="-3"/>
          <w:sz w:val="24"/>
          <w:szCs w:val="24"/>
        </w:rPr>
        <w:t>omplainant seeking affirmative relief from the Commission has the burden of proving the Complaint allegations by producing evidence which established material facts by a preponderance</w:t>
      </w:r>
      <w:r w:rsidR="00F502EB">
        <w:rPr>
          <w:rFonts w:ascii="Times New Roman" w:eastAsia="Times New Roman" w:hAnsi="Times New Roman"/>
          <w:spacing w:val="-3"/>
          <w:sz w:val="24"/>
          <w:szCs w:val="24"/>
        </w:rPr>
        <w:t xml:space="preserve"> of the evidence.  66 Pa.C.S.</w:t>
      </w:r>
      <w:r w:rsidR="00F33A51">
        <w:rPr>
          <w:rFonts w:ascii="Times New Roman" w:eastAsia="Times New Roman" w:hAnsi="Times New Roman"/>
          <w:spacing w:val="-3"/>
          <w:sz w:val="24"/>
          <w:szCs w:val="24"/>
        </w:rPr>
        <w:t xml:space="preserve"> </w:t>
      </w:r>
      <w:r w:rsidR="00C20735">
        <w:rPr>
          <w:rFonts w:ascii="Times New Roman" w:eastAsia="Times New Roman" w:hAnsi="Times New Roman"/>
          <w:spacing w:val="-3"/>
          <w:sz w:val="24"/>
          <w:szCs w:val="24"/>
        </w:rPr>
        <w:t>§ 332(a).</w:t>
      </w:r>
    </w:p>
    <w:p w:rsidR="00C20735" w:rsidRDefault="00C20735" w:rsidP="008C3FF4">
      <w:pPr>
        <w:spacing w:after="0" w:line="360" w:lineRule="auto"/>
        <w:rPr>
          <w:rFonts w:ascii="Times New Roman" w:eastAsia="Times New Roman" w:hAnsi="Times New Roman" w:cs="Times New Roman"/>
          <w:spacing w:val="-3"/>
          <w:sz w:val="24"/>
          <w:szCs w:val="24"/>
        </w:rPr>
      </w:pPr>
    </w:p>
    <w:p w:rsidR="00C20735" w:rsidRDefault="00C20735" w:rsidP="008C3FF4">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w:t>
      </w:r>
      <w:r w:rsidR="00F33A51">
        <w:rPr>
          <w:rFonts w:ascii="Times New Roman" w:eastAsia="Times New Roman" w:hAnsi="Times New Roman" w:cs="Times New Roman"/>
          <w:sz w:val="24"/>
          <w:szCs w:val="24"/>
        </w:rPr>
        <w:t>es and the public.  66 Pa.</w:t>
      </w:r>
      <w:r w:rsidR="00F502EB">
        <w:rPr>
          <w:rFonts w:ascii="Times New Roman" w:eastAsia="Times New Roman" w:hAnsi="Times New Roman" w:cs="Times New Roman"/>
          <w:sz w:val="24"/>
          <w:szCs w:val="24"/>
        </w:rPr>
        <w:t>C.S.</w:t>
      </w:r>
      <w:r>
        <w:rPr>
          <w:rFonts w:ascii="Times New Roman" w:eastAsia="Times New Roman" w:hAnsi="Times New Roman" w:cs="Times New Roman"/>
          <w:sz w:val="24"/>
          <w:szCs w:val="24"/>
        </w:rPr>
        <w:t xml:space="preserve"> § 1501.</w:t>
      </w:r>
    </w:p>
    <w:p w:rsidR="00C20735" w:rsidRDefault="00C20735" w:rsidP="008C3FF4">
      <w:pPr>
        <w:spacing w:after="0" w:line="360" w:lineRule="auto"/>
        <w:ind w:firstLine="1440"/>
        <w:rPr>
          <w:rFonts w:ascii="Times New Roman" w:eastAsia="Times New Roman" w:hAnsi="Times New Roman" w:cs="Times New Roman"/>
          <w:sz w:val="24"/>
          <w:szCs w:val="24"/>
        </w:rPr>
      </w:pPr>
    </w:p>
    <w:p w:rsidR="00C20735" w:rsidRPr="00C20735" w:rsidRDefault="00C20735" w:rsidP="008C3FF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0735">
        <w:rPr>
          <w:rFonts w:ascii="Times New Roman" w:eastAsia="Calibri" w:hAnsi="Times New Roman" w:cs="Times New Roman"/>
          <w:sz w:val="24"/>
          <w:szCs w:val="24"/>
        </w:rPr>
        <w:t xml:space="preserve">In order to establish a prima facie case in a high billing dispute, a complainant must show the disputed bill was abnormally high when compared to prior usage patterns and that his or her pattern of usage has not changed or must provide other relevant evidence showing that the disputed bill is unreasonably high.  </w:t>
      </w:r>
      <w:r w:rsidRPr="00C20735">
        <w:rPr>
          <w:rFonts w:ascii="Times New Roman" w:eastAsia="Calibri" w:hAnsi="Times New Roman" w:cs="Times New Roman"/>
          <w:i/>
          <w:sz w:val="24"/>
          <w:szCs w:val="24"/>
        </w:rPr>
        <w:t>Waldron v. Philadelphia Electric Company,</w:t>
      </w:r>
      <w:r w:rsidRPr="00C20735">
        <w:rPr>
          <w:rFonts w:ascii="Times New Roman" w:eastAsia="Calibri" w:hAnsi="Times New Roman" w:cs="Times New Roman"/>
          <w:sz w:val="24"/>
          <w:szCs w:val="24"/>
        </w:rPr>
        <w:t xml:space="preserve"> 54 Pa. P.U.C. 98 (1980).</w:t>
      </w:r>
    </w:p>
    <w:p w:rsidR="00C20735" w:rsidRPr="00C20735" w:rsidRDefault="00C20735" w:rsidP="008C3FF4">
      <w:pPr>
        <w:spacing w:after="0" w:line="360" w:lineRule="auto"/>
        <w:rPr>
          <w:rFonts w:ascii="Times New Roman" w:eastAsia="Calibri" w:hAnsi="Times New Roman" w:cs="Times New Roman"/>
          <w:sz w:val="24"/>
          <w:szCs w:val="24"/>
        </w:rPr>
      </w:pPr>
    </w:p>
    <w:p w:rsidR="00C20735" w:rsidRPr="00C20735" w:rsidRDefault="00C20735" w:rsidP="008C3FF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5</w:t>
      </w:r>
      <w:r w:rsidRPr="00C20735">
        <w:rPr>
          <w:rFonts w:ascii="Times New Roman" w:eastAsia="Calibri" w:hAnsi="Times New Roman" w:cs="Times New Roman"/>
          <w:sz w:val="24"/>
          <w:szCs w:val="24"/>
        </w:rPr>
        <w:t>.</w:t>
      </w:r>
      <w:r w:rsidRPr="00C20735">
        <w:rPr>
          <w:rFonts w:ascii="Times New Roman" w:eastAsia="Calibri" w:hAnsi="Times New Roman" w:cs="Times New Roman"/>
          <w:sz w:val="24"/>
          <w:szCs w:val="24"/>
        </w:rPr>
        <w:tab/>
        <w:t xml:space="preserve">Evidence proffered by a utility relating to the accuracy of a meter test alone, in response to a high bill complaint, is not conclusive evidence and would not, by itself, require a finding against a complainant and in favor of a company.  See </w:t>
      </w:r>
      <w:r w:rsidRPr="00C20735">
        <w:rPr>
          <w:rFonts w:ascii="Times New Roman" w:eastAsia="Calibri" w:hAnsi="Times New Roman" w:cs="Times New Roman"/>
          <w:i/>
          <w:sz w:val="24"/>
          <w:szCs w:val="24"/>
        </w:rPr>
        <w:t>Charisse Bennett v. Peoples Natural Gas Co.,</w:t>
      </w:r>
      <w:r w:rsidRPr="00C20735">
        <w:rPr>
          <w:rFonts w:ascii="Times New Roman" w:eastAsia="Calibri" w:hAnsi="Times New Roman" w:cs="Times New Roman"/>
          <w:sz w:val="24"/>
          <w:szCs w:val="24"/>
        </w:rPr>
        <w:t xml:space="preserve"> Docket No. C-2009-2122979 (Order entered October 13, 2010); </w:t>
      </w:r>
      <w:r w:rsidRPr="00C20735">
        <w:rPr>
          <w:rFonts w:ascii="Times New Roman" w:eastAsia="Calibri" w:hAnsi="Times New Roman" w:cs="Times New Roman"/>
          <w:i/>
          <w:sz w:val="24"/>
          <w:szCs w:val="24"/>
        </w:rPr>
        <w:t>Thomas v. PECO Energy Company</w:t>
      </w:r>
      <w:r w:rsidRPr="00C20735">
        <w:rPr>
          <w:rFonts w:ascii="Times New Roman" w:eastAsia="Calibri" w:hAnsi="Times New Roman" w:cs="Times New Roman"/>
          <w:sz w:val="24"/>
          <w:szCs w:val="24"/>
        </w:rPr>
        <w:t>, Docket No. C-2010-2187197 (Order entered November 15, 2011).</w:t>
      </w:r>
    </w:p>
    <w:p w:rsidR="00C20735" w:rsidRPr="00C20735" w:rsidRDefault="00C20735" w:rsidP="008C3FF4">
      <w:pPr>
        <w:spacing w:after="0" w:line="360" w:lineRule="auto"/>
        <w:ind w:firstLine="1440"/>
        <w:rPr>
          <w:rFonts w:ascii="Times New Roman" w:eastAsia="Calibri" w:hAnsi="Times New Roman" w:cs="Times New Roman"/>
          <w:sz w:val="24"/>
          <w:szCs w:val="24"/>
        </w:rPr>
      </w:pPr>
    </w:p>
    <w:p w:rsidR="008177AF" w:rsidRDefault="00C20735" w:rsidP="008C3FF4">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sidRPr="00C20735">
        <w:rPr>
          <w:rFonts w:ascii="Times New Roman" w:eastAsia="Times New Roman" w:hAnsi="Times New Roman" w:cs="Times New Roman"/>
          <w:sz w:val="24"/>
          <w:szCs w:val="24"/>
        </w:rPr>
        <w:t>.</w:t>
      </w:r>
      <w:r w:rsidRPr="00C20735">
        <w:rPr>
          <w:rFonts w:ascii="Times New Roman" w:eastAsia="Times New Roman" w:hAnsi="Times New Roman" w:cs="Times New Roman"/>
          <w:sz w:val="24"/>
          <w:szCs w:val="24"/>
        </w:rPr>
        <w:tab/>
      </w:r>
      <w:r w:rsidRPr="00C20735">
        <w:rPr>
          <w:rFonts w:ascii="Times New Roman" w:eastAsia="Times New Roman" w:hAnsi="Times New Roman" w:cs="Times New Roman"/>
          <w:spacing w:val="-3"/>
          <w:sz w:val="24"/>
          <w:szCs w:val="24"/>
        </w:rPr>
        <w:t>The Complainant</w:t>
      </w:r>
      <w:r w:rsidR="008177AF">
        <w:rPr>
          <w:rFonts w:ascii="Times New Roman" w:eastAsia="Times New Roman" w:hAnsi="Times New Roman" w:cs="Times New Roman"/>
          <w:spacing w:val="-3"/>
          <w:sz w:val="24"/>
          <w:szCs w:val="24"/>
        </w:rPr>
        <w:t>s failed to carry their</w:t>
      </w:r>
      <w:r w:rsidRPr="00C20735">
        <w:rPr>
          <w:rFonts w:ascii="Times New Roman" w:eastAsia="Times New Roman" w:hAnsi="Times New Roman" w:cs="Times New Roman"/>
          <w:spacing w:val="-3"/>
          <w:sz w:val="24"/>
          <w:szCs w:val="24"/>
        </w:rPr>
        <w:t xml:space="preserve"> burden of proving that </w:t>
      </w:r>
      <w:r w:rsidR="008177AF">
        <w:rPr>
          <w:rFonts w:ascii="Times New Roman" w:eastAsia="Times New Roman" w:hAnsi="Times New Roman" w:cs="Times New Roman"/>
          <w:spacing w:val="-3"/>
          <w:sz w:val="24"/>
          <w:szCs w:val="24"/>
        </w:rPr>
        <w:t xml:space="preserve">their electricity </w:t>
      </w:r>
      <w:r w:rsidRPr="00C20735">
        <w:rPr>
          <w:rFonts w:ascii="Times New Roman" w:eastAsia="Times New Roman" w:hAnsi="Times New Roman" w:cs="Times New Roman"/>
          <w:spacing w:val="-3"/>
          <w:sz w:val="24"/>
          <w:szCs w:val="24"/>
        </w:rPr>
        <w:t>bill</w:t>
      </w:r>
      <w:r w:rsidR="008177AF">
        <w:rPr>
          <w:rFonts w:ascii="Times New Roman" w:eastAsia="Times New Roman" w:hAnsi="Times New Roman" w:cs="Times New Roman"/>
          <w:spacing w:val="-3"/>
          <w:sz w:val="24"/>
          <w:szCs w:val="24"/>
        </w:rPr>
        <w:t>s were</w:t>
      </w:r>
      <w:r w:rsidRPr="00C20735">
        <w:rPr>
          <w:rFonts w:ascii="Times New Roman" w:eastAsia="Times New Roman" w:hAnsi="Times New Roman" w:cs="Times New Roman"/>
          <w:spacing w:val="-3"/>
          <w:sz w:val="24"/>
          <w:szCs w:val="24"/>
        </w:rPr>
        <w:t xml:space="preserve"> incorrect</w:t>
      </w:r>
      <w:r w:rsidR="008177AF">
        <w:rPr>
          <w:rFonts w:ascii="Times New Roman" w:eastAsia="Times New Roman" w:hAnsi="Times New Roman" w:cs="Times New Roman"/>
          <w:spacing w:val="-3"/>
          <w:sz w:val="24"/>
          <w:szCs w:val="24"/>
        </w:rPr>
        <w:t xml:space="preserve"> or that the Respondent provided them with unreasonable, inadequate, or unsafe service.</w:t>
      </w:r>
    </w:p>
    <w:p w:rsidR="008177AF" w:rsidRPr="008177AF" w:rsidRDefault="008177AF" w:rsidP="008C3FF4">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7.</w:t>
      </w:r>
      <w:r>
        <w:rPr>
          <w:rFonts w:ascii="Times New Roman" w:eastAsia="Times New Roman" w:hAnsi="Times New Roman" w:cs="Times New Roman"/>
          <w:spacing w:val="-3"/>
          <w:sz w:val="24"/>
          <w:szCs w:val="24"/>
        </w:rPr>
        <w:tab/>
      </w:r>
      <w:r>
        <w:rPr>
          <w:rFonts w:ascii="Times New Roman" w:hAnsi="Times New Roman"/>
          <w:sz w:val="24"/>
          <w:szCs w:val="24"/>
        </w:rPr>
        <w:t xml:space="preserve">The Responsible Utility Customer Protection Act, 66 Pa.C.S. §§ 1401, </w:t>
      </w:r>
      <w:r>
        <w:rPr>
          <w:rFonts w:ascii="Times New Roman" w:hAnsi="Times New Roman"/>
          <w:i/>
          <w:iCs/>
          <w:sz w:val="24"/>
          <w:szCs w:val="24"/>
        </w:rPr>
        <w:t>et seq</w:t>
      </w:r>
      <w:r>
        <w:rPr>
          <w:rFonts w:ascii="Times New Roman" w:hAnsi="Times New Roman"/>
          <w:sz w:val="24"/>
          <w:szCs w:val="24"/>
        </w:rPr>
        <w:t>., applies to this proceeding.</w:t>
      </w:r>
    </w:p>
    <w:p w:rsidR="008177AF" w:rsidRDefault="008177AF" w:rsidP="008C3FF4">
      <w:pPr>
        <w:spacing w:after="0" w:line="360" w:lineRule="auto"/>
        <w:ind w:firstLine="1440"/>
        <w:rPr>
          <w:rFonts w:ascii="Times New Roman" w:eastAsia="Times New Roman" w:hAnsi="Times New Roman"/>
          <w:sz w:val="24"/>
          <w:szCs w:val="20"/>
        </w:rPr>
      </w:pPr>
    </w:p>
    <w:p w:rsidR="008177AF" w:rsidRDefault="008177AF" w:rsidP="008C3FF4">
      <w:pPr>
        <w:spacing w:after="0" w:line="360" w:lineRule="auto"/>
        <w:ind w:firstLine="1440"/>
        <w:rPr>
          <w:rFonts w:ascii="Times New Roman" w:hAnsi="Times New Roman" w:cs="Times New Roman"/>
          <w:sz w:val="24"/>
          <w:szCs w:val="24"/>
        </w:rPr>
      </w:pPr>
      <w:r>
        <w:rPr>
          <w:rFonts w:ascii="Times New Roman" w:eastAsia="Times New Roman" w:hAnsi="Times New Roman"/>
          <w:sz w:val="24"/>
          <w:szCs w:val="20"/>
        </w:rPr>
        <w:t>8.</w:t>
      </w:r>
      <w:r>
        <w:rPr>
          <w:rFonts w:ascii="Times New Roman" w:eastAsia="Times New Roman" w:hAnsi="Times New Roman"/>
          <w:sz w:val="24"/>
          <w:szCs w:val="20"/>
        </w:rPr>
        <w:tab/>
      </w:r>
      <w:r>
        <w:rPr>
          <w:rFonts w:ascii="Times New Roman" w:hAnsi="Times New Roman" w:cs="Times New Roman"/>
          <w:sz w:val="24"/>
          <w:szCs w:val="24"/>
        </w:rPr>
        <w:t xml:space="preserve">It is Commission policy to exercise its discretion to issue payment arrangements when customers have demonstrated some evidence of a good-faith effort in paying utility bills or when customers have experienced a change of circumstances outside of their control.  </w:t>
      </w:r>
      <w:r>
        <w:rPr>
          <w:rFonts w:ascii="Times New Roman" w:hAnsi="Times New Roman" w:cs="Times New Roman"/>
          <w:i/>
          <w:sz w:val="24"/>
          <w:szCs w:val="24"/>
        </w:rPr>
        <w:t>Crawford v. National Fuel Gas Distribution Corp.</w:t>
      </w:r>
      <w:r>
        <w:rPr>
          <w:rFonts w:ascii="Times New Roman" w:hAnsi="Times New Roman" w:cs="Times New Roman"/>
          <w:sz w:val="24"/>
          <w:szCs w:val="24"/>
        </w:rPr>
        <w:t>, Docket No. C-20066348, at 15-16 (Order entered December 6, 2007), see</w:t>
      </w:r>
      <w:r>
        <w:rPr>
          <w:rFonts w:ascii="Times New Roman" w:hAnsi="Times New Roman" w:cs="Times New Roman"/>
          <w:i/>
          <w:sz w:val="24"/>
          <w:szCs w:val="24"/>
        </w:rPr>
        <w:t xml:space="preserve"> also Susan Hewitt</w:t>
      </w:r>
      <w:r>
        <w:rPr>
          <w:rFonts w:ascii="Times New Roman" w:hAnsi="Times New Roman" w:cs="Times New Roman"/>
          <w:sz w:val="24"/>
          <w:szCs w:val="24"/>
        </w:rPr>
        <w:t xml:space="preserve"> </w:t>
      </w:r>
      <w:r>
        <w:rPr>
          <w:rFonts w:ascii="Times New Roman" w:hAnsi="Times New Roman" w:cs="Times New Roman"/>
          <w:i/>
          <w:sz w:val="24"/>
          <w:szCs w:val="24"/>
        </w:rPr>
        <w:t>v. PGW Energy Co.</w:t>
      </w:r>
      <w:r>
        <w:rPr>
          <w:rFonts w:ascii="Times New Roman" w:hAnsi="Times New Roman" w:cs="Times New Roman"/>
          <w:sz w:val="24"/>
          <w:szCs w:val="24"/>
        </w:rPr>
        <w:t>, Docket No. F-2011-2273271, (Opinion and Order entered Sept. 12, 2013).</w:t>
      </w:r>
    </w:p>
    <w:p w:rsidR="008177AF" w:rsidRDefault="008177AF" w:rsidP="008C3FF4">
      <w:pPr>
        <w:spacing w:after="0" w:line="360" w:lineRule="auto"/>
        <w:ind w:firstLine="1440"/>
        <w:rPr>
          <w:rFonts w:ascii="Times New Roman" w:hAnsi="Times New Roman" w:cs="Times New Roman"/>
          <w:sz w:val="24"/>
          <w:szCs w:val="24"/>
        </w:rPr>
      </w:pPr>
    </w:p>
    <w:p w:rsidR="008C3FF4" w:rsidRPr="007D147A" w:rsidRDefault="008177AF" w:rsidP="007D147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sz w:val="24"/>
          <w:szCs w:val="24"/>
        </w:rPr>
        <w:tab/>
        <w:t>"Household income" is defined as "[t]he combined gross income of all adults in a residential household who benefit from the public service" 66 Pa.C.S. § 1403.</w:t>
      </w:r>
    </w:p>
    <w:p w:rsidR="007D147A" w:rsidRDefault="007D147A" w:rsidP="00C44C7F">
      <w:pPr>
        <w:jc w:val="center"/>
        <w:rPr>
          <w:rFonts w:ascii="Times New Roman" w:hAnsi="Times New Roman"/>
          <w:sz w:val="24"/>
          <w:szCs w:val="24"/>
          <w:u w:val="single"/>
        </w:rPr>
      </w:pPr>
    </w:p>
    <w:p w:rsidR="00C44C7F" w:rsidRDefault="00C44C7F" w:rsidP="00C44C7F">
      <w:pPr>
        <w:jc w:val="center"/>
        <w:rPr>
          <w:rFonts w:ascii="Times New Roman" w:eastAsia="Times New Roman" w:hAnsi="Times New Roman"/>
          <w:sz w:val="24"/>
          <w:szCs w:val="20"/>
        </w:rPr>
      </w:pPr>
      <w:r>
        <w:rPr>
          <w:rFonts w:ascii="Times New Roman" w:hAnsi="Times New Roman"/>
          <w:sz w:val="24"/>
          <w:szCs w:val="24"/>
          <w:u w:val="single"/>
        </w:rPr>
        <w:t>ORDER</w:t>
      </w:r>
    </w:p>
    <w:p w:rsidR="00C44C7F" w:rsidRDefault="00C44C7F" w:rsidP="00C44C7F">
      <w:pPr>
        <w:spacing w:after="0" w:line="360" w:lineRule="auto"/>
        <w:jc w:val="center"/>
        <w:outlineLvl w:val="0"/>
        <w:rPr>
          <w:rFonts w:ascii="Times New Roman" w:hAnsi="Times New Roman"/>
          <w:sz w:val="24"/>
          <w:szCs w:val="24"/>
          <w:u w:val="single"/>
        </w:rPr>
      </w:pPr>
    </w:p>
    <w:p w:rsidR="00C44C7F" w:rsidRDefault="00C44C7F" w:rsidP="00C44C7F">
      <w:pPr>
        <w:spacing w:after="0" w:line="360" w:lineRule="auto"/>
        <w:jc w:val="center"/>
        <w:outlineLvl w:val="0"/>
        <w:rPr>
          <w:rFonts w:ascii="Times New Roman" w:hAnsi="Times New Roman"/>
          <w:sz w:val="24"/>
          <w:szCs w:val="24"/>
          <w:u w:val="single"/>
        </w:rPr>
      </w:pPr>
    </w:p>
    <w:p w:rsidR="00C44C7F" w:rsidRDefault="00C44C7F" w:rsidP="00C44C7F">
      <w:pPr>
        <w:tabs>
          <w:tab w:val="num" w:pos="2160"/>
        </w:tabs>
        <w:spacing w:after="0" w:line="360" w:lineRule="auto"/>
        <w:ind w:firstLine="1440"/>
        <w:rPr>
          <w:rFonts w:ascii="Times New Roman" w:hAnsi="Times New Roman"/>
          <w:sz w:val="24"/>
          <w:szCs w:val="24"/>
        </w:rPr>
      </w:pPr>
      <w:r>
        <w:rPr>
          <w:rFonts w:ascii="Times New Roman" w:hAnsi="Times New Roman"/>
          <w:sz w:val="24"/>
          <w:szCs w:val="24"/>
        </w:rPr>
        <w:t>THEREFORE,</w:t>
      </w:r>
    </w:p>
    <w:p w:rsidR="00C44C7F" w:rsidRDefault="00C44C7F" w:rsidP="00C44C7F">
      <w:pPr>
        <w:tabs>
          <w:tab w:val="num" w:pos="2160"/>
        </w:tabs>
        <w:spacing w:after="0" w:line="360" w:lineRule="auto"/>
        <w:rPr>
          <w:rFonts w:ascii="Times New Roman" w:hAnsi="Times New Roman"/>
          <w:sz w:val="24"/>
          <w:szCs w:val="24"/>
        </w:rPr>
      </w:pPr>
    </w:p>
    <w:p w:rsidR="00C44C7F" w:rsidRDefault="00C44C7F" w:rsidP="00C44C7F">
      <w:pPr>
        <w:tabs>
          <w:tab w:val="num" w:pos="2160"/>
        </w:tabs>
        <w:spacing w:after="0" w:line="360" w:lineRule="auto"/>
        <w:ind w:firstLine="1440"/>
        <w:outlineLvl w:val="0"/>
        <w:rPr>
          <w:rFonts w:ascii="Times New Roman" w:hAnsi="Times New Roman"/>
          <w:sz w:val="24"/>
          <w:szCs w:val="24"/>
        </w:rPr>
      </w:pPr>
      <w:r>
        <w:rPr>
          <w:rFonts w:ascii="Times New Roman" w:hAnsi="Times New Roman"/>
          <w:sz w:val="24"/>
          <w:szCs w:val="24"/>
        </w:rPr>
        <w:t>IT IS ORDERED:</w:t>
      </w:r>
    </w:p>
    <w:p w:rsidR="00C44C7F" w:rsidRDefault="00C44C7F" w:rsidP="00C44C7F">
      <w:pPr>
        <w:tabs>
          <w:tab w:val="num" w:pos="2160"/>
        </w:tabs>
        <w:spacing w:after="0" w:line="360" w:lineRule="auto"/>
        <w:outlineLvl w:val="0"/>
        <w:rPr>
          <w:rFonts w:ascii="Times New Roman" w:hAnsi="Times New Roman"/>
          <w:sz w:val="24"/>
          <w:szCs w:val="24"/>
        </w:rPr>
      </w:pPr>
    </w:p>
    <w:p w:rsidR="00C44C7F" w:rsidRDefault="00C44C7F" w:rsidP="008C3FF4">
      <w:pPr>
        <w:numPr>
          <w:ilvl w:val="0"/>
          <w:numId w:val="2"/>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That PECO Energy Company’s late-filed Exhibits 16(b), 17 and 18 are admitted into the record in this matter.</w:t>
      </w:r>
    </w:p>
    <w:p w:rsidR="007D147A" w:rsidRDefault="007D147A" w:rsidP="007D147A">
      <w:pPr>
        <w:spacing w:after="0" w:line="360" w:lineRule="auto"/>
        <w:ind w:left="1440"/>
        <w:outlineLvl w:val="0"/>
        <w:rPr>
          <w:rFonts w:ascii="Times New Roman" w:eastAsia="Calibri" w:hAnsi="Times New Roman" w:cs="Times New Roman"/>
          <w:sz w:val="24"/>
          <w:szCs w:val="24"/>
        </w:rPr>
      </w:pPr>
    </w:p>
    <w:p w:rsidR="00C44C7F" w:rsidRDefault="00C44C7F" w:rsidP="008C3FF4">
      <w:pPr>
        <w:numPr>
          <w:ilvl w:val="0"/>
          <w:numId w:val="2"/>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Formal Complaint filed by </w:t>
      </w:r>
      <w:r>
        <w:rPr>
          <w:rFonts w:ascii="Times New Roman" w:eastAsia="Times New Roman" w:hAnsi="Times New Roman" w:cs="Times New Roman"/>
          <w:spacing w:val="-3"/>
          <w:sz w:val="24"/>
          <w:szCs w:val="24"/>
        </w:rPr>
        <w:t xml:space="preserve">Janette I. Vasquez </w:t>
      </w:r>
      <w:r>
        <w:rPr>
          <w:rFonts w:ascii="Times New Roman" w:eastAsia="Times New Roman" w:hAnsi="Times New Roman" w:cs="Times New Roman"/>
          <w:sz w:val="24"/>
          <w:szCs w:val="24"/>
        </w:rPr>
        <w:t xml:space="preserve">and Edwin Segarra Lagoa </w:t>
      </w:r>
      <w:r w:rsidRPr="00142F68">
        <w:rPr>
          <w:rFonts w:ascii="Times New Roman" w:eastAsia="Times New Roman" w:hAnsi="Times New Roman" w:cs="Times New Roman"/>
          <w:sz w:val="24"/>
          <w:szCs w:val="24"/>
        </w:rPr>
        <w:t xml:space="preserve">against PECO Energy Company </w:t>
      </w:r>
      <w:r>
        <w:rPr>
          <w:rFonts w:ascii="Times New Roman" w:eastAsia="Calibri" w:hAnsi="Times New Roman" w:cs="Times New Roman"/>
          <w:sz w:val="24"/>
          <w:szCs w:val="24"/>
        </w:rPr>
        <w:t xml:space="preserve">at Docket No. C-2016-2543324 is granted, in part, and denied, in part, in accordance with the discussion section, </w:t>
      </w:r>
      <w:r>
        <w:rPr>
          <w:rFonts w:ascii="Times New Roman" w:eastAsia="Calibri" w:hAnsi="Times New Roman" w:cs="Times New Roman"/>
          <w:i/>
          <w:sz w:val="24"/>
          <w:szCs w:val="24"/>
        </w:rPr>
        <w:t>supra</w:t>
      </w:r>
      <w:r>
        <w:rPr>
          <w:rFonts w:ascii="Times New Roman" w:eastAsia="Calibri" w:hAnsi="Times New Roman" w:cs="Times New Roman"/>
          <w:sz w:val="24"/>
          <w:szCs w:val="24"/>
        </w:rPr>
        <w:t>.</w:t>
      </w:r>
    </w:p>
    <w:p w:rsidR="00C44C7F" w:rsidRDefault="00C44C7F" w:rsidP="008C3FF4">
      <w:pPr>
        <w:spacing w:after="0" w:line="360" w:lineRule="auto"/>
        <w:ind w:left="1440"/>
        <w:outlineLvl w:val="0"/>
        <w:rPr>
          <w:rFonts w:ascii="Times New Roman" w:eastAsia="Calibri" w:hAnsi="Times New Roman" w:cs="Times New Roman"/>
          <w:sz w:val="24"/>
          <w:szCs w:val="24"/>
        </w:rPr>
      </w:pPr>
    </w:p>
    <w:p w:rsidR="00C44C7F" w:rsidRDefault="00C44C7F" w:rsidP="008C3FF4">
      <w:pPr>
        <w:numPr>
          <w:ilvl w:val="0"/>
          <w:numId w:val="2"/>
        </w:numPr>
        <w:spacing w:after="0" w:line="360" w:lineRule="auto"/>
        <w:ind w:left="0" w:firstLine="153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Formal Complaint filed by </w:t>
      </w:r>
      <w:r>
        <w:rPr>
          <w:rFonts w:ascii="Times New Roman" w:eastAsia="Times New Roman" w:hAnsi="Times New Roman" w:cs="Times New Roman"/>
          <w:spacing w:val="-3"/>
          <w:sz w:val="24"/>
          <w:szCs w:val="24"/>
        </w:rPr>
        <w:t xml:space="preserve">Janette I. Vasquez </w:t>
      </w:r>
      <w:r>
        <w:rPr>
          <w:rFonts w:ascii="Times New Roman" w:eastAsia="Times New Roman" w:hAnsi="Times New Roman" w:cs="Times New Roman"/>
          <w:sz w:val="24"/>
          <w:szCs w:val="24"/>
        </w:rPr>
        <w:t xml:space="preserve">and Edwin Segarra Lagoa </w:t>
      </w:r>
      <w:r w:rsidRPr="00142F68">
        <w:rPr>
          <w:rFonts w:ascii="Times New Roman" w:eastAsia="Times New Roman" w:hAnsi="Times New Roman" w:cs="Times New Roman"/>
          <w:sz w:val="24"/>
          <w:szCs w:val="24"/>
        </w:rPr>
        <w:t>against PECO Energy Company</w:t>
      </w:r>
      <w:r>
        <w:rPr>
          <w:rFonts w:ascii="Times New Roman" w:eastAsia="Calibri" w:hAnsi="Times New Roman" w:cs="Times New Roman"/>
          <w:sz w:val="24"/>
          <w:szCs w:val="24"/>
        </w:rPr>
        <w:t xml:space="preserve"> is denied with regard to their claim that </w:t>
      </w:r>
      <w:r>
        <w:rPr>
          <w:rFonts w:ascii="Times New Roman" w:hAnsi="Times New Roman" w:cs="Times New Roman"/>
          <w:sz w:val="24"/>
          <w:szCs w:val="24"/>
        </w:rPr>
        <w:t>their electricity bills were abnormally high as a result of PECO’s failure to provide them with reasonable, safe and adequate service</w:t>
      </w:r>
      <w:r w:rsidR="005B4F69">
        <w:rPr>
          <w:rFonts w:ascii="Times New Roman" w:hAnsi="Times New Roman" w:cs="Times New Roman"/>
          <w:sz w:val="24"/>
          <w:szCs w:val="24"/>
        </w:rPr>
        <w:t>.</w:t>
      </w:r>
    </w:p>
    <w:p w:rsidR="00C44C7F" w:rsidRPr="00C44C7F" w:rsidRDefault="00C44C7F" w:rsidP="008C3FF4">
      <w:pPr>
        <w:numPr>
          <w:ilvl w:val="0"/>
          <w:numId w:val="2"/>
        </w:numPr>
        <w:spacing w:after="0" w:line="360" w:lineRule="auto"/>
        <w:ind w:left="0" w:firstLine="1530"/>
        <w:outlineLvl w:val="0"/>
        <w:rPr>
          <w:rFonts w:ascii="Times New Roman" w:hAnsi="Times New Roman"/>
          <w:sz w:val="24"/>
          <w:szCs w:val="24"/>
        </w:rPr>
      </w:pPr>
      <w:r w:rsidRPr="00C44C7F">
        <w:rPr>
          <w:rFonts w:ascii="Times New Roman" w:eastAsia="Calibri" w:hAnsi="Times New Roman" w:cs="Times New Roman"/>
          <w:sz w:val="24"/>
          <w:szCs w:val="24"/>
        </w:rPr>
        <w:lastRenderedPageBreak/>
        <w:t>That</w:t>
      </w:r>
      <w:r>
        <w:rPr>
          <w:rFonts w:ascii="Times New Roman" w:eastAsia="Calibri" w:hAnsi="Times New Roman" w:cs="Times New Roman"/>
          <w:sz w:val="24"/>
          <w:szCs w:val="24"/>
        </w:rPr>
        <w:t xml:space="preserve"> the Formal Complaint filed by </w:t>
      </w:r>
      <w:r>
        <w:rPr>
          <w:rFonts w:ascii="Times New Roman" w:eastAsia="Times New Roman" w:hAnsi="Times New Roman" w:cs="Times New Roman"/>
          <w:spacing w:val="-3"/>
          <w:sz w:val="24"/>
          <w:szCs w:val="24"/>
        </w:rPr>
        <w:t xml:space="preserve">Janette I. Vasquez </w:t>
      </w:r>
      <w:r>
        <w:rPr>
          <w:rFonts w:ascii="Times New Roman" w:eastAsia="Times New Roman" w:hAnsi="Times New Roman" w:cs="Times New Roman"/>
          <w:sz w:val="24"/>
          <w:szCs w:val="24"/>
        </w:rPr>
        <w:t xml:space="preserve">and Edwin Segarra Lagoa </w:t>
      </w:r>
      <w:r w:rsidRPr="00142F68">
        <w:rPr>
          <w:rFonts w:ascii="Times New Roman" w:eastAsia="Times New Roman" w:hAnsi="Times New Roman" w:cs="Times New Roman"/>
          <w:sz w:val="24"/>
          <w:szCs w:val="24"/>
        </w:rPr>
        <w:t>against PECO Energy Company</w:t>
      </w:r>
      <w:r>
        <w:rPr>
          <w:rFonts w:ascii="Times New Roman" w:eastAsia="Times New Roman" w:hAnsi="Times New Roman" w:cs="Times New Roman"/>
          <w:sz w:val="24"/>
          <w:szCs w:val="24"/>
        </w:rPr>
        <w:t xml:space="preserve"> is granted in part with regard to their request for a payment arrangement. </w:t>
      </w:r>
    </w:p>
    <w:p w:rsidR="00C44C7F" w:rsidRPr="00C44C7F" w:rsidRDefault="00C44C7F" w:rsidP="008C3FF4">
      <w:pPr>
        <w:spacing w:after="0" w:line="360" w:lineRule="auto"/>
        <w:ind w:left="1530"/>
        <w:outlineLvl w:val="0"/>
        <w:rPr>
          <w:rFonts w:ascii="Times New Roman" w:hAnsi="Times New Roman"/>
          <w:sz w:val="24"/>
          <w:szCs w:val="24"/>
        </w:rPr>
      </w:pPr>
    </w:p>
    <w:p w:rsidR="00C44C7F" w:rsidRDefault="00C44C7F" w:rsidP="008C3FF4">
      <w:pPr>
        <w:numPr>
          <w:ilvl w:val="0"/>
          <w:numId w:val="2"/>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w:t>
      </w:r>
      <w:r>
        <w:rPr>
          <w:rFonts w:ascii="Times New Roman" w:eastAsia="Times New Roman" w:hAnsi="Times New Roman" w:cs="Times New Roman"/>
          <w:spacing w:val="-3"/>
          <w:sz w:val="24"/>
          <w:szCs w:val="24"/>
        </w:rPr>
        <w:t xml:space="preserve">Janette I. Vasquez </w:t>
      </w:r>
      <w:r>
        <w:rPr>
          <w:rFonts w:ascii="Times New Roman" w:eastAsia="Times New Roman" w:hAnsi="Times New Roman" w:cs="Times New Roman"/>
          <w:sz w:val="24"/>
          <w:szCs w:val="24"/>
        </w:rPr>
        <w:t>and Edwin Segarra Lagoa</w:t>
      </w:r>
      <w:r>
        <w:rPr>
          <w:rFonts w:ascii="Times New Roman" w:eastAsia="Calibri" w:hAnsi="Times New Roman" w:cs="Times New Roman"/>
          <w:sz w:val="24"/>
          <w:szCs w:val="24"/>
        </w:rPr>
        <w:t xml:space="preserve"> shall make monthly payments consisting of </w:t>
      </w:r>
      <w:r w:rsidR="009334F4">
        <w:rPr>
          <w:rFonts w:ascii="Times New Roman" w:eastAsia="Calibri" w:hAnsi="Times New Roman" w:cs="Times New Roman"/>
          <w:sz w:val="24"/>
          <w:szCs w:val="24"/>
        </w:rPr>
        <w:t xml:space="preserve">their </w:t>
      </w:r>
      <w:r>
        <w:rPr>
          <w:rFonts w:ascii="Times New Roman" w:eastAsia="Calibri" w:hAnsi="Times New Roman" w:cs="Times New Roman"/>
          <w:sz w:val="24"/>
          <w:szCs w:val="24"/>
        </w:rPr>
        <w:t>budget bill</w:t>
      </w:r>
      <w:r w:rsidR="009334F4">
        <w:rPr>
          <w:rFonts w:ascii="Times New Roman" w:eastAsia="Calibri" w:hAnsi="Times New Roman" w:cs="Times New Roman"/>
          <w:sz w:val="24"/>
          <w:szCs w:val="24"/>
        </w:rPr>
        <w:t>s</w:t>
      </w:r>
      <w:r>
        <w:rPr>
          <w:rFonts w:ascii="Times New Roman" w:eastAsia="Calibri" w:hAnsi="Times New Roman" w:cs="Times New Roman"/>
          <w:sz w:val="24"/>
          <w:szCs w:val="24"/>
        </w:rPr>
        <w:t xml:space="preserve"> plus one </w:t>
      </w:r>
      <w:r w:rsidR="009334F4">
        <w:rPr>
          <w:rFonts w:ascii="Times New Roman" w:eastAsia="Calibri" w:hAnsi="Times New Roman" w:cs="Times New Roman"/>
          <w:sz w:val="24"/>
          <w:szCs w:val="24"/>
        </w:rPr>
        <w:t>12</w:t>
      </w:r>
      <w:r w:rsidR="009334F4" w:rsidRPr="009334F4">
        <w:rPr>
          <w:rFonts w:ascii="Times New Roman" w:eastAsia="Calibri" w:hAnsi="Times New Roman" w:cs="Times New Roman"/>
          <w:sz w:val="24"/>
          <w:szCs w:val="24"/>
          <w:vertAlign w:val="superscript"/>
        </w:rPr>
        <w:t>th</w:t>
      </w:r>
      <w:r w:rsidR="009334F4">
        <w:rPr>
          <w:rFonts w:ascii="Times New Roman" w:eastAsia="Calibri" w:hAnsi="Times New Roman" w:cs="Times New Roman"/>
          <w:sz w:val="24"/>
          <w:szCs w:val="24"/>
        </w:rPr>
        <w:t xml:space="preserve"> (1/12</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of the balance accrued on </w:t>
      </w:r>
      <w:r w:rsidR="009334F4">
        <w:rPr>
          <w:rFonts w:ascii="Times New Roman" w:eastAsia="Calibri" w:hAnsi="Times New Roman" w:cs="Times New Roman"/>
          <w:sz w:val="24"/>
          <w:szCs w:val="24"/>
        </w:rPr>
        <w:t xml:space="preserve">their </w:t>
      </w:r>
      <w:r>
        <w:rPr>
          <w:rFonts w:ascii="Times New Roman" w:eastAsia="Calibri" w:hAnsi="Times New Roman" w:cs="Times New Roman"/>
          <w:sz w:val="24"/>
          <w:szCs w:val="24"/>
        </w:rPr>
        <w:t>account</w:t>
      </w:r>
      <w:r w:rsidR="009334F4">
        <w:rPr>
          <w:rFonts w:ascii="Times New Roman" w:eastAsia="Calibri" w:hAnsi="Times New Roman" w:cs="Times New Roman"/>
          <w:sz w:val="24"/>
          <w:szCs w:val="24"/>
        </w:rPr>
        <w:t>s</w:t>
      </w:r>
      <w:r>
        <w:rPr>
          <w:rFonts w:ascii="Times New Roman" w:eastAsia="Calibri" w:hAnsi="Times New Roman" w:cs="Times New Roman"/>
          <w:sz w:val="24"/>
          <w:szCs w:val="24"/>
        </w:rPr>
        <w:t>, beginning with the first billing due date following the entry of a final Commission Order in this case.</w:t>
      </w:r>
    </w:p>
    <w:p w:rsidR="00C44C7F" w:rsidRDefault="00C44C7F" w:rsidP="008C3FF4">
      <w:pPr>
        <w:spacing w:after="0" w:line="360" w:lineRule="auto"/>
        <w:outlineLvl w:val="0"/>
        <w:rPr>
          <w:rFonts w:ascii="Times New Roman" w:eastAsia="Calibri" w:hAnsi="Times New Roman" w:cs="Times New Roman"/>
          <w:sz w:val="24"/>
          <w:szCs w:val="24"/>
        </w:rPr>
      </w:pPr>
    </w:p>
    <w:p w:rsidR="00C44C7F" w:rsidRDefault="00C44C7F" w:rsidP="008C3FF4">
      <w:pPr>
        <w:numPr>
          <w:ilvl w:val="0"/>
          <w:numId w:val="2"/>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if </w:t>
      </w:r>
      <w:r w:rsidR="009334F4">
        <w:rPr>
          <w:rFonts w:ascii="Times New Roman" w:eastAsia="Times New Roman" w:hAnsi="Times New Roman" w:cs="Times New Roman"/>
          <w:spacing w:val="-3"/>
          <w:sz w:val="24"/>
          <w:szCs w:val="24"/>
        </w:rPr>
        <w:t xml:space="preserve">Janette I. Vasquez </w:t>
      </w:r>
      <w:r w:rsidR="009334F4">
        <w:rPr>
          <w:rFonts w:ascii="Times New Roman" w:eastAsia="Times New Roman" w:hAnsi="Times New Roman" w:cs="Times New Roman"/>
          <w:sz w:val="24"/>
          <w:szCs w:val="24"/>
        </w:rPr>
        <w:t>and Edwin Segarra Lagoa</w:t>
      </w:r>
      <w:r w:rsidR="009334F4">
        <w:rPr>
          <w:rFonts w:ascii="Times New Roman" w:eastAsia="Calibri" w:hAnsi="Times New Roman" w:cs="Times New Roman"/>
          <w:sz w:val="24"/>
          <w:szCs w:val="24"/>
        </w:rPr>
        <w:t xml:space="preserve"> do </w:t>
      </w:r>
      <w:r>
        <w:rPr>
          <w:rFonts w:ascii="Times New Roman" w:eastAsia="Calibri" w:hAnsi="Times New Roman" w:cs="Times New Roman"/>
          <w:sz w:val="24"/>
          <w:szCs w:val="24"/>
        </w:rPr>
        <w:t xml:space="preserve">not keep the payment schedule stated in this order, </w:t>
      </w:r>
      <w:r w:rsidR="009334F4">
        <w:rPr>
          <w:rFonts w:ascii="Times New Roman" w:eastAsia="Calibri" w:hAnsi="Times New Roman" w:cs="Times New Roman"/>
          <w:sz w:val="24"/>
          <w:szCs w:val="24"/>
        </w:rPr>
        <w:t xml:space="preserve">PECO Energy Company </w:t>
      </w:r>
      <w:r>
        <w:rPr>
          <w:rFonts w:ascii="Times New Roman" w:eastAsia="Calibri" w:hAnsi="Times New Roman" w:cs="Times New Roman"/>
          <w:sz w:val="24"/>
          <w:szCs w:val="24"/>
        </w:rPr>
        <w:t>is authorized to suspend or terminate his utility service in accordance with the Commission’s statute and regulations.</w:t>
      </w:r>
    </w:p>
    <w:p w:rsidR="007D147A" w:rsidRDefault="007D147A" w:rsidP="007D147A">
      <w:pPr>
        <w:spacing w:after="0" w:line="360" w:lineRule="auto"/>
        <w:outlineLvl w:val="0"/>
        <w:rPr>
          <w:rFonts w:ascii="Times New Roman" w:eastAsia="Calibri" w:hAnsi="Times New Roman" w:cs="Times New Roman"/>
          <w:sz w:val="24"/>
          <w:szCs w:val="24"/>
        </w:rPr>
      </w:pPr>
    </w:p>
    <w:p w:rsidR="00C44C7F" w:rsidRDefault="00C44C7F" w:rsidP="008C3FF4">
      <w:pPr>
        <w:numPr>
          <w:ilvl w:val="0"/>
          <w:numId w:val="2"/>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That the Secretary mark this docket closed.</w:t>
      </w:r>
    </w:p>
    <w:p w:rsidR="00C44C7F" w:rsidRDefault="00C44C7F" w:rsidP="00C44C7F">
      <w:pPr>
        <w:spacing w:after="0" w:line="360" w:lineRule="auto"/>
        <w:rPr>
          <w:rFonts w:ascii="Times New Roman" w:eastAsia="Times New Roman" w:hAnsi="Times New Roman" w:cs="Times New Roman"/>
          <w:sz w:val="24"/>
          <w:szCs w:val="24"/>
        </w:rPr>
      </w:pPr>
    </w:p>
    <w:p w:rsidR="00C44C7F" w:rsidRDefault="00C44C7F" w:rsidP="00C44C7F">
      <w:pPr>
        <w:spacing w:after="0" w:line="360" w:lineRule="auto"/>
        <w:rPr>
          <w:rFonts w:ascii="Times New Roman" w:eastAsia="Times New Roman" w:hAnsi="Times New Roman" w:cs="Times New Roman"/>
          <w:sz w:val="24"/>
          <w:szCs w:val="24"/>
        </w:rPr>
      </w:pPr>
    </w:p>
    <w:p w:rsidR="00C44C7F" w:rsidRDefault="00C44C7F" w:rsidP="00C44C7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z w:val="24"/>
          <w:szCs w:val="24"/>
        </w:rPr>
        <w:t xml:space="preserve">Date:  </w:t>
      </w:r>
      <w:r w:rsidR="009334F4">
        <w:rPr>
          <w:rFonts w:ascii="Times New Roman" w:eastAsia="Times New Roman" w:hAnsi="Times New Roman" w:cs="Times New Roman"/>
          <w:sz w:val="24"/>
          <w:szCs w:val="24"/>
          <w:u w:val="single"/>
        </w:rPr>
        <w:t>March 29</w:t>
      </w:r>
      <w:r>
        <w:rPr>
          <w:rFonts w:ascii="Times New Roman" w:eastAsia="Times New Roman" w:hAnsi="Times New Roman" w:cs="Times New Roman"/>
          <w:sz w:val="24"/>
          <w:szCs w:val="24"/>
          <w:u w:val="single"/>
        </w:rPr>
        <w:t>, 2017</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rsidR="00C44C7F" w:rsidRDefault="00C44C7F" w:rsidP="00C44C7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C44C7F" w:rsidRDefault="00C44C7F" w:rsidP="00C44C7F">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827229" w:rsidRPr="003C3F6A" w:rsidRDefault="00827229" w:rsidP="003C3F6A">
      <w:pPr>
        <w:spacing w:after="0" w:line="360" w:lineRule="auto"/>
        <w:ind w:firstLine="1440"/>
        <w:rPr>
          <w:rFonts w:ascii="Times New Roman" w:hAnsi="Times New Roman" w:cs="Times New Roman"/>
          <w:sz w:val="24"/>
          <w:szCs w:val="24"/>
        </w:rPr>
      </w:pPr>
    </w:p>
    <w:sectPr w:rsidR="00827229" w:rsidRPr="003C3F6A" w:rsidSect="009135E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E13" w:rsidRDefault="00055E13" w:rsidP="009135EF">
      <w:pPr>
        <w:spacing w:after="0" w:line="240" w:lineRule="auto"/>
      </w:pPr>
      <w:r>
        <w:separator/>
      </w:r>
    </w:p>
  </w:endnote>
  <w:endnote w:type="continuationSeparator" w:id="0">
    <w:p w:rsidR="00055E13" w:rsidRDefault="00055E13" w:rsidP="0091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565983"/>
      <w:docPartObj>
        <w:docPartGallery w:val="Page Numbers (Bottom of Page)"/>
        <w:docPartUnique/>
      </w:docPartObj>
    </w:sdtPr>
    <w:sdtEndPr>
      <w:rPr>
        <w:rFonts w:ascii="Times New Roman" w:hAnsi="Times New Roman" w:cs="Times New Roman"/>
        <w:noProof/>
        <w:sz w:val="20"/>
        <w:szCs w:val="20"/>
      </w:rPr>
    </w:sdtEndPr>
    <w:sdtContent>
      <w:p w:rsidR="00C44C7F" w:rsidRPr="008C3FF4" w:rsidRDefault="00C44C7F">
        <w:pPr>
          <w:pStyle w:val="Footer"/>
          <w:jc w:val="center"/>
          <w:rPr>
            <w:rFonts w:ascii="Times New Roman" w:hAnsi="Times New Roman" w:cs="Times New Roman"/>
            <w:sz w:val="20"/>
            <w:szCs w:val="20"/>
          </w:rPr>
        </w:pPr>
        <w:r w:rsidRPr="008C3FF4">
          <w:rPr>
            <w:rFonts w:ascii="Times New Roman" w:hAnsi="Times New Roman" w:cs="Times New Roman"/>
            <w:sz w:val="20"/>
            <w:szCs w:val="20"/>
          </w:rPr>
          <w:fldChar w:fldCharType="begin"/>
        </w:r>
        <w:r w:rsidRPr="008C3FF4">
          <w:rPr>
            <w:rFonts w:ascii="Times New Roman" w:hAnsi="Times New Roman" w:cs="Times New Roman"/>
            <w:sz w:val="20"/>
            <w:szCs w:val="20"/>
          </w:rPr>
          <w:instrText xml:space="preserve"> PAGE   \* MERGEFORMAT </w:instrText>
        </w:r>
        <w:r w:rsidRPr="008C3FF4">
          <w:rPr>
            <w:rFonts w:ascii="Times New Roman" w:hAnsi="Times New Roman" w:cs="Times New Roman"/>
            <w:sz w:val="20"/>
            <w:szCs w:val="20"/>
          </w:rPr>
          <w:fldChar w:fldCharType="separate"/>
        </w:r>
        <w:r w:rsidR="00EC3EE0">
          <w:rPr>
            <w:rFonts w:ascii="Times New Roman" w:hAnsi="Times New Roman" w:cs="Times New Roman"/>
            <w:noProof/>
            <w:sz w:val="20"/>
            <w:szCs w:val="20"/>
          </w:rPr>
          <w:t>28</w:t>
        </w:r>
        <w:r w:rsidRPr="008C3FF4">
          <w:rPr>
            <w:rFonts w:ascii="Times New Roman" w:hAnsi="Times New Roman" w:cs="Times New Roman"/>
            <w:noProof/>
            <w:sz w:val="20"/>
            <w:szCs w:val="20"/>
          </w:rPr>
          <w:fldChar w:fldCharType="end"/>
        </w:r>
      </w:p>
    </w:sdtContent>
  </w:sdt>
  <w:p w:rsidR="00C44C7F" w:rsidRDefault="00C44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E13" w:rsidRDefault="00055E13" w:rsidP="009135EF">
      <w:pPr>
        <w:spacing w:after="0" w:line="240" w:lineRule="auto"/>
      </w:pPr>
      <w:r>
        <w:separator/>
      </w:r>
    </w:p>
  </w:footnote>
  <w:footnote w:type="continuationSeparator" w:id="0">
    <w:p w:rsidR="00055E13" w:rsidRDefault="00055E13" w:rsidP="009135EF">
      <w:pPr>
        <w:spacing w:after="0" w:line="240" w:lineRule="auto"/>
      </w:pPr>
      <w:r>
        <w:continuationSeparator/>
      </w:r>
    </w:p>
  </w:footnote>
  <w:footnote w:id="1">
    <w:p w:rsidR="00D76406" w:rsidRDefault="00D76406">
      <w:pPr>
        <w:pStyle w:val="FootnoteText"/>
      </w:pPr>
      <w:r>
        <w:rPr>
          <w:rStyle w:val="FootnoteReference"/>
        </w:rPr>
        <w:footnoteRef/>
      </w:r>
      <w:r>
        <w:t xml:space="preserve"> </w:t>
      </w:r>
      <w:r>
        <w:tab/>
      </w:r>
      <w:r w:rsidRPr="00D76406">
        <w:rPr>
          <w:rFonts w:ascii="Times New Roman" w:hAnsi="Times New Roman" w:cs="Times New Roman"/>
        </w:rPr>
        <w:t>PECO had</w:t>
      </w:r>
      <w:r w:rsidR="00595FD6">
        <w:rPr>
          <w:rFonts w:ascii="Times New Roman" w:hAnsi="Times New Roman" w:cs="Times New Roman"/>
        </w:rPr>
        <w:t xml:space="preserve"> </w:t>
      </w:r>
      <w:r w:rsidRPr="00D76406">
        <w:rPr>
          <w:rFonts w:ascii="Times New Roman" w:hAnsi="Times New Roman" w:cs="Times New Roman"/>
        </w:rPr>
        <w:t>identified and marked its late-filed exhibits as PECO Late-filed Exhibits 16, 17, and 18, ignoring the fact that a PECO Exhibit 16 was already admitted int</w:t>
      </w:r>
      <w:r w:rsidR="005B4F69">
        <w:rPr>
          <w:rFonts w:ascii="Times New Roman" w:hAnsi="Times New Roman" w:cs="Times New Roman"/>
        </w:rPr>
        <w:t xml:space="preserve">o the record on July 29, 2016. </w:t>
      </w:r>
      <w:r w:rsidRPr="00D76406">
        <w:rPr>
          <w:rFonts w:ascii="Times New Roman" w:hAnsi="Times New Roman" w:cs="Times New Roman"/>
        </w:rPr>
        <w:t xml:space="preserve"> In order to avoid confusion, I have re-marked PECO late-filed Exhibit 16 as PECO late-filed Exhibit 16</w:t>
      </w:r>
      <w:r w:rsidR="005B4F69">
        <w:rPr>
          <w:rFonts w:ascii="Times New Roman" w:hAnsi="Times New Roman" w:cs="Times New Roman"/>
        </w:rPr>
        <w:t>(b).</w:t>
      </w:r>
    </w:p>
  </w:footnote>
  <w:footnote w:id="2">
    <w:p w:rsidR="00C44C7F" w:rsidRDefault="00C44C7F">
      <w:pPr>
        <w:pStyle w:val="FootnoteText"/>
      </w:pPr>
      <w:r>
        <w:rPr>
          <w:rStyle w:val="FootnoteReference"/>
        </w:rPr>
        <w:footnoteRef/>
      </w:r>
      <w:r>
        <w:t xml:space="preserve"> </w:t>
      </w:r>
      <w:r>
        <w:tab/>
      </w:r>
      <w:r w:rsidR="00944B00" w:rsidRPr="001479B1">
        <w:rPr>
          <w:rFonts w:ascii="Times New Roman" w:hAnsi="Times New Roman" w:cs="Times New Roman"/>
        </w:rPr>
        <w:t>The present formal Complaint was f</w:t>
      </w:r>
      <w:r w:rsidR="001479B1" w:rsidRPr="001479B1">
        <w:rPr>
          <w:rFonts w:ascii="Times New Roman" w:hAnsi="Times New Roman" w:cs="Times New Roman"/>
        </w:rPr>
        <w:t xml:space="preserve">iled on April 28, 2016. </w:t>
      </w:r>
      <w:r w:rsidR="001479B1">
        <w:rPr>
          <w:rFonts w:ascii="Times New Roman" w:hAnsi="Times New Roman" w:cs="Times New Roman"/>
        </w:rPr>
        <w:t xml:space="preserve"> </w:t>
      </w:r>
      <w:r w:rsidR="001479B1" w:rsidRPr="001479B1">
        <w:rPr>
          <w:rFonts w:ascii="Times New Roman" w:hAnsi="Times New Roman" w:cs="Times New Roman"/>
        </w:rPr>
        <w:t>Depending</w:t>
      </w:r>
      <w:r w:rsidR="00944B00" w:rsidRPr="001479B1">
        <w:rPr>
          <w:rFonts w:ascii="Times New Roman" w:hAnsi="Times New Roman" w:cs="Times New Roman"/>
        </w:rPr>
        <w:t xml:space="preserve"> on </w:t>
      </w:r>
      <w:r w:rsidR="001479B1" w:rsidRPr="001479B1">
        <w:rPr>
          <w:rFonts w:ascii="Times New Roman" w:hAnsi="Times New Roman" w:cs="Times New Roman"/>
        </w:rPr>
        <w:t>when exactly “before May 3, 2013”</w:t>
      </w:r>
      <w:r w:rsidRPr="001479B1">
        <w:rPr>
          <w:rFonts w:ascii="Times New Roman" w:hAnsi="Times New Roman" w:cs="Times New Roman"/>
        </w:rPr>
        <w:t xml:space="preserve"> the Comp</w:t>
      </w:r>
      <w:r w:rsidR="001479B1" w:rsidRPr="001479B1">
        <w:rPr>
          <w:rFonts w:ascii="Times New Roman" w:hAnsi="Times New Roman" w:cs="Times New Roman"/>
        </w:rPr>
        <w:t>lainants’ second oil heater became inoperable,</w:t>
      </w:r>
      <w:r w:rsidRPr="001479B1">
        <w:rPr>
          <w:rFonts w:ascii="Times New Roman" w:hAnsi="Times New Roman" w:cs="Times New Roman"/>
        </w:rPr>
        <w:t xml:space="preserve"> the Complainants’ claim concerning the oil heater could be barred by the three-year statute of limitations for bringing claims against a utility.  See </w:t>
      </w:r>
      <w:r w:rsidRPr="001479B1">
        <w:rPr>
          <w:rFonts w:ascii="Times New Roman" w:eastAsia="Times New Roman" w:hAnsi="Times New Roman" w:cs="Times New Roman"/>
        </w:rPr>
        <w:t>66 Pa.C.S. § 3314(a).</w:t>
      </w:r>
      <w:r w:rsidRPr="004D4908">
        <w:rPr>
          <w:rFonts w:ascii="Times New Roman" w:eastAsia="Times New Roman" w:hAnsi="Times New Roman" w:cs="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7CCC6C31"/>
    <w:multiLevelType w:val="hybridMultilevel"/>
    <w:tmpl w:val="9F74B44A"/>
    <w:lvl w:ilvl="0" w:tplc="7B9439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C6"/>
    <w:rsid w:val="00037EC6"/>
    <w:rsid w:val="00055E13"/>
    <w:rsid w:val="00085BBA"/>
    <w:rsid w:val="0009777F"/>
    <w:rsid w:val="000B594B"/>
    <w:rsid w:val="000C7384"/>
    <w:rsid w:val="00113BE8"/>
    <w:rsid w:val="001479B1"/>
    <w:rsid w:val="001542A3"/>
    <w:rsid w:val="001E47E9"/>
    <w:rsid w:val="00205998"/>
    <w:rsid w:val="00272836"/>
    <w:rsid w:val="00282580"/>
    <w:rsid w:val="002A0212"/>
    <w:rsid w:val="002A5AA2"/>
    <w:rsid w:val="002D04DF"/>
    <w:rsid w:val="00312947"/>
    <w:rsid w:val="00344CCA"/>
    <w:rsid w:val="00346FFD"/>
    <w:rsid w:val="00385F35"/>
    <w:rsid w:val="003C3F6A"/>
    <w:rsid w:val="003C7E61"/>
    <w:rsid w:val="003F161E"/>
    <w:rsid w:val="00407A1F"/>
    <w:rsid w:val="00435D71"/>
    <w:rsid w:val="0049595F"/>
    <w:rsid w:val="004B6100"/>
    <w:rsid w:val="004C6303"/>
    <w:rsid w:val="0055036E"/>
    <w:rsid w:val="0056091A"/>
    <w:rsid w:val="00595FD6"/>
    <w:rsid w:val="005B05C3"/>
    <w:rsid w:val="005B4F69"/>
    <w:rsid w:val="005D3E85"/>
    <w:rsid w:val="005F7A58"/>
    <w:rsid w:val="00727DE4"/>
    <w:rsid w:val="00756E7A"/>
    <w:rsid w:val="007934C5"/>
    <w:rsid w:val="007C6FD0"/>
    <w:rsid w:val="007D147A"/>
    <w:rsid w:val="00810EF7"/>
    <w:rsid w:val="008177AF"/>
    <w:rsid w:val="00827229"/>
    <w:rsid w:val="008301C6"/>
    <w:rsid w:val="0087079D"/>
    <w:rsid w:val="008C0256"/>
    <w:rsid w:val="008C3FF4"/>
    <w:rsid w:val="008E4C63"/>
    <w:rsid w:val="009135EF"/>
    <w:rsid w:val="00915BCD"/>
    <w:rsid w:val="009334F4"/>
    <w:rsid w:val="00944B00"/>
    <w:rsid w:val="00985E4A"/>
    <w:rsid w:val="009B04F5"/>
    <w:rsid w:val="009C31AF"/>
    <w:rsid w:val="009D1A12"/>
    <w:rsid w:val="00A26CC5"/>
    <w:rsid w:val="00A7254B"/>
    <w:rsid w:val="00AA1798"/>
    <w:rsid w:val="00AB04CA"/>
    <w:rsid w:val="00AE2F4A"/>
    <w:rsid w:val="00B26726"/>
    <w:rsid w:val="00B45745"/>
    <w:rsid w:val="00B60900"/>
    <w:rsid w:val="00B83873"/>
    <w:rsid w:val="00B9468B"/>
    <w:rsid w:val="00BC0D1A"/>
    <w:rsid w:val="00BC6561"/>
    <w:rsid w:val="00BD0C7B"/>
    <w:rsid w:val="00BF596D"/>
    <w:rsid w:val="00BF62D6"/>
    <w:rsid w:val="00C20735"/>
    <w:rsid w:val="00C44C7F"/>
    <w:rsid w:val="00C66C35"/>
    <w:rsid w:val="00D4000A"/>
    <w:rsid w:val="00D76406"/>
    <w:rsid w:val="00DA65C0"/>
    <w:rsid w:val="00DE3F92"/>
    <w:rsid w:val="00E20D23"/>
    <w:rsid w:val="00E4465B"/>
    <w:rsid w:val="00E919E6"/>
    <w:rsid w:val="00EA2867"/>
    <w:rsid w:val="00EA32BC"/>
    <w:rsid w:val="00EB428D"/>
    <w:rsid w:val="00EC3EE0"/>
    <w:rsid w:val="00EE1622"/>
    <w:rsid w:val="00EE6BF4"/>
    <w:rsid w:val="00F05969"/>
    <w:rsid w:val="00F24982"/>
    <w:rsid w:val="00F33A51"/>
    <w:rsid w:val="00F502EB"/>
    <w:rsid w:val="00FB4037"/>
    <w:rsid w:val="00FD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3F6A"/>
    <w:rPr>
      <w:sz w:val="16"/>
      <w:szCs w:val="16"/>
    </w:rPr>
  </w:style>
  <w:style w:type="paragraph" w:styleId="CommentText">
    <w:name w:val="annotation text"/>
    <w:basedOn w:val="Normal"/>
    <w:link w:val="CommentTextChar"/>
    <w:uiPriority w:val="99"/>
    <w:semiHidden/>
    <w:unhideWhenUsed/>
    <w:rsid w:val="003C3F6A"/>
    <w:pPr>
      <w:spacing w:line="240" w:lineRule="auto"/>
    </w:pPr>
    <w:rPr>
      <w:sz w:val="20"/>
      <w:szCs w:val="20"/>
    </w:rPr>
  </w:style>
  <w:style w:type="character" w:customStyle="1" w:styleId="CommentTextChar">
    <w:name w:val="Comment Text Char"/>
    <w:basedOn w:val="DefaultParagraphFont"/>
    <w:link w:val="CommentText"/>
    <w:uiPriority w:val="99"/>
    <w:semiHidden/>
    <w:rsid w:val="003C3F6A"/>
    <w:rPr>
      <w:sz w:val="20"/>
      <w:szCs w:val="20"/>
    </w:rPr>
  </w:style>
  <w:style w:type="table" w:styleId="TableGrid">
    <w:name w:val="Table Grid"/>
    <w:basedOn w:val="TableNormal"/>
    <w:uiPriority w:val="59"/>
    <w:rsid w:val="003C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F6A"/>
    <w:rPr>
      <w:rFonts w:ascii="Tahoma" w:hAnsi="Tahoma" w:cs="Tahoma"/>
      <w:sz w:val="16"/>
      <w:szCs w:val="16"/>
    </w:rPr>
  </w:style>
  <w:style w:type="paragraph" w:styleId="Header">
    <w:name w:val="header"/>
    <w:basedOn w:val="Normal"/>
    <w:link w:val="HeaderChar"/>
    <w:uiPriority w:val="99"/>
    <w:unhideWhenUsed/>
    <w:rsid w:val="00913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EF"/>
  </w:style>
  <w:style w:type="paragraph" w:styleId="Footer">
    <w:name w:val="footer"/>
    <w:basedOn w:val="Normal"/>
    <w:link w:val="FooterChar"/>
    <w:uiPriority w:val="99"/>
    <w:unhideWhenUsed/>
    <w:rsid w:val="00913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EF"/>
  </w:style>
  <w:style w:type="paragraph" w:styleId="ListParagraph">
    <w:name w:val="List Paragraph"/>
    <w:basedOn w:val="Normal"/>
    <w:uiPriority w:val="34"/>
    <w:qFormat/>
    <w:rsid w:val="009C31AF"/>
    <w:pPr>
      <w:ind w:left="720"/>
      <w:contextualSpacing/>
    </w:pPr>
  </w:style>
  <w:style w:type="paragraph" w:styleId="CommentSubject">
    <w:name w:val="annotation subject"/>
    <w:basedOn w:val="CommentText"/>
    <w:next w:val="CommentText"/>
    <w:link w:val="CommentSubjectChar"/>
    <w:uiPriority w:val="99"/>
    <w:semiHidden/>
    <w:unhideWhenUsed/>
    <w:rsid w:val="002A0212"/>
    <w:rPr>
      <w:b/>
      <w:bCs/>
    </w:rPr>
  </w:style>
  <w:style w:type="character" w:customStyle="1" w:styleId="CommentSubjectChar">
    <w:name w:val="Comment Subject Char"/>
    <w:basedOn w:val="CommentTextChar"/>
    <w:link w:val="CommentSubject"/>
    <w:uiPriority w:val="99"/>
    <w:semiHidden/>
    <w:rsid w:val="002A0212"/>
    <w:rPr>
      <w:b/>
      <w:bCs/>
      <w:sz w:val="20"/>
      <w:szCs w:val="20"/>
    </w:rPr>
  </w:style>
  <w:style w:type="paragraph" w:styleId="FootnoteText">
    <w:name w:val="footnote text"/>
    <w:basedOn w:val="Normal"/>
    <w:link w:val="FootnoteTextChar"/>
    <w:uiPriority w:val="99"/>
    <w:semiHidden/>
    <w:unhideWhenUsed/>
    <w:rsid w:val="00385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F35"/>
    <w:rPr>
      <w:sz w:val="20"/>
      <w:szCs w:val="20"/>
    </w:rPr>
  </w:style>
  <w:style w:type="character" w:styleId="FootnoteReference">
    <w:name w:val="footnote reference"/>
    <w:basedOn w:val="DefaultParagraphFont"/>
    <w:uiPriority w:val="99"/>
    <w:semiHidden/>
    <w:unhideWhenUsed/>
    <w:rsid w:val="00385F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3F6A"/>
    <w:rPr>
      <w:sz w:val="16"/>
      <w:szCs w:val="16"/>
    </w:rPr>
  </w:style>
  <w:style w:type="paragraph" w:styleId="CommentText">
    <w:name w:val="annotation text"/>
    <w:basedOn w:val="Normal"/>
    <w:link w:val="CommentTextChar"/>
    <w:uiPriority w:val="99"/>
    <w:semiHidden/>
    <w:unhideWhenUsed/>
    <w:rsid w:val="003C3F6A"/>
    <w:pPr>
      <w:spacing w:line="240" w:lineRule="auto"/>
    </w:pPr>
    <w:rPr>
      <w:sz w:val="20"/>
      <w:szCs w:val="20"/>
    </w:rPr>
  </w:style>
  <w:style w:type="character" w:customStyle="1" w:styleId="CommentTextChar">
    <w:name w:val="Comment Text Char"/>
    <w:basedOn w:val="DefaultParagraphFont"/>
    <w:link w:val="CommentText"/>
    <w:uiPriority w:val="99"/>
    <w:semiHidden/>
    <w:rsid w:val="003C3F6A"/>
    <w:rPr>
      <w:sz w:val="20"/>
      <w:szCs w:val="20"/>
    </w:rPr>
  </w:style>
  <w:style w:type="table" w:styleId="TableGrid">
    <w:name w:val="Table Grid"/>
    <w:basedOn w:val="TableNormal"/>
    <w:uiPriority w:val="59"/>
    <w:rsid w:val="003C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F6A"/>
    <w:rPr>
      <w:rFonts w:ascii="Tahoma" w:hAnsi="Tahoma" w:cs="Tahoma"/>
      <w:sz w:val="16"/>
      <w:szCs w:val="16"/>
    </w:rPr>
  </w:style>
  <w:style w:type="paragraph" w:styleId="Header">
    <w:name w:val="header"/>
    <w:basedOn w:val="Normal"/>
    <w:link w:val="HeaderChar"/>
    <w:uiPriority w:val="99"/>
    <w:unhideWhenUsed/>
    <w:rsid w:val="00913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EF"/>
  </w:style>
  <w:style w:type="paragraph" w:styleId="Footer">
    <w:name w:val="footer"/>
    <w:basedOn w:val="Normal"/>
    <w:link w:val="FooterChar"/>
    <w:uiPriority w:val="99"/>
    <w:unhideWhenUsed/>
    <w:rsid w:val="00913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EF"/>
  </w:style>
  <w:style w:type="paragraph" w:styleId="ListParagraph">
    <w:name w:val="List Paragraph"/>
    <w:basedOn w:val="Normal"/>
    <w:uiPriority w:val="34"/>
    <w:qFormat/>
    <w:rsid w:val="009C31AF"/>
    <w:pPr>
      <w:ind w:left="720"/>
      <w:contextualSpacing/>
    </w:pPr>
  </w:style>
  <w:style w:type="paragraph" w:styleId="CommentSubject">
    <w:name w:val="annotation subject"/>
    <w:basedOn w:val="CommentText"/>
    <w:next w:val="CommentText"/>
    <w:link w:val="CommentSubjectChar"/>
    <w:uiPriority w:val="99"/>
    <w:semiHidden/>
    <w:unhideWhenUsed/>
    <w:rsid w:val="002A0212"/>
    <w:rPr>
      <w:b/>
      <w:bCs/>
    </w:rPr>
  </w:style>
  <w:style w:type="character" w:customStyle="1" w:styleId="CommentSubjectChar">
    <w:name w:val="Comment Subject Char"/>
    <w:basedOn w:val="CommentTextChar"/>
    <w:link w:val="CommentSubject"/>
    <w:uiPriority w:val="99"/>
    <w:semiHidden/>
    <w:rsid w:val="002A0212"/>
    <w:rPr>
      <w:b/>
      <w:bCs/>
      <w:sz w:val="20"/>
      <w:szCs w:val="20"/>
    </w:rPr>
  </w:style>
  <w:style w:type="paragraph" w:styleId="FootnoteText">
    <w:name w:val="footnote text"/>
    <w:basedOn w:val="Normal"/>
    <w:link w:val="FootnoteTextChar"/>
    <w:uiPriority w:val="99"/>
    <w:semiHidden/>
    <w:unhideWhenUsed/>
    <w:rsid w:val="00385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F35"/>
    <w:rPr>
      <w:sz w:val="20"/>
      <w:szCs w:val="20"/>
    </w:rPr>
  </w:style>
  <w:style w:type="character" w:styleId="FootnoteReference">
    <w:name w:val="footnote reference"/>
    <w:basedOn w:val="DefaultParagraphFont"/>
    <w:uiPriority w:val="99"/>
    <w:semiHidden/>
    <w:unhideWhenUsed/>
    <w:rsid w:val="00385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159">
      <w:bodyDiv w:val="1"/>
      <w:marLeft w:val="0"/>
      <w:marRight w:val="0"/>
      <w:marTop w:val="0"/>
      <w:marBottom w:val="0"/>
      <w:divBdr>
        <w:top w:val="none" w:sz="0" w:space="0" w:color="auto"/>
        <w:left w:val="none" w:sz="0" w:space="0" w:color="auto"/>
        <w:bottom w:val="none" w:sz="0" w:space="0" w:color="auto"/>
        <w:right w:val="none" w:sz="0" w:space="0" w:color="auto"/>
      </w:divBdr>
    </w:div>
    <w:div w:id="628046727">
      <w:bodyDiv w:val="1"/>
      <w:marLeft w:val="0"/>
      <w:marRight w:val="0"/>
      <w:marTop w:val="0"/>
      <w:marBottom w:val="0"/>
      <w:divBdr>
        <w:top w:val="none" w:sz="0" w:space="0" w:color="auto"/>
        <w:left w:val="none" w:sz="0" w:space="0" w:color="auto"/>
        <w:bottom w:val="none" w:sz="0" w:space="0" w:color="auto"/>
        <w:right w:val="none" w:sz="0" w:space="0" w:color="auto"/>
      </w:divBdr>
    </w:div>
    <w:div w:id="653025698">
      <w:bodyDiv w:val="1"/>
      <w:marLeft w:val="0"/>
      <w:marRight w:val="0"/>
      <w:marTop w:val="0"/>
      <w:marBottom w:val="0"/>
      <w:divBdr>
        <w:top w:val="none" w:sz="0" w:space="0" w:color="auto"/>
        <w:left w:val="none" w:sz="0" w:space="0" w:color="auto"/>
        <w:bottom w:val="none" w:sz="0" w:space="0" w:color="auto"/>
        <w:right w:val="none" w:sz="0" w:space="0" w:color="auto"/>
      </w:divBdr>
    </w:div>
    <w:div w:id="668407655">
      <w:bodyDiv w:val="1"/>
      <w:marLeft w:val="0"/>
      <w:marRight w:val="0"/>
      <w:marTop w:val="0"/>
      <w:marBottom w:val="0"/>
      <w:divBdr>
        <w:top w:val="none" w:sz="0" w:space="0" w:color="auto"/>
        <w:left w:val="none" w:sz="0" w:space="0" w:color="auto"/>
        <w:bottom w:val="none" w:sz="0" w:space="0" w:color="auto"/>
        <w:right w:val="none" w:sz="0" w:space="0" w:color="auto"/>
      </w:divBdr>
    </w:div>
    <w:div w:id="975798242">
      <w:bodyDiv w:val="1"/>
      <w:marLeft w:val="0"/>
      <w:marRight w:val="0"/>
      <w:marTop w:val="0"/>
      <w:marBottom w:val="0"/>
      <w:divBdr>
        <w:top w:val="none" w:sz="0" w:space="0" w:color="auto"/>
        <w:left w:val="none" w:sz="0" w:space="0" w:color="auto"/>
        <w:bottom w:val="none" w:sz="0" w:space="0" w:color="auto"/>
        <w:right w:val="none" w:sz="0" w:space="0" w:color="auto"/>
      </w:divBdr>
    </w:div>
    <w:div w:id="1238441178">
      <w:bodyDiv w:val="1"/>
      <w:marLeft w:val="0"/>
      <w:marRight w:val="0"/>
      <w:marTop w:val="0"/>
      <w:marBottom w:val="0"/>
      <w:divBdr>
        <w:top w:val="none" w:sz="0" w:space="0" w:color="auto"/>
        <w:left w:val="none" w:sz="0" w:space="0" w:color="auto"/>
        <w:bottom w:val="none" w:sz="0" w:space="0" w:color="auto"/>
        <w:right w:val="none" w:sz="0" w:space="0" w:color="auto"/>
      </w:divBdr>
    </w:div>
    <w:div w:id="15207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43D5-D08F-4F30-9320-209B1268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8047</Words>
  <Characters>45873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2017-04-03T15:40:00Z</cp:lastPrinted>
  <dcterms:created xsi:type="dcterms:W3CDTF">2017-06-12T16:31:00Z</dcterms:created>
  <dcterms:modified xsi:type="dcterms:W3CDTF">2017-06-12T16:31:00Z</dcterms:modified>
</cp:coreProperties>
</file>