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1B1CE5" w:rsidRDefault="00141506">
      <w:pPr>
        <w:suppressAutoHyphens/>
        <w:jc w:val="center"/>
        <w:rPr>
          <w:rFonts w:ascii="Times New Roman" w:hAnsi="Times New Roman"/>
          <w:b/>
          <w:spacing w:val="-3"/>
          <w:szCs w:val="24"/>
        </w:rPr>
      </w:pPr>
      <w:r w:rsidRPr="001B1CE5">
        <w:rPr>
          <w:rFonts w:ascii="Times New Roman" w:hAnsi="Times New Roman"/>
          <w:b/>
          <w:spacing w:val="-3"/>
          <w:szCs w:val="24"/>
        </w:rPr>
        <w:t xml:space="preserve">PENNSYLVANIA </w:t>
      </w:r>
      <w:r w:rsidR="00D95AD2" w:rsidRPr="001B1CE5">
        <w:rPr>
          <w:rFonts w:ascii="Times New Roman" w:hAnsi="Times New Roman"/>
          <w:b/>
          <w:spacing w:val="-3"/>
          <w:szCs w:val="24"/>
        </w:rPr>
        <w:fldChar w:fldCharType="begin"/>
      </w:r>
      <w:r w:rsidRPr="001B1CE5">
        <w:rPr>
          <w:rFonts w:ascii="Times New Roman" w:hAnsi="Times New Roman"/>
          <w:b/>
          <w:spacing w:val="-3"/>
          <w:szCs w:val="24"/>
        </w:rPr>
        <w:instrText xml:space="preserve">PRIVATE </w:instrText>
      </w:r>
      <w:r w:rsidR="00D95AD2" w:rsidRPr="001B1CE5">
        <w:rPr>
          <w:rFonts w:ascii="Times New Roman" w:hAnsi="Times New Roman"/>
          <w:b/>
          <w:spacing w:val="-3"/>
          <w:szCs w:val="24"/>
        </w:rPr>
        <w:fldChar w:fldCharType="end"/>
      </w:r>
    </w:p>
    <w:p w:rsidR="00141506" w:rsidRPr="001B1CE5" w:rsidRDefault="00141506" w:rsidP="00DD51DC">
      <w:pPr>
        <w:suppressAutoHyphens/>
        <w:jc w:val="center"/>
        <w:rPr>
          <w:rFonts w:ascii="Times New Roman" w:hAnsi="Times New Roman"/>
          <w:b/>
          <w:spacing w:val="-3"/>
          <w:szCs w:val="24"/>
        </w:rPr>
      </w:pPr>
      <w:r w:rsidRPr="001B1CE5">
        <w:rPr>
          <w:rFonts w:ascii="Times New Roman" w:hAnsi="Times New Roman"/>
          <w:b/>
          <w:spacing w:val="-3"/>
          <w:szCs w:val="24"/>
        </w:rPr>
        <w:t>PUBLIC UTILITY COMMISSION</w:t>
      </w:r>
    </w:p>
    <w:p w:rsidR="001B1CE5" w:rsidRPr="001B1CE5" w:rsidRDefault="00141506" w:rsidP="001B1CE5">
      <w:pPr>
        <w:tabs>
          <w:tab w:val="center" w:pos="4680"/>
        </w:tabs>
        <w:suppressAutoHyphens/>
        <w:jc w:val="center"/>
        <w:rPr>
          <w:rFonts w:ascii="Times New Roman" w:hAnsi="Times New Roman"/>
          <w:b/>
          <w:spacing w:val="-3"/>
          <w:szCs w:val="24"/>
        </w:rPr>
      </w:pPr>
      <w:r w:rsidRPr="001B1CE5">
        <w:rPr>
          <w:rFonts w:ascii="Times New Roman" w:hAnsi="Times New Roman"/>
          <w:b/>
          <w:spacing w:val="-3"/>
          <w:szCs w:val="24"/>
        </w:rPr>
        <w:t>Harrisburg, PA  17105-3265</w:t>
      </w:r>
    </w:p>
    <w:p w:rsidR="001B1CE5" w:rsidRDefault="001B1CE5" w:rsidP="001B1CE5">
      <w:pPr>
        <w:tabs>
          <w:tab w:val="center" w:pos="4680"/>
        </w:tabs>
        <w:suppressAutoHyphens/>
        <w:jc w:val="center"/>
        <w:rPr>
          <w:rFonts w:ascii="Times New Roman" w:hAnsi="Times New Roman"/>
          <w:spacing w:val="-3"/>
          <w:szCs w:val="24"/>
        </w:rPr>
      </w:pPr>
    </w:p>
    <w:p w:rsidR="001B1CE5" w:rsidRDefault="001B1CE5" w:rsidP="001B1CE5">
      <w:pPr>
        <w:tabs>
          <w:tab w:val="center" w:pos="4680"/>
        </w:tabs>
        <w:suppressAutoHyphens/>
        <w:jc w:val="center"/>
        <w:rPr>
          <w:rFonts w:ascii="Times New Roman" w:hAnsi="Times New Roman"/>
          <w:spacing w:val="-3"/>
          <w:szCs w:val="24"/>
        </w:rPr>
      </w:pPr>
    </w:p>
    <w:p w:rsidR="001B1CE5" w:rsidRDefault="001B1CE5" w:rsidP="001B1CE5">
      <w:pPr>
        <w:tabs>
          <w:tab w:val="center" w:pos="4680"/>
        </w:tabs>
        <w:suppressAutoHyphens/>
        <w:jc w:val="center"/>
        <w:rPr>
          <w:rFonts w:ascii="Times New Roman" w:hAnsi="Times New Roman"/>
          <w:spacing w:val="-3"/>
          <w:szCs w:val="24"/>
        </w:rPr>
      </w:pPr>
    </w:p>
    <w:p w:rsidR="001B1CE5" w:rsidRPr="001B1CE5" w:rsidRDefault="001B1CE5" w:rsidP="001B1CE5">
      <w:pPr>
        <w:adjustRightInd w:val="0"/>
        <w:snapToGrid w:val="0"/>
        <w:outlineLvl w:val="0"/>
        <w:rPr>
          <w:rFonts w:ascii="Times New Roman" w:eastAsiaTheme="minorHAnsi" w:hAnsi="Times New Roman"/>
          <w:spacing w:val="-3"/>
          <w:szCs w:val="24"/>
        </w:rPr>
      </w:pPr>
      <w:r w:rsidRPr="001B1CE5">
        <w:rPr>
          <w:rFonts w:ascii="Times New Roman" w:eastAsiaTheme="minorHAnsi" w:hAnsi="Times New Roman"/>
          <w:spacing w:val="-3"/>
          <w:szCs w:val="24"/>
        </w:rPr>
        <w:t>Pennsylvania Public Utility Commission</w:t>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t>:</w:t>
      </w:r>
    </w:p>
    <w:p w:rsidR="001B1CE5" w:rsidRPr="001B1CE5" w:rsidRDefault="001B1CE5" w:rsidP="001B1CE5">
      <w:pPr>
        <w:adjustRightInd w:val="0"/>
        <w:snapToGrid w:val="0"/>
        <w:outlineLvl w:val="0"/>
        <w:rPr>
          <w:rFonts w:ascii="Times New Roman" w:eastAsiaTheme="minorHAnsi" w:hAnsi="Times New Roman"/>
          <w:spacing w:val="-3"/>
          <w:szCs w:val="24"/>
        </w:rPr>
      </w:pPr>
      <w:r w:rsidRPr="001B1CE5">
        <w:rPr>
          <w:rFonts w:ascii="Times New Roman" w:eastAsiaTheme="minorHAnsi" w:hAnsi="Times New Roman"/>
          <w:spacing w:val="-3"/>
          <w:szCs w:val="24"/>
        </w:rPr>
        <w:t>Bureau of Investigation and Enforcement</w:t>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t>:</w:t>
      </w:r>
    </w:p>
    <w:p w:rsidR="001B1CE5" w:rsidRPr="001B1CE5" w:rsidRDefault="001B1CE5" w:rsidP="001B1CE5">
      <w:pPr>
        <w:adjustRightInd w:val="0"/>
        <w:snapToGrid w:val="0"/>
        <w:outlineLvl w:val="0"/>
        <w:rPr>
          <w:rFonts w:ascii="Times New Roman" w:eastAsiaTheme="minorHAnsi" w:hAnsi="Times New Roman"/>
          <w:spacing w:val="-3"/>
          <w:szCs w:val="24"/>
        </w:rPr>
      </w:pP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t>:</w:t>
      </w:r>
    </w:p>
    <w:p w:rsidR="001B1CE5" w:rsidRPr="001B1CE5" w:rsidRDefault="001B1CE5" w:rsidP="001B1CE5">
      <w:pPr>
        <w:adjustRightInd w:val="0"/>
        <w:snapToGrid w:val="0"/>
        <w:outlineLvl w:val="0"/>
        <w:rPr>
          <w:rFonts w:ascii="Times New Roman" w:eastAsiaTheme="minorHAnsi" w:hAnsi="Times New Roman"/>
          <w:spacing w:val="-3"/>
          <w:szCs w:val="24"/>
        </w:rPr>
      </w:pPr>
      <w:r w:rsidRPr="001B1CE5">
        <w:rPr>
          <w:rFonts w:ascii="Times New Roman" w:eastAsiaTheme="minorHAnsi" w:hAnsi="Times New Roman"/>
          <w:spacing w:val="-3"/>
          <w:szCs w:val="24"/>
        </w:rPr>
        <w:tab/>
        <w:t>v.</w:t>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t>:</w:t>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t>C-2016-2543592</w:t>
      </w:r>
    </w:p>
    <w:p w:rsidR="001B1CE5" w:rsidRPr="001B1CE5" w:rsidRDefault="001B1CE5" w:rsidP="001B1CE5">
      <w:pPr>
        <w:adjustRightInd w:val="0"/>
        <w:snapToGrid w:val="0"/>
        <w:outlineLvl w:val="0"/>
        <w:rPr>
          <w:rFonts w:ascii="Times New Roman" w:eastAsiaTheme="minorHAnsi" w:hAnsi="Times New Roman"/>
          <w:spacing w:val="-3"/>
          <w:szCs w:val="24"/>
        </w:rPr>
      </w:pP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t>:</w:t>
      </w:r>
    </w:p>
    <w:p w:rsidR="001B1CE5" w:rsidRPr="001B1CE5" w:rsidRDefault="001B1CE5" w:rsidP="001B1CE5">
      <w:pPr>
        <w:adjustRightInd w:val="0"/>
        <w:snapToGrid w:val="0"/>
        <w:outlineLvl w:val="0"/>
        <w:rPr>
          <w:rFonts w:ascii="Times New Roman" w:eastAsiaTheme="minorHAnsi" w:hAnsi="Times New Roman"/>
          <w:spacing w:val="-3"/>
          <w:szCs w:val="24"/>
        </w:rPr>
      </w:pPr>
      <w:r w:rsidRPr="001B1CE5">
        <w:rPr>
          <w:rFonts w:ascii="Times New Roman" w:eastAsiaTheme="minorHAnsi" w:hAnsi="Times New Roman"/>
          <w:spacing w:val="-3"/>
          <w:szCs w:val="24"/>
        </w:rPr>
        <w:t>Clearview Electric, Inc.</w:t>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r>
      <w:r w:rsidRPr="001B1CE5">
        <w:rPr>
          <w:rFonts w:ascii="Times New Roman" w:eastAsiaTheme="minorHAnsi" w:hAnsi="Times New Roman"/>
          <w:spacing w:val="-3"/>
          <w:szCs w:val="24"/>
        </w:rPr>
        <w:tab/>
        <w:t>:</w:t>
      </w:r>
    </w:p>
    <w:p w:rsidR="001B1CE5" w:rsidRDefault="001B1CE5" w:rsidP="001B1CE5">
      <w:pPr>
        <w:tabs>
          <w:tab w:val="center" w:pos="4680"/>
        </w:tabs>
        <w:suppressAutoHyphens/>
        <w:rPr>
          <w:rFonts w:ascii="Times New Roman" w:hAnsi="Times New Roman"/>
          <w:b/>
          <w:spacing w:val="-3"/>
          <w:szCs w:val="24"/>
          <w:u w:val="single"/>
        </w:rPr>
      </w:pPr>
    </w:p>
    <w:p w:rsidR="001B1CE5" w:rsidRDefault="001B1CE5" w:rsidP="001B1CE5">
      <w:pPr>
        <w:tabs>
          <w:tab w:val="center" w:pos="4680"/>
        </w:tabs>
        <w:suppressAutoHyphens/>
        <w:rPr>
          <w:rFonts w:ascii="Times New Roman" w:hAnsi="Times New Roman"/>
          <w:b/>
          <w:spacing w:val="-3"/>
          <w:szCs w:val="24"/>
          <w:u w:val="single"/>
        </w:rPr>
      </w:pPr>
    </w:p>
    <w:p w:rsidR="001B1CE5" w:rsidRPr="000C1A59" w:rsidRDefault="001B1CE5" w:rsidP="001B1CE5">
      <w:pPr>
        <w:tabs>
          <w:tab w:val="center" w:pos="4680"/>
        </w:tabs>
        <w:suppressAutoHyphens/>
        <w:rPr>
          <w:rFonts w:ascii="Times New Roman" w:hAnsi="Times New Roman"/>
          <w:b/>
          <w:spacing w:val="-3"/>
          <w:szCs w:val="24"/>
          <w:u w:val="single"/>
        </w:rPr>
      </w:pPr>
    </w:p>
    <w:p w:rsidR="00141506" w:rsidRPr="000C1A59" w:rsidRDefault="00141506" w:rsidP="001B1CE5">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1B1CE5">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Elizabeth </w:t>
      </w:r>
      <w:r w:rsidR="001B1CE5">
        <w:rPr>
          <w:rFonts w:ascii="Times New Roman" w:hAnsi="Times New Roman"/>
          <w:spacing w:val="-3"/>
          <w:szCs w:val="24"/>
        </w:rPr>
        <w:t xml:space="preserve">H. </w:t>
      </w:r>
      <w:r w:rsidR="00C224DB" w:rsidRPr="00B616F5">
        <w:rPr>
          <w:rFonts w:ascii="Times New Roman" w:hAnsi="Times New Roman"/>
          <w:spacing w:val="-3"/>
          <w:szCs w:val="24"/>
        </w:rPr>
        <w:t>Barnes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1B1CE5">
        <w:rPr>
          <w:rFonts w:ascii="Times New Roman" w:hAnsi="Times New Roman"/>
          <w:spacing w:val="-3"/>
          <w:szCs w:val="24"/>
        </w:rPr>
        <w:t>April 28, 2017</w:t>
      </w:r>
      <w:r w:rsidRPr="00FB6879">
        <w:rPr>
          <w:rFonts w:ascii="Times New Roman" w:hAnsi="Times New Roman"/>
          <w:spacing w:val="-3"/>
          <w:szCs w:val="24"/>
        </w:rPr>
        <w:t xml:space="preserve">, has become final without further Commission action; </w:t>
      </w:r>
    </w:p>
    <w:p w:rsidR="007C0D22" w:rsidRPr="00FB6879" w:rsidRDefault="007C0D22" w:rsidP="001B1CE5">
      <w:pPr>
        <w:tabs>
          <w:tab w:val="left" w:pos="-720"/>
        </w:tabs>
        <w:suppressAutoHyphens/>
        <w:spacing w:line="360" w:lineRule="auto"/>
        <w:jc w:val="both"/>
        <w:rPr>
          <w:rFonts w:ascii="Times New Roman" w:hAnsi="Times New Roman"/>
          <w:spacing w:val="-3"/>
          <w:szCs w:val="24"/>
        </w:rPr>
      </w:pPr>
    </w:p>
    <w:p w:rsidR="00141506" w:rsidRPr="00FB6879" w:rsidRDefault="00141506" w:rsidP="001B1CE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1B1CE5">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1B1CE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1B1CE5">
      <w:pPr>
        <w:tabs>
          <w:tab w:val="left" w:pos="-720"/>
        </w:tabs>
        <w:suppressAutoHyphens/>
        <w:spacing w:line="360" w:lineRule="auto"/>
        <w:ind w:firstLine="1440"/>
        <w:jc w:val="both"/>
        <w:rPr>
          <w:rFonts w:ascii="Times New Roman" w:hAnsi="Times New Roman"/>
          <w:spacing w:val="-3"/>
          <w:szCs w:val="24"/>
        </w:rPr>
      </w:pPr>
    </w:p>
    <w:p w:rsidR="001B1CE5" w:rsidRPr="001B1CE5" w:rsidRDefault="001B1CE5" w:rsidP="001B1CE5">
      <w:pPr>
        <w:tabs>
          <w:tab w:val="num" w:pos="2160"/>
        </w:tabs>
        <w:spacing w:line="360" w:lineRule="auto"/>
        <w:ind w:firstLine="1440"/>
        <w:jc w:val="both"/>
        <w:rPr>
          <w:rFonts w:ascii="Times New Roman" w:hAnsi="Times New Roman"/>
        </w:rPr>
      </w:pPr>
      <w:r w:rsidRPr="001B1CE5">
        <w:rPr>
          <w:rFonts w:ascii="Times New Roman" w:hAnsi="Times New Roman"/>
        </w:rPr>
        <w:t>1.</w:t>
      </w:r>
      <w:r w:rsidRPr="001B1CE5">
        <w:rPr>
          <w:rFonts w:ascii="Times New Roman" w:hAnsi="Times New Roman"/>
        </w:rPr>
        <w:tab/>
        <w:t>That the Stipulation of Facts in Support of the Settlement submitted as Appendix A to the Joint Petition for Approval of Settlement is admitted into the record of this proceeding.</w:t>
      </w:r>
    </w:p>
    <w:p w:rsidR="001B1CE5" w:rsidRPr="001B1CE5" w:rsidRDefault="001B1CE5" w:rsidP="001B1CE5">
      <w:pPr>
        <w:tabs>
          <w:tab w:val="num" w:pos="2160"/>
        </w:tabs>
        <w:spacing w:line="360" w:lineRule="auto"/>
        <w:ind w:firstLine="1440"/>
        <w:jc w:val="both"/>
        <w:rPr>
          <w:rFonts w:ascii="Times New Roman" w:hAnsi="Times New Roman"/>
        </w:rPr>
      </w:pPr>
    </w:p>
    <w:p w:rsidR="001B1CE5" w:rsidRPr="001B1CE5" w:rsidRDefault="001B1CE5" w:rsidP="001B1CE5">
      <w:pPr>
        <w:tabs>
          <w:tab w:val="num" w:pos="2160"/>
        </w:tabs>
        <w:spacing w:line="360" w:lineRule="auto"/>
        <w:ind w:firstLine="1440"/>
        <w:jc w:val="both"/>
        <w:rPr>
          <w:rFonts w:ascii="Times New Roman" w:hAnsi="Times New Roman"/>
        </w:rPr>
      </w:pPr>
      <w:r w:rsidRPr="001B1CE5">
        <w:rPr>
          <w:rFonts w:ascii="Times New Roman" w:hAnsi="Times New Roman"/>
        </w:rPr>
        <w:t>2.</w:t>
      </w:r>
      <w:r w:rsidRPr="001B1CE5">
        <w:rPr>
          <w:rFonts w:ascii="Times New Roman" w:hAnsi="Times New Roman"/>
        </w:rPr>
        <w:tab/>
        <w:t>That the following written testimonies and associated exhibits in their proprietary and non-proprietary versions are admitted into the record of this proceeding:</w:t>
      </w:r>
    </w:p>
    <w:p w:rsidR="001B1CE5" w:rsidRPr="001B1CE5" w:rsidRDefault="001B1CE5" w:rsidP="001B1CE5">
      <w:pPr>
        <w:tabs>
          <w:tab w:val="num" w:pos="2160"/>
        </w:tabs>
        <w:ind w:firstLine="1440"/>
        <w:jc w:val="both"/>
        <w:rPr>
          <w:rFonts w:ascii="Times New Roman" w:hAnsi="Times New Roman"/>
        </w:rPr>
      </w:pPr>
    </w:p>
    <w:p w:rsidR="001B1CE5" w:rsidRPr="001B1CE5" w:rsidRDefault="001B1CE5" w:rsidP="001B1CE5">
      <w:pPr>
        <w:tabs>
          <w:tab w:val="num" w:pos="2160"/>
        </w:tabs>
        <w:ind w:left="2070" w:hanging="630"/>
        <w:jc w:val="both"/>
        <w:rPr>
          <w:rFonts w:ascii="Times New Roman" w:hAnsi="Times New Roman"/>
        </w:rPr>
      </w:pPr>
      <w:r w:rsidRPr="001B1CE5">
        <w:rPr>
          <w:rFonts w:ascii="Times New Roman" w:hAnsi="Times New Roman"/>
        </w:rPr>
        <w:t>•</w:t>
      </w:r>
      <w:r w:rsidRPr="001B1CE5">
        <w:rPr>
          <w:rFonts w:ascii="Times New Roman" w:hAnsi="Times New Roman"/>
        </w:rPr>
        <w:tab/>
        <w:t>Direct Testimony of Daniel Mumford – Bureau of Investigation and Enforcement Statement No. 1 together with I&amp;E Exhibits 1, 2, 3, 4, 5, 6-A, 6-B, 7-A, 7-B, 8, 9, 10, 11, 12, 13, 14, 15,16, 17, and 18;</w:t>
      </w:r>
    </w:p>
    <w:p w:rsidR="001B1CE5" w:rsidRPr="001B1CE5" w:rsidRDefault="001B1CE5" w:rsidP="001B1CE5">
      <w:pPr>
        <w:tabs>
          <w:tab w:val="num" w:pos="2160"/>
        </w:tabs>
        <w:ind w:left="2070" w:hanging="630"/>
        <w:jc w:val="both"/>
        <w:rPr>
          <w:rFonts w:ascii="Times New Roman" w:hAnsi="Times New Roman"/>
        </w:rPr>
      </w:pPr>
    </w:p>
    <w:p w:rsidR="001B1CE5" w:rsidRPr="001B1CE5" w:rsidRDefault="001B1CE5" w:rsidP="001B1CE5">
      <w:pPr>
        <w:tabs>
          <w:tab w:val="num" w:pos="2160"/>
        </w:tabs>
        <w:ind w:left="2070" w:hanging="630"/>
        <w:jc w:val="both"/>
        <w:rPr>
          <w:rFonts w:ascii="Times New Roman" w:hAnsi="Times New Roman"/>
        </w:rPr>
      </w:pPr>
      <w:r w:rsidRPr="001B1CE5">
        <w:rPr>
          <w:rFonts w:ascii="Times New Roman" w:hAnsi="Times New Roman"/>
        </w:rPr>
        <w:t>•</w:t>
      </w:r>
      <w:r w:rsidRPr="001B1CE5">
        <w:rPr>
          <w:rFonts w:ascii="Times New Roman" w:hAnsi="Times New Roman"/>
        </w:rPr>
        <w:tab/>
        <w:t>Rebuttal Testimony of Frank McGovern – Clearview Electric, Inc. Statement No. 1 together with Exhibits FM-1, FM-2 and FM-3;</w:t>
      </w:r>
    </w:p>
    <w:p w:rsidR="001B1CE5" w:rsidRPr="001B1CE5" w:rsidRDefault="001B1CE5" w:rsidP="001B1CE5">
      <w:pPr>
        <w:tabs>
          <w:tab w:val="num" w:pos="2160"/>
        </w:tabs>
        <w:ind w:left="2070" w:hanging="630"/>
        <w:jc w:val="both"/>
        <w:rPr>
          <w:rFonts w:ascii="Times New Roman" w:hAnsi="Times New Roman"/>
        </w:rPr>
      </w:pPr>
    </w:p>
    <w:p w:rsidR="001B1CE5" w:rsidRPr="001B1CE5" w:rsidRDefault="001B1CE5" w:rsidP="001B1CE5">
      <w:pPr>
        <w:tabs>
          <w:tab w:val="num" w:pos="2160"/>
        </w:tabs>
        <w:ind w:left="2070" w:hanging="630"/>
        <w:jc w:val="both"/>
        <w:rPr>
          <w:rFonts w:ascii="Times New Roman" w:hAnsi="Times New Roman"/>
        </w:rPr>
      </w:pPr>
      <w:r w:rsidRPr="001B1CE5">
        <w:rPr>
          <w:rFonts w:ascii="Times New Roman" w:hAnsi="Times New Roman"/>
        </w:rPr>
        <w:t>•</w:t>
      </w:r>
      <w:r w:rsidRPr="001B1CE5">
        <w:rPr>
          <w:rFonts w:ascii="Times New Roman" w:hAnsi="Times New Roman"/>
        </w:rPr>
        <w:tab/>
        <w:t>Rebuttal Testimony of Nicole Steele – Clearview Electric, Inc. Statement No. 2 together with Exhibits NS-1, NS-2, NS-3 and NS-4;</w:t>
      </w:r>
    </w:p>
    <w:p w:rsidR="001B1CE5" w:rsidRPr="001B1CE5" w:rsidRDefault="001B1CE5" w:rsidP="001B1CE5">
      <w:pPr>
        <w:tabs>
          <w:tab w:val="num" w:pos="2160"/>
        </w:tabs>
        <w:ind w:left="2070" w:hanging="630"/>
        <w:jc w:val="both"/>
        <w:rPr>
          <w:rFonts w:ascii="Times New Roman" w:hAnsi="Times New Roman"/>
        </w:rPr>
      </w:pPr>
    </w:p>
    <w:p w:rsidR="001B1CE5" w:rsidRPr="001B1CE5" w:rsidRDefault="001B1CE5" w:rsidP="001B1CE5">
      <w:pPr>
        <w:tabs>
          <w:tab w:val="num" w:pos="2160"/>
        </w:tabs>
        <w:ind w:left="2070" w:hanging="630"/>
        <w:jc w:val="both"/>
        <w:rPr>
          <w:rFonts w:ascii="Times New Roman" w:hAnsi="Times New Roman"/>
        </w:rPr>
      </w:pPr>
      <w:r w:rsidRPr="001B1CE5">
        <w:rPr>
          <w:rFonts w:ascii="Times New Roman" w:hAnsi="Times New Roman"/>
        </w:rPr>
        <w:t>•</w:t>
      </w:r>
      <w:r w:rsidRPr="001B1CE5">
        <w:rPr>
          <w:rFonts w:ascii="Times New Roman" w:hAnsi="Times New Roman"/>
        </w:rPr>
        <w:tab/>
        <w:t>Rebuttal Testimony of Thomas Walker – Clearview Electric, Inc. Statement No. 3 together with Exhibits TW-1, TW-2 and TW-3;</w:t>
      </w:r>
    </w:p>
    <w:p w:rsidR="001B1CE5" w:rsidRPr="001B1CE5" w:rsidRDefault="001B1CE5" w:rsidP="001B1CE5">
      <w:pPr>
        <w:tabs>
          <w:tab w:val="num" w:pos="2160"/>
        </w:tabs>
        <w:ind w:left="2070" w:hanging="630"/>
        <w:jc w:val="both"/>
        <w:rPr>
          <w:rFonts w:ascii="Times New Roman" w:hAnsi="Times New Roman"/>
        </w:rPr>
      </w:pPr>
    </w:p>
    <w:p w:rsidR="001B1CE5" w:rsidRPr="001B1CE5" w:rsidRDefault="001B1CE5" w:rsidP="001B1CE5">
      <w:pPr>
        <w:tabs>
          <w:tab w:val="num" w:pos="2160"/>
        </w:tabs>
        <w:ind w:left="2070" w:hanging="630"/>
        <w:jc w:val="both"/>
        <w:rPr>
          <w:rFonts w:ascii="Times New Roman" w:hAnsi="Times New Roman"/>
        </w:rPr>
      </w:pPr>
      <w:r w:rsidRPr="001B1CE5">
        <w:rPr>
          <w:rFonts w:ascii="Times New Roman" w:hAnsi="Times New Roman"/>
        </w:rPr>
        <w:t>•</w:t>
      </w:r>
      <w:r w:rsidRPr="001B1CE5">
        <w:rPr>
          <w:rFonts w:ascii="Times New Roman" w:hAnsi="Times New Roman"/>
        </w:rPr>
        <w:tab/>
        <w:t>Rebuttal Testimony of Frank Lacey – Clearview Electric, Inc. Statement No. 4 together with Exhibit FL-</w:t>
      </w:r>
      <w:proofErr w:type="gramStart"/>
      <w:r w:rsidRPr="001B1CE5">
        <w:rPr>
          <w:rFonts w:ascii="Times New Roman" w:hAnsi="Times New Roman"/>
        </w:rPr>
        <w:t>1 ;</w:t>
      </w:r>
      <w:proofErr w:type="gramEnd"/>
    </w:p>
    <w:p w:rsidR="001B1CE5" w:rsidRPr="001B1CE5" w:rsidRDefault="001B1CE5" w:rsidP="001B1CE5">
      <w:pPr>
        <w:tabs>
          <w:tab w:val="num" w:pos="2160"/>
        </w:tabs>
        <w:ind w:left="2070" w:hanging="630"/>
        <w:jc w:val="both"/>
        <w:rPr>
          <w:rFonts w:ascii="Times New Roman" w:hAnsi="Times New Roman"/>
        </w:rPr>
      </w:pPr>
    </w:p>
    <w:p w:rsidR="001B1CE5" w:rsidRPr="001B1CE5" w:rsidRDefault="001B1CE5" w:rsidP="001B1CE5">
      <w:pPr>
        <w:tabs>
          <w:tab w:val="num" w:pos="2160"/>
        </w:tabs>
        <w:ind w:left="2070" w:hanging="630"/>
        <w:jc w:val="both"/>
        <w:rPr>
          <w:rFonts w:ascii="Times New Roman" w:hAnsi="Times New Roman"/>
        </w:rPr>
      </w:pPr>
      <w:r w:rsidRPr="001B1CE5">
        <w:rPr>
          <w:rFonts w:ascii="Times New Roman" w:hAnsi="Times New Roman"/>
        </w:rPr>
        <w:t>•</w:t>
      </w:r>
      <w:r w:rsidRPr="001B1CE5">
        <w:rPr>
          <w:rFonts w:ascii="Times New Roman" w:hAnsi="Times New Roman"/>
        </w:rPr>
        <w:tab/>
        <w:t>Surrebuttal Testimony of Daniel Mumford – Bureau of Investigation and Enforcement Statement No. 1-SR together with I&amp;E Appendix A-SR, I&amp;E Exhibit 1-SR, and I&amp;E Exhibit 2-SR.</w:t>
      </w:r>
    </w:p>
    <w:p w:rsidR="001B1CE5" w:rsidRPr="001B1CE5" w:rsidRDefault="001B1CE5" w:rsidP="001B1CE5">
      <w:pPr>
        <w:tabs>
          <w:tab w:val="num" w:pos="2160"/>
        </w:tabs>
        <w:spacing w:line="360" w:lineRule="auto"/>
        <w:ind w:firstLine="1440"/>
        <w:jc w:val="both"/>
        <w:rPr>
          <w:rFonts w:ascii="Times New Roman" w:hAnsi="Times New Roman"/>
        </w:rPr>
      </w:pPr>
    </w:p>
    <w:p w:rsidR="001B1CE5" w:rsidRPr="001B1CE5" w:rsidRDefault="001B1CE5" w:rsidP="001B1CE5">
      <w:pPr>
        <w:tabs>
          <w:tab w:val="num" w:pos="2160"/>
        </w:tabs>
        <w:spacing w:line="360" w:lineRule="auto"/>
        <w:ind w:firstLine="1440"/>
        <w:jc w:val="both"/>
        <w:rPr>
          <w:rFonts w:ascii="Times New Roman" w:hAnsi="Times New Roman"/>
        </w:rPr>
      </w:pPr>
      <w:r w:rsidRPr="001B1CE5">
        <w:rPr>
          <w:rFonts w:ascii="Times New Roman" w:hAnsi="Times New Roman"/>
        </w:rPr>
        <w:t>3.</w:t>
      </w:r>
      <w:r w:rsidRPr="001B1CE5">
        <w:rPr>
          <w:rFonts w:ascii="Times New Roman" w:hAnsi="Times New Roman"/>
        </w:rPr>
        <w:tab/>
        <w:t>That the Joint Petition for Approval of Settlement filed on April 21, 2017 at Docket No. C-2016-2543592 by the Pennsylvania Public Utility Commission’s Bureau of Investigation and Enforcement and Clearview Electric, Inc. is hereby approved in its entirety without modification.</w:t>
      </w:r>
    </w:p>
    <w:p w:rsidR="001B1CE5" w:rsidRPr="001B1CE5" w:rsidRDefault="001B1CE5" w:rsidP="001B1CE5">
      <w:pPr>
        <w:tabs>
          <w:tab w:val="num" w:pos="2160"/>
        </w:tabs>
        <w:spacing w:line="360" w:lineRule="auto"/>
        <w:ind w:firstLine="1440"/>
        <w:jc w:val="both"/>
        <w:rPr>
          <w:rFonts w:ascii="Times New Roman" w:hAnsi="Times New Roman"/>
        </w:rPr>
      </w:pPr>
    </w:p>
    <w:p w:rsidR="001B1CE5" w:rsidRDefault="001B1CE5" w:rsidP="001B1CE5">
      <w:pPr>
        <w:tabs>
          <w:tab w:val="num" w:pos="2160"/>
        </w:tabs>
        <w:spacing w:line="360" w:lineRule="auto"/>
        <w:ind w:firstLine="1440"/>
        <w:jc w:val="both"/>
        <w:rPr>
          <w:rFonts w:ascii="Times New Roman" w:hAnsi="Times New Roman"/>
        </w:rPr>
      </w:pPr>
      <w:r w:rsidRPr="001B1CE5">
        <w:rPr>
          <w:rFonts w:ascii="Times New Roman" w:hAnsi="Times New Roman"/>
        </w:rPr>
        <w:t>4.</w:t>
      </w:r>
      <w:r w:rsidRPr="001B1CE5">
        <w:rPr>
          <w:rFonts w:ascii="Times New Roman" w:hAnsi="Times New Roman"/>
        </w:rPr>
        <w:tab/>
        <w:t>That Clearview Electric, Inc. is directed to pay a civil penalty in the amount of $250,000 within sixty (60) days of the date of entry of this Order by certified check or money order payable to “Commonwealth of Pennsylvania.”  The Docket No. of this proceeding, C-2016-2543592, shall be indicated on the certified check or money order and the payment shall be sent to:</w:t>
      </w:r>
    </w:p>
    <w:p w:rsidR="001B1CE5" w:rsidRPr="001B1CE5" w:rsidRDefault="001B1CE5" w:rsidP="001B1CE5">
      <w:pPr>
        <w:tabs>
          <w:tab w:val="num" w:pos="2160"/>
        </w:tabs>
        <w:ind w:firstLine="1440"/>
        <w:jc w:val="both"/>
        <w:rPr>
          <w:rFonts w:ascii="Times New Roman" w:hAnsi="Times New Roman"/>
        </w:rPr>
      </w:pPr>
    </w:p>
    <w:p w:rsidR="001B1CE5" w:rsidRPr="001B1CE5" w:rsidRDefault="001B1CE5" w:rsidP="001B1CE5">
      <w:pPr>
        <w:tabs>
          <w:tab w:val="num" w:pos="2160"/>
        </w:tabs>
        <w:ind w:firstLine="1440"/>
        <w:jc w:val="both"/>
        <w:rPr>
          <w:rFonts w:ascii="Times New Roman" w:hAnsi="Times New Roman"/>
        </w:rPr>
      </w:pPr>
      <w:r>
        <w:rPr>
          <w:rFonts w:ascii="Times New Roman" w:hAnsi="Times New Roman"/>
        </w:rPr>
        <w:tab/>
      </w:r>
      <w:r w:rsidRPr="001B1CE5">
        <w:rPr>
          <w:rFonts w:ascii="Times New Roman" w:hAnsi="Times New Roman"/>
        </w:rPr>
        <w:t>Secretary</w:t>
      </w:r>
    </w:p>
    <w:p w:rsidR="001B1CE5" w:rsidRPr="001B1CE5" w:rsidRDefault="001B1CE5" w:rsidP="001B1CE5">
      <w:pPr>
        <w:tabs>
          <w:tab w:val="num" w:pos="2160"/>
        </w:tabs>
        <w:ind w:firstLine="1440"/>
        <w:jc w:val="both"/>
        <w:rPr>
          <w:rFonts w:ascii="Times New Roman" w:hAnsi="Times New Roman"/>
        </w:rPr>
      </w:pPr>
      <w:r>
        <w:rPr>
          <w:rFonts w:ascii="Times New Roman" w:hAnsi="Times New Roman"/>
        </w:rPr>
        <w:tab/>
      </w:r>
      <w:r w:rsidRPr="001B1CE5">
        <w:rPr>
          <w:rFonts w:ascii="Times New Roman" w:hAnsi="Times New Roman"/>
        </w:rPr>
        <w:t>Pennsylvania Public Utility Commission</w:t>
      </w:r>
    </w:p>
    <w:p w:rsidR="001B1CE5" w:rsidRPr="001B1CE5" w:rsidRDefault="001B1CE5" w:rsidP="001B1CE5">
      <w:pPr>
        <w:tabs>
          <w:tab w:val="num" w:pos="2160"/>
        </w:tabs>
        <w:ind w:firstLine="1440"/>
        <w:jc w:val="both"/>
        <w:rPr>
          <w:rFonts w:ascii="Times New Roman" w:hAnsi="Times New Roman"/>
        </w:rPr>
      </w:pPr>
      <w:r>
        <w:rPr>
          <w:rFonts w:ascii="Times New Roman" w:hAnsi="Times New Roman"/>
        </w:rPr>
        <w:tab/>
      </w:r>
      <w:r w:rsidRPr="001B1CE5">
        <w:rPr>
          <w:rFonts w:ascii="Times New Roman" w:hAnsi="Times New Roman"/>
        </w:rPr>
        <w:t>P.O. Box 3265</w:t>
      </w:r>
    </w:p>
    <w:p w:rsidR="001B1CE5" w:rsidRPr="001B1CE5" w:rsidRDefault="001B1CE5" w:rsidP="001B1CE5">
      <w:pPr>
        <w:tabs>
          <w:tab w:val="num" w:pos="2160"/>
        </w:tabs>
        <w:ind w:firstLine="1440"/>
        <w:jc w:val="both"/>
        <w:rPr>
          <w:rFonts w:ascii="Times New Roman" w:hAnsi="Times New Roman"/>
        </w:rPr>
      </w:pPr>
      <w:r>
        <w:rPr>
          <w:rFonts w:ascii="Times New Roman" w:hAnsi="Times New Roman"/>
        </w:rPr>
        <w:tab/>
      </w:r>
      <w:r w:rsidRPr="001B1CE5">
        <w:rPr>
          <w:rFonts w:ascii="Times New Roman" w:hAnsi="Times New Roman"/>
        </w:rPr>
        <w:t>Harrisburg, PA  17105-3265</w:t>
      </w:r>
    </w:p>
    <w:p w:rsidR="001B1CE5" w:rsidRPr="001B1CE5" w:rsidRDefault="001B1CE5" w:rsidP="001B1CE5">
      <w:pPr>
        <w:tabs>
          <w:tab w:val="num" w:pos="2160"/>
        </w:tabs>
        <w:spacing w:line="360" w:lineRule="auto"/>
        <w:ind w:firstLine="1440"/>
        <w:jc w:val="both"/>
        <w:rPr>
          <w:rFonts w:ascii="Times New Roman" w:hAnsi="Times New Roman"/>
        </w:rPr>
      </w:pPr>
    </w:p>
    <w:p w:rsidR="001B1CE5" w:rsidRPr="001B1CE5" w:rsidRDefault="001B1CE5" w:rsidP="001B1CE5">
      <w:pPr>
        <w:tabs>
          <w:tab w:val="num" w:pos="2160"/>
        </w:tabs>
        <w:spacing w:line="360" w:lineRule="auto"/>
        <w:ind w:firstLine="1440"/>
        <w:jc w:val="both"/>
        <w:rPr>
          <w:rFonts w:ascii="Times New Roman" w:hAnsi="Times New Roman"/>
        </w:rPr>
      </w:pPr>
      <w:r w:rsidRPr="001B1CE5">
        <w:rPr>
          <w:rFonts w:ascii="Times New Roman" w:hAnsi="Times New Roman"/>
        </w:rPr>
        <w:t>5.</w:t>
      </w:r>
      <w:r w:rsidRPr="001B1CE5">
        <w:rPr>
          <w:rFonts w:ascii="Times New Roman" w:hAnsi="Times New Roman"/>
        </w:rPr>
        <w:tab/>
        <w:t xml:space="preserve">That commencing with the first full quarter following the entry of the date this Order becomes final, Clearview Electric, Inc. shall provide quarterly reports to the Pennsylvania Public Utility Commission’s Bureau of Investigation and Enforcement for a period of two years detailing the nature and disposition of all consumer complaints and identifying billing errors.  </w:t>
      </w:r>
    </w:p>
    <w:p w:rsidR="001B1CE5" w:rsidRDefault="001B1CE5" w:rsidP="001B1CE5">
      <w:pPr>
        <w:tabs>
          <w:tab w:val="num" w:pos="2160"/>
        </w:tabs>
        <w:spacing w:line="360" w:lineRule="auto"/>
        <w:ind w:firstLine="1440"/>
        <w:jc w:val="both"/>
        <w:rPr>
          <w:rFonts w:ascii="Times New Roman" w:hAnsi="Times New Roman"/>
        </w:rPr>
        <w:sectPr w:rsidR="001B1CE5" w:rsidSect="00D335DF">
          <w:endnotePr>
            <w:numFmt w:val="decimal"/>
          </w:endnotePr>
          <w:pgSz w:w="12240" w:h="15840" w:code="1"/>
          <w:pgMar w:top="1440" w:right="1440" w:bottom="1440" w:left="1440" w:header="720" w:footer="720" w:gutter="0"/>
          <w:pgNumType w:start="1"/>
          <w:cols w:space="720"/>
          <w:noEndnote/>
        </w:sectPr>
      </w:pPr>
    </w:p>
    <w:p w:rsidR="001B1CE5" w:rsidRPr="001B1CE5" w:rsidRDefault="001B1CE5" w:rsidP="001B1CE5">
      <w:pPr>
        <w:tabs>
          <w:tab w:val="num" w:pos="2160"/>
        </w:tabs>
        <w:spacing w:line="360" w:lineRule="auto"/>
        <w:ind w:firstLine="1440"/>
        <w:jc w:val="both"/>
        <w:rPr>
          <w:rFonts w:ascii="Times New Roman" w:hAnsi="Times New Roman"/>
        </w:rPr>
      </w:pPr>
      <w:r w:rsidRPr="001B1CE5">
        <w:rPr>
          <w:rFonts w:ascii="Times New Roman" w:hAnsi="Times New Roman"/>
        </w:rPr>
        <w:lastRenderedPageBreak/>
        <w:t>6.</w:t>
      </w:r>
      <w:r w:rsidRPr="001B1CE5">
        <w:rPr>
          <w:rFonts w:ascii="Times New Roman" w:hAnsi="Times New Roman"/>
        </w:rPr>
        <w:tab/>
        <w:t>That Clearview Electric, Inc. shall cease and desist from any and all violations of the Public Utility Code and the orders and regulations of the Public Utility Commission.</w:t>
      </w:r>
    </w:p>
    <w:p w:rsidR="001B1CE5" w:rsidRPr="001B1CE5" w:rsidRDefault="001B1CE5" w:rsidP="001B1CE5">
      <w:pPr>
        <w:tabs>
          <w:tab w:val="num" w:pos="2160"/>
        </w:tabs>
        <w:spacing w:line="360" w:lineRule="auto"/>
        <w:ind w:firstLine="1440"/>
        <w:jc w:val="both"/>
        <w:rPr>
          <w:rFonts w:ascii="Times New Roman" w:hAnsi="Times New Roman"/>
        </w:rPr>
      </w:pPr>
    </w:p>
    <w:p w:rsidR="001B1CE5" w:rsidRPr="001B1CE5" w:rsidRDefault="001B1CE5" w:rsidP="001B1CE5">
      <w:pPr>
        <w:tabs>
          <w:tab w:val="num" w:pos="2160"/>
        </w:tabs>
        <w:spacing w:line="360" w:lineRule="auto"/>
        <w:ind w:firstLine="1440"/>
        <w:jc w:val="both"/>
        <w:rPr>
          <w:rFonts w:ascii="Times New Roman" w:hAnsi="Times New Roman"/>
        </w:rPr>
      </w:pPr>
      <w:r w:rsidRPr="001B1CE5">
        <w:rPr>
          <w:rFonts w:ascii="Times New Roman" w:hAnsi="Times New Roman"/>
        </w:rPr>
        <w:t>7.</w:t>
      </w:r>
      <w:r w:rsidRPr="001B1CE5">
        <w:rPr>
          <w:rFonts w:ascii="Times New Roman" w:hAnsi="Times New Roman"/>
        </w:rPr>
        <w:tab/>
        <w:t>That upon fulfillment of the conditions set forth in Paragraph 42(a) of the Joint Petition for Approval of Settlement, the Complaint filed by the Pennsylvania Public Utility Commission’s Bureau of Investigation and Enforcement shall be marked satisfied and the case at Docket No. C-2016-2543592 shall be marked closed.</w:t>
      </w:r>
    </w:p>
    <w:p w:rsidR="001B1CE5" w:rsidRPr="001B1CE5" w:rsidRDefault="001B1CE5" w:rsidP="001B1CE5">
      <w:pPr>
        <w:tabs>
          <w:tab w:val="num" w:pos="2160"/>
        </w:tabs>
        <w:spacing w:line="360" w:lineRule="auto"/>
        <w:ind w:firstLine="1440"/>
        <w:jc w:val="both"/>
        <w:rPr>
          <w:rFonts w:ascii="Times New Roman" w:hAnsi="Times New Roman"/>
        </w:rPr>
      </w:pPr>
    </w:p>
    <w:p w:rsidR="00817AAD" w:rsidRPr="00817AAD" w:rsidRDefault="001B1CE5" w:rsidP="001B1CE5">
      <w:pPr>
        <w:tabs>
          <w:tab w:val="num" w:pos="2160"/>
        </w:tabs>
        <w:spacing w:line="360" w:lineRule="auto"/>
        <w:ind w:firstLine="1440"/>
        <w:jc w:val="both"/>
        <w:rPr>
          <w:rFonts w:ascii="Times New Roman" w:hAnsi="Times New Roman"/>
        </w:rPr>
      </w:pPr>
      <w:r w:rsidRPr="001B1CE5">
        <w:rPr>
          <w:rFonts w:ascii="Times New Roman" w:hAnsi="Times New Roman"/>
        </w:rPr>
        <w:t>8.</w:t>
      </w:r>
      <w:r w:rsidRPr="001B1CE5">
        <w:rPr>
          <w:rFonts w:ascii="Times New Roman" w:hAnsi="Times New Roman"/>
        </w:rPr>
        <w:tab/>
        <w:t>That a copy of this decision shall be served upon the Financial and Assessment Chief, Office of Administrative Services.</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0F4C30">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0C60BD7E" wp14:editId="7652515A">
            <wp:simplePos x="0" y="0"/>
            <wp:positionH relativeFrom="column">
              <wp:posOffset>3174365</wp:posOffset>
            </wp:positionH>
            <wp:positionV relativeFrom="paragraph">
              <wp:posOffset>31115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bookmarkStart w:id="1" w:name="_GoBack"/>
      <w:bookmarkEnd w:id="1"/>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0F4C30">
        <w:rPr>
          <w:rFonts w:ascii="Times New Roman" w:hAnsi="Times New Roman"/>
          <w:spacing w:val="-3"/>
          <w:szCs w:val="24"/>
        </w:rPr>
        <w:t>June 30, 2017</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DDE" w:rsidRDefault="00017DDE">
      <w:pPr>
        <w:spacing w:line="20" w:lineRule="exact"/>
      </w:pPr>
    </w:p>
  </w:endnote>
  <w:endnote w:type="continuationSeparator" w:id="0">
    <w:p w:rsidR="00017DDE" w:rsidRDefault="00017DDE">
      <w:r>
        <w:t xml:space="preserve"> </w:t>
      </w:r>
    </w:p>
  </w:endnote>
  <w:endnote w:type="continuationNotice" w:id="1">
    <w:p w:rsidR="00017DDE" w:rsidRDefault="00017D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CE5" w:rsidRPr="001B1CE5" w:rsidRDefault="001B1CE5" w:rsidP="001B1CE5">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DDE" w:rsidRDefault="00017DDE">
      <w:r>
        <w:separator/>
      </w:r>
    </w:p>
  </w:footnote>
  <w:footnote w:type="continuationSeparator" w:id="0">
    <w:p w:rsidR="00017DDE" w:rsidRDefault="00017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17DDE"/>
    <w:rsid w:val="000C1A59"/>
    <w:rsid w:val="000F2734"/>
    <w:rsid w:val="000F4C30"/>
    <w:rsid w:val="00102A0C"/>
    <w:rsid w:val="00141506"/>
    <w:rsid w:val="00182FEB"/>
    <w:rsid w:val="001B1CE5"/>
    <w:rsid w:val="001D058B"/>
    <w:rsid w:val="001D209B"/>
    <w:rsid w:val="00201E96"/>
    <w:rsid w:val="0022470B"/>
    <w:rsid w:val="0028314C"/>
    <w:rsid w:val="002F4239"/>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2017-06-30T14:48:00Z</dcterms:modified>
</cp:coreProperties>
</file>