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71F" w:rsidRPr="00A83C68" w:rsidRDefault="002F571F" w:rsidP="002F571F">
      <w:pPr>
        <w:pStyle w:val="Title"/>
        <w:spacing w:line="240" w:lineRule="auto"/>
      </w:pPr>
      <w:r w:rsidRPr="00A83C68">
        <w:t>BEFORE THE</w:t>
      </w:r>
    </w:p>
    <w:p w:rsidR="002F571F" w:rsidRPr="00A83C68" w:rsidRDefault="002F571F" w:rsidP="002F571F">
      <w:pPr>
        <w:tabs>
          <w:tab w:val="left" w:pos="360"/>
        </w:tabs>
        <w:spacing w:before="0" w:after="0" w:line="240" w:lineRule="auto"/>
        <w:jc w:val="center"/>
        <w:rPr>
          <w:b/>
        </w:rPr>
      </w:pPr>
      <w:r w:rsidRPr="00A83C68">
        <w:rPr>
          <w:b/>
        </w:rPr>
        <w:t>PENNSYLVANIA PUBLIC UTILITY COMMISSION</w:t>
      </w:r>
    </w:p>
    <w:p w:rsidR="002F571F" w:rsidRDefault="002F571F" w:rsidP="002F571F">
      <w:pPr>
        <w:tabs>
          <w:tab w:val="left" w:pos="360"/>
        </w:tabs>
        <w:spacing w:before="0" w:after="0" w:line="240" w:lineRule="auto"/>
        <w:jc w:val="both"/>
        <w:rPr>
          <w:b/>
        </w:rPr>
      </w:pPr>
    </w:p>
    <w:p w:rsidR="002F571F" w:rsidRDefault="002F571F" w:rsidP="002F571F">
      <w:pPr>
        <w:tabs>
          <w:tab w:val="left" w:pos="360"/>
        </w:tabs>
        <w:spacing w:before="0" w:after="0" w:line="240" w:lineRule="auto"/>
        <w:jc w:val="both"/>
        <w:rPr>
          <w:b/>
        </w:rPr>
      </w:pPr>
    </w:p>
    <w:p w:rsidR="002F571F" w:rsidRDefault="002F571F" w:rsidP="002F571F">
      <w:pPr>
        <w:tabs>
          <w:tab w:val="left" w:pos="360"/>
        </w:tabs>
        <w:spacing w:before="0" w:after="0" w:line="240" w:lineRule="auto"/>
        <w:jc w:val="both"/>
        <w:rPr>
          <w:b/>
        </w:rPr>
      </w:pPr>
    </w:p>
    <w:p w:rsidR="002F571F" w:rsidRPr="00BA19FE" w:rsidRDefault="002F571F" w:rsidP="002F571F">
      <w:pPr>
        <w:tabs>
          <w:tab w:val="left" w:pos="360"/>
        </w:tabs>
        <w:spacing w:before="0" w:after="0" w:line="240" w:lineRule="auto"/>
        <w:jc w:val="both"/>
      </w:pPr>
      <w:r>
        <w:t>Howard E. Weightman</w:t>
      </w:r>
      <w:r>
        <w:tab/>
      </w:r>
      <w:r>
        <w:tab/>
      </w:r>
      <w:r>
        <w:tab/>
      </w:r>
      <w:r>
        <w:tab/>
      </w:r>
      <w:r w:rsidRPr="00BA19FE">
        <w:t>:</w:t>
      </w:r>
    </w:p>
    <w:p w:rsidR="002F571F" w:rsidRPr="00BA19FE" w:rsidRDefault="002F571F" w:rsidP="002F571F">
      <w:pPr>
        <w:tabs>
          <w:tab w:val="left" w:pos="360"/>
        </w:tabs>
        <w:spacing w:before="0" w:after="0" w:line="240" w:lineRule="auto"/>
        <w:jc w:val="both"/>
      </w:pPr>
      <w:r w:rsidRPr="00BA19FE">
        <w:tab/>
      </w:r>
      <w:r w:rsidRPr="00BA19FE">
        <w:tab/>
      </w:r>
      <w:r w:rsidRPr="00BA19FE">
        <w:tab/>
      </w:r>
      <w:r w:rsidRPr="00BA19FE">
        <w:tab/>
      </w:r>
      <w:r w:rsidRPr="00BA19FE">
        <w:tab/>
      </w:r>
      <w:r w:rsidRPr="00BA19FE">
        <w:tab/>
      </w:r>
      <w:r w:rsidRPr="00BA19FE">
        <w:tab/>
        <w:t>:</w:t>
      </w:r>
    </w:p>
    <w:p w:rsidR="002F571F" w:rsidRPr="00BA19FE" w:rsidRDefault="002F571F" w:rsidP="002F571F">
      <w:pPr>
        <w:tabs>
          <w:tab w:val="left" w:pos="360"/>
          <w:tab w:val="left" w:pos="720"/>
        </w:tabs>
        <w:spacing w:before="0" w:after="0" w:line="240" w:lineRule="auto"/>
        <w:jc w:val="both"/>
      </w:pPr>
      <w:r w:rsidRPr="00BA19FE">
        <w:tab/>
      </w:r>
      <w:r w:rsidRPr="00BA19FE">
        <w:tab/>
        <w:t>v.</w:t>
      </w:r>
      <w:r w:rsidRPr="00BA19FE">
        <w:tab/>
      </w:r>
      <w:r w:rsidRPr="00BA19FE">
        <w:tab/>
      </w:r>
      <w:r w:rsidRPr="00BA19FE">
        <w:tab/>
      </w:r>
      <w:r w:rsidRPr="00BA19FE">
        <w:tab/>
      </w:r>
      <w:r w:rsidRPr="00BA19FE">
        <w:tab/>
      </w:r>
      <w:r w:rsidRPr="00BA19FE">
        <w:tab/>
        <w:t>:</w:t>
      </w:r>
      <w:r w:rsidRPr="00BA19FE">
        <w:tab/>
      </w:r>
      <w:r w:rsidRPr="00BA19FE">
        <w:tab/>
        <w:t>C-2016-2565520</w:t>
      </w:r>
    </w:p>
    <w:p w:rsidR="002F571F" w:rsidRPr="00BA19FE" w:rsidRDefault="002F571F" w:rsidP="002F571F">
      <w:pPr>
        <w:tabs>
          <w:tab w:val="left" w:pos="360"/>
        </w:tabs>
        <w:spacing w:before="0" w:after="0" w:line="240" w:lineRule="auto"/>
        <w:jc w:val="both"/>
      </w:pPr>
      <w:r w:rsidRPr="00BA19FE">
        <w:tab/>
      </w:r>
      <w:r w:rsidRPr="00BA19FE">
        <w:tab/>
      </w:r>
      <w:r w:rsidRPr="00BA19FE">
        <w:tab/>
      </w:r>
      <w:r w:rsidRPr="00BA19FE">
        <w:tab/>
      </w:r>
      <w:r w:rsidRPr="00BA19FE">
        <w:tab/>
      </w:r>
      <w:r w:rsidRPr="00BA19FE">
        <w:tab/>
      </w:r>
      <w:r w:rsidRPr="00BA19FE">
        <w:tab/>
        <w:t>:</w:t>
      </w:r>
    </w:p>
    <w:p w:rsidR="002F571F" w:rsidRPr="00BA19FE" w:rsidRDefault="002F571F" w:rsidP="002F571F">
      <w:pPr>
        <w:tabs>
          <w:tab w:val="left" w:pos="360"/>
        </w:tabs>
        <w:spacing w:before="0" w:after="0" w:line="240" w:lineRule="auto"/>
        <w:jc w:val="both"/>
      </w:pPr>
      <w:r w:rsidRPr="00BA19FE">
        <w:t>Pennsylvania Electric Company</w:t>
      </w:r>
      <w:r w:rsidRPr="00BA19FE">
        <w:tab/>
      </w:r>
      <w:r w:rsidRPr="00BA19FE">
        <w:tab/>
      </w:r>
      <w:r w:rsidRPr="00BA19FE">
        <w:tab/>
        <w:t>:</w:t>
      </w:r>
    </w:p>
    <w:p w:rsidR="002F571F" w:rsidRDefault="002F571F" w:rsidP="002F571F">
      <w:pPr>
        <w:tabs>
          <w:tab w:val="left" w:pos="360"/>
        </w:tabs>
        <w:spacing w:before="0" w:after="0" w:line="240" w:lineRule="auto"/>
        <w:jc w:val="both"/>
      </w:pPr>
    </w:p>
    <w:p w:rsidR="002F571F" w:rsidRDefault="002F571F" w:rsidP="002F571F">
      <w:pPr>
        <w:tabs>
          <w:tab w:val="left" w:pos="360"/>
        </w:tabs>
        <w:spacing w:before="0" w:after="0" w:line="240" w:lineRule="auto"/>
        <w:jc w:val="both"/>
        <w:rPr>
          <w:b/>
        </w:rPr>
      </w:pPr>
    </w:p>
    <w:p w:rsidR="002F571F" w:rsidRDefault="002F571F" w:rsidP="002F571F">
      <w:pPr>
        <w:spacing w:before="0" w:after="0" w:line="240" w:lineRule="auto"/>
      </w:pPr>
    </w:p>
    <w:p w:rsidR="002F571F" w:rsidRPr="005135A4" w:rsidRDefault="002F571F" w:rsidP="002F571F">
      <w:pPr>
        <w:spacing w:before="0" w:after="0" w:line="240" w:lineRule="auto"/>
        <w:jc w:val="center"/>
        <w:rPr>
          <w:b/>
        </w:rPr>
      </w:pPr>
      <w:r w:rsidRPr="005135A4">
        <w:rPr>
          <w:b/>
        </w:rPr>
        <w:t>INTERIM ORDER</w:t>
      </w:r>
    </w:p>
    <w:p w:rsidR="002F571F" w:rsidRDefault="002F571F" w:rsidP="00BA19FE">
      <w:pPr>
        <w:spacing w:before="0" w:after="0"/>
        <w:jc w:val="center"/>
      </w:pPr>
      <w:r w:rsidRPr="00007A8F">
        <w:rPr>
          <w:b/>
          <w:u w:val="single"/>
        </w:rPr>
        <w:t xml:space="preserve">ON </w:t>
      </w:r>
      <w:r w:rsidR="005677F9" w:rsidRPr="00007A8F">
        <w:rPr>
          <w:b/>
          <w:u w:val="single"/>
        </w:rPr>
        <w:t>MOTION TO COMPEL</w:t>
      </w:r>
      <w:r w:rsidR="00BA19FE">
        <w:rPr>
          <w:b/>
          <w:u w:val="single"/>
        </w:rPr>
        <w:t xml:space="preserve"> </w:t>
      </w:r>
    </w:p>
    <w:p w:rsidR="00BA19FE" w:rsidRPr="00BA19FE" w:rsidRDefault="00BA19FE" w:rsidP="00BA19FE">
      <w:pPr>
        <w:spacing w:before="0" w:after="0"/>
        <w:jc w:val="center"/>
      </w:pPr>
    </w:p>
    <w:p w:rsidR="002F571F" w:rsidRDefault="002F571F" w:rsidP="002F571F">
      <w:pPr>
        <w:spacing w:before="0" w:after="0"/>
      </w:pPr>
      <w:r>
        <w:tab/>
        <w:t>Howard E. Weightman (Complainant) filed a formal complaint against the Pennsylvania Electric Company (Penelec) on September 6, 2016.  The Complainant checked all of the boxes on the formal complaint form alleging that his service had been terminated; he would like a payment arrangement; there are incorrect charges on his bill; and he is experiencing a reliability or service problem because his neighbor is using service from his meter.  Penelec filed an answer on September 27, 2016, which admitted that the Complainant’s service had been terminated and taking the position that he was not entitled to a payment arrangement and that his claims regarding his neighbor’s usage of his meter had been resolved in a prior formal complaint proceeding.</w:t>
      </w:r>
    </w:p>
    <w:p w:rsidR="00007A8F" w:rsidRDefault="00007A8F" w:rsidP="002F571F">
      <w:pPr>
        <w:spacing w:before="0" w:after="0"/>
      </w:pPr>
    </w:p>
    <w:p w:rsidR="00007A8F" w:rsidRDefault="00007A8F" w:rsidP="002F571F">
      <w:pPr>
        <w:spacing w:before="0" w:after="0"/>
      </w:pPr>
      <w:r>
        <w:tab/>
        <w:t>A call-in telephonic hearing is currently scheduled for Wednesday, July 19, 2017.</w:t>
      </w:r>
      <w:r>
        <w:rPr>
          <w:rStyle w:val="FootnoteReference"/>
        </w:rPr>
        <w:footnoteReference w:id="1"/>
      </w:r>
      <w:r w:rsidR="0041226B">
        <w:t xml:space="preserve">   On </w:t>
      </w:r>
      <w:r w:rsidR="00DE684A">
        <w:t>June 1, 2017, Penelec served interrogatories and document requests on the Complainant.  Citing Section 5.342, Penelec informed the Complainant that he must object to the discovery on or before June 12, 2017, or respond to the discovery by June 20, 2017.</w:t>
      </w:r>
      <w:r w:rsidR="00F42DBB">
        <w:t xml:space="preserve">  Counsel for Penelec states in her motion that she attempted to reach the Complainant by email and by telephone on June 19, 2017, and June 20, 2017, respectively.  The Complainant neither responded to counsel, nor did he object to or answer the discovery requests.</w:t>
      </w:r>
    </w:p>
    <w:p w:rsidR="00F42DBB" w:rsidRDefault="00F42DBB" w:rsidP="002F571F">
      <w:pPr>
        <w:spacing w:before="0" w:after="0"/>
      </w:pPr>
    </w:p>
    <w:p w:rsidR="00556DE3" w:rsidRDefault="00F42DBB" w:rsidP="002F571F">
      <w:pPr>
        <w:spacing w:before="0" w:after="0"/>
      </w:pPr>
      <w:r>
        <w:lastRenderedPageBreak/>
        <w:tab/>
        <w:t>On June 21, 2017, Penelec filed a motion to compel discovery.  The Complainant’s response to the motion was due on June 29, 2017.  To date, the Complainant has not responded to the motion.</w:t>
      </w:r>
    </w:p>
    <w:p w:rsidR="0090575A" w:rsidRDefault="0090575A" w:rsidP="002F571F">
      <w:pPr>
        <w:spacing w:before="0" w:after="0"/>
      </w:pPr>
    </w:p>
    <w:p w:rsidR="00556DE3" w:rsidRDefault="00BF09E8" w:rsidP="0090575A">
      <w:pPr>
        <w:spacing w:before="0" w:after="0"/>
      </w:pPr>
      <w:r>
        <w:tab/>
      </w:r>
      <w:r w:rsidR="00556DE3" w:rsidRPr="00556DE3">
        <w:t>When considering a motion to compel, the burden is on the objector to demonstrate that the information sought is not discoverable.</w:t>
      </w:r>
      <w:r w:rsidR="00556DE3" w:rsidRPr="00556DE3">
        <w:rPr>
          <w:vertAlign w:val="superscript"/>
        </w:rPr>
        <w:footnoteReference w:id="2"/>
      </w:r>
      <w:r w:rsidR="00556DE3" w:rsidRPr="00556DE3">
        <w:t xml:space="preserve">  All doubts are resolved in favor of permitting discovery.</w:t>
      </w:r>
      <w:r w:rsidR="00556DE3" w:rsidRPr="00556DE3">
        <w:rPr>
          <w:vertAlign w:val="superscript"/>
        </w:rPr>
        <w:footnoteReference w:id="3"/>
      </w:r>
    </w:p>
    <w:p w:rsidR="0090575A" w:rsidRDefault="0090575A" w:rsidP="0090575A">
      <w:pPr>
        <w:spacing w:before="0" w:after="0"/>
      </w:pPr>
    </w:p>
    <w:p w:rsidR="00556DE3" w:rsidRDefault="00556DE3" w:rsidP="0090575A">
      <w:pPr>
        <w:spacing w:before="0" w:after="0"/>
      </w:pPr>
      <w:r>
        <w:tab/>
        <w:t>Penelec poses the following interrogatories</w:t>
      </w:r>
      <w:r w:rsidR="00361159">
        <w:t xml:space="preserve"> and document requests</w:t>
      </w:r>
      <w:r>
        <w:t>:</w:t>
      </w:r>
    </w:p>
    <w:p w:rsidR="0090575A" w:rsidRDefault="0090575A" w:rsidP="0090575A">
      <w:pPr>
        <w:spacing w:before="0" w:after="0"/>
      </w:pPr>
    </w:p>
    <w:p w:rsidR="00556DE3" w:rsidRDefault="00361159" w:rsidP="00361159">
      <w:pPr>
        <w:spacing w:before="0" w:after="0" w:line="240" w:lineRule="auto"/>
      </w:pPr>
      <w:r>
        <w:tab/>
      </w:r>
      <w:r>
        <w:tab/>
      </w:r>
      <w:r>
        <w:tab/>
      </w:r>
      <w:r w:rsidR="000B00F9" w:rsidRPr="000B00F9">
        <w:t>INTERROGATORIES</w:t>
      </w:r>
    </w:p>
    <w:p w:rsidR="0090575A" w:rsidRDefault="0090575A" w:rsidP="00361159">
      <w:pPr>
        <w:spacing w:before="0" w:after="0" w:line="240" w:lineRule="auto"/>
        <w:jc w:val="center"/>
      </w:pPr>
    </w:p>
    <w:p w:rsidR="000B00F9" w:rsidRDefault="000B00F9" w:rsidP="00361159">
      <w:pPr>
        <w:pStyle w:val="ListParagraph"/>
        <w:spacing w:line="240" w:lineRule="auto"/>
        <w:ind w:left="1440" w:right="1440"/>
      </w:pPr>
      <w:r>
        <w:t>What is the main heat source (i.e., electric, gas or oil) for the property at 3192 Main Road, Bedford, PA (Service Location)?</w:t>
      </w:r>
      <w:r>
        <w:br/>
      </w:r>
    </w:p>
    <w:p w:rsidR="0090575A" w:rsidRDefault="000B00F9" w:rsidP="00361159">
      <w:pPr>
        <w:pStyle w:val="ListParagraph"/>
        <w:spacing w:line="240" w:lineRule="auto"/>
        <w:ind w:left="1440" w:right="1440"/>
      </w:pPr>
      <w:r>
        <w:t>Please provide the name, address, and phone number for the supplier of the heat source identified in question 1 for the period November 2015 through Septembe</w:t>
      </w:r>
      <w:r w:rsidR="0090575A">
        <w:t xml:space="preserve">r 2016.  </w:t>
      </w:r>
      <w:r w:rsidR="0090575A">
        <w:br/>
      </w:r>
    </w:p>
    <w:p w:rsidR="000B00F9" w:rsidRDefault="0090575A" w:rsidP="00361159">
      <w:pPr>
        <w:pStyle w:val="ListParagraph"/>
        <w:numPr>
          <w:ilvl w:val="1"/>
          <w:numId w:val="30"/>
        </w:numPr>
        <w:spacing w:line="240" w:lineRule="auto"/>
        <w:ind w:left="1440" w:right="1440" w:firstLine="1800"/>
      </w:pPr>
      <w:r>
        <w:t xml:space="preserve">Please provide the account </w:t>
      </w:r>
      <w:r w:rsidR="000B00F9">
        <w:t>number for the energy supplier identified in question 2.</w:t>
      </w:r>
      <w:r>
        <w:br/>
      </w:r>
    </w:p>
    <w:p w:rsidR="0090575A" w:rsidRDefault="0090575A" w:rsidP="00361159">
      <w:pPr>
        <w:pStyle w:val="ListParagraph"/>
        <w:numPr>
          <w:ilvl w:val="1"/>
          <w:numId w:val="30"/>
        </w:numPr>
        <w:spacing w:line="240" w:lineRule="auto"/>
        <w:ind w:left="1440" w:right="1440" w:firstLine="1800"/>
      </w:pPr>
      <w:r>
        <w:t>Is the account for that energy supplier active?</w:t>
      </w:r>
      <w:r>
        <w:br/>
      </w:r>
    </w:p>
    <w:p w:rsidR="0090575A" w:rsidRDefault="0090575A" w:rsidP="00361159">
      <w:pPr>
        <w:pStyle w:val="ListParagraph"/>
        <w:numPr>
          <w:ilvl w:val="1"/>
          <w:numId w:val="30"/>
        </w:numPr>
        <w:spacing w:line="240" w:lineRule="auto"/>
        <w:ind w:left="1440" w:right="1440" w:firstLine="1800"/>
      </w:pPr>
      <w:r>
        <w:t>If not, when was the account closed?</w:t>
      </w:r>
      <w:r>
        <w:br/>
      </w:r>
    </w:p>
    <w:p w:rsidR="0090575A" w:rsidRDefault="0090575A" w:rsidP="00361159">
      <w:pPr>
        <w:pStyle w:val="ListParagraph"/>
        <w:spacing w:line="240" w:lineRule="auto"/>
        <w:ind w:left="1440" w:right="1440"/>
      </w:pPr>
      <w:r>
        <w:t>What year was your furnace installed at the Service Location?</w:t>
      </w:r>
      <w:r>
        <w:br/>
      </w:r>
    </w:p>
    <w:p w:rsidR="0090575A" w:rsidRDefault="0090575A" w:rsidP="00361159">
      <w:pPr>
        <w:pStyle w:val="ListParagraph"/>
        <w:spacing w:line="240" w:lineRule="auto"/>
        <w:ind w:left="1440" w:right="1440"/>
      </w:pPr>
      <w:r>
        <w:t>Is the furnace at the Service Location currently operational?</w:t>
      </w:r>
      <w:r>
        <w:br/>
      </w:r>
    </w:p>
    <w:p w:rsidR="009522D6" w:rsidRDefault="0090575A" w:rsidP="00361159">
      <w:pPr>
        <w:pStyle w:val="ListParagraph"/>
        <w:numPr>
          <w:ilvl w:val="1"/>
          <w:numId w:val="30"/>
        </w:numPr>
        <w:spacing w:line="240" w:lineRule="auto"/>
        <w:ind w:left="1440" w:right="1440" w:firstLine="1800"/>
      </w:pPr>
      <w:r>
        <w:t>If not, when did the furnace stop operation?</w:t>
      </w:r>
      <w:r w:rsidR="009522D6">
        <w:br/>
      </w:r>
    </w:p>
    <w:p w:rsidR="009522D6" w:rsidRDefault="009522D6" w:rsidP="00361159">
      <w:pPr>
        <w:pStyle w:val="ListParagraph"/>
        <w:numPr>
          <w:ilvl w:val="1"/>
          <w:numId w:val="30"/>
        </w:numPr>
        <w:spacing w:line="240" w:lineRule="auto"/>
        <w:ind w:left="1440" w:right="1440" w:firstLine="1800"/>
      </w:pPr>
      <w:r>
        <w:lastRenderedPageBreak/>
        <w:t>When was the last time the furnace was serviced?</w:t>
      </w:r>
      <w:r>
        <w:br/>
      </w:r>
    </w:p>
    <w:p w:rsidR="009522D6" w:rsidRDefault="009522D6" w:rsidP="00361159">
      <w:pPr>
        <w:pStyle w:val="ListParagraph"/>
        <w:numPr>
          <w:ilvl w:val="1"/>
          <w:numId w:val="30"/>
        </w:numPr>
        <w:spacing w:line="240" w:lineRule="auto"/>
        <w:ind w:left="1440" w:right="1440" w:firstLine="1800"/>
      </w:pPr>
      <w:r>
        <w:t>If applicable, please provide the name and contact information for the company/person that serviced the furnace identified in question 2b.</w:t>
      </w:r>
      <w:r>
        <w:br/>
      </w:r>
    </w:p>
    <w:p w:rsidR="009522D6" w:rsidRDefault="009522D6" w:rsidP="00361159">
      <w:pPr>
        <w:pStyle w:val="ListParagraph"/>
        <w:spacing w:line="240" w:lineRule="auto"/>
        <w:ind w:left="1440" w:right="1440"/>
      </w:pPr>
      <w:r>
        <w:t>Are you disputing specific charges billed during the period November 2015 through September 2016?</w:t>
      </w:r>
      <w:r w:rsidR="000F7FB3">
        <w:br/>
      </w:r>
    </w:p>
    <w:p w:rsidR="000F7FB3" w:rsidRDefault="009522D6" w:rsidP="00361159">
      <w:pPr>
        <w:pStyle w:val="ListParagraph"/>
        <w:numPr>
          <w:ilvl w:val="1"/>
          <w:numId w:val="30"/>
        </w:numPr>
        <w:spacing w:line="240" w:lineRule="auto"/>
        <w:ind w:left="1440" w:right="1440" w:firstLine="1800"/>
      </w:pPr>
      <w:r>
        <w:t xml:space="preserve">Please state the date(s) of any issued monthly </w:t>
      </w:r>
      <w:r w:rsidR="000F7FB3">
        <w:t>bill that contains the disputed charges identified in question 5?</w:t>
      </w:r>
      <w:r w:rsidR="000F7FB3">
        <w:br/>
      </w:r>
    </w:p>
    <w:p w:rsidR="000F7FB3" w:rsidRDefault="000F7FB3" w:rsidP="00361159">
      <w:pPr>
        <w:pStyle w:val="ListParagraph"/>
        <w:numPr>
          <w:ilvl w:val="1"/>
          <w:numId w:val="30"/>
        </w:numPr>
        <w:spacing w:line="240" w:lineRule="auto"/>
        <w:ind w:left="1440" w:right="1440" w:firstLine="1800"/>
      </w:pPr>
      <w:r>
        <w:t>Please state the specific amount of the disputed charges identified in question 5a.</w:t>
      </w:r>
      <w:r>
        <w:br/>
      </w:r>
    </w:p>
    <w:p w:rsidR="000F7FB3" w:rsidRDefault="000F7FB3" w:rsidP="00361159">
      <w:pPr>
        <w:pStyle w:val="ListParagraph"/>
        <w:numPr>
          <w:ilvl w:val="1"/>
          <w:numId w:val="30"/>
        </w:numPr>
        <w:spacing w:line="240" w:lineRule="auto"/>
        <w:ind w:left="1440" w:right="1440" w:firstLine="1800"/>
      </w:pPr>
      <w:r>
        <w:t>Please explain the specific reason that the identified charges in question 5b are disputed.</w:t>
      </w:r>
      <w:r w:rsidR="00361159">
        <w:br/>
      </w:r>
    </w:p>
    <w:p w:rsidR="000F7FB3" w:rsidRDefault="00361159" w:rsidP="00361159">
      <w:pPr>
        <w:spacing w:before="0" w:after="0" w:line="240" w:lineRule="auto"/>
        <w:ind w:left="1440" w:right="1440"/>
      </w:pPr>
      <w:r>
        <w:tab/>
      </w:r>
      <w:r>
        <w:tab/>
      </w:r>
      <w:r w:rsidR="000F7FB3" w:rsidRPr="000F7FB3">
        <w:t>REQUESTS FOR DOCUMENTS</w:t>
      </w:r>
      <w:r>
        <w:br/>
      </w:r>
    </w:p>
    <w:p w:rsidR="000F7FB3" w:rsidRDefault="000F7FB3" w:rsidP="00361159">
      <w:pPr>
        <w:pStyle w:val="ListParagraph"/>
        <w:spacing w:line="240" w:lineRule="auto"/>
        <w:ind w:left="1440" w:right="1440"/>
      </w:pPr>
      <w:r>
        <w:t>Please provide a copy of all bills related to the service/operation of the furnace located at 3192 main Road, Bedford, PA for the period November 2015 through September 2016.</w:t>
      </w:r>
      <w:r>
        <w:br/>
      </w:r>
    </w:p>
    <w:p w:rsidR="00DB199F" w:rsidRDefault="000F7FB3" w:rsidP="002C3E01">
      <w:pPr>
        <w:pStyle w:val="ListParagraph"/>
        <w:tabs>
          <w:tab w:val="clear" w:pos="1440"/>
          <w:tab w:val="left" w:pos="1530"/>
        </w:tabs>
        <w:spacing w:line="240" w:lineRule="auto"/>
        <w:ind w:left="1440" w:right="1440"/>
      </w:pPr>
      <w:r>
        <w:t>For the period November 2016 through September 2016, please provide a copy of all bills associated with the energy source (i.e., gas or oil bill) for the furnace located at 3192 Main Road, Bedford, PA</w:t>
      </w:r>
      <w:r w:rsidR="004E7A58">
        <w:t xml:space="preserve">.  </w:t>
      </w:r>
      <w:r w:rsidR="001B19A9">
        <w:br/>
      </w:r>
    </w:p>
    <w:p w:rsidR="00651CD2" w:rsidRDefault="00BF09E8" w:rsidP="00DB199F">
      <w:pPr>
        <w:tabs>
          <w:tab w:val="clear" w:pos="1440"/>
          <w:tab w:val="left" w:pos="0"/>
        </w:tabs>
        <w:spacing w:before="0" w:after="0"/>
        <w:ind w:firstLine="1440"/>
      </w:pPr>
      <w:r w:rsidRPr="00556DE3">
        <w:t>The Commission’s regulation describing discoverable material is very broad.  It permits a propounding party to seek information “regarding any matter, not privileged, which is relevant to the subject matter involved in the pending action . . .”</w:t>
      </w:r>
      <w:r w:rsidRPr="00556DE3">
        <w:rPr>
          <w:vertAlign w:val="superscript"/>
        </w:rPr>
        <w:footnoteReference w:id="4"/>
      </w:r>
      <w:r w:rsidRPr="00556DE3">
        <w:t xml:space="preserve">  This may include information which, even if not admissible at the hearing, may lead to the discovery of admissible evidence.</w:t>
      </w:r>
      <w:r w:rsidRPr="00556DE3">
        <w:rPr>
          <w:vertAlign w:val="superscript"/>
        </w:rPr>
        <w:footnoteReference w:id="5"/>
      </w:r>
      <w:r>
        <w:t xml:space="preserve">  “Relevance” is broadly construed.</w:t>
      </w:r>
      <w:r>
        <w:rPr>
          <w:rStyle w:val="FootnoteReference"/>
        </w:rPr>
        <w:footnoteReference w:id="6"/>
      </w:r>
      <w:r>
        <w:t xml:space="preserve">  </w:t>
      </w:r>
    </w:p>
    <w:p w:rsidR="00375400" w:rsidRDefault="00651CD2" w:rsidP="00DB199F">
      <w:pPr>
        <w:spacing w:before="0" w:after="0"/>
      </w:pPr>
      <w:r>
        <w:lastRenderedPageBreak/>
        <w:tab/>
      </w:r>
      <w:r w:rsidR="00BF09E8">
        <w:t>Penelec generally avers in its motion that the information requested is necessary to prepare for the hearing, but does not explain the signif</w:t>
      </w:r>
      <w:r>
        <w:t>ic</w:t>
      </w:r>
      <w:r w:rsidR="00BF09E8">
        <w:t xml:space="preserve">ance of the </w:t>
      </w:r>
      <w:r>
        <w:t>information sought in Interrogatory Nos. 1-4 and Document Request No</w:t>
      </w:r>
      <w:r w:rsidR="00375400">
        <w:t>s</w:t>
      </w:r>
      <w:r>
        <w:t xml:space="preserve">. </w:t>
      </w:r>
      <w:r w:rsidR="00375400">
        <w:t xml:space="preserve">6 and </w:t>
      </w:r>
      <w:r>
        <w:t xml:space="preserve">7, regarding the Complainant’s heat source and furnace.  </w:t>
      </w:r>
      <w:r w:rsidR="00375400">
        <w:t>Interrogatory No. 5, requesting the Complainant to identify disputed bills appears to be directly relevant to the complaint.</w:t>
      </w:r>
      <w:r w:rsidR="002203AF">
        <w:t xml:space="preserve">  The Complainant did not object to this discovery.  Penelec’s motion to compel will be granted.</w:t>
      </w:r>
    </w:p>
    <w:p w:rsidR="00DB199F" w:rsidRDefault="00DB199F" w:rsidP="00DB199F">
      <w:pPr>
        <w:spacing w:before="0" w:after="0"/>
      </w:pPr>
    </w:p>
    <w:p w:rsidR="004E7A58" w:rsidRDefault="00375400" w:rsidP="00DB199F">
      <w:pPr>
        <w:spacing w:before="0" w:after="0"/>
      </w:pPr>
      <w:r>
        <w:tab/>
        <w:t>At the April 21, 2017 hearing, the Complainant requested an opportunity to secure the advice of counsel because he felt confused by the complaint process.</w:t>
      </w:r>
      <w:r>
        <w:rPr>
          <w:rStyle w:val="FootnoteReference"/>
        </w:rPr>
        <w:footnoteReference w:id="7"/>
      </w:r>
      <w:r w:rsidR="00651CD2">
        <w:tab/>
      </w:r>
      <w:r>
        <w:t>To date, an attorney has not entered an appearance on his behalf.  Even though he is self-represented and some allowance may be given, he is nevertheless required to comply with the Commission’s rules of procedure and to respond to discovery when ordered to do so.</w:t>
      </w:r>
      <w:r w:rsidR="005B0BED">
        <w:rPr>
          <w:rStyle w:val="FootnoteReference"/>
        </w:rPr>
        <w:footnoteReference w:id="8"/>
      </w:r>
      <w:r w:rsidR="00883C4B">
        <w:t xml:space="preserve">  Indeed, it is </w:t>
      </w:r>
      <w:proofErr w:type="gramStart"/>
      <w:r w:rsidR="00883C4B">
        <w:t>well-settled</w:t>
      </w:r>
      <w:proofErr w:type="gramEnd"/>
      <w:r w:rsidR="00883C4B">
        <w:t xml:space="preserve"> that a complain</w:t>
      </w:r>
      <w:r w:rsidR="004E7A58">
        <w:t>an</w:t>
      </w:r>
      <w:r w:rsidR="00883C4B">
        <w:t>t who chooses to proceed without securing representation “</w:t>
      </w:r>
      <w:r w:rsidR="00883C4B" w:rsidRPr="00883C4B">
        <w:t>must, to some reasonable extent, assume the risk that his lack of expertise and legal training will prove his undoing</w:t>
      </w:r>
      <w:r w:rsidR="00883C4B">
        <w:t>.”</w:t>
      </w:r>
      <w:r w:rsidR="00883C4B">
        <w:rPr>
          <w:rStyle w:val="FootnoteReference"/>
        </w:rPr>
        <w:footnoteReference w:id="9"/>
      </w:r>
    </w:p>
    <w:p w:rsidR="009A3CBF" w:rsidRDefault="00C11585" w:rsidP="00DB199F">
      <w:pPr>
        <w:spacing w:before="0" w:after="0"/>
      </w:pPr>
      <w:r>
        <w:t xml:space="preserve">  </w:t>
      </w:r>
    </w:p>
    <w:p w:rsidR="00B855CE" w:rsidRDefault="009A3CBF" w:rsidP="00DB199F">
      <w:pPr>
        <w:spacing w:before="0" w:after="0"/>
      </w:pPr>
      <w:r>
        <w:tab/>
      </w:r>
      <w:r w:rsidR="00B855CE">
        <w:t>At the same time, the purpose of the rules of procedure</w:t>
      </w:r>
      <w:r w:rsidR="002A0578">
        <w:t xml:space="preserve"> in general</w:t>
      </w:r>
      <w:r w:rsidR="004E7A58">
        <w:t>,</w:t>
      </w:r>
      <w:r w:rsidR="002A0578">
        <w:t xml:space="preserve"> and discovery in particular</w:t>
      </w:r>
      <w:r w:rsidR="004E7A58">
        <w:t>,</w:t>
      </w:r>
      <w:r w:rsidR="00B855CE">
        <w:t xml:space="preserve"> are meant to ensure the orderly presentation of facts, not to create a minefield to entrap the unwary</w:t>
      </w:r>
      <w:r>
        <w:t xml:space="preserve"> or to intimidate the uninformed</w:t>
      </w:r>
      <w:r w:rsidR="00B855CE">
        <w:t>.</w:t>
      </w:r>
      <w:r w:rsidR="00323EE3">
        <w:rPr>
          <w:rStyle w:val="FootnoteReference"/>
        </w:rPr>
        <w:footnoteReference w:id="10"/>
      </w:r>
      <w:r w:rsidR="002203AF">
        <w:t xml:space="preserve">  It is expected that the parties will work cooperatively to p</w:t>
      </w:r>
      <w:r w:rsidR="00007E8B">
        <w:t>repare for the upcoming hearing, which includes the prompt and respectful exchange of information.</w:t>
      </w:r>
    </w:p>
    <w:p w:rsidR="004E7A58" w:rsidRDefault="004E7A58" w:rsidP="00DB199F">
      <w:pPr>
        <w:spacing w:before="0" w:after="0"/>
      </w:pPr>
    </w:p>
    <w:p w:rsidR="00CD47B3" w:rsidRDefault="00CD47B3" w:rsidP="00DB199F">
      <w:pPr>
        <w:spacing w:before="0" w:after="0"/>
      </w:pPr>
    </w:p>
    <w:p w:rsidR="00CD47B3" w:rsidRDefault="00CD47B3" w:rsidP="00DB199F">
      <w:pPr>
        <w:spacing w:before="0" w:after="0"/>
      </w:pPr>
    </w:p>
    <w:p w:rsidR="00CD47B3" w:rsidRDefault="00CD47B3" w:rsidP="00DB199F">
      <w:pPr>
        <w:spacing w:before="0" w:after="0"/>
      </w:pPr>
      <w:bookmarkStart w:id="0" w:name="_GoBack"/>
      <w:bookmarkEnd w:id="0"/>
    </w:p>
    <w:p w:rsidR="00A0052F" w:rsidRDefault="000F7FB3" w:rsidP="00DB199F">
      <w:pPr>
        <w:spacing w:before="0" w:after="0"/>
      </w:pPr>
      <w:r>
        <w:lastRenderedPageBreak/>
        <w:tab/>
      </w:r>
      <w:r w:rsidR="00A0052F">
        <w:t>THEREFORE</w:t>
      </w:r>
      <w:r w:rsidR="009C7D4A">
        <w:t>,</w:t>
      </w:r>
    </w:p>
    <w:p w:rsidR="00DB199F" w:rsidRDefault="00DB199F" w:rsidP="00DB199F">
      <w:pPr>
        <w:spacing w:before="0" w:after="0"/>
      </w:pPr>
    </w:p>
    <w:p w:rsidR="00A0052F" w:rsidRDefault="000F7FB3" w:rsidP="00DB199F">
      <w:pPr>
        <w:spacing w:before="0" w:after="0"/>
      </w:pPr>
      <w:r>
        <w:tab/>
      </w:r>
      <w:r w:rsidR="00A0052F">
        <w:t>IT IS ORDERED:</w:t>
      </w:r>
      <w:r w:rsidR="00DB199F">
        <w:br/>
      </w:r>
    </w:p>
    <w:p w:rsidR="00A0052F" w:rsidRDefault="00A0052F" w:rsidP="00DB199F">
      <w:pPr>
        <w:spacing w:before="0" w:after="0"/>
      </w:pPr>
      <w:r>
        <w:tab/>
        <w:t>1.</w:t>
      </w:r>
      <w:r>
        <w:tab/>
        <w:t>That the motion to compel of Penelec is granted.</w:t>
      </w:r>
      <w:r w:rsidR="00DB199F">
        <w:br/>
      </w:r>
    </w:p>
    <w:p w:rsidR="00A0052F" w:rsidRDefault="00A0052F" w:rsidP="00DB199F">
      <w:pPr>
        <w:spacing w:before="0" w:after="0"/>
      </w:pPr>
      <w:r>
        <w:tab/>
        <w:t>2.</w:t>
      </w:r>
      <w:r>
        <w:tab/>
        <w:t>That the Complainant shall answer or object to</w:t>
      </w:r>
      <w:r w:rsidR="00984248">
        <w:t xml:space="preserve"> each of</w:t>
      </w:r>
      <w:r>
        <w:t xml:space="preserve"> the June 1, 2017 Interrogatories</w:t>
      </w:r>
      <w:r w:rsidR="00984248">
        <w:t xml:space="preserve"> in writing</w:t>
      </w:r>
      <w:r>
        <w:t xml:space="preserve"> and </w:t>
      </w:r>
      <w:r w:rsidR="00984248">
        <w:t xml:space="preserve">provide the documents requested in the </w:t>
      </w:r>
      <w:r>
        <w:t xml:space="preserve">Request for Documents on or before </w:t>
      </w:r>
      <w:r w:rsidRPr="00B16B13">
        <w:rPr>
          <w:b/>
          <w:u w:val="single"/>
        </w:rPr>
        <w:t>July 10, 2017</w:t>
      </w:r>
      <w:r>
        <w:t xml:space="preserve">.  </w:t>
      </w:r>
      <w:r w:rsidR="00984248">
        <w:t xml:space="preserve">The Complainant shall serve counsel for Penelec with the responses and documents and file a certificate of service with the Commission’s Secretary’s Bureau.  </w:t>
      </w:r>
      <w:r>
        <w:t xml:space="preserve">The Complainant’s failure to respond may result in the imposition of sanctions including the preclusion of evidence or dismissal of the complaint upon </w:t>
      </w:r>
      <w:r w:rsidR="009C7D4A">
        <w:t xml:space="preserve">the filing of </w:t>
      </w:r>
      <w:r>
        <w:t>an appropriate motion</w:t>
      </w:r>
      <w:r w:rsidR="00AA4750">
        <w:t xml:space="preserve"> by Penelec</w:t>
      </w:r>
      <w:r>
        <w:t>.</w:t>
      </w:r>
      <w:r w:rsidR="00DB199F">
        <w:br/>
      </w:r>
    </w:p>
    <w:p w:rsidR="00B16B13" w:rsidRDefault="00B16B13" w:rsidP="00DB199F">
      <w:pPr>
        <w:spacing w:before="0" w:after="0"/>
      </w:pPr>
      <w:r>
        <w:tab/>
        <w:t>3.</w:t>
      </w:r>
      <w:r>
        <w:tab/>
        <w:t>That the parties are reminded that Commission policy encourages settlement.</w:t>
      </w:r>
      <w:r w:rsidR="00142748">
        <w:t xml:space="preserve">  </w:t>
      </w:r>
      <w:r w:rsidR="00DB199F">
        <w:br/>
      </w:r>
    </w:p>
    <w:p w:rsidR="00DB199F" w:rsidRDefault="00DB199F" w:rsidP="00DB199F">
      <w:pPr>
        <w:spacing w:before="0" w:after="0"/>
      </w:pPr>
    </w:p>
    <w:p w:rsidR="00DB199F" w:rsidRPr="00DB199F" w:rsidRDefault="00DB199F" w:rsidP="00DB199F">
      <w:pPr>
        <w:tabs>
          <w:tab w:val="clear" w:pos="1440"/>
          <w:tab w:val="left" w:pos="0"/>
        </w:tabs>
        <w:spacing w:before="0" w:after="0" w:line="240" w:lineRule="auto"/>
        <w:jc w:val="both"/>
        <w:rPr>
          <w:rFonts w:eastAsia="SimSun"/>
          <w:szCs w:val="24"/>
        </w:rPr>
      </w:pPr>
      <w:r w:rsidRPr="00DB199F">
        <w:rPr>
          <w:szCs w:val="24"/>
        </w:rPr>
        <w:t xml:space="preserve">Date:  </w:t>
      </w:r>
      <w:r>
        <w:rPr>
          <w:szCs w:val="24"/>
          <w:u w:val="single"/>
        </w:rPr>
        <w:t>July 3, 2017</w:t>
      </w:r>
      <w:r>
        <w:rPr>
          <w:szCs w:val="24"/>
        </w:rPr>
        <w:tab/>
      </w:r>
      <w:r w:rsidRPr="00DB199F">
        <w:rPr>
          <w:rFonts w:eastAsia="SimSun"/>
          <w:szCs w:val="24"/>
        </w:rPr>
        <w:tab/>
      </w:r>
      <w:r w:rsidRPr="00DB199F">
        <w:rPr>
          <w:rFonts w:eastAsia="SimSun"/>
          <w:szCs w:val="24"/>
        </w:rPr>
        <w:tab/>
      </w:r>
      <w:r w:rsidRPr="00DB199F">
        <w:rPr>
          <w:rFonts w:eastAsia="SimSun"/>
          <w:szCs w:val="24"/>
        </w:rPr>
        <w:tab/>
      </w:r>
      <w:r w:rsidRPr="00DB199F">
        <w:rPr>
          <w:rFonts w:eastAsia="SimSun"/>
          <w:szCs w:val="24"/>
        </w:rPr>
        <w:tab/>
        <w:t>____________________________________</w:t>
      </w:r>
    </w:p>
    <w:p w:rsidR="00DB199F" w:rsidRPr="00DB199F" w:rsidRDefault="00DB199F" w:rsidP="00DB199F">
      <w:pPr>
        <w:tabs>
          <w:tab w:val="clear" w:pos="1440"/>
          <w:tab w:val="left" w:pos="0"/>
        </w:tabs>
        <w:spacing w:before="0" w:after="0" w:line="240" w:lineRule="auto"/>
        <w:jc w:val="both"/>
        <w:rPr>
          <w:rFonts w:eastAsia="SimSun"/>
          <w:szCs w:val="24"/>
        </w:rPr>
      </w:pPr>
      <w:r w:rsidRPr="00DB199F">
        <w:rPr>
          <w:rFonts w:eastAsia="SimSun"/>
          <w:szCs w:val="24"/>
        </w:rPr>
        <w:tab/>
      </w:r>
      <w:r w:rsidRPr="00DB199F">
        <w:rPr>
          <w:rFonts w:eastAsia="SimSun"/>
          <w:szCs w:val="24"/>
        </w:rPr>
        <w:tab/>
      </w:r>
      <w:r w:rsidRPr="00DB199F">
        <w:rPr>
          <w:rFonts w:eastAsia="SimSun"/>
          <w:szCs w:val="24"/>
        </w:rPr>
        <w:tab/>
      </w:r>
      <w:r w:rsidRPr="00DB199F">
        <w:rPr>
          <w:rFonts w:eastAsia="SimSun"/>
          <w:szCs w:val="24"/>
        </w:rPr>
        <w:tab/>
      </w:r>
      <w:r w:rsidRPr="00DB199F">
        <w:rPr>
          <w:rFonts w:eastAsia="SimSun"/>
          <w:szCs w:val="24"/>
        </w:rPr>
        <w:tab/>
      </w:r>
      <w:r w:rsidRPr="00DB199F">
        <w:rPr>
          <w:rFonts w:eastAsia="SimSun"/>
          <w:szCs w:val="24"/>
        </w:rPr>
        <w:tab/>
      </w:r>
      <w:r w:rsidRPr="00DB199F">
        <w:rPr>
          <w:rFonts w:eastAsia="SimSun"/>
          <w:szCs w:val="24"/>
        </w:rPr>
        <w:tab/>
        <w:t>Mary D. Long</w:t>
      </w:r>
    </w:p>
    <w:p w:rsidR="00DB199F" w:rsidRDefault="00DB199F" w:rsidP="00DB199F">
      <w:pPr>
        <w:tabs>
          <w:tab w:val="clear" w:pos="1440"/>
          <w:tab w:val="left" w:pos="0"/>
        </w:tabs>
        <w:spacing w:before="0" w:after="0" w:line="240" w:lineRule="auto"/>
        <w:jc w:val="both"/>
        <w:rPr>
          <w:rFonts w:eastAsia="SimSun"/>
          <w:szCs w:val="24"/>
        </w:rPr>
      </w:pPr>
      <w:r w:rsidRPr="00DB199F">
        <w:rPr>
          <w:rFonts w:eastAsia="SimSun"/>
          <w:szCs w:val="24"/>
        </w:rPr>
        <w:tab/>
      </w:r>
      <w:r w:rsidRPr="00DB199F">
        <w:rPr>
          <w:rFonts w:eastAsia="SimSun"/>
          <w:szCs w:val="24"/>
        </w:rPr>
        <w:tab/>
      </w:r>
      <w:r w:rsidRPr="00DB199F">
        <w:rPr>
          <w:rFonts w:eastAsia="SimSun"/>
          <w:szCs w:val="24"/>
        </w:rPr>
        <w:tab/>
      </w:r>
      <w:r w:rsidRPr="00DB199F">
        <w:rPr>
          <w:rFonts w:eastAsia="SimSun"/>
          <w:szCs w:val="24"/>
        </w:rPr>
        <w:tab/>
      </w:r>
      <w:r w:rsidRPr="00DB199F">
        <w:rPr>
          <w:rFonts w:eastAsia="SimSun"/>
          <w:szCs w:val="24"/>
        </w:rPr>
        <w:tab/>
      </w:r>
      <w:r w:rsidRPr="00DB199F">
        <w:rPr>
          <w:rFonts w:eastAsia="SimSun"/>
          <w:szCs w:val="24"/>
        </w:rPr>
        <w:tab/>
      </w:r>
      <w:r w:rsidRPr="00DB199F">
        <w:rPr>
          <w:rFonts w:eastAsia="SimSun"/>
          <w:szCs w:val="24"/>
        </w:rPr>
        <w:tab/>
        <w:t>Administrative Law Judge</w:t>
      </w:r>
    </w:p>
    <w:p w:rsidR="00DB199F" w:rsidRDefault="00DB199F" w:rsidP="00DB199F">
      <w:pPr>
        <w:tabs>
          <w:tab w:val="clear" w:pos="1440"/>
          <w:tab w:val="left" w:pos="0"/>
        </w:tabs>
        <w:spacing w:before="0" w:after="0" w:line="240" w:lineRule="auto"/>
        <w:jc w:val="both"/>
        <w:rPr>
          <w:rFonts w:eastAsia="SimSun"/>
          <w:szCs w:val="24"/>
        </w:rPr>
      </w:pPr>
    </w:p>
    <w:p w:rsidR="00DB199F" w:rsidRDefault="00DB199F">
      <w:pPr>
        <w:tabs>
          <w:tab w:val="clear" w:pos="1440"/>
        </w:tabs>
        <w:spacing w:before="0" w:after="0"/>
        <w:rPr>
          <w:rFonts w:eastAsia="SimSun"/>
          <w:szCs w:val="24"/>
        </w:rPr>
      </w:pPr>
      <w:r>
        <w:rPr>
          <w:rFonts w:eastAsia="SimSun"/>
          <w:szCs w:val="24"/>
        </w:rPr>
        <w:br w:type="page"/>
      </w:r>
    </w:p>
    <w:p w:rsidR="00DB199F" w:rsidRDefault="00DB199F" w:rsidP="00DB199F">
      <w:pPr>
        <w:tabs>
          <w:tab w:val="clear" w:pos="1440"/>
          <w:tab w:val="left" w:pos="0"/>
        </w:tabs>
        <w:spacing w:before="0" w:after="0" w:line="240" w:lineRule="auto"/>
        <w:jc w:val="both"/>
        <w:rPr>
          <w:rFonts w:eastAsia="SimSun"/>
          <w:szCs w:val="24"/>
        </w:rPr>
        <w:sectPr w:rsidR="00DB199F" w:rsidSect="00361159">
          <w:footerReference w:type="default" r:id="rId8"/>
          <w:pgSz w:w="12240" w:h="15840"/>
          <w:pgMar w:top="1440" w:right="1440" w:bottom="1440" w:left="1440" w:header="720" w:footer="720" w:gutter="0"/>
          <w:cols w:space="720"/>
          <w:titlePg/>
          <w:docGrid w:linePitch="360"/>
        </w:sectPr>
      </w:pPr>
    </w:p>
    <w:p w:rsidR="00DB199F" w:rsidRPr="00DB199F" w:rsidRDefault="00DB199F" w:rsidP="00DB199F">
      <w:pPr>
        <w:tabs>
          <w:tab w:val="clear" w:pos="1440"/>
        </w:tabs>
        <w:spacing w:before="0" w:after="0" w:line="240" w:lineRule="auto"/>
        <w:contextualSpacing/>
        <w:rPr>
          <w:rFonts w:ascii="Microsoft Sans Serif" w:eastAsiaTheme="minorEastAsia" w:hAnsiTheme="minorHAnsi" w:cstheme="minorBidi"/>
          <w:b/>
          <w:szCs w:val="22"/>
          <w:u w:val="single"/>
        </w:rPr>
      </w:pPr>
      <w:r w:rsidRPr="00DB199F">
        <w:rPr>
          <w:rFonts w:ascii="Microsoft Sans Serif" w:eastAsiaTheme="minorEastAsia" w:hAnsiTheme="minorHAnsi" w:cstheme="minorBidi"/>
          <w:b/>
          <w:szCs w:val="22"/>
          <w:u w:val="single"/>
        </w:rPr>
        <w:lastRenderedPageBreak/>
        <w:t>C-2016-2565520 - HOWARD WEIGHTMAN v. PENNSYLVANIA ELECTRIC COMPANY</w:t>
      </w:r>
      <w:r w:rsidRPr="00DB199F">
        <w:rPr>
          <w:rFonts w:ascii="Microsoft Sans Serif" w:eastAsiaTheme="minorEastAsia" w:hAnsiTheme="minorHAnsi" w:cstheme="minorBidi"/>
          <w:b/>
          <w:szCs w:val="22"/>
          <w:u w:val="single"/>
        </w:rPr>
        <w:cr/>
      </w:r>
      <w:r w:rsidRPr="00DB199F">
        <w:rPr>
          <w:rFonts w:ascii="Microsoft Sans Serif" w:eastAsiaTheme="minorEastAsia" w:hAnsiTheme="minorHAnsi" w:cstheme="minorBidi"/>
          <w:b/>
          <w:szCs w:val="22"/>
          <w:u w:val="single"/>
        </w:rPr>
        <w:cr/>
      </w:r>
      <w:r w:rsidRPr="00DB199F">
        <w:rPr>
          <w:rFonts w:ascii="Microsoft Sans Serif" w:eastAsiaTheme="minorEastAsia" w:hAnsiTheme="minorHAnsi" w:cstheme="minorBidi"/>
          <w:i/>
          <w:szCs w:val="22"/>
        </w:rPr>
        <w:t>(Revised 3/16/17)</w:t>
      </w:r>
    </w:p>
    <w:p w:rsidR="00DB199F" w:rsidRPr="00DB199F" w:rsidRDefault="00DB199F" w:rsidP="00DB199F">
      <w:pPr>
        <w:tabs>
          <w:tab w:val="clear" w:pos="1440"/>
        </w:tabs>
        <w:spacing w:before="0" w:after="0" w:line="240" w:lineRule="auto"/>
        <w:contextualSpacing/>
        <w:rPr>
          <w:rFonts w:ascii="Microsoft Sans Serif" w:eastAsiaTheme="minorEastAsia" w:hAnsiTheme="minorHAnsi" w:cstheme="minorBidi"/>
          <w:b/>
          <w:szCs w:val="22"/>
          <w:u w:val="single"/>
        </w:rPr>
      </w:pPr>
    </w:p>
    <w:p w:rsidR="00DB199F" w:rsidRPr="00DB199F" w:rsidRDefault="00DB199F" w:rsidP="00DB199F">
      <w:pPr>
        <w:tabs>
          <w:tab w:val="clear" w:pos="1440"/>
        </w:tabs>
        <w:spacing w:before="0" w:after="0" w:line="240" w:lineRule="auto"/>
        <w:contextualSpacing/>
        <w:rPr>
          <w:rFonts w:ascii="Microsoft Sans Serif" w:eastAsiaTheme="minorEastAsia" w:hAnsiTheme="minorHAnsi" w:cstheme="minorBidi"/>
          <w:szCs w:val="22"/>
        </w:rPr>
      </w:pPr>
      <w:r w:rsidRPr="00DB199F">
        <w:rPr>
          <w:rFonts w:ascii="Microsoft Sans Serif" w:eastAsiaTheme="minorEastAsia" w:hAnsiTheme="minorHAnsi" w:cstheme="minorBidi"/>
          <w:szCs w:val="22"/>
        </w:rPr>
        <w:t>HOWARD E WEIGHTMAN</w:t>
      </w:r>
    </w:p>
    <w:p w:rsidR="00DB199F" w:rsidRPr="00DB199F" w:rsidRDefault="00DB199F" w:rsidP="00DB199F">
      <w:pPr>
        <w:tabs>
          <w:tab w:val="clear" w:pos="1440"/>
        </w:tabs>
        <w:spacing w:before="0" w:after="0" w:line="240" w:lineRule="auto"/>
        <w:contextualSpacing/>
        <w:rPr>
          <w:rFonts w:ascii="Microsoft Sans Serif" w:eastAsiaTheme="minorEastAsia" w:hAnsiTheme="minorHAnsi" w:cstheme="minorBidi"/>
          <w:szCs w:val="22"/>
        </w:rPr>
      </w:pPr>
      <w:r w:rsidRPr="00DB199F">
        <w:rPr>
          <w:rFonts w:ascii="Microsoft Sans Serif" w:eastAsiaTheme="minorEastAsia" w:hAnsiTheme="minorHAnsi" w:cstheme="minorBidi"/>
          <w:szCs w:val="22"/>
        </w:rPr>
        <w:t>3192 MAIN ROAD</w:t>
      </w:r>
    </w:p>
    <w:p w:rsidR="00DB199F" w:rsidRPr="00DB199F" w:rsidRDefault="00DB199F" w:rsidP="00DB199F">
      <w:pPr>
        <w:tabs>
          <w:tab w:val="clear" w:pos="1440"/>
        </w:tabs>
        <w:spacing w:before="0" w:after="0" w:line="240" w:lineRule="auto"/>
        <w:contextualSpacing/>
        <w:rPr>
          <w:rFonts w:ascii="Microsoft Sans Serif" w:eastAsiaTheme="minorEastAsia" w:hAnsiTheme="minorHAnsi" w:cstheme="minorBidi"/>
          <w:szCs w:val="22"/>
        </w:rPr>
      </w:pPr>
      <w:r w:rsidRPr="00DB199F">
        <w:rPr>
          <w:rFonts w:ascii="Microsoft Sans Serif" w:eastAsiaTheme="minorEastAsia" w:hAnsiTheme="minorHAnsi" w:cstheme="minorBidi"/>
          <w:szCs w:val="22"/>
        </w:rPr>
        <w:t>BEDFORD PA  15522</w:t>
      </w:r>
    </w:p>
    <w:p w:rsidR="00DB199F" w:rsidRPr="00DB199F" w:rsidRDefault="00DB199F" w:rsidP="00DB199F">
      <w:pPr>
        <w:tabs>
          <w:tab w:val="clear" w:pos="1440"/>
        </w:tabs>
        <w:spacing w:before="0" w:after="0" w:line="240" w:lineRule="auto"/>
        <w:contextualSpacing/>
        <w:rPr>
          <w:rFonts w:ascii="Microsoft Sans Serif" w:eastAsiaTheme="minorEastAsia" w:hAnsiTheme="minorHAnsi" w:cstheme="minorBidi"/>
          <w:b/>
          <w:szCs w:val="22"/>
        </w:rPr>
      </w:pPr>
      <w:r w:rsidRPr="00DB199F">
        <w:rPr>
          <w:rFonts w:ascii="Microsoft Sans Serif" w:eastAsiaTheme="minorEastAsia" w:hAnsiTheme="minorHAnsi" w:cstheme="minorBidi"/>
          <w:b/>
          <w:szCs w:val="22"/>
        </w:rPr>
        <w:t>814.979.7717</w:t>
      </w:r>
    </w:p>
    <w:p w:rsidR="00DB199F" w:rsidRPr="00DB199F" w:rsidRDefault="00DB199F" w:rsidP="00DB199F">
      <w:pPr>
        <w:tabs>
          <w:tab w:val="clear" w:pos="1440"/>
        </w:tabs>
        <w:spacing w:before="0" w:after="0" w:line="240" w:lineRule="auto"/>
        <w:contextualSpacing/>
        <w:rPr>
          <w:rFonts w:ascii="Microsoft Sans Serif" w:eastAsiaTheme="minorEastAsia" w:hAnsiTheme="minorHAnsi" w:cstheme="minorBidi"/>
          <w:b/>
          <w:szCs w:val="22"/>
        </w:rPr>
      </w:pPr>
    </w:p>
    <w:p w:rsidR="00DB199F" w:rsidRPr="00DB199F" w:rsidRDefault="00DB199F" w:rsidP="00DB199F">
      <w:pPr>
        <w:tabs>
          <w:tab w:val="clear" w:pos="1440"/>
        </w:tabs>
        <w:spacing w:before="0" w:after="0" w:line="240" w:lineRule="auto"/>
        <w:contextualSpacing/>
        <w:rPr>
          <w:rFonts w:ascii="Microsoft Sans Serif" w:eastAsiaTheme="minorEastAsia" w:hAnsiTheme="minorHAnsi" w:cstheme="minorBidi"/>
          <w:b/>
          <w:szCs w:val="22"/>
        </w:rPr>
      </w:pPr>
      <w:r w:rsidRPr="00DB199F">
        <w:rPr>
          <w:rFonts w:ascii="Microsoft Sans Serif" w:eastAsiaTheme="minorEastAsia" w:hAnsiTheme="minorHAnsi" w:cstheme="minorBidi"/>
          <w:szCs w:val="22"/>
        </w:rPr>
        <w:t>MARGARET A MORRIS ESQUIRE</w:t>
      </w:r>
      <w:r w:rsidRPr="00DB199F">
        <w:rPr>
          <w:rFonts w:ascii="Microsoft Sans Serif" w:eastAsiaTheme="minorEastAsia" w:hAnsiTheme="minorHAnsi" w:cstheme="minorBidi"/>
          <w:szCs w:val="22"/>
        </w:rPr>
        <w:cr/>
        <w:t>REGER RIZZO &amp; DARNALL</w:t>
      </w:r>
      <w:r w:rsidRPr="00DB199F">
        <w:rPr>
          <w:rFonts w:ascii="Microsoft Sans Serif" w:eastAsiaTheme="minorEastAsia" w:hAnsiTheme="minorHAnsi" w:cstheme="minorBidi"/>
          <w:szCs w:val="22"/>
        </w:rPr>
        <w:cr/>
        <w:t>2929 ARCH STREET 13TH FLOOR</w:t>
      </w:r>
      <w:r w:rsidRPr="00DB199F">
        <w:rPr>
          <w:rFonts w:ascii="Microsoft Sans Serif" w:eastAsiaTheme="minorEastAsia" w:hAnsiTheme="minorHAnsi" w:cstheme="minorBidi"/>
          <w:szCs w:val="22"/>
        </w:rPr>
        <w:cr/>
        <w:t>PHILADELPHIA PA  19104</w:t>
      </w:r>
      <w:r w:rsidRPr="00DB199F">
        <w:rPr>
          <w:rFonts w:ascii="Microsoft Sans Serif" w:eastAsiaTheme="minorEastAsia" w:hAnsiTheme="minorHAnsi" w:cstheme="minorBidi"/>
          <w:szCs w:val="22"/>
        </w:rPr>
        <w:cr/>
      </w:r>
      <w:r w:rsidRPr="00DB199F">
        <w:rPr>
          <w:rFonts w:ascii="Microsoft Sans Serif" w:eastAsiaTheme="minorEastAsia" w:hAnsiTheme="minorHAnsi" w:cstheme="minorBidi"/>
          <w:b/>
          <w:szCs w:val="22"/>
        </w:rPr>
        <w:t>215.495.6524</w:t>
      </w:r>
      <w:r w:rsidRPr="00DB199F">
        <w:rPr>
          <w:rFonts w:ascii="Microsoft Sans Serif" w:eastAsiaTheme="minorEastAsia" w:hAnsiTheme="minorHAnsi" w:cstheme="minorBidi"/>
          <w:b/>
          <w:szCs w:val="22"/>
        </w:rPr>
        <w:cr/>
      </w:r>
      <w:r w:rsidRPr="00DB199F">
        <w:rPr>
          <w:rFonts w:ascii="Microsoft Sans Serif" w:eastAsiaTheme="minorEastAsia" w:hAnsi="Microsoft Sans Serif" w:cs="Microsoft Sans Serif"/>
          <w:i/>
          <w:szCs w:val="24"/>
        </w:rPr>
        <w:t>Accepts E-service</w:t>
      </w:r>
    </w:p>
    <w:p w:rsidR="00DB199F" w:rsidRPr="00DB199F" w:rsidRDefault="00DB199F" w:rsidP="00DB199F">
      <w:pPr>
        <w:tabs>
          <w:tab w:val="clear" w:pos="1440"/>
        </w:tabs>
        <w:spacing w:before="0" w:after="0" w:line="240" w:lineRule="auto"/>
        <w:contextualSpacing/>
        <w:rPr>
          <w:rFonts w:ascii="Microsoft Sans Serif" w:eastAsiaTheme="minorEastAsia" w:hAnsi="Microsoft Sans Serif" w:cs="Microsoft Sans Serif"/>
          <w:i/>
          <w:szCs w:val="24"/>
        </w:rPr>
      </w:pPr>
      <w:r w:rsidRPr="00DB199F">
        <w:rPr>
          <w:rFonts w:ascii="Microsoft Sans Serif" w:eastAsiaTheme="minorEastAsia" w:hAnsi="Microsoft Sans Serif" w:cs="Microsoft Sans Serif"/>
          <w:i/>
          <w:szCs w:val="24"/>
        </w:rPr>
        <w:t>Representing Pennsylvania Electric Company</w:t>
      </w:r>
    </w:p>
    <w:p w:rsidR="00DB199F" w:rsidRPr="00DB199F" w:rsidRDefault="00DB199F" w:rsidP="00DB199F">
      <w:pPr>
        <w:tabs>
          <w:tab w:val="clear" w:pos="1440"/>
          <w:tab w:val="left" w:pos="0"/>
        </w:tabs>
        <w:spacing w:before="0" w:after="0" w:line="240" w:lineRule="auto"/>
        <w:jc w:val="both"/>
        <w:rPr>
          <w:rFonts w:eastAsia="SimSun"/>
          <w:szCs w:val="24"/>
        </w:rPr>
      </w:pPr>
    </w:p>
    <w:p w:rsidR="00DB199F" w:rsidRPr="00883C4B" w:rsidRDefault="00DB199F" w:rsidP="00DB199F">
      <w:pPr>
        <w:spacing w:before="0" w:after="0"/>
      </w:pPr>
    </w:p>
    <w:sectPr w:rsidR="00DB199F" w:rsidRPr="00883C4B" w:rsidSect="00DB199F">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12A" w:rsidRDefault="00F3512A" w:rsidP="00007A8F">
      <w:pPr>
        <w:spacing w:before="0" w:after="0" w:line="240" w:lineRule="auto"/>
      </w:pPr>
      <w:r>
        <w:separator/>
      </w:r>
    </w:p>
  </w:endnote>
  <w:endnote w:type="continuationSeparator" w:id="0">
    <w:p w:rsidR="00F3512A" w:rsidRDefault="00F3512A" w:rsidP="00007A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691832"/>
      <w:docPartObj>
        <w:docPartGallery w:val="Page Numbers (Bottom of Page)"/>
        <w:docPartUnique/>
      </w:docPartObj>
    </w:sdtPr>
    <w:sdtEndPr>
      <w:rPr>
        <w:noProof/>
        <w:sz w:val="20"/>
      </w:rPr>
    </w:sdtEndPr>
    <w:sdtContent>
      <w:p w:rsidR="0072566A" w:rsidRPr="00DB199F" w:rsidRDefault="0072566A">
        <w:pPr>
          <w:pStyle w:val="Footer"/>
          <w:jc w:val="center"/>
          <w:rPr>
            <w:sz w:val="20"/>
          </w:rPr>
        </w:pPr>
        <w:r w:rsidRPr="00DB199F">
          <w:rPr>
            <w:sz w:val="20"/>
          </w:rPr>
          <w:fldChar w:fldCharType="begin"/>
        </w:r>
        <w:r w:rsidRPr="00DB199F">
          <w:rPr>
            <w:sz w:val="20"/>
          </w:rPr>
          <w:instrText xml:space="preserve"> PAGE   \* MERGEFORMAT </w:instrText>
        </w:r>
        <w:r w:rsidRPr="00DB199F">
          <w:rPr>
            <w:sz w:val="20"/>
          </w:rPr>
          <w:fldChar w:fldCharType="separate"/>
        </w:r>
        <w:r w:rsidR="00CD47B3">
          <w:rPr>
            <w:noProof/>
            <w:sz w:val="20"/>
          </w:rPr>
          <w:t>2</w:t>
        </w:r>
        <w:r w:rsidRPr="00DB199F">
          <w:rPr>
            <w:noProof/>
            <w:sz w:val="20"/>
          </w:rPr>
          <w:fldChar w:fldCharType="end"/>
        </w:r>
      </w:p>
    </w:sdtContent>
  </w:sdt>
  <w:p w:rsidR="0072566A" w:rsidRDefault="00725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12A" w:rsidRDefault="00F3512A" w:rsidP="00007A8F">
      <w:pPr>
        <w:spacing w:before="0" w:after="0" w:line="240" w:lineRule="auto"/>
      </w:pPr>
      <w:r>
        <w:separator/>
      </w:r>
    </w:p>
  </w:footnote>
  <w:footnote w:type="continuationSeparator" w:id="0">
    <w:p w:rsidR="00F3512A" w:rsidRDefault="00F3512A" w:rsidP="00007A8F">
      <w:pPr>
        <w:spacing w:before="0" w:after="0" w:line="240" w:lineRule="auto"/>
      </w:pPr>
      <w:r>
        <w:continuationSeparator/>
      </w:r>
    </w:p>
  </w:footnote>
  <w:footnote w:id="1">
    <w:p w:rsidR="00007A8F" w:rsidRDefault="00007A8F" w:rsidP="00853208">
      <w:pPr>
        <w:pStyle w:val="FootnoteText"/>
        <w:spacing w:line="240" w:lineRule="auto"/>
      </w:pPr>
      <w:r>
        <w:rPr>
          <w:rStyle w:val="FootnoteReference"/>
        </w:rPr>
        <w:footnoteRef/>
      </w:r>
      <w:r>
        <w:t xml:space="preserve">  </w:t>
      </w:r>
      <w:r>
        <w:tab/>
        <w:t xml:space="preserve">For a full recitation of the procedural history in this case, the reader is directed to interim orders dated </w:t>
      </w:r>
      <w:r w:rsidR="00D261D1">
        <w:t>May </w:t>
      </w:r>
      <w:r w:rsidR="0041226B">
        <w:t xml:space="preserve">23, 2017; </w:t>
      </w:r>
      <w:r w:rsidR="004E450D">
        <w:t>April 21, 2017; February 23, 2017; and February 6, 2017.</w:t>
      </w:r>
    </w:p>
  </w:footnote>
  <w:footnote w:id="2">
    <w:p w:rsidR="00556DE3" w:rsidRDefault="00556DE3" w:rsidP="00CD47B3">
      <w:pPr>
        <w:pStyle w:val="FootnoteText"/>
        <w:spacing w:line="240" w:lineRule="auto"/>
      </w:pPr>
      <w:r w:rsidRPr="00DA5A48">
        <w:rPr>
          <w:rStyle w:val="FootnoteReference"/>
        </w:rPr>
        <w:footnoteRef/>
      </w:r>
      <w:r>
        <w:t xml:space="preserve">  </w:t>
      </w:r>
      <w:r>
        <w:tab/>
      </w:r>
      <w:proofErr w:type="spellStart"/>
      <w:r w:rsidRPr="00884BF5">
        <w:rPr>
          <w:i/>
        </w:rPr>
        <w:t>Koken</w:t>
      </w:r>
      <w:proofErr w:type="spellEnd"/>
      <w:r w:rsidRPr="00884BF5">
        <w:rPr>
          <w:i/>
        </w:rPr>
        <w:t xml:space="preserve"> v</w:t>
      </w:r>
      <w:proofErr w:type="gramStart"/>
      <w:r w:rsidRPr="00884BF5">
        <w:rPr>
          <w:i/>
        </w:rPr>
        <w:t xml:space="preserve">. </w:t>
      </w:r>
      <w:proofErr w:type="gramEnd"/>
      <w:r w:rsidRPr="00884BF5">
        <w:rPr>
          <w:i/>
        </w:rPr>
        <w:t>One Beacon Ins. Co</w:t>
      </w:r>
      <w:r w:rsidRPr="00884BF5">
        <w:t>., 911 A.2d 1021, 1025 (Pa</w:t>
      </w:r>
      <w:r>
        <w:t>.Cmwlth.</w:t>
      </w:r>
      <w:r w:rsidRPr="00884BF5">
        <w:t xml:space="preserve"> 2006)</w:t>
      </w:r>
    </w:p>
    <w:p w:rsidR="00556DE3" w:rsidRDefault="00556DE3" w:rsidP="00CD47B3">
      <w:pPr>
        <w:pStyle w:val="FootnoteText"/>
        <w:spacing w:line="240" w:lineRule="auto"/>
      </w:pPr>
    </w:p>
  </w:footnote>
  <w:footnote w:id="3">
    <w:p w:rsidR="00556DE3" w:rsidRDefault="00556DE3" w:rsidP="00CD47B3">
      <w:pPr>
        <w:pStyle w:val="FootnoteText"/>
        <w:spacing w:line="240" w:lineRule="auto"/>
      </w:pPr>
      <w:r w:rsidRPr="00DA5A48">
        <w:rPr>
          <w:rStyle w:val="FootnoteReference"/>
        </w:rPr>
        <w:footnoteRef/>
      </w:r>
      <w:r>
        <w:t xml:space="preserve">  </w:t>
      </w:r>
      <w:r>
        <w:tab/>
        <w:t>Id.</w:t>
      </w:r>
    </w:p>
    <w:p w:rsidR="00D60E48" w:rsidRPr="00E74E3E" w:rsidRDefault="00D60E48" w:rsidP="009522D6">
      <w:pPr>
        <w:pStyle w:val="FootnoteText"/>
      </w:pPr>
    </w:p>
  </w:footnote>
  <w:footnote w:id="4">
    <w:p w:rsidR="00BF09E8" w:rsidRDefault="00BF09E8" w:rsidP="009522D6">
      <w:pPr>
        <w:pStyle w:val="FootnoteText"/>
        <w:spacing w:line="240" w:lineRule="auto"/>
      </w:pPr>
      <w:r w:rsidRPr="00DA5A48">
        <w:rPr>
          <w:rStyle w:val="FootnoteReference"/>
        </w:rPr>
        <w:footnoteRef/>
      </w:r>
      <w:r>
        <w:t xml:space="preserve">  </w:t>
      </w:r>
      <w:r>
        <w:tab/>
        <w:t>52 Pa.Code § 5.321(c).</w:t>
      </w:r>
    </w:p>
    <w:p w:rsidR="00BF09E8" w:rsidRDefault="00BF09E8" w:rsidP="009522D6">
      <w:pPr>
        <w:pStyle w:val="FootnoteText"/>
        <w:spacing w:line="240" w:lineRule="auto"/>
      </w:pPr>
    </w:p>
  </w:footnote>
  <w:footnote w:id="5">
    <w:p w:rsidR="00BF09E8" w:rsidRDefault="00BF09E8" w:rsidP="009522D6">
      <w:pPr>
        <w:pStyle w:val="FootnoteText"/>
        <w:spacing w:line="240" w:lineRule="auto"/>
      </w:pPr>
      <w:r w:rsidRPr="00DA5A48">
        <w:rPr>
          <w:rStyle w:val="FootnoteReference"/>
        </w:rPr>
        <w:footnoteRef/>
      </w:r>
      <w:r>
        <w:t xml:space="preserve">  </w:t>
      </w:r>
      <w:r>
        <w:tab/>
      </w:r>
      <w:r>
        <w:rPr>
          <w:i/>
        </w:rPr>
        <w:t>See George v. Schirra,</w:t>
      </w:r>
      <w:r w:rsidR="000B00F9">
        <w:t xml:space="preserve"> </w:t>
      </w:r>
      <w:proofErr w:type="gramStart"/>
      <w:r w:rsidR="000B00F9">
        <w:t>814 A.2d 202, 205</w:t>
      </w:r>
      <w:proofErr w:type="gramEnd"/>
      <w:r w:rsidR="000B00F9">
        <w:t xml:space="preserve"> (Pa</w:t>
      </w:r>
      <w:r w:rsidR="009522D6">
        <w:t>.</w:t>
      </w:r>
      <w:r>
        <w:t>Super. 2002).</w:t>
      </w:r>
    </w:p>
    <w:p w:rsidR="00BF09E8" w:rsidRPr="00D32257" w:rsidRDefault="00BF09E8" w:rsidP="009522D6">
      <w:pPr>
        <w:pStyle w:val="FootnoteText"/>
        <w:spacing w:line="240" w:lineRule="auto"/>
      </w:pPr>
    </w:p>
  </w:footnote>
  <w:footnote w:id="6">
    <w:p w:rsidR="00BF09E8" w:rsidRDefault="00BF09E8" w:rsidP="009522D6">
      <w:pPr>
        <w:pStyle w:val="FootnoteText"/>
        <w:spacing w:line="240" w:lineRule="auto"/>
      </w:pPr>
      <w:r>
        <w:rPr>
          <w:rStyle w:val="FootnoteReference"/>
        </w:rPr>
        <w:footnoteRef/>
      </w:r>
      <w:r>
        <w:t xml:space="preserve"> </w:t>
      </w:r>
      <w:r w:rsidR="001838DA">
        <w:t xml:space="preserve"> </w:t>
      </w:r>
      <w:r w:rsidR="001838DA">
        <w:tab/>
        <w:t xml:space="preserve">E.g., </w:t>
      </w:r>
      <w:r w:rsidR="001838DA" w:rsidRPr="001838DA">
        <w:t>Pa. P.U.C. v</w:t>
      </w:r>
      <w:proofErr w:type="gramStart"/>
      <w:r w:rsidR="001838DA" w:rsidRPr="001838DA">
        <w:t xml:space="preserve">. </w:t>
      </w:r>
      <w:proofErr w:type="gramEnd"/>
      <w:r w:rsidR="001838DA" w:rsidRPr="001838DA">
        <w:t xml:space="preserve">The Peoples Natural Gas Company, 62 Pa. </w:t>
      </w:r>
      <w:r w:rsidR="001838DA">
        <w:t>PUC</w:t>
      </w:r>
      <w:r w:rsidR="009522D6">
        <w:t xml:space="preserve"> 56 (August 26, 1986);</w:t>
      </w:r>
      <w:r w:rsidR="001838DA" w:rsidRPr="001838DA">
        <w:t xml:space="preserve"> Pa. P.U.C. v. Equitable Gas Company, 61 Pa. PUC 468 (May 16, 1986).</w:t>
      </w:r>
    </w:p>
    <w:p w:rsidR="009522D6" w:rsidRDefault="009522D6" w:rsidP="009522D6">
      <w:pPr>
        <w:pStyle w:val="FootnoteText"/>
        <w:spacing w:line="240" w:lineRule="auto"/>
      </w:pPr>
    </w:p>
  </w:footnote>
  <w:footnote w:id="7">
    <w:p w:rsidR="00375400" w:rsidRDefault="00375400" w:rsidP="009522D6">
      <w:pPr>
        <w:pStyle w:val="FootnoteText"/>
        <w:spacing w:line="240" w:lineRule="auto"/>
      </w:pPr>
      <w:r>
        <w:rPr>
          <w:rStyle w:val="FootnoteReference"/>
        </w:rPr>
        <w:footnoteRef/>
      </w:r>
      <w:r>
        <w:t xml:space="preserve">  </w:t>
      </w:r>
      <w:r>
        <w:tab/>
        <w:t>See e.g., N.T. 27.</w:t>
      </w:r>
    </w:p>
    <w:p w:rsidR="009522D6" w:rsidRDefault="009522D6" w:rsidP="009522D6">
      <w:pPr>
        <w:pStyle w:val="FootnoteText"/>
        <w:spacing w:line="240" w:lineRule="auto"/>
      </w:pPr>
    </w:p>
  </w:footnote>
  <w:footnote w:id="8">
    <w:p w:rsidR="00194BD2" w:rsidRDefault="005B0BED" w:rsidP="009522D6">
      <w:pPr>
        <w:pStyle w:val="FootnoteText"/>
        <w:spacing w:line="240" w:lineRule="auto"/>
      </w:pPr>
      <w:r>
        <w:rPr>
          <w:rStyle w:val="FootnoteReference"/>
        </w:rPr>
        <w:footnoteRef/>
      </w:r>
      <w:r>
        <w:t xml:space="preserve">  </w:t>
      </w:r>
      <w:r>
        <w:tab/>
      </w:r>
      <w:r w:rsidR="00FF1B0A" w:rsidRPr="00FF1B0A">
        <w:t>Green v. Harmony House North 15</w:t>
      </w:r>
      <w:r w:rsidR="00FF1B0A" w:rsidRPr="00FF1B0A">
        <w:rPr>
          <w:vertAlign w:val="superscript"/>
        </w:rPr>
        <w:t>th</w:t>
      </w:r>
      <w:r w:rsidR="00FF1B0A" w:rsidRPr="00FF1B0A">
        <w:t xml:space="preserve"> Street Housing Assoc., Inc., 684 A.</w:t>
      </w:r>
      <w:r w:rsidR="00194BD2">
        <w:t>2d 1112, 1114 (Pa.</w:t>
      </w:r>
      <w:r w:rsidR="00FF1B0A">
        <w:t>C</w:t>
      </w:r>
      <w:r w:rsidR="00194BD2">
        <w:t>mwlth</w:t>
      </w:r>
      <w:r w:rsidR="00FF1B0A">
        <w:t>, 1996)</w:t>
      </w:r>
    </w:p>
    <w:p w:rsidR="005B0BED" w:rsidRDefault="00FF1B0A" w:rsidP="009522D6">
      <w:pPr>
        <w:pStyle w:val="FootnoteText"/>
        <w:spacing w:line="240" w:lineRule="auto"/>
      </w:pPr>
      <w:r>
        <w:t>(</w:t>
      </w:r>
      <w:r w:rsidRPr="00FF1B0A">
        <w:t xml:space="preserve">The right of self-representation is not a license not to comply with relevant rules of </w:t>
      </w:r>
      <w:r w:rsidR="00194BD2">
        <w:t>procedure and substantive law.)</w:t>
      </w:r>
    </w:p>
    <w:p w:rsidR="00DB199F" w:rsidRDefault="00DB199F" w:rsidP="009522D6">
      <w:pPr>
        <w:pStyle w:val="FootnoteText"/>
        <w:spacing w:line="240" w:lineRule="auto"/>
      </w:pPr>
    </w:p>
  </w:footnote>
  <w:footnote w:id="9">
    <w:p w:rsidR="00883C4B" w:rsidRDefault="00883C4B" w:rsidP="009522D6">
      <w:pPr>
        <w:pStyle w:val="FootnoteText"/>
      </w:pPr>
      <w:r>
        <w:rPr>
          <w:rStyle w:val="FootnoteReference"/>
        </w:rPr>
        <w:footnoteRef/>
      </w:r>
      <w:r>
        <w:t xml:space="preserve">  </w:t>
      </w:r>
      <w:r>
        <w:tab/>
      </w:r>
      <w:proofErr w:type="spellStart"/>
      <w:r w:rsidRPr="00883C4B">
        <w:t>Groch</w:t>
      </w:r>
      <w:proofErr w:type="spellEnd"/>
      <w:r w:rsidRPr="00883C4B">
        <w:t xml:space="preserve"> v. Commonwealth, Unemployment Compensation Bd. of Review</w:t>
      </w:r>
      <w:r>
        <w:t xml:space="preserve">, </w:t>
      </w:r>
      <w:r w:rsidRPr="00883C4B">
        <w:t>472 A.2d 286, 288</w:t>
      </w:r>
      <w:r w:rsidR="004E7A58">
        <w:t xml:space="preserve"> (Pa.</w:t>
      </w:r>
      <w:r w:rsidR="004E7A58" w:rsidRPr="004E7A58">
        <w:t>Cmwlth</w:t>
      </w:r>
      <w:r>
        <w:t xml:space="preserve">. </w:t>
      </w:r>
      <w:r w:rsidRPr="00883C4B">
        <w:t>1984)</w:t>
      </w:r>
      <w:r>
        <w:t>.</w:t>
      </w:r>
    </w:p>
  </w:footnote>
  <w:footnote w:id="10">
    <w:p w:rsidR="00323EE3" w:rsidRDefault="00323EE3" w:rsidP="00DB199F">
      <w:pPr>
        <w:pStyle w:val="FootnoteText"/>
        <w:spacing w:line="240" w:lineRule="auto"/>
      </w:pPr>
      <w:r>
        <w:rPr>
          <w:rStyle w:val="FootnoteReference"/>
        </w:rPr>
        <w:footnoteRef/>
      </w:r>
      <w:r>
        <w:t xml:space="preserve">  </w:t>
      </w:r>
      <w:r>
        <w:tab/>
        <w:t xml:space="preserve">See </w:t>
      </w:r>
      <w:r w:rsidRPr="003570C1">
        <w:rPr>
          <w:i/>
        </w:rPr>
        <w:t>B</w:t>
      </w:r>
      <w:hyperlink r:id="rId1" w:tgtFrame="x" w:tooltip="Clicking this link retrieves the full text document in another window" w:history="1">
        <w:r>
          <w:rPr>
            <w:i/>
          </w:rPr>
          <w:t>oyle v. Steiman,</w:t>
        </w:r>
        <w:r w:rsidRPr="003570C1">
          <w:rPr>
            <w:i/>
          </w:rPr>
          <w:t xml:space="preserve"> </w:t>
        </w:r>
        <w:r w:rsidR="00DB199F">
          <w:t>631 A.2d 1025, 1031 (Pa.</w:t>
        </w:r>
        <w:r w:rsidRPr="003570C1">
          <w:t>Super</w:t>
        </w:r>
        <w:proofErr w:type="gramStart"/>
        <w:r w:rsidRPr="003570C1">
          <w:t xml:space="preserve">. </w:t>
        </w:r>
        <w:proofErr w:type="gramEnd"/>
        <w:r w:rsidRPr="003570C1">
          <w:t>Ct. 1993)</w:t>
        </w:r>
      </w:hyperlink>
      <w:r>
        <w:t xml:space="preserve"> (“The purpose of discovery is to expedite litigation and not to provide an intermediate arena for jousting in the time between the pleadings and the actual trial.”)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F684F"/>
    <w:multiLevelType w:val="hybridMultilevel"/>
    <w:tmpl w:val="1B5E6776"/>
    <w:lvl w:ilvl="0" w:tplc="BB10EA5E">
      <w:start w:val="1"/>
      <w:numFmt w:val="decimal"/>
      <w:pStyle w:val="ListParagraph"/>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10"/>
  </w:num>
  <w:num w:numId="6">
    <w:abstractNumId w:val="7"/>
  </w:num>
  <w:num w:numId="7">
    <w:abstractNumId w:val="5"/>
  </w:num>
  <w:num w:numId="8">
    <w:abstractNumId w:val="25"/>
  </w:num>
  <w:num w:numId="9">
    <w:abstractNumId w:val="2"/>
  </w:num>
  <w:num w:numId="10">
    <w:abstractNumId w:val="18"/>
  </w:num>
  <w:num w:numId="11">
    <w:abstractNumId w:val="21"/>
  </w:num>
  <w:num w:numId="12">
    <w:abstractNumId w:val="14"/>
  </w:num>
  <w:num w:numId="13">
    <w:abstractNumId w:val="19"/>
  </w:num>
  <w:num w:numId="14">
    <w:abstractNumId w:val="23"/>
  </w:num>
  <w:num w:numId="15">
    <w:abstractNumId w:val="0"/>
  </w:num>
  <w:num w:numId="16">
    <w:abstractNumId w:val="17"/>
  </w:num>
  <w:num w:numId="17">
    <w:abstractNumId w:val="17"/>
  </w:num>
  <w:num w:numId="18">
    <w:abstractNumId w:val="9"/>
  </w:num>
  <w:num w:numId="19">
    <w:abstractNumId w:val="15"/>
  </w:num>
  <w:num w:numId="20">
    <w:abstractNumId w:val="27"/>
  </w:num>
  <w:num w:numId="21">
    <w:abstractNumId w:val="12"/>
  </w:num>
  <w:num w:numId="22">
    <w:abstractNumId w:val="4"/>
  </w:num>
  <w:num w:numId="23">
    <w:abstractNumId w:val="13"/>
  </w:num>
  <w:num w:numId="24">
    <w:abstractNumId w:val="28"/>
  </w:num>
  <w:num w:numId="25">
    <w:abstractNumId w:val="1"/>
  </w:num>
  <w:num w:numId="26">
    <w:abstractNumId w:val="6"/>
  </w:num>
  <w:num w:numId="27">
    <w:abstractNumId w:val="20"/>
  </w:num>
  <w:num w:numId="28">
    <w:abstractNumId w:val="11"/>
  </w:num>
  <w:num w:numId="29">
    <w:abstractNumId w:val="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71F"/>
    <w:rsid w:val="000020DF"/>
    <w:rsid w:val="00004C37"/>
    <w:rsid w:val="00007A8F"/>
    <w:rsid w:val="00007E8B"/>
    <w:rsid w:val="00022048"/>
    <w:rsid w:val="00066D87"/>
    <w:rsid w:val="000B00F9"/>
    <w:rsid w:val="000E3EDE"/>
    <w:rsid w:val="000F7FB3"/>
    <w:rsid w:val="00142748"/>
    <w:rsid w:val="001838DA"/>
    <w:rsid w:val="00194BD2"/>
    <w:rsid w:val="001A21B6"/>
    <w:rsid w:val="001B19A9"/>
    <w:rsid w:val="001B1CBA"/>
    <w:rsid w:val="001D2AF7"/>
    <w:rsid w:val="00207743"/>
    <w:rsid w:val="00213167"/>
    <w:rsid w:val="002203AF"/>
    <w:rsid w:val="002512F9"/>
    <w:rsid w:val="002A0578"/>
    <w:rsid w:val="002C3E01"/>
    <w:rsid w:val="002F571F"/>
    <w:rsid w:val="003145FA"/>
    <w:rsid w:val="00323EE3"/>
    <w:rsid w:val="00361159"/>
    <w:rsid w:val="00367A41"/>
    <w:rsid w:val="00375400"/>
    <w:rsid w:val="003830A8"/>
    <w:rsid w:val="00383979"/>
    <w:rsid w:val="00393C92"/>
    <w:rsid w:val="003A3E09"/>
    <w:rsid w:val="0041226B"/>
    <w:rsid w:val="004D2379"/>
    <w:rsid w:val="004D523C"/>
    <w:rsid w:val="004E450D"/>
    <w:rsid w:val="004E7A58"/>
    <w:rsid w:val="00556DE3"/>
    <w:rsid w:val="005677F9"/>
    <w:rsid w:val="005A1C17"/>
    <w:rsid w:val="005A2ABA"/>
    <w:rsid w:val="005B0BED"/>
    <w:rsid w:val="005D180A"/>
    <w:rsid w:val="005E7B69"/>
    <w:rsid w:val="0061775F"/>
    <w:rsid w:val="00651CD2"/>
    <w:rsid w:val="00653DEF"/>
    <w:rsid w:val="00696C0D"/>
    <w:rsid w:val="0069721C"/>
    <w:rsid w:val="006E7080"/>
    <w:rsid w:val="006F0329"/>
    <w:rsid w:val="00700807"/>
    <w:rsid w:val="00712E58"/>
    <w:rsid w:val="0072566A"/>
    <w:rsid w:val="007407AC"/>
    <w:rsid w:val="00792796"/>
    <w:rsid w:val="00796B64"/>
    <w:rsid w:val="007E6779"/>
    <w:rsid w:val="00820B4C"/>
    <w:rsid w:val="0083239D"/>
    <w:rsid w:val="008529D2"/>
    <w:rsid w:val="00853208"/>
    <w:rsid w:val="00883C4B"/>
    <w:rsid w:val="0090575A"/>
    <w:rsid w:val="00917DCA"/>
    <w:rsid w:val="009522D6"/>
    <w:rsid w:val="00984248"/>
    <w:rsid w:val="009A3CBF"/>
    <w:rsid w:val="009C7D4A"/>
    <w:rsid w:val="00A0052F"/>
    <w:rsid w:val="00A47096"/>
    <w:rsid w:val="00AA2EC5"/>
    <w:rsid w:val="00AA4750"/>
    <w:rsid w:val="00AB4C73"/>
    <w:rsid w:val="00AE6F47"/>
    <w:rsid w:val="00B16B13"/>
    <w:rsid w:val="00B855CE"/>
    <w:rsid w:val="00B91E47"/>
    <w:rsid w:val="00BA19FE"/>
    <w:rsid w:val="00BC6B21"/>
    <w:rsid w:val="00BF09E8"/>
    <w:rsid w:val="00C11585"/>
    <w:rsid w:val="00C87E57"/>
    <w:rsid w:val="00CD47B3"/>
    <w:rsid w:val="00CF6143"/>
    <w:rsid w:val="00D261D1"/>
    <w:rsid w:val="00D60E48"/>
    <w:rsid w:val="00DB199F"/>
    <w:rsid w:val="00DD5C37"/>
    <w:rsid w:val="00DE684A"/>
    <w:rsid w:val="00E4239A"/>
    <w:rsid w:val="00EC1CBA"/>
    <w:rsid w:val="00EE7801"/>
    <w:rsid w:val="00F11A19"/>
    <w:rsid w:val="00F16554"/>
    <w:rsid w:val="00F3512A"/>
    <w:rsid w:val="00F42DBB"/>
    <w:rsid w:val="00F42EE7"/>
    <w:rsid w:val="00F544E1"/>
    <w:rsid w:val="00FD5C10"/>
    <w:rsid w:val="00FF1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1F"/>
    <w:pPr>
      <w:tabs>
        <w:tab w:val="left" w:pos="1440"/>
      </w:tabs>
      <w:spacing w:before="360" w:after="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B00F9"/>
    <w:pPr>
      <w:numPr>
        <w:numId w:val="30"/>
      </w:numPr>
      <w:spacing w:before="0" w:after="0"/>
      <w:ind w:left="0" w:firstLine="1440"/>
    </w:pPr>
  </w:style>
  <w:style w:type="paragraph" w:styleId="FootnoteText">
    <w:name w:val="footnote text"/>
    <w:link w:val="FootnoteTextChar"/>
    <w:autoRedefine/>
    <w:uiPriority w:val="99"/>
    <w:unhideWhenUsed/>
    <w:qFormat/>
    <w:rsid w:val="009522D6"/>
    <w:rPr>
      <w:sz w:val="20"/>
    </w:rPr>
  </w:style>
  <w:style w:type="character" w:customStyle="1" w:styleId="FootnoteTextChar">
    <w:name w:val="Footnote Text Char"/>
    <w:basedOn w:val="DefaultParagraphFont"/>
    <w:link w:val="FootnoteText"/>
    <w:uiPriority w:val="99"/>
    <w:rsid w:val="009522D6"/>
    <w:rPr>
      <w:sz w:val="20"/>
    </w:rPr>
  </w:style>
  <w:style w:type="paragraph" w:styleId="EnvelopeReturn">
    <w:name w:val="envelope return"/>
    <w:basedOn w:val="Normal"/>
    <w:uiPriority w:val="99"/>
    <w:semiHidden/>
    <w:unhideWhenUsed/>
    <w:rsid w:val="00AE6F47"/>
    <w:pPr>
      <w:spacing w:before="0" w:after="0"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spacing w:before="0" w:after="0"/>
      <w:ind w:firstLine="720"/>
    </w:pPr>
  </w:style>
  <w:style w:type="paragraph" w:styleId="Title">
    <w:name w:val="Title"/>
    <w:basedOn w:val="Normal"/>
    <w:link w:val="TitleChar"/>
    <w:qFormat/>
    <w:rsid w:val="002F571F"/>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2F571F"/>
    <w:rPr>
      <w:rFonts w:eastAsia="SimSun"/>
      <w:b/>
    </w:rPr>
  </w:style>
  <w:style w:type="character" w:styleId="FootnoteReference">
    <w:name w:val="footnote reference"/>
    <w:basedOn w:val="DefaultParagraphFont"/>
    <w:uiPriority w:val="99"/>
    <w:semiHidden/>
    <w:unhideWhenUsed/>
    <w:rsid w:val="00007A8F"/>
    <w:rPr>
      <w:vertAlign w:val="superscript"/>
    </w:rPr>
  </w:style>
  <w:style w:type="paragraph" w:styleId="Header">
    <w:name w:val="header"/>
    <w:basedOn w:val="Normal"/>
    <w:link w:val="HeaderChar"/>
    <w:uiPriority w:val="99"/>
    <w:unhideWhenUsed/>
    <w:rsid w:val="0072566A"/>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2566A"/>
  </w:style>
  <w:style w:type="paragraph" w:styleId="Footer">
    <w:name w:val="footer"/>
    <w:basedOn w:val="Normal"/>
    <w:link w:val="FooterChar"/>
    <w:uiPriority w:val="99"/>
    <w:unhideWhenUsed/>
    <w:rsid w:val="0072566A"/>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72566A"/>
  </w:style>
  <w:style w:type="paragraph" w:styleId="BalloonText">
    <w:name w:val="Balloon Text"/>
    <w:basedOn w:val="Normal"/>
    <w:link w:val="BalloonTextChar"/>
    <w:uiPriority w:val="99"/>
    <w:semiHidden/>
    <w:unhideWhenUsed/>
    <w:rsid w:val="0098424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2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1F"/>
    <w:pPr>
      <w:tabs>
        <w:tab w:val="left" w:pos="1440"/>
      </w:tabs>
      <w:spacing w:before="360" w:after="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B00F9"/>
    <w:pPr>
      <w:numPr>
        <w:numId w:val="30"/>
      </w:numPr>
      <w:spacing w:before="0" w:after="0"/>
      <w:ind w:left="0" w:firstLine="1440"/>
    </w:pPr>
  </w:style>
  <w:style w:type="paragraph" w:styleId="FootnoteText">
    <w:name w:val="footnote text"/>
    <w:link w:val="FootnoteTextChar"/>
    <w:autoRedefine/>
    <w:uiPriority w:val="99"/>
    <w:unhideWhenUsed/>
    <w:qFormat/>
    <w:rsid w:val="009522D6"/>
    <w:rPr>
      <w:sz w:val="20"/>
    </w:rPr>
  </w:style>
  <w:style w:type="character" w:customStyle="1" w:styleId="FootnoteTextChar">
    <w:name w:val="Footnote Text Char"/>
    <w:basedOn w:val="DefaultParagraphFont"/>
    <w:link w:val="FootnoteText"/>
    <w:uiPriority w:val="99"/>
    <w:rsid w:val="009522D6"/>
    <w:rPr>
      <w:sz w:val="20"/>
    </w:rPr>
  </w:style>
  <w:style w:type="paragraph" w:styleId="EnvelopeReturn">
    <w:name w:val="envelope return"/>
    <w:basedOn w:val="Normal"/>
    <w:uiPriority w:val="99"/>
    <w:semiHidden/>
    <w:unhideWhenUsed/>
    <w:rsid w:val="00AE6F47"/>
    <w:pPr>
      <w:spacing w:before="0" w:after="0"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spacing w:before="0" w:after="0"/>
      <w:ind w:firstLine="720"/>
    </w:pPr>
  </w:style>
  <w:style w:type="paragraph" w:styleId="Title">
    <w:name w:val="Title"/>
    <w:basedOn w:val="Normal"/>
    <w:link w:val="TitleChar"/>
    <w:qFormat/>
    <w:rsid w:val="002F571F"/>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2F571F"/>
    <w:rPr>
      <w:rFonts w:eastAsia="SimSun"/>
      <w:b/>
    </w:rPr>
  </w:style>
  <w:style w:type="character" w:styleId="FootnoteReference">
    <w:name w:val="footnote reference"/>
    <w:basedOn w:val="DefaultParagraphFont"/>
    <w:uiPriority w:val="99"/>
    <w:semiHidden/>
    <w:unhideWhenUsed/>
    <w:rsid w:val="00007A8F"/>
    <w:rPr>
      <w:vertAlign w:val="superscript"/>
    </w:rPr>
  </w:style>
  <w:style w:type="paragraph" w:styleId="Header">
    <w:name w:val="header"/>
    <w:basedOn w:val="Normal"/>
    <w:link w:val="HeaderChar"/>
    <w:uiPriority w:val="99"/>
    <w:unhideWhenUsed/>
    <w:rsid w:val="0072566A"/>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2566A"/>
  </w:style>
  <w:style w:type="paragraph" w:styleId="Footer">
    <w:name w:val="footer"/>
    <w:basedOn w:val="Normal"/>
    <w:link w:val="FooterChar"/>
    <w:uiPriority w:val="99"/>
    <w:unhideWhenUsed/>
    <w:rsid w:val="0072566A"/>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72566A"/>
  </w:style>
  <w:style w:type="paragraph" w:styleId="BalloonText">
    <w:name w:val="Balloon Text"/>
    <w:basedOn w:val="Normal"/>
    <w:link w:val="BalloonTextChar"/>
    <w:uiPriority w:val="99"/>
    <w:semiHidden/>
    <w:unhideWhenUsed/>
    <w:rsid w:val="0098424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xlink?app=00075&amp;view=full&amp;searchtype=le&amp;search=429+Pa.+Super.+1%2520at%25201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6</cp:revision>
  <cp:lastPrinted>2017-07-03T15:03:00Z</cp:lastPrinted>
  <dcterms:created xsi:type="dcterms:W3CDTF">2017-07-03T13:37:00Z</dcterms:created>
  <dcterms:modified xsi:type="dcterms:W3CDTF">2017-07-03T15:09:00Z</dcterms:modified>
</cp:coreProperties>
</file>