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F5B" w:rsidRPr="00314E5E" w:rsidRDefault="00EA6F5B" w:rsidP="007300F1">
      <w:pPr>
        <w:widowControl/>
        <w:tabs>
          <w:tab w:val="center" w:pos="4680"/>
        </w:tabs>
        <w:suppressAutoHyphens/>
        <w:jc w:val="center"/>
        <w:rPr>
          <w:b/>
          <w:sz w:val="26"/>
          <w:szCs w:val="26"/>
        </w:rPr>
      </w:pPr>
      <w:r w:rsidRPr="00314E5E">
        <w:rPr>
          <w:b/>
          <w:sz w:val="26"/>
          <w:szCs w:val="26"/>
        </w:rPr>
        <w:t>PENNSYLVANIA</w:t>
      </w:r>
    </w:p>
    <w:p w:rsidR="00EA6F5B" w:rsidRPr="00314E5E" w:rsidRDefault="00EA6F5B" w:rsidP="007300F1">
      <w:pPr>
        <w:widowControl/>
        <w:tabs>
          <w:tab w:val="center" w:pos="4680"/>
        </w:tabs>
        <w:suppressAutoHyphens/>
        <w:jc w:val="center"/>
        <w:rPr>
          <w:sz w:val="26"/>
          <w:szCs w:val="26"/>
        </w:rPr>
      </w:pPr>
      <w:r w:rsidRPr="00314E5E">
        <w:rPr>
          <w:b/>
          <w:sz w:val="26"/>
          <w:szCs w:val="26"/>
        </w:rPr>
        <w:t>PUBLIC UTILITY COMMISSION</w:t>
      </w:r>
    </w:p>
    <w:p w:rsidR="00EA6F5B" w:rsidRDefault="00EA6F5B" w:rsidP="007300F1">
      <w:pPr>
        <w:widowControl/>
        <w:tabs>
          <w:tab w:val="center" w:pos="4680"/>
        </w:tabs>
        <w:suppressAutoHyphens/>
        <w:jc w:val="center"/>
        <w:rPr>
          <w:b/>
          <w:sz w:val="26"/>
          <w:szCs w:val="26"/>
        </w:rPr>
      </w:pPr>
      <w:r w:rsidRPr="00314E5E">
        <w:rPr>
          <w:b/>
          <w:sz w:val="26"/>
          <w:szCs w:val="26"/>
        </w:rPr>
        <w:t>Harrisburg, PA 17105-3265</w:t>
      </w:r>
    </w:p>
    <w:p w:rsidR="00EA6F5B" w:rsidRPr="00314E5E" w:rsidRDefault="00EA6F5B" w:rsidP="007300F1">
      <w:pPr>
        <w:widowControl/>
        <w:tabs>
          <w:tab w:val="center" w:pos="4680"/>
        </w:tabs>
        <w:suppressAutoHyphens/>
        <w:jc w:val="center"/>
        <w:rPr>
          <w:sz w:val="26"/>
          <w:szCs w:val="26"/>
        </w:rPr>
      </w:pPr>
    </w:p>
    <w:p w:rsidR="00EA6F5B" w:rsidRPr="00314E5E" w:rsidRDefault="00EA6F5B" w:rsidP="007300F1">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EA6F5B" w:rsidRPr="00314E5E" w:rsidTr="002855F0">
        <w:tc>
          <w:tcPr>
            <w:tcW w:w="5058" w:type="dxa"/>
          </w:tcPr>
          <w:p w:rsidR="00EA6F5B" w:rsidRPr="00314E5E" w:rsidRDefault="00EA6F5B" w:rsidP="007300F1">
            <w:pPr>
              <w:widowControl/>
              <w:rPr>
                <w:sz w:val="26"/>
                <w:szCs w:val="26"/>
              </w:rPr>
            </w:pPr>
          </w:p>
        </w:tc>
        <w:tc>
          <w:tcPr>
            <w:tcW w:w="4428" w:type="dxa"/>
          </w:tcPr>
          <w:p w:rsidR="00EA6F5B" w:rsidRPr="00314E5E" w:rsidRDefault="00EA6F5B" w:rsidP="007300F1">
            <w:pPr>
              <w:widowControl/>
              <w:ind w:right="-90"/>
              <w:jc w:val="right"/>
              <w:rPr>
                <w:sz w:val="26"/>
                <w:szCs w:val="26"/>
              </w:rPr>
            </w:pPr>
            <w:r>
              <w:rPr>
                <w:sz w:val="26"/>
                <w:szCs w:val="26"/>
              </w:rPr>
              <w:t>Public Meeting held Ju</w:t>
            </w:r>
            <w:r w:rsidR="003E59EA">
              <w:rPr>
                <w:sz w:val="26"/>
                <w:szCs w:val="26"/>
              </w:rPr>
              <w:t>ly</w:t>
            </w:r>
            <w:r>
              <w:rPr>
                <w:sz w:val="26"/>
                <w:szCs w:val="26"/>
              </w:rPr>
              <w:t xml:space="preserve"> 1</w:t>
            </w:r>
            <w:r w:rsidR="00414234">
              <w:rPr>
                <w:sz w:val="26"/>
                <w:szCs w:val="26"/>
              </w:rPr>
              <w:t>2</w:t>
            </w:r>
            <w:r>
              <w:rPr>
                <w:sz w:val="26"/>
                <w:szCs w:val="26"/>
              </w:rPr>
              <w:t>, 2017</w:t>
            </w:r>
          </w:p>
          <w:p w:rsidR="00EA6F5B" w:rsidRPr="00314E5E" w:rsidRDefault="00EA6F5B" w:rsidP="007300F1">
            <w:pPr>
              <w:widowControl/>
              <w:jc w:val="right"/>
              <w:rPr>
                <w:sz w:val="26"/>
                <w:szCs w:val="26"/>
              </w:rPr>
            </w:pPr>
          </w:p>
        </w:tc>
      </w:tr>
      <w:tr w:rsidR="00EA6F5B" w:rsidRPr="00314E5E" w:rsidTr="002855F0">
        <w:tc>
          <w:tcPr>
            <w:tcW w:w="9486" w:type="dxa"/>
            <w:gridSpan w:val="2"/>
          </w:tcPr>
          <w:p w:rsidR="00EA6F5B" w:rsidRDefault="00EA6F5B" w:rsidP="007300F1">
            <w:pPr>
              <w:widowControl/>
              <w:rPr>
                <w:sz w:val="26"/>
                <w:szCs w:val="26"/>
              </w:rPr>
            </w:pPr>
          </w:p>
          <w:p w:rsidR="001B7D12" w:rsidRDefault="001B7D12" w:rsidP="007300F1">
            <w:pPr>
              <w:widowControl/>
              <w:rPr>
                <w:sz w:val="26"/>
                <w:szCs w:val="26"/>
              </w:rPr>
            </w:pPr>
          </w:p>
          <w:p w:rsidR="00EA6F5B" w:rsidRPr="00314E5E" w:rsidRDefault="00EA6F5B" w:rsidP="007300F1">
            <w:pPr>
              <w:widowControl/>
              <w:rPr>
                <w:sz w:val="26"/>
                <w:szCs w:val="26"/>
              </w:rPr>
            </w:pPr>
            <w:r w:rsidRPr="00314E5E">
              <w:rPr>
                <w:sz w:val="26"/>
                <w:szCs w:val="26"/>
              </w:rPr>
              <w:t>Commissioners Present:</w:t>
            </w:r>
          </w:p>
          <w:p w:rsidR="00EA6F5B" w:rsidRDefault="00EA6F5B" w:rsidP="007300F1">
            <w:pPr>
              <w:widowControl/>
              <w:tabs>
                <w:tab w:val="left" w:pos="705"/>
              </w:tabs>
              <w:ind w:firstLine="720"/>
              <w:rPr>
                <w:sz w:val="26"/>
                <w:szCs w:val="26"/>
              </w:rPr>
            </w:pPr>
          </w:p>
          <w:p w:rsidR="00EA6F5B" w:rsidRPr="00314E5E" w:rsidRDefault="00EA6F5B" w:rsidP="007300F1">
            <w:pPr>
              <w:widowControl/>
              <w:tabs>
                <w:tab w:val="left" w:pos="540"/>
              </w:tabs>
              <w:ind w:firstLine="720"/>
              <w:rPr>
                <w:sz w:val="26"/>
                <w:szCs w:val="26"/>
              </w:rPr>
            </w:pPr>
            <w:r w:rsidRPr="00314E5E">
              <w:rPr>
                <w:sz w:val="26"/>
                <w:szCs w:val="26"/>
              </w:rPr>
              <w:t>Gladys M. Brown, Chairman</w:t>
            </w:r>
          </w:p>
          <w:p w:rsidR="00EA6F5B" w:rsidRPr="00314E5E" w:rsidRDefault="00EA6F5B" w:rsidP="007300F1">
            <w:pPr>
              <w:widowControl/>
              <w:tabs>
                <w:tab w:val="left" w:pos="705"/>
              </w:tabs>
              <w:ind w:firstLine="720"/>
              <w:rPr>
                <w:sz w:val="26"/>
                <w:szCs w:val="26"/>
              </w:rPr>
            </w:pPr>
            <w:r w:rsidRPr="00314E5E">
              <w:rPr>
                <w:sz w:val="26"/>
                <w:szCs w:val="26"/>
              </w:rPr>
              <w:t>Andrew G. Place, Vice Chairman</w:t>
            </w:r>
          </w:p>
          <w:p w:rsidR="00EA6F5B" w:rsidRPr="00314E5E" w:rsidRDefault="00EA6F5B" w:rsidP="007300F1">
            <w:pPr>
              <w:widowControl/>
              <w:tabs>
                <w:tab w:val="left" w:pos="705"/>
              </w:tabs>
              <w:ind w:firstLine="720"/>
              <w:rPr>
                <w:sz w:val="26"/>
                <w:szCs w:val="26"/>
              </w:rPr>
            </w:pPr>
            <w:r w:rsidRPr="00314E5E">
              <w:rPr>
                <w:sz w:val="26"/>
                <w:szCs w:val="26"/>
              </w:rPr>
              <w:t>John F. Coleman, Jr.</w:t>
            </w:r>
          </w:p>
          <w:p w:rsidR="00EA6F5B" w:rsidRDefault="00EA6F5B" w:rsidP="007300F1">
            <w:pPr>
              <w:widowControl/>
              <w:tabs>
                <w:tab w:val="left" w:pos="705"/>
              </w:tabs>
              <w:ind w:firstLine="720"/>
              <w:rPr>
                <w:sz w:val="26"/>
                <w:szCs w:val="26"/>
              </w:rPr>
            </w:pPr>
            <w:r w:rsidRPr="00314E5E">
              <w:rPr>
                <w:sz w:val="26"/>
                <w:szCs w:val="26"/>
              </w:rPr>
              <w:t>Robert F. Powelson</w:t>
            </w:r>
          </w:p>
          <w:p w:rsidR="00EA6F5B" w:rsidRPr="00314E5E" w:rsidRDefault="00EA6F5B" w:rsidP="007300F1">
            <w:pPr>
              <w:widowControl/>
              <w:tabs>
                <w:tab w:val="left" w:pos="705"/>
              </w:tabs>
              <w:ind w:firstLine="720"/>
              <w:rPr>
                <w:sz w:val="26"/>
                <w:szCs w:val="26"/>
              </w:rPr>
            </w:pPr>
            <w:r>
              <w:rPr>
                <w:sz w:val="26"/>
                <w:szCs w:val="26"/>
              </w:rPr>
              <w:t>David W. Sweet</w:t>
            </w:r>
          </w:p>
          <w:p w:rsidR="00EA6F5B" w:rsidRDefault="00EA6F5B" w:rsidP="007300F1">
            <w:pPr>
              <w:widowControl/>
              <w:rPr>
                <w:sz w:val="26"/>
                <w:szCs w:val="26"/>
              </w:rPr>
            </w:pPr>
          </w:p>
          <w:p w:rsidR="00EA6F5B" w:rsidRDefault="00EA6F5B" w:rsidP="007300F1">
            <w:pPr>
              <w:widowControl/>
              <w:rPr>
                <w:sz w:val="26"/>
                <w:szCs w:val="26"/>
              </w:rPr>
            </w:pPr>
          </w:p>
          <w:p w:rsidR="001B7D12" w:rsidRPr="00314E5E" w:rsidRDefault="001B7D12" w:rsidP="007300F1">
            <w:pPr>
              <w:widowControl/>
              <w:rPr>
                <w:sz w:val="26"/>
                <w:szCs w:val="26"/>
              </w:rPr>
            </w:pPr>
          </w:p>
        </w:tc>
      </w:tr>
      <w:tr w:rsidR="00EA6F5B" w:rsidRPr="00314E5E" w:rsidTr="002855F0">
        <w:tc>
          <w:tcPr>
            <w:tcW w:w="5058" w:type="dxa"/>
          </w:tcPr>
          <w:p w:rsidR="00EA6F5B" w:rsidRPr="00314E5E" w:rsidRDefault="00EA6F5B" w:rsidP="007300F1">
            <w:pPr>
              <w:widowControl/>
              <w:rPr>
                <w:sz w:val="26"/>
                <w:szCs w:val="26"/>
              </w:rPr>
            </w:pPr>
            <w:r>
              <w:rPr>
                <w:sz w:val="26"/>
                <w:szCs w:val="26"/>
              </w:rPr>
              <w:t>Deree Norman</w:t>
            </w:r>
            <w:r w:rsidRPr="00314E5E">
              <w:rPr>
                <w:sz w:val="26"/>
                <w:szCs w:val="26"/>
              </w:rPr>
              <w:t xml:space="preserve"> </w:t>
            </w:r>
          </w:p>
          <w:p w:rsidR="00EA6F5B" w:rsidRPr="00314E5E" w:rsidRDefault="00EA6F5B" w:rsidP="007300F1">
            <w:pPr>
              <w:widowControl/>
              <w:jc w:val="right"/>
              <w:rPr>
                <w:sz w:val="26"/>
                <w:szCs w:val="26"/>
              </w:rPr>
            </w:pPr>
          </w:p>
        </w:tc>
        <w:tc>
          <w:tcPr>
            <w:tcW w:w="4428" w:type="dxa"/>
          </w:tcPr>
          <w:p w:rsidR="00EA6F5B" w:rsidRPr="00314E5E" w:rsidRDefault="00EA6F5B" w:rsidP="007300F1">
            <w:pPr>
              <w:widowControl/>
              <w:jc w:val="right"/>
              <w:rPr>
                <w:sz w:val="26"/>
                <w:szCs w:val="26"/>
              </w:rPr>
            </w:pPr>
            <w:r>
              <w:rPr>
                <w:sz w:val="26"/>
                <w:szCs w:val="26"/>
              </w:rPr>
              <w:t>C-2015-2489503</w:t>
            </w:r>
          </w:p>
          <w:p w:rsidR="00EA6F5B" w:rsidRPr="00314E5E" w:rsidRDefault="00EA6F5B" w:rsidP="007300F1">
            <w:pPr>
              <w:widowControl/>
              <w:jc w:val="right"/>
              <w:rPr>
                <w:sz w:val="26"/>
                <w:szCs w:val="26"/>
              </w:rPr>
            </w:pPr>
            <w:r w:rsidRPr="00314E5E">
              <w:rPr>
                <w:sz w:val="26"/>
                <w:szCs w:val="26"/>
              </w:rPr>
              <w:t xml:space="preserve"> </w:t>
            </w:r>
          </w:p>
        </w:tc>
      </w:tr>
      <w:tr w:rsidR="00EA6F5B" w:rsidRPr="00314E5E" w:rsidTr="002855F0">
        <w:tc>
          <w:tcPr>
            <w:tcW w:w="5058" w:type="dxa"/>
          </w:tcPr>
          <w:p w:rsidR="00EA6F5B" w:rsidRPr="00314E5E" w:rsidRDefault="00EA6F5B" w:rsidP="007300F1">
            <w:pPr>
              <w:widowControl/>
              <w:ind w:firstLine="720"/>
              <w:rPr>
                <w:sz w:val="26"/>
                <w:szCs w:val="26"/>
              </w:rPr>
            </w:pPr>
            <w:proofErr w:type="gramStart"/>
            <w:r w:rsidRPr="00314E5E">
              <w:rPr>
                <w:sz w:val="26"/>
                <w:szCs w:val="26"/>
              </w:rPr>
              <w:t>v</w:t>
            </w:r>
            <w:proofErr w:type="gramEnd"/>
            <w:r w:rsidRPr="00314E5E">
              <w:rPr>
                <w:sz w:val="26"/>
                <w:szCs w:val="26"/>
              </w:rPr>
              <w:t>.</w:t>
            </w:r>
          </w:p>
          <w:p w:rsidR="00EA6F5B" w:rsidRPr="00314E5E" w:rsidRDefault="00EA6F5B" w:rsidP="007300F1">
            <w:pPr>
              <w:widowControl/>
              <w:ind w:firstLine="1440"/>
              <w:rPr>
                <w:sz w:val="26"/>
                <w:szCs w:val="26"/>
              </w:rPr>
            </w:pPr>
          </w:p>
        </w:tc>
        <w:tc>
          <w:tcPr>
            <w:tcW w:w="4428" w:type="dxa"/>
          </w:tcPr>
          <w:p w:rsidR="00EA6F5B" w:rsidRPr="00314E5E" w:rsidRDefault="00EA6F5B" w:rsidP="007300F1">
            <w:pPr>
              <w:widowControl/>
              <w:rPr>
                <w:sz w:val="26"/>
                <w:szCs w:val="26"/>
              </w:rPr>
            </w:pPr>
          </w:p>
        </w:tc>
      </w:tr>
      <w:tr w:rsidR="00EA6F5B" w:rsidRPr="00314E5E" w:rsidTr="002855F0">
        <w:tc>
          <w:tcPr>
            <w:tcW w:w="5058" w:type="dxa"/>
          </w:tcPr>
          <w:p w:rsidR="00EA6F5B" w:rsidRPr="00314E5E" w:rsidRDefault="00EA6F5B" w:rsidP="007300F1">
            <w:pPr>
              <w:widowControl/>
              <w:spacing w:line="360" w:lineRule="auto"/>
              <w:rPr>
                <w:sz w:val="26"/>
                <w:szCs w:val="26"/>
              </w:rPr>
            </w:pPr>
            <w:r>
              <w:rPr>
                <w:sz w:val="26"/>
                <w:szCs w:val="26"/>
              </w:rPr>
              <w:t>Philadelphia Gas Works</w:t>
            </w:r>
          </w:p>
        </w:tc>
        <w:tc>
          <w:tcPr>
            <w:tcW w:w="4428" w:type="dxa"/>
          </w:tcPr>
          <w:p w:rsidR="00EA6F5B" w:rsidRPr="00314E5E" w:rsidRDefault="00EA6F5B" w:rsidP="007300F1">
            <w:pPr>
              <w:widowControl/>
              <w:rPr>
                <w:sz w:val="26"/>
                <w:szCs w:val="26"/>
              </w:rPr>
            </w:pPr>
          </w:p>
        </w:tc>
      </w:tr>
    </w:tbl>
    <w:p w:rsidR="00EA6F5B" w:rsidRDefault="00EA6F5B" w:rsidP="007300F1">
      <w:pPr>
        <w:widowControl/>
        <w:spacing w:line="360" w:lineRule="auto"/>
        <w:rPr>
          <w:sz w:val="26"/>
          <w:szCs w:val="26"/>
        </w:rPr>
      </w:pPr>
    </w:p>
    <w:p w:rsidR="001B7D12" w:rsidRDefault="001B7D12" w:rsidP="007300F1">
      <w:pPr>
        <w:widowControl/>
        <w:spacing w:line="360" w:lineRule="auto"/>
        <w:rPr>
          <w:sz w:val="26"/>
          <w:szCs w:val="26"/>
        </w:rPr>
      </w:pPr>
    </w:p>
    <w:p w:rsidR="00EA6F5B" w:rsidRDefault="00EA6F5B" w:rsidP="001B7D12">
      <w:pPr>
        <w:keepNext/>
        <w:widowControl/>
        <w:spacing w:line="360" w:lineRule="auto"/>
        <w:jc w:val="center"/>
        <w:rPr>
          <w:b/>
          <w:sz w:val="26"/>
          <w:szCs w:val="26"/>
        </w:rPr>
      </w:pPr>
      <w:r w:rsidRPr="00314E5E">
        <w:rPr>
          <w:b/>
          <w:sz w:val="26"/>
          <w:szCs w:val="26"/>
        </w:rPr>
        <w:t>OPINION AND ORDER</w:t>
      </w:r>
    </w:p>
    <w:p w:rsidR="00EA6F5B" w:rsidRDefault="00EA6F5B" w:rsidP="001B7D12">
      <w:pPr>
        <w:keepNext/>
        <w:widowControl/>
        <w:spacing w:line="360" w:lineRule="auto"/>
        <w:jc w:val="center"/>
        <w:rPr>
          <w:b/>
          <w:sz w:val="26"/>
          <w:szCs w:val="26"/>
        </w:rPr>
      </w:pPr>
    </w:p>
    <w:p w:rsidR="00EA6F5B" w:rsidRPr="00314E5E" w:rsidRDefault="00EA6F5B" w:rsidP="001B7D12">
      <w:pPr>
        <w:keepNext/>
        <w:widowControl/>
        <w:spacing w:line="360" w:lineRule="auto"/>
        <w:rPr>
          <w:b/>
          <w:sz w:val="26"/>
          <w:szCs w:val="26"/>
        </w:rPr>
      </w:pPr>
      <w:r w:rsidRPr="00314E5E">
        <w:rPr>
          <w:b/>
          <w:sz w:val="26"/>
          <w:szCs w:val="26"/>
        </w:rPr>
        <w:t>BY THE COMMISSION:</w:t>
      </w:r>
    </w:p>
    <w:p w:rsidR="00EA6F5B" w:rsidRPr="00314E5E" w:rsidRDefault="00EA6F5B" w:rsidP="001B7D12">
      <w:pPr>
        <w:keepNext/>
        <w:widowControl/>
        <w:spacing w:line="360" w:lineRule="auto"/>
        <w:rPr>
          <w:sz w:val="26"/>
          <w:szCs w:val="26"/>
        </w:rPr>
      </w:pPr>
    </w:p>
    <w:p w:rsidR="002855F0" w:rsidRDefault="003C29E4" w:rsidP="003C29E4">
      <w:pPr>
        <w:widowControl/>
        <w:autoSpaceDE w:val="0"/>
        <w:autoSpaceDN w:val="0"/>
        <w:adjustRightInd w:val="0"/>
        <w:spacing w:line="360" w:lineRule="auto"/>
        <w:rPr>
          <w:sz w:val="26"/>
          <w:szCs w:val="26"/>
        </w:rPr>
      </w:pPr>
      <w:r>
        <w:rPr>
          <w:sz w:val="26"/>
          <w:szCs w:val="26"/>
        </w:rPr>
        <w:tab/>
      </w:r>
      <w:r>
        <w:rPr>
          <w:sz w:val="26"/>
          <w:szCs w:val="26"/>
        </w:rPr>
        <w:tab/>
      </w:r>
      <w:r w:rsidR="00EA6F5B" w:rsidRPr="00314E5E">
        <w:rPr>
          <w:sz w:val="26"/>
          <w:szCs w:val="26"/>
        </w:rPr>
        <w:t xml:space="preserve">Before the Pennsylvania Public Utility Commission (Commission) for consideration and disposition </w:t>
      </w:r>
      <w:r w:rsidR="00EA6F5B" w:rsidRPr="00314E5E">
        <w:rPr>
          <w:color w:val="000000"/>
          <w:sz w:val="26"/>
          <w:szCs w:val="26"/>
        </w:rPr>
        <w:t xml:space="preserve">are the </w:t>
      </w:r>
      <w:r w:rsidR="00BF5CD2">
        <w:rPr>
          <w:color w:val="000000"/>
          <w:sz w:val="26"/>
          <w:szCs w:val="26"/>
        </w:rPr>
        <w:t>Exceptions of Deree Norman</w:t>
      </w:r>
      <w:r w:rsidR="00EA6F5B" w:rsidRPr="00314E5E">
        <w:rPr>
          <w:color w:val="000000"/>
          <w:sz w:val="26"/>
          <w:szCs w:val="26"/>
        </w:rPr>
        <w:t xml:space="preserve"> (Complainant) filed on</w:t>
      </w:r>
      <w:r w:rsidR="00510360">
        <w:rPr>
          <w:color w:val="000000"/>
          <w:sz w:val="26"/>
          <w:szCs w:val="26"/>
        </w:rPr>
        <w:t xml:space="preserve"> August 11</w:t>
      </w:r>
      <w:r w:rsidR="00EA6F5B">
        <w:rPr>
          <w:color w:val="000000"/>
          <w:sz w:val="26"/>
          <w:szCs w:val="26"/>
        </w:rPr>
        <w:t>, 201</w:t>
      </w:r>
      <w:r w:rsidR="00510360">
        <w:rPr>
          <w:color w:val="000000"/>
          <w:sz w:val="26"/>
          <w:szCs w:val="26"/>
        </w:rPr>
        <w:t>6</w:t>
      </w:r>
      <w:r w:rsidR="000433B8" w:rsidRPr="00314E5E">
        <w:rPr>
          <w:color w:val="000000"/>
          <w:sz w:val="26"/>
          <w:szCs w:val="26"/>
        </w:rPr>
        <w:t xml:space="preserve">, </w:t>
      </w:r>
      <w:r w:rsidR="00EA6F5B" w:rsidRPr="009B2A7C">
        <w:rPr>
          <w:rStyle w:val="FootnoteReference"/>
          <w:color w:val="000000"/>
          <w:sz w:val="26"/>
          <w:szCs w:val="26"/>
        </w:rPr>
        <w:t xml:space="preserve"> </w:t>
      </w:r>
      <w:r w:rsidR="00EA6F5B" w:rsidRPr="00314E5E">
        <w:rPr>
          <w:color w:val="000000"/>
          <w:sz w:val="26"/>
          <w:szCs w:val="26"/>
        </w:rPr>
        <w:t xml:space="preserve">to the Initial Decision (I.D.) of Administrative Law Judge </w:t>
      </w:r>
      <w:r w:rsidR="00510360">
        <w:rPr>
          <w:color w:val="000000"/>
          <w:sz w:val="26"/>
          <w:szCs w:val="26"/>
        </w:rPr>
        <w:t>Den</w:t>
      </w:r>
      <w:r w:rsidR="001B7D12">
        <w:rPr>
          <w:color w:val="000000"/>
          <w:sz w:val="26"/>
          <w:szCs w:val="26"/>
        </w:rPr>
        <w:t>n</w:t>
      </w:r>
      <w:r w:rsidR="00510360">
        <w:rPr>
          <w:color w:val="000000"/>
          <w:sz w:val="26"/>
          <w:szCs w:val="26"/>
        </w:rPr>
        <w:t>is</w:t>
      </w:r>
      <w:r w:rsidR="001B7D12">
        <w:rPr>
          <w:color w:val="000000"/>
          <w:sz w:val="26"/>
          <w:szCs w:val="26"/>
        </w:rPr>
        <w:t> </w:t>
      </w:r>
      <w:r w:rsidR="00510360">
        <w:rPr>
          <w:color w:val="000000"/>
          <w:sz w:val="26"/>
          <w:szCs w:val="26"/>
        </w:rPr>
        <w:t>J.</w:t>
      </w:r>
      <w:r w:rsidR="001B7D12">
        <w:rPr>
          <w:color w:val="000000"/>
          <w:sz w:val="26"/>
          <w:szCs w:val="26"/>
        </w:rPr>
        <w:t> </w:t>
      </w:r>
      <w:r w:rsidR="00510360">
        <w:rPr>
          <w:color w:val="000000"/>
          <w:sz w:val="26"/>
          <w:szCs w:val="26"/>
        </w:rPr>
        <w:t>Buckley</w:t>
      </w:r>
      <w:r w:rsidR="00EA6F5B">
        <w:rPr>
          <w:color w:val="000000"/>
          <w:sz w:val="26"/>
          <w:szCs w:val="26"/>
        </w:rPr>
        <w:t xml:space="preserve"> </w:t>
      </w:r>
      <w:r w:rsidR="00EA6F5B" w:rsidRPr="00314E5E">
        <w:rPr>
          <w:color w:val="000000"/>
          <w:sz w:val="26"/>
          <w:szCs w:val="26"/>
        </w:rPr>
        <w:t>(ALJ)</w:t>
      </w:r>
      <w:r w:rsidR="00EA6F5B">
        <w:rPr>
          <w:color w:val="000000"/>
          <w:sz w:val="26"/>
          <w:szCs w:val="26"/>
        </w:rPr>
        <w:t>, which was issued on July 22, 2016</w:t>
      </w:r>
      <w:r w:rsidR="00EA6F5B" w:rsidRPr="00314E5E">
        <w:rPr>
          <w:color w:val="000000"/>
          <w:sz w:val="26"/>
          <w:szCs w:val="26"/>
        </w:rPr>
        <w:t>, in the above-captioned proceeding.</w:t>
      </w:r>
      <w:r w:rsidR="00EA6F5B">
        <w:rPr>
          <w:color w:val="000000"/>
          <w:sz w:val="26"/>
          <w:szCs w:val="26"/>
        </w:rPr>
        <w:t xml:space="preserve">  </w:t>
      </w:r>
      <w:r w:rsidR="00510360">
        <w:rPr>
          <w:rStyle w:val="FootnoteReference"/>
          <w:color w:val="000000"/>
          <w:sz w:val="26"/>
          <w:szCs w:val="26"/>
          <w:vertAlign w:val="baseline"/>
        </w:rPr>
        <w:t>Philadelphia Gas Works</w:t>
      </w:r>
      <w:r w:rsidR="00EA6F5B">
        <w:rPr>
          <w:rStyle w:val="FootnoteReference"/>
          <w:color w:val="000000"/>
          <w:sz w:val="26"/>
          <w:szCs w:val="26"/>
          <w:vertAlign w:val="baseline"/>
        </w:rPr>
        <w:t xml:space="preserve"> (</w:t>
      </w:r>
      <w:r w:rsidR="00510360">
        <w:rPr>
          <w:color w:val="000000"/>
          <w:sz w:val="26"/>
          <w:szCs w:val="26"/>
        </w:rPr>
        <w:t>PGW</w:t>
      </w:r>
      <w:r w:rsidR="00EA6F5B">
        <w:rPr>
          <w:color w:val="000000"/>
          <w:sz w:val="26"/>
          <w:szCs w:val="26"/>
        </w:rPr>
        <w:t xml:space="preserve">, Company or Respondent) filed </w:t>
      </w:r>
      <w:r w:rsidR="00EA6F5B" w:rsidRPr="00314E5E">
        <w:rPr>
          <w:color w:val="000000"/>
          <w:sz w:val="26"/>
          <w:szCs w:val="26"/>
        </w:rPr>
        <w:t xml:space="preserve">Replies to </w:t>
      </w:r>
      <w:r w:rsidR="00EA6F5B" w:rsidRPr="00314E5E">
        <w:rPr>
          <w:color w:val="000000"/>
          <w:sz w:val="26"/>
          <w:szCs w:val="26"/>
        </w:rPr>
        <w:lastRenderedPageBreak/>
        <w:t xml:space="preserve">Exceptions </w:t>
      </w:r>
      <w:r w:rsidR="00EA6F5B">
        <w:rPr>
          <w:color w:val="000000"/>
          <w:sz w:val="26"/>
          <w:szCs w:val="26"/>
        </w:rPr>
        <w:t>o</w:t>
      </w:r>
      <w:r w:rsidR="00192297">
        <w:rPr>
          <w:color w:val="000000"/>
          <w:sz w:val="26"/>
          <w:szCs w:val="26"/>
        </w:rPr>
        <w:t>n August 22</w:t>
      </w:r>
      <w:r w:rsidR="00EA6F5B">
        <w:rPr>
          <w:color w:val="000000"/>
          <w:sz w:val="26"/>
          <w:szCs w:val="26"/>
        </w:rPr>
        <w:t>, 2016</w:t>
      </w:r>
      <w:r w:rsidR="00EA6F5B" w:rsidRPr="00314E5E">
        <w:rPr>
          <w:color w:val="000000"/>
          <w:sz w:val="26"/>
          <w:szCs w:val="26"/>
        </w:rPr>
        <w:t>.</w:t>
      </w:r>
      <w:r w:rsidR="00EA6F5B">
        <w:rPr>
          <w:rStyle w:val="FootnoteReference"/>
          <w:color w:val="000000"/>
          <w:sz w:val="26"/>
          <w:szCs w:val="26"/>
        </w:rPr>
        <w:footnoteReference w:id="1"/>
      </w:r>
      <w:r w:rsidR="00EA6F5B" w:rsidRPr="00314E5E">
        <w:rPr>
          <w:color w:val="000000"/>
          <w:sz w:val="26"/>
          <w:szCs w:val="26"/>
        </w:rPr>
        <w:t xml:space="preserve">  </w:t>
      </w:r>
      <w:r w:rsidR="00EA6F5B" w:rsidRPr="00314E5E">
        <w:rPr>
          <w:sz w:val="26"/>
          <w:szCs w:val="26"/>
        </w:rPr>
        <w:t>For the rea</w:t>
      </w:r>
      <w:r w:rsidR="00EA6F5B">
        <w:rPr>
          <w:sz w:val="26"/>
          <w:szCs w:val="26"/>
        </w:rPr>
        <w:t>sons stated below, we shall adopt the ALJ’s Initial Decision and deny the Complainant’s Exceptions.</w:t>
      </w:r>
      <w:r w:rsidR="00917024">
        <w:rPr>
          <w:sz w:val="26"/>
          <w:szCs w:val="26"/>
        </w:rPr>
        <w:t xml:space="preserve">  We shall also address the Complainant’s </w:t>
      </w:r>
      <w:r w:rsidRPr="00917024">
        <w:rPr>
          <w:sz w:val="26"/>
          <w:szCs w:val="26"/>
        </w:rPr>
        <w:t>P</w:t>
      </w:r>
      <w:r>
        <w:rPr>
          <w:sz w:val="26"/>
          <w:szCs w:val="26"/>
        </w:rPr>
        <w:t xml:space="preserve">etition to Proceed </w:t>
      </w:r>
      <w:proofErr w:type="gramStart"/>
      <w:r>
        <w:rPr>
          <w:sz w:val="26"/>
          <w:szCs w:val="26"/>
        </w:rPr>
        <w:t>In</w:t>
      </w:r>
      <w:proofErr w:type="gramEnd"/>
      <w:r>
        <w:rPr>
          <w:sz w:val="26"/>
          <w:szCs w:val="26"/>
        </w:rPr>
        <w:t xml:space="preserve"> Forma Pauperis that was filed on December 7, 2015.</w:t>
      </w:r>
    </w:p>
    <w:p w:rsidR="00DC11E3" w:rsidRDefault="00DC11E3" w:rsidP="007300F1">
      <w:pPr>
        <w:widowControl/>
        <w:spacing w:line="360" w:lineRule="auto"/>
        <w:ind w:firstLine="1440"/>
        <w:rPr>
          <w:sz w:val="26"/>
          <w:szCs w:val="26"/>
        </w:rPr>
      </w:pPr>
    </w:p>
    <w:p w:rsidR="00DC11E3" w:rsidRDefault="00DC11E3" w:rsidP="001B7D12">
      <w:pPr>
        <w:keepNext/>
        <w:widowControl/>
        <w:spacing w:line="360" w:lineRule="auto"/>
        <w:jc w:val="center"/>
        <w:rPr>
          <w:b/>
          <w:sz w:val="26"/>
          <w:szCs w:val="26"/>
        </w:rPr>
      </w:pPr>
      <w:r>
        <w:rPr>
          <w:b/>
          <w:sz w:val="26"/>
          <w:szCs w:val="26"/>
        </w:rPr>
        <w:t>History of the Proceeding</w:t>
      </w:r>
    </w:p>
    <w:p w:rsidR="00DC11E3" w:rsidRDefault="00DC11E3" w:rsidP="001B7D12">
      <w:pPr>
        <w:keepNext/>
        <w:widowControl/>
        <w:spacing w:line="360" w:lineRule="auto"/>
        <w:jc w:val="center"/>
        <w:rPr>
          <w:b/>
          <w:sz w:val="26"/>
          <w:szCs w:val="26"/>
        </w:rPr>
      </w:pPr>
    </w:p>
    <w:p w:rsidR="00AD09A9" w:rsidRDefault="00DC11E3" w:rsidP="007300F1">
      <w:pPr>
        <w:pStyle w:val="Default"/>
        <w:spacing w:line="360" w:lineRule="auto"/>
        <w:ind w:firstLine="1440"/>
        <w:rPr>
          <w:sz w:val="26"/>
          <w:szCs w:val="26"/>
        </w:rPr>
      </w:pPr>
      <w:r w:rsidRPr="00AD09A9">
        <w:rPr>
          <w:sz w:val="26"/>
          <w:szCs w:val="26"/>
        </w:rPr>
        <w:t xml:space="preserve">On June 25, 2015, the Complainant filed a Formal Complaint against PGW </w:t>
      </w:r>
      <w:r w:rsidR="00AD09A9">
        <w:rPr>
          <w:sz w:val="26"/>
          <w:szCs w:val="26"/>
        </w:rPr>
        <w:t xml:space="preserve">with the Commission </w:t>
      </w:r>
      <w:r w:rsidRPr="00AD09A9">
        <w:rPr>
          <w:sz w:val="26"/>
          <w:szCs w:val="26"/>
        </w:rPr>
        <w:t xml:space="preserve">alleging that he was consistently “double billed,” that PGW had “misappropriated” LIHEAP credits, and that PGW had improperly billed him under PGW’s Customer Responsibility Program (CRP). </w:t>
      </w:r>
      <w:r w:rsidR="00AD09A9">
        <w:rPr>
          <w:sz w:val="26"/>
          <w:szCs w:val="26"/>
        </w:rPr>
        <w:t xml:space="preserve"> The </w:t>
      </w:r>
      <w:r w:rsidRPr="00AD09A9">
        <w:rPr>
          <w:sz w:val="26"/>
          <w:szCs w:val="26"/>
        </w:rPr>
        <w:t xml:space="preserve">Complainant also challenged the accuracy of PGW’s gas usage charge. </w:t>
      </w:r>
      <w:r w:rsidR="00AD09A9">
        <w:rPr>
          <w:sz w:val="26"/>
          <w:szCs w:val="26"/>
        </w:rPr>
        <w:t xml:space="preserve"> As relief, t</w:t>
      </w:r>
      <w:r w:rsidRPr="00AD09A9">
        <w:rPr>
          <w:sz w:val="26"/>
          <w:szCs w:val="26"/>
        </w:rPr>
        <w:t xml:space="preserve">he Complainant requested that the Commission order PGW to implement a different method of recording natural gas usage, that PGW be investigated by the State Attorney General, and that PGW be directed to cease alleged harassing phone calls and overbilling. </w:t>
      </w:r>
      <w:r w:rsidR="00AD09A9">
        <w:rPr>
          <w:sz w:val="26"/>
          <w:szCs w:val="26"/>
        </w:rPr>
        <w:t xml:space="preserve">The </w:t>
      </w:r>
      <w:r w:rsidRPr="00AD09A9">
        <w:rPr>
          <w:sz w:val="26"/>
          <w:szCs w:val="26"/>
        </w:rPr>
        <w:t>Complainant als</w:t>
      </w:r>
      <w:r w:rsidR="009A7B17">
        <w:rPr>
          <w:sz w:val="26"/>
          <w:szCs w:val="26"/>
        </w:rPr>
        <w:t>o asked to be compensated for “</w:t>
      </w:r>
      <w:r w:rsidRPr="00AD09A9">
        <w:rPr>
          <w:sz w:val="26"/>
          <w:szCs w:val="26"/>
        </w:rPr>
        <w:t>. . . the inconvenience and anguish that PGW has caused.”</w:t>
      </w:r>
      <w:r w:rsidR="008A3CD9">
        <w:rPr>
          <w:sz w:val="26"/>
          <w:szCs w:val="26"/>
        </w:rPr>
        <w:t xml:space="preserve">  </w:t>
      </w:r>
      <w:proofErr w:type="gramStart"/>
      <w:r w:rsidR="008A3CD9">
        <w:rPr>
          <w:sz w:val="26"/>
          <w:szCs w:val="26"/>
        </w:rPr>
        <w:t>Complaint at</w:t>
      </w:r>
      <w:r w:rsidR="007300F1">
        <w:rPr>
          <w:sz w:val="26"/>
          <w:szCs w:val="26"/>
        </w:rPr>
        <w:t> </w:t>
      </w:r>
      <w:r w:rsidR="008A3CD9">
        <w:rPr>
          <w:sz w:val="26"/>
          <w:szCs w:val="26"/>
        </w:rPr>
        <w:t>10.</w:t>
      </w:r>
      <w:proofErr w:type="gramEnd"/>
    </w:p>
    <w:p w:rsidR="00DC11E3" w:rsidRPr="00AD09A9" w:rsidRDefault="00DC11E3" w:rsidP="007300F1">
      <w:pPr>
        <w:pStyle w:val="Default"/>
        <w:spacing w:line="360" w:lineRule="auto"/>
        <w:ind w:firstLine="1440"/>
        <w:rPr>
          <w:sz w:val="26"/>
          <w:szCs w:val="26"/>
        </w:rPr>
      </w:pPr>
    </w:p>
    <w:p w:rsidR="009A7B17" w:rsidRDefault="00AD09A9" w:rsidP="00A95049">
      <w:pPr>
        <w:pStyle w:val="Default"/>
        <w:spacing w:line="360" w:lineRule="auto"/>
        <w:ind w:firstLine="1440"/>
        <w:rPr>
          <w:sz w:val="26"/>
          <w:szCs w:val="26"/>
        </w:rPr>
      </w:pPr>
      <w:r>
        <w:rPr>
          <w:sz w:val="26"/>
          <w:szCs w:val="26"/>
        </w:rPr>
        <w:t>On July 15, 2015</w:t>
      </w:r>
      <w:r w:rsidR="009A7B17">
        <w:rPr>
          <w:sz w:val="26"/>
          <w:szCs w:val="26"/>
        </w:rPr>
        <w:t xml:space="preserve">, </w:t>
      </w:r>
      <w:r w:rsidR="00DC11E3" w:rsidRPr="00AD09A9">
        <w:rPr>
          <w:sz w:val="26"/>
          <w:szCs w:val="26"/>
        </w:rPr>
        <w:t>PGW filed an Answer t</w:t>
      </w:r>
      <w:r w:rsidR="003869C3">
        <w:rPr>
          <w:sz w:val="26"/>
          <w:szCs w:val="26"/>
        </w:rPr>
        <w:t>o the Complaint</w:t>
      </w:r>
      <w:r w:rsidR="00DC11E3" w:rsidRPr="00AD09A9">
        <w:rPr>
          <w:sz w:val="26"/>
          <w:szCs w:val="26"/>
        </w:rPr>
        <w:t xml:space="preserve"> </w:t>
      </w:r>
      <w:r w:rsidR="00A95049">
        <w:rPr>
          <w:sz w:val="26"/>
          <w:szCs w:val="26"/>
        </w:rPr>
        <w:t xml:space="preserve">in which it </w:t>
      </w:r>
      <w:r w:rsidR="009A7B17">
        <w:rPr>
          <w:sz w:val="26"/>
          <w:szCs w:val="26"/>
        </w:rPr>
        <w:t>admitt</w:t>
      </w:r>
      <w:r w:rsidR="00A95049">
        <w:rPr>
          <w:sz w:val="26"/>
          <w:szCs w:val="26"/>
        </w:rPr>
        <w:t xml:space="preserve">ed </w:t>
      </w:r>
      <w:r w:rsidR="009A7B17">
        <w:rPr>
          <w:sz w:val="26"/>
          <w:szCs w:val="26"/>
        </w:rPr>
        <w:t>that it issued a shut off notice to the Complainant</w:t>
      </w:r>
      <w:r w:rsidR="003869C3">
        <w:rPr>
          <w:sz w:val="26"/>
          <w:szCs w:val="26"/>
        </w:rPr>
        <w:t>,</w:t>
      </w:r>
      <w:r w:rsidR="009A7B17">
        <w:rPr>
          <w:sz w:val="26"/>
          <w:szCs w:val="26"/>
        </w:rPr>
        <w:t xml:space="preserve"> but </w:t>
      </w:r>
      <w:r w:rsidR="00DC11E3" w:rsidRPr="00AD09A9">
        <w:rPr>
          <w:sz w:val="26"/>
          <w:szCs w:val="26"/>
        </w:rPr>
        <w:t>den</w:t>
      </w:r>
      <w:r w:rsidR="00A95049">
        <w:rPr>
          <w:sz w:val="26"/>
          <w:szCs w:val="26"/>
        </w:rPr>
        <w:t>ied</w:t>
      </w:r>
      <w:r w:rsidR="00DC11E3" w:rsidRPr="00AD09A9">
        <w:rPr>
          <w:sz w:val="26"/>
          <w:szCs w:val="26"/>
        </w:rPr>
        <w:t xml:space="preserve"> the </w:t>
      </w:r>
      <w:r w:rsidR="009A7B17">
        <w:rPr>
          <w:sz w:val="26"/>
          <w:szCs w:val="26"/>
        </w:rPr>
        <w:t xml:space="preserve">material </w:t>
      </w:r>
      <w:r w:rsidR="00DC11E3" w:rsidRPr="00AD09A9">
        <w:rPr>
          <w:sz w:val="26"/>
          <w:szCs w:val="26"/>
        </w:rPr>
        <w:t>allegations set forth in the Complaint.</w:t>
      </w:r>
      <w:r w:rsidR="009A7B17">
        <w:rPr>
          <w:sz w:val="26"/>
          <w:szCs w:val="26"/>
        </w:rPr>
        <w:t xml:space="preserve">  PGW noted that the Complainant established service on December 4, 2003, that his property is equipped with an Automatic Meter Reading (AMR) device and that actual readings are obtained monthly.  PGW further noted that on October 29, 2008, the Complainant enrolled in the CRP Program, </w:t>
      </w:r>
      <w:r w:rsidR="003869C3">
        <w:rPr>
          <w:sz w:val="26"/>
          <w:szCs w:val="26"/>
        </w:rPr>
        <w:t xml:space="preserve">from </w:t>
      </w:r>
      <w:r w:rsidR="009A7B17">
        <w:rPr>
          <w:sz w:val="26"/>
          <w:szCs w:val="26"/>
        </w:rPr>
        <w:lastRenderedPageBreak/>
        <w:t xml:space="preserve">which </w:t>
      </w:r>
      <w:r w:rsidR="003869C3">
        <w:rPr>
          <w:sz w:val="26"/>
          <w:szCs w:val="26"/>
        </w:rPr>
        <w:t xml:space="preserve">he </w:t>
      </w:r>
      <w:r w:rsidR="009A7B17">
        <w:rPr>
          <w:sz w:val="26"/>
          <w:szCs w:val="26"/>
        </w:rPr>
        <w:t>was later suspended due to his failure to recertify income eligibility.  PGW explained that on June 18, 2010, the Complainant re-enrolled in CRP</w:t>
      </w:r>
      <w:r w:rsidR="003869C3">
        <w:rPr>
          <w:sz w:val="26"/>
          <w:szCs w:val="26"/>
        </w:rPr>
        <w:t>,</w:t>
      </w:r>
      <w:r w:rsidR="009A7B17">
        <w:rPr>
          <w:sz w:val="26"/>
          <w:szCs w:val="26"/>
        </w:rPr>
        <w:t xml:space="preserve"> but was again suspended on March 1, 2013, due to failure to recertify income eligibility for </w:t>
      </w:r>
      <w:r w:rsidR="003869C3">
        <w:rPr>
          <w:sz w:val="26"/>
          <w:szCs w:val="26"/>
        </w:rPr>
        <w:t>this program.  PGW noted</w:t>
      </w:r>
      <w:r w:rsidR="009A7B17">
        <w:rPr>
          <w:sz w:val="26"/>
          <w:szCs w:val="26"/>
        </w:rPr>
        <w:t xml:space="preserve"> that subsequently, the Complainant had two Company issue</w:t>
      </w:r>
      <w:r w:rsidR="005115E6">
        <w:rPr>
          <w:sz w:val="26"/>
          <w:szCs w:val="26"/>
        </w:rPr>
        <w:t>d</w:t>
      </w:r>
      <w:r w:rsidR="009A7B17">
        <w:rPr>
          <w:sz w:val="26"/>
          <w:szCs w:val="26"/>
        </w:rPr>
        <w:t xml:space="preserve"> payment agreements which were broken</w:t>
      </w:r>
      <w:r w:rsidR="003869C3">
        <w:rPr>
          <w:sz w:val="26"/>
          <w:szCs w:val="26"/>
        </w:rPr>
        <w:t xml:space="preserve"> by the Complainant</w:t>
      </w:r>
      <w:r w:rsidR="009A7B17">
        <w:rPr>
          <w:sz w:val="26"/>
          <w:szCs w:val="26"/>
        </w:rPr>
        <w:t xml:space="preserve">.  </w:t>
      </w:r>
      <w:proofErr w:type="gramStart"/>
      <w:r w:rsidR="009A7B17">
        <w:rPr>
          <w:sz w:val="26"/>
          <w:szCs w:val="26"/>
        </w:rPr>
        <w:t>Answer at 1-2.</w:t>
      </w:r>
      <w:proofErr w:type="gramEnd"/>
      <w:r w:rsidR="009A7B17">
        <w:rPr>
          <w:sz w:val="26"/>
          <w:szCs w:val="26"/>
        </w:rPr>
        <w:t xml:space="preserve"> </w:t>
      </w:r>
    </w:p>
    <w:p w:rsidR="00A95049" w:rsidRDefault="00A95049" w:rsidP="00A95049">
      <w:pPr>
        <w:pStyle w:val="Default"/>
        <w:spacing w:line="360" w:lineRule="auto"/>
        <w:ind w:firstLine="1440"/>
        <w:rPr>
          <w:sz w:val="26"/>
          <w:szCs w:val="26"/>
        </w:rPr>
      </w:pPr>
    </w:p>
    <w:p w:rsidR="000C58D5" w:rsidRDefault="000C58D5" w:rsidP="00A95049">
      <w:pPr>
        <w:pStyle w:val="Default"/>
        <w:spacing w:line="360" w:lineRule="auto"/>
        <w:ind w:firstLine="1440"/>
        <w:rPr>
          <w:sz w:val="26"/>
          <w:szCs w:val="26"/>
        </w:rPr>
      </w:pPr>
      <w:r>
        <w:rPr>
          <w:sz w:val="26"/>
          <w:szCs w:val="26"/>
        </w:rPr>
        <w:t xml:space="preserve">The ALJ conducted a hearing in this matter on </w:t>
      </w:r>
      <w:r w:rsidR="00DC11E3" w:rsidRPr="00AD09A9">
        <w:rPr>
          <w:sz w:val="26"/>
          <w:szCs w:val="26"/>
        </w:rPr>
        <w:t>September 24, 2015</w:t>
      </w:r>
      <w:r>
        <w:rPr>
          <w:sz w:val="26"/>
          <w:szCs w:val="26"/>
        </w:rPr>
        <w:t>, as scheduled.</w:t>
      </w:r>
      <w:r w:rsidR="00DC11E3" w:rsidRPr="00AD09A9">
        <w:rPr>
          <w:sz w:val="26"/>
          <w:szCs w:val="26"/>
        </w:rPr>
        <w:t xml:space="preserve"> </w:t>
      </w:r>
      <w:r>
        <w:rPr>
          <w:sz w:val="26"/>
          <w:szCs w:val="26"/>
        </w:rPr>
        <w:t xml:space="preserve"> </w:t>
      </w:r>
      <w:r w:rsidR="00AD09A9" w:rsidRPr="00AD09A9">
        <w:rPr>
          <w:sz w:val="26"/>
          <w:szCs w:val="26"/>
        </w:rPr>
        <w:t xml:space="preserve">The Complainant appeared </w:t>
      </w:r>
      <w:r>
        <w:rPr>
          <w:i/>
          <w:sz w:val="26"/>
          <w:szCs w:val="26"/>
        </w:rPr>
        <w:t>pro se</w:t>
      </w:r>
      <w:r w:rsidR="00AD09A9" w:rsidRPr="00AD09A9">
        <w:rPr>
          <w:sz w:val="26"/>
          <w:szCs w:val="26"/>
        </w:rPr>
        <w:t xml:space="preserve">, </w:t>
      </w:r>
      <w:r>
        <w:rPr>
          <w:sz w:val="26"/>
          <w:szCs w:val="26"/>
        </w:rPr>
        <w:t>testified on his own behalf</w:t>
      </w:r>
      <w:r w:rsidR="00A95049">
        <w:rPr>
          <w:sz w:val="26"/>
          <w:szCs w:val="26"/>
        </w:rPr>
        <w:t>,</w:t>
      </w:r>
      <w:r>
        <w:rPr>
          <w:sz w:val="26"/>
          <w:szCs w:val="26"/>
        </w:rPr>
        <w:t xml:space="preserve"> and presented </w:t>
      </w:r>
      <w:r w:rsidR="00AD09A9" w:rsidRPr="00AD09A9">
        <w:rPr>
          <w:sz w:val="26"/>
          <w:szCs w:val="26"/>
        </w:rPr>
        <w:t xml:space="preserve">twenty four exhibits lettered A through X, all being billing statements, documents related thereto, and correspondence related to CRP recertification with the exception of Complainant’s Exhibit J, </w:t>
      </w:r>
      <w:r>
        <w:rPr>
          <w:sz w:val="26"/>
          <w:szCs w:val="26"/>
        </w:rPr>
        <w:t xml:space="preserve">which was </w:t>
      </w:r>
      <w:r w:rsidR="00AD09A9" w:rsidRPr="00AD09A9">
        <w:rPr>
          <w:sz w:val="26"/>
          <w:szCs w:val="26"/>
        </w:rPr>
        <w:t xml:space="preserve">a document prepared by </w:t>
      </w:r>
      <w:r>
        <w:rPr>
          <w:sz w:val="26"/>
          <w:szCs w:val="26"/>
        </w:rPr>
        <w:t xml:space="preserve">the </w:t>
      </w:r>
      <w:r w:rsidR="00AD09A9" w:rsidRPr="00AD09A9">
        <w:rPr>
          <w:sz w:val="26"/>
          <w:szCs w:val="26"/>
        </w:rPr>
        <w:t>Complainant purporting to summarize his bills and billing periods.</w:t>
      </w:r>
      <w:r>
        <w:rPr>
          <w:sz w:val="26"/>
          <w:szCs w:val="26"/>
        </w:rPr>
        <w:t xml:space="preserve"> </w:t>
      </w:r>
      <w:r w:rsidR="00AD09A9" w:rsidRPr="00AD09A9">
        <w:rPr>
          <w:sz w:val="26"/>
          <w:szCs w:val="26"/>
        </w:rPr>
        <w:t xml:space="preserve"> PGW</w:t>
      </w:r>
      <w:r>
        <w:rPr>
          <w:sz w:val="26"/>
          <w:szCs w:val="26"/>
        </w:rPr>
        <w:t xml:space="preserve">, which was represented by </w:t>
      </w:r>
      <w:r w:rsidR="00AD09A9" w:rsidRPr="00AD09A9">
        <w:rPr>
          <w:sz w:val="26"/>
          <w:szCs w:val="26"/>
        </w:rPr>
        <w:t xml:space="preserve">counsel, offered the testimony of </w:t>
      </w:r>
      <w:r>
        <w:rPr>
          <w:sz w:val="26"/>
          <w:szCs w:val="26"/>
        </w:rPr>
        <w:t>one witness</w:t>
      </w:r>
      <w:r w:rsidR="00AD09A9" w:rsidRPr="00AD09A9">
        <w:rPr>
          <w:sz w:val="26"/>
          <w:szCs w:val="26"/>
        </w:rPr>
        <w:t xml:space="preserve">, a PGW Customer Review Officer, and </w:t>
      </w:r>
      <w:r>
        <w:rPr>
          <w:sz w:val="26"/>
          <w:szCs w:val="26"/>
        </w:rPr>
        <w:t xml:space="preserve">offered </w:t>
      </w:r>
      <w:r w:rsidR="00AD09A9" w:rsidRPr="00AD09A9">
        <w:rPr>
          <w:sz w:val="26"/>
          <w:szCs w:val="26"/>
        </w:rPr>
        <w:t>five exhibits</w:t>
      </w:r>
      <w:r>
        <w:rPr>
          <w:sz w:val="26"/>
          <w:szCs w:val="26"/>
        </w:rPr>
        <w:t>.</w:t>
      </w:r>
    </w:p>
    <w:p w:rsidR="000C58D5" w:rsidRDefault="000C58D5" w:rsidP="00A95049">
      <w:pPr>
        <w:widowControl/>
        <w:spacing w:line="360" w:lineRule="auto"/>
        <w:ind w:firstLine="1440"/>
        <w:rPr>
          <w:sz w:val="26"/>
          <w:szCs w:val="26"/>
        </w:rPr>
      </w:pPr>
    </w:p>
    <w:p w:rsidR="00AD09A9" w:rsidRDefault="000C58D5" w:rsidP="00A95049">
      <w:pPr>
        <w:widowControl/>
        <w:spacing w:line="360" w:lineRule="auto"/>
        <w:ind w:firstLine="1440"/>
        <w:rPr>
          <w:sz w:val="26"/>
          <w:szCs w:val="26"/>
        </w:rPr>
      </w:pPr>
      <w:r>
        <w:rPr>
          <w:sz w:val="26"/>
          <w:szCs w:val="26"/>
        </w:rPr>
        <w:t xml:space="preserve">All of the </w:t>
      </w:r>
      <w:r w:rsidR="00AD09A9" w:rsidRPr="00AD09A9">
        <w:rPr>
          <w:sz w:val="26"/>
          <w:szCs w:val="26"/>
        </w:rPr>
        <w:t>Complainant’s Exhibits</w:t>
      </w:r>
      <w:r>
        <w:rPr>
          <w:sz w:val="26"/>
          <w:szCs w:val="26"/>
        </w:rPr>
        <w:t>, Exhibits</w:t>
      </w:r>
      <w:r w:rsidR="00AD09A9" w:rsidRPr="00AD09A9">
        <w:rPr>
          <w:sz w:val="26"/>
          <w:szCs w:val="26"/>
        </w:rPr>
        <w:t xml:space="preserve"> A-X</w:t>
      </w:r>
      <w:r>
        <w:rPr>
          <w:sz w:val="26"/>
          <w:szCs w:val="26"/>
        </w:rPr>
        <w:t>,</w:t>
      </w:r>
      <w:r w:rsidR="00AD09A9" w:rsidRPr="00AD09A9">
        <w:rPr>
          <w:sz w:val="26"/>
          <w:szCs w:val="26"/>
        </w:rPr>
        <w:t xml:space="preserve"> were </w:t>
      </w:r>
      <w:r>
        <w:rPr>
          <w:sz w:val="26"/>
          <w:szCs w:val="26"/>
        </w:rPr>
        <w:t xml:space="preserve">admitted </w:t>
      </w:r>
      <w:r w:rsidR="00AD09A9" w:rsidRPr="00AD09A9">
        <w:rPr>
          <w:sz w:val="26"/>
          <w:szCs w:val="26"/>
        </w:rPr>
        <w:t xml:space="preserve">into </w:t>
      </w:r>
      <w:r>
        <w:rPr>
          <w:sz w:val="26"/>
          <w:szCs w:val="26"/>
        </w:rPr>
        <w:t xml:space="preserve">the record, </w:t>
      </w:r>
      <w:r w:rsidR="00AD09A9" w:rsidRPr="00AD09A9">
        <w:rPr>
          <w:sz w:val="26"/>
          <w:szCs w:val="26"/>
        </w:rPr>
        <w:t>as were PGW Exhibits 1, 2, 3, and 5.</w:t>
      </w:r>
      <w:r>
        <w:rPr>
          <w:sz w:val="26"/>
          <w:szCs w:val="26"/>
        </w:rPr>
        <w:t xml:space="preserve">  The record was closed on November 12, 2015.</w:t>
      </w:r>
    </w:p>
    <w:p w:rsidR="006D40E7" w:rsidRDefault="006D40E7" w:rsidP="00A95049">
      <w:pPr>
        <w:widowControl/>
        <w:spacing w:line="360" w:lineRule="auto"/>
        <w:ind w:firstLine="1440"/>
        <w:rPr>
          <w:sz w:val="26"/>
          <w:szCs w:val="26"/>
        </w:rPr>
      </w:pPr>
    </w:p>
    <w:p w:rsidR="006D40E7" w:rsidRDefault="006D40E7" w:rsidP="00A95049">
      <w:pPr>
        <w:widowControl/>
        <w:spacing w:line="360" w:lineRule="auto"/>
        <w:ind w:firstLine="1440"/>
        <w:rPr>
          <w:sz w:val="26"/>
          <w:szCs w:val="26"/>
        </w:rPr>
      </w:pPr>
      <w:r>
        <w:rPr>
          <w:sz w:val="26"/>
          <w:szCs w:val="26"/>
        </w:rPr>
        <w:t xml:space="preserve">On December 7, 2015, the Complainant filed a Petition to Proceed </w:t>
      </w:r>
      <w:proofErr w:type="gramStart"/>
      <w:r w:rsidRPr="003869C3">
        <w:rPr>
          <w:i/>
          <w:sz w:val="26"/>
          <w:szCs w:val="26"/>
        </w:rPr>
        <w:t>In</w:t>
      </w:r>
      <w:proofErr w:type="gramEnd"/>
      <w:r w:rsidRPr="003869C3">
        <w:rPr>
          <w:i/>
          <w:sz w:val="26"/>
          <w:szCs w:val="26"/>
        </w:rPr>
        <w:t xml:space="preserve"> Forma Pauperis</w:t>
      </w:r>
      <w:r>
        <w:rPr>
          <w:sz w:val="26"/>
          <w:szCs w:val="26"/>
        </w:rPr>
        <w:t xml:space="preserve"> stating that he is unable to pay any of the costs or give security for the fees, costs and expenses necessary to pursue this proceeding.</w:t>
      </w:r>
    </w:p>
    <w:p w:rsidR="000C58D5" w:rsidRDefault="000C58D5" w:rsidP="00A95049">
      <w:pPr>
        <w:widowControl/>
        <w:spacing w:line="360" w:lineRule="auto"/>
        <w:ind w:firstLine="1440"/>
        <w:rPr>
          <w:sz w:val="26"/>
          <w:szCs w:val="26"/>
        </w:rPr>
      </w:pPr>
    </w:p>
    <w:p w:rsidR="000C58D5" w:rsidRDefault="000C58D5" w:rsidP="00A95049">
      <w:pPr>
        <w:widowControl/>
        <w:spacing w:line="360" w:lineRule="auto"/>
        <w:ind w:firstLine="1440"/>
        <w:rPr>
          <w:sz w:val="26"/>
          <w:szCs w:val="26"/>
        </w:rPr>
      </w:pPr>
      <w:r>
        <w:rPr>
          <w:sz w:val="26"/>
          <w:szCs w:val="26"/>
        </w:rPr>
        <w:t xml:space="preserve">In his Initial Decision, issued on July 22, 2016, ALJ Buckley dismissed the Complaint for failure by the Complainant to satisfy </w:t>
      </w:r>
      <w:r w:rsidR="00167690">
        <w:rPr>
          <w:sz w:val="26"/>
          <w:szCs w:val="26"/>
        </w:rPr>
        <w:t>his</w:t>
      </w:r>
      <w:r w:rsidR="002F64B1">
        <w:rPr>
          <w:sz w:val="26"/>
          <w:szCs w:val="26"/>
        </w:rPr>
        <w:t xml:space="preserve"> burden of proof.  As previously noted, Exceptions were filed by the Complainant o</w:t>
      </w:r>
      <w:r w:rsidR="008C2DE2">
        <w:rPr>
          <w:sz w:val="26"/>
          <w:szCs w:val="26"/>
        </w:rPr>
        <w:t>n August 11, 2016.  Replies to E</w:t>
      </w:r>
      <w:r w:rsidR="002F64B1">
        <w:rPr>
          <w:sz w:val="26"/>
          <w:szCs w:val="26"/>
        </w:rPr>
        <w:t>xceptions were filed by PGW on August 22, 2016.</w:t>
      </w:r>
    </w:p>
    <w:p w:rsidR="002F64B1" w:rsidRDefault="002F64B1" w:rsidP="00A95049">
      <w:pPr>
        <w:widowControl/>
        <w:spacing w:line="360" w:lineRule="auto"/>
        <w:ind w:firstLine="1440"/>
        <w:rPr>
          <w:sz w:val="26"/>
          <w:szCs w:val="26"/>
        </w:rPr>
      </w:pPr>
    </w:p>
    <w:p w:rsidR="007F1186" w:rsidRDefault="007F1186" w:rsidP="007300F1">
      <w:pPr>
        <w:keepNext/>
        <w:widowControl/>
        <w:spacing w:line="360" w:lineRule="auto"/>
        <w:jc w:val="center"/>
        <w:rPr>
          <w:b/>
          <w:sz w:val="26"/>
          <w:szCs w:val="26"/>
        </w:rPr>
      </w:pPr>
      <w:r>
        <w:rPr>
          <w:b/>
          <w:sz w:val="26"/>
          <w:szCs w:val="26"/>
        </w:rPr>
        <w:lastRenderedPageBreak/>
        <w:t>Discussion</w:t>
      </w:r>
    </w:p>
    <w:p w:rsidR="007F1186" w:rsidRDefault="007F1186" w:rsidP="007300F1">
      <w:pPr>
        <w:keepNext/>
        <w:widowControl/>
        <w:spacing w:line="360" w:lineRule="auto"/>
        <w:jc w:val="center"/>
        <w:rPr>
          <w:b/>
          <w:sz w:val="26"/>
          <w:szCs w:val="26"/>
        </w:rPr>
      </w:pPr>
    </w:p>
    <w:p w:rsidR="007F1186" w:rsidRPr="00BF4556" w:rsidRDefault="007F1186" w:rsidP="007300F1">
      <w:pPr>
        <w:keepNext/>
        <w:widowControl/>
        <w:spacing w:line="360" w:lineRule="auto"/>
        <w:rPr>
          <w:sz w:val="26"/>
          <w:szCs w:val="26"/>
        </w:rPr>
      </w:pPr>
      <w:r>
        <w:rPr>
          <w:b/>
          <w:sz w:val="26"/>
          <w:szCs w:val="26"/>
        </w:rPr>
        <w:t>Legal Standards</w:t>
      </w:r>
    </w:p>
    <w:p w:rsidR="007F1186" w:rsidRDefault="007F1186" w:rsidP="007300F1">
      <w:pPr>
        <w:keepNext/>
        <w:widowControl/>
        <w:spacing w:line="360" w:lineRule="auto"/>
        <w:rPr>
          <w:b/>
          <w:sz w:val="26"/>
          <w:szCs w:val="26"/>
        </w:rPr>
      </w:pPr>
    </w:p>
    <w:p w:rsidR="007F1186" w:rsidRPr="00D64605" w:rsidRDefault="007F1186" w:rsidP="00167690">
      <w:pPr>
        <w:widowControl/>
        <w:spacing w:line="360" w:lineRule="auto"/>
        <w:ind w:firstLine="1440"/>
        <w:rPr>
          <w:sz w:val="26"/>
          <w:szCs w:val="26"/>
        </w:rPr>
      </w:pPr>
      <w:r w:rsidRPr="00D64605">
        <w:rPr>
          <w:sz w:val="26"/>
          <w:szCs w:val="26"/>
        </w:rPr>
        <w:t>As the proponent of a rule or order, the Complainant in this proceeding bear</w:t>
      </w:r>
      <w:r>
        <w:rPr>
          <w:sz w:val="26"/>
          <w:szCs w:val="26"/>
        </w:rPr>
        <w:t>s</w:t>
      </w:r>
      <w:r w:rsidRPr="00D64605">
        <w:rPr>
          <w:sz w:val="26"/>
          <w:szCs w:val="26"/>
        </w:rPr>
        <w:t xml:space="preserve">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proofErr w:type="gramStart"/>
      <w:r w:rsidRPr="00D64605">
        <w:rPr>
          <w:i/>
          <w:sz w:val="26"/>
          <w:szCs w:val="26"/>
        </w:rPr>
        <w:t>Patterson v.</w:t>
      </w:r>
      <w:proofErr w:type="gramEnd"/>
      <w:r w:rsidRPr="00D64605">
        <w:rPr>
          <w:i/>
          <w:sz w:val="26"/>
          <w:szCs w:val="26"/>
        </w:rPr>
        <w:t xml:space="preserve"> </w:t>
      </w:r>
      <w:proofErr w:type="gramStart"/>
      <w:r w:rsidRPr="00D64605">
        <w:rPr>
          <w:i/>
          <w:sz w:val="26"/>
          <w:szCs w:val="26"/>
        </w:rPr>
        <w:t>The Bell Telephone Company of Pennsylvania</w:t>
      </w:r>
      <w:r w:rsidRPr="00D64605">
        <w:rPr>
          <w:sz w:val="26"/>
          <w:szCs w:val="26"/>
        </w:rPr>
        <w:t>, 72 Pa. P.U.C. 196 (1990).</w:t>
      </w:r>
      <w:proofErr w:type="gramEnd"/>
      <w:r w:rsidRPr="00D64605">
        <w:rPr>
          <w:sz w:val="26"/>
          <w:szCs w:val="26"/>
        </w:rPr>
        <w:t xml:space="preserve">  Such a showing must be by a preponderance of the evidence.  </w:t>
      </w:r>
      <w:proofErr w:type="gramStart"/>
      <w:r w:rsidRPr="00D64605">
        <w:rPr>
          <w:i/>
          <w:iCs/>
          <w:sz w:val="26"/>
          <w:szCs w:val="26"/>
        </w:rPr>
        <w:t>Samuel J. Lansberry, Inc. v. Pa. PUC</w:t>
      </w:r>
      <w:r w:rsidRPr="00D64605">
        <w:rPr>
          <w:sz w:val="26"/>
          <w:szCs w:val="26"/>
        </w:rPr>
        <w:t xml:space="preserve">, 578 A.2d 600 (Pa. Cmwlth. 1990), </w:t>
      </w:r>
      <w:r w:rsidRPr="00D64605">
        <w:rPr>
          <w:i/>
          <w:sz w:val="26"/>
          <w:szCs w:val="26"/>
        </w:rPr>
        <w:t>alloc.</w:t>
      </w:r>
      <w:proofErr w:type="gramEnd"/>
      <w:r w:rsidRPr="00D64605">
        <w:rPr>
          <w:i/>
          <w:sz w:val="26"/>
          <w:szCs w:val="26"/>
        </w:rPr>
        <w:t xml:space="preserve"> </w:t>
      </w:r>
      <w:proofErr w:type="gramStart"/>
      <w:r w:rsidRPr="00D64605">
        <w:rPr>
          <w:i/>
          <w:sz w:val="26"/>
          <w:szCs w:val="26"/>
        </w:rPr>
        <w:t>denied</w:t>
      </w:r>
      <w:proofErr w:type="gramEnd"/>
      <w:r w:rsidRPr="00D64605">
        <w:rPr>
          <w:i/>
          <w:sz w:val="26"/>
          <w:szCs w:val="26"/>
        </w:rPr>
        <w:t>,</w:t>
      </w:r>
      <w:r w:rsidRPr="00D64605">
        <w:rPr>
          <w:sz w:val="26"/>
          <w:szCs w:val="26"/>
        </w:rPr>
        <w:t xml:space="preserve"> 529 Pa. 654, 602 A.2d 863 (1992).  That is, the Complainant</w:t>
      </w:r>
      <w:r>
        <w:rPr>
          <w:sz w:val="26"/>
          <w:szCs w:val="26"/>
        </w:rPr>
        <w:t>’s</w:t>
      </w:r>
      <w:r w:rsidRPr="00D64605">
        <w:rPr>
          <w:sz w:val="26"/>
          <w:szCs w:val="26"/>
        </w:rPr>
        <w:t xml:space="preserve"> evidence must be more convincing, by even the smallest amount, than that presented by the Respondent.  </w:t>
      </w:r>
      <w:proofErr w:type="gramStart"/>
      <w:r w:rsidRPr="00D64605">
        <w:rPr>
          <w:i/>
          <w:sz w:val="26"/>
          <w:szCs w:val="26"/>
        </w:rPr>
        <w:t>Se-Ling Hosiery, Inc. v. Margulies</w:t>
      </w:r>
      <w:r w:rsidRPr="00D64605">
        <w:rPr>
          <w:sz w:val="26"/>
          <w:szCs w:val="26"/>
        </w:rPr>
        <w:t>, 364 Pa. 45, 70 A.2d 854 (1950).</w:t>
      </w:r>
      <w:proofErr w:type="gramEnd"/>
      <w:r w:rsidRPr="00D64605">
        <w:rPr>
          <w:sz w:val="26"/>
          <w:szCs w:val="26"/>
        </w:rPr>
        <w:t xml:space="preserve">  Additionally, this Commission’s decision must be supported by substantial evidence in the record.  More is required than a mere trace of evidence or a suspicion of the existence of a fact sought to be established.  </w:t>
      </w:r>
      <w:proofErr w:type="gramStart"/>
      <w:r w:rsidRPr="00D64605">
        <w:rPr>
          <w:i/>
          <w:sz w:val="26"/>
          <w:szCs w:val="26"/>
        </w:rPr>
        <w:t xml:space="preserve">Norfolk &amp; Western Ry. Co. v. Pa. PUC, </w:t>
      </w:r>
      <w:r w:rsidRPr="00D64605">
        <w:rPr>
          <w:sz w:val="26"/>
          <w:szCs w:val="26"/>
        </w:rPr>
        <w:t>489 Pa. 109, 413 A.2d 1037 (1980).</w:t>
      </w:r>
      <w:proofErr w:type="gramEnd"/>
    </w:p>
    <w:p w:rsidR="007F1186" w:rsidRPr="00D64605" w:rsidRDefault="007F1186" w:rsidP="00167690">
      <w:pPr>
        <w:widowControl/>
        <w:spacing w:line="360" w:lineRule="auto"/>
        <w:rPr>
          <w:sz w:val="26"/>
          <w:szCs w:val="26"/>
        </w:rPr>
      </w:pPr>
    </w:p>
    <w:p w:rsidR="007F1186" w:rsidRDefault="007F1186" w:rsidP="00167690">
      <w:pPr>
        <w:widowControl/>
        <w:spacing w:line="360" w:lineRule="auto"/>
        <w:ind w:firstLine="1440"/>
        <w:rPr>
          <w:sz w:val="26"/>
        </w:rPr>
      </w:pPr>
      <w:r w:rsidRPr="00D64605">
        <w:rPr>
          <w:sz w:val="26"/>
        </w:rPr>
        <w:t xml:space="preserve">Upon the presentation by a Complainant of evidence sufficient to initially satisfy the burden of proof, the burden of going forward with the evidence, sometimes called the burden of persuasion,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D64605">
        <w:rPr>
          <w:iCs/>
          <w:sz w:val="26"/>
        </w:rPr>
        <w:t xml:space="preserve"> </w:t>
      </w:r>
      <w:hyperlink r:id="rId8" w:history="1">
        <w:r w:rsidRPr="007F1186">
          <w:rPr>
            <w:rStyle w:val="Hyperlink"/>
            <w:rFonts w:ascii="Times New (W1)" w:hAnsi="Times New (W1)"/>
            <w:i/>
            <w:iCs/>
            <w:color w:val="auto"/>
            <w:sz w:val="26"/>
            <w:u w:val="none"/>
          </w:rPr>
          <w:t>Burleson v. Pa. PUC,</w:t>
        </w:r>
        <w:r w:rsidRPr="007F1186">
          <w:rPr>
            <w:rStyle w:val="Hyperlink"/>
            <w:rFonts w:ascii="Times New (W1)" w:hAnsi="Times New (W1)"/>
            <w:iCs/>
            <w:color w:val="auto"/>
            <w:sz w:val="26"/>
            <w:u w:val="none"/>
          </w:rPr>
          <w:t xml:space="preserve"> 443 A.2d 1373 (Pa. Cmwlth. 1982), </w:t>
        </w:r>
        <w:r w:rsidRPr="007F1186">
          <w:rPr>
            <w:rStyle w:val="Hyperlink"/>
            <w:rFonts w:ascii="Times New (W1)" w:hAnsi="Times New (W1)"/>
            <w:i/>
            <w:iCs/>
            <w:color w:val="auto"/>
            <w:sz w:val="26"/>
            <w:u w:val="none"/>
          </w:rPr>
          <w:t>aff’d,</w:t>
        </w:r>
        <w:r w:rsidRPr="007F1186">
          <w:rPr>
            <w:rStyle w:val="Hyperlink"/>
            <w:rFonts w:ascii="Times New (W1)" w:hAnsi="Times New (W1)"/>
            <w:iCs/>
            <w:color w:val="auto"/>
            <w:sz w:val="26"/>
            <w:u w:val="none"/>
          </w:rPr>
          <w:t xml:space="preserve"> 501 Pa. 433, 461 A.2d 1234 (1983).</w:t>
        </w:r>
      </w:hyperlink>
      <w:r w:rsidRPr="007F1186">
        <w:rPr>
          <w:rStyle w:val="Hyperlink"/>
          <w:rFonts w:ascii="Times New (W1)" w:hAnsi="Times New (W1)"/>
          <w:iCs/>
          <w:color w:val="auto"/>
          <w:sz w:val="26"/>
          <w:u w:val="none"/>
        </w:rPr>
        <w:t xml:space="preserve">  </w:t>
      </w:r>
      <w:r w:rsidRPr="00D64605">
        <w:rPr>
          <w:sz w:val="26"/>
        </w:rPr>
        <w:t xml:space="preserve">While the burden of persuasion may </w:t>
      </w:r>
      <w:r w:rsidRPr="007F1186">
        <w:rPr>
          <w:rStyle w:val="term1"/>
          <w:b w:val="0"/>
          <w:sz w:val="26"/>
        </w:rPr>
        <w:t>shift</w:t>
      </w:r>
      <w:r w:rsidRPr="00D64605">
        <w:rPr>
          <w:sz w:val="26"/>
        </w:rPr>
        <w:t xml:space="preserve"> back and forth during a proceeding, the </w:t>
      </w:r>
      <w:r w:rsidRPr="007F1186">
        <w:rPr>
          <w:rStyle w:val="term1"/>
          <w:b w:val="0"/>
          <w:sz w:val="26"/>
        </w:rPr>
        <w:t>burden of proof</w:t>
      </w:r>
      <w:r w:rsidRPr="00D64605">
        <w:rPr>
          <w:sz w:val="26"/>
        </w:rPr>
        <w:t xml:space="preserve"> never </w:t>
      </w:r>
      <w:r w:rsidRPr="007F1186">
        <w:rPr>
          <w:rStyle w:val="term1"/>
          <w:b w:val="0"/>
          <w:sz w:val="26"/>
        </w:rPr>
        <w:t>shifts.  The burden of proof</w:t>
      </w:r>
      <w:r w:rsidRPr="00D64605">
        <w:rPr>
          <w:sz w:val="26"/>
        </w:rPr>
        <w:t xml:space="preserve"> always remains on the party seeking affirmative relief from the Commission.  </w:t>
      </w:r>
      <w:proofErr w:type="gramStart"/>
      <w:r w:rsidRPr="00D64605">
        <w:rPr>
          <w:i/>
          <w:sz w:val="26"/>
        </w:rPr>
        <w:t xml:space="preserve">Milkie v. Pa. PUC, </w:t>
      </w:r>
      <w:r w:rsidRPr="00D64605">
        <w:rPr>
          <w:sz w:val="26"/>
        </w:rPr>
        <w:t>768 A.2d 1217 (Pa. Cmwlth. 2001).</w:t>
      </w:r>
      <w:proofErr w:type="gramEnd"/>
    </w:p>
    <w:p w:rsidR="007F1186" w:rsidRDefault="007F1186" w:rsidP="00167690">
      <w:pPr>
        <w:widowControl/>
        <w:spacing w:line="360" w:lineRule="auto"/>
        <w:ind w:firstLine="1440"/>
        <w:rPr>
          <w:rStyle w:val="Hyperlink"/>
          <w:color w:val="000000"/>
          <w:sz w:val="26"/>
          <w:szCs w:val="26"/>
          <w:u w:val="none"/>
        </w:rPr>
      </w:pPr>
      <w:r w:rsidRPr="00D64605">
        <w:rPr>
          <w:sz w:val="26"/>
          <w:szCs w:val="26"/>
        </w:rPr>
        <w:lastRenderedPageBreak/>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F24572">
          <w:rPr>
            <w:rStyle w:val="Emphasis"/>
            <w:color w:val="000000"/>
            <w:sz w:val="26"/>
            <w:szCs w:val="26"/>
          </w:rPr>
          <w:t xml:space="preserve">Consolidated Rail Corp. v. Pa. PUC, </w:t>
        </w:r>
        <w:r w:rsidRPr="007F1186">
          <w:rPr>
            <w:rStyle w:val="Hyperlink"/>
            <w:color w:val="000000"/>
            <w:sz w:val="26"/>
            <w:szCs w:val="26"/>
            <w:u w:val="none"/>
          </w:rPr>
          <w:t>625 A.2d 741 (Pa. Cmwlth. 1993);</w:t>
        </w:r>
      </w:hyperlink>
      <w:r w:rsidRPr="00D64605">
        <w:rPr>
          <w:color w:val="000000"/>
          <w:sz w:val="26"/>
          <w:szCs w:val="26"/>
        </w:rPr>
        <w:t xml:space="preserve"> </w:t>
      </w:r>
      <w:r w:rsidRPr="00D64605">
        <w:rPr>
          <w:i/>
          <w:color w:val="000000"/>
          <w:sz w:val="26"/>
          <w:szCs w:val="26"/>
        </w:rPr>
        <w:t xml:space="preserve">also </w:t>
      </w:r>
      <w:r w:rsidRPr="00D64605">
        <w:rPr>
          <w:rStyle w:val="Emphasis"/>
          <w:color w:val="000000"/>
          <w:sz w:val="26"/>
          <w:szCs w:val="26"/>
        </w:rPr>
        <w:t xml:space="preserve">see, generally, </w:t>
      </w:r>
      <w:hyperlink r:id="rId10" w:history="1">
        <w:r w:rsidRPr="007F1186">
          <w:rPr>
            <w:rStyle w:val="Emphasis"/>
            <w:color w:val="000000"/>
            <w:sz w:val="26"/>
            <w:szCs w:val="26"/>
          </w:rPr>
          <w:t>University of Pennsylvania v. Pa. PUC</w:t>
        </w:r>
        <w:r w:rsidRPr="007F1186">
          <w:rPr>
            <w:rStyle w:val="Hyperlink"/>
            <w:color w:val="000000"/>
            <w:sz w:val="26"/>
            <w:szCs w:val="26"/>
            <w:u w:val="none"/>
          </w:rPr>
          <w:t>, 485 A.2d 1217 (Pa. Cmwlth. 1984).</w:t>
        </w:r>
      </w:hyperlink>
    </w:p>
    <w:p w:rsidR="00167690" w:rsidRDefault="00167690" w:rsidP="00167690">
      <w:pPr>
        <w:widowControl/>
        <w:spacing w:line="360" w:lineRule="auto"/>
        <w:ind w:firstLine="1440"/>
        <w:rPr>
          <w:rStyle w:val="Hyperlink"/>
          <w:color w:val="000000"/>
          <w:sz w:val="26"/>
          <w:szCs w:val="26"/>
        </w:rPr>
      </w:pPr>
    </w:p>
    <w:p w:rsidR="007F1186" w:rsidRPr="00D64605" w:rsidRDefault="007F1186" w:rsidP="007300F1">
      <w:pPr>
        <w:keepNext/>
        <w:widowControl/>
        <w:spacing w:line="360" w:lineRule="auto"/>
        <w:rPr>
          <w:b/>
          <w:color w:val="000000"/>
          <w:sz w:val="26"/>
          <w:szCs w:val="26"/>
        </w:rPr>
      </w:pPr>
      <w:r>
        <w:rPr>
          <w:b/>
          <w:color w:val="000000"/>
          <w:sz w:val="26"/>
          <w:szCs w:val="26"/>
        </w:rPr>
        <w:t>ALJ</w:t>
      </w:r>
      <w:r w:rsidRPr="00D64605">
        <w:rPr>
          <w:b/>
          <w:color w:val="000000"/>
          <w:sz w:val="26"/>
          <w:szCs w:val="26"/>
        </w:rPr>
        <w:t>’s Initial Decision</w:t>
      </w:r>
    </w:p>
    <w:p w:rsidR="007F1186" w:rsidRPr="00D64605" w:rsidRDefault="007F1186" w:rsidP="007300F1">
      <w:pPr>
        <w:keepNext/>
        <w:widowControl/>
        <w:spacing w:line="360" w:lineRule="auto"/>
        <w:ind w:firstLine="1440"/>
        <w:rPr>
          <w:rStyle w:val="Hyperlink"/>
          <w:color w:val="000000"/>
          <w:sz w:val="26"/>
          <w:szCs w:val="26"/>
        </w:rPr>
      </w:pPr>
    </w:p>
    <w:p w:rsidR="007F1186" w:rsidRDefault="007A710C" w:rsidP="00167690">
      <w:pPr>
        <w:widowControl/>
        <w:spacing w:line="360" w:lineRule="auto"/>
        <w:ind w:firstLine="1440"/>
        <w:rPr>
          <w:sz w:val="26"/>
          <w:szCs w:val="26"/>
        </w:rPr>
      </w:pPr>
      <w:r>
        <w:rPr>
          <w:sz w:val="26"/>
          <w:szCs w:val="26"/>
        </w:rPr>
        <w:t>In his Initial Decision, ALJ Buckley made fifteen</w:t>
      </w:r>
      <w:r w:rsidR="007F1186" w:rsidRPr="00D64605">
        <w:rPr>
          <w:sz w:val="26"/>
          <w:szCs w:val="26"/>
        </w:rPr>
        <w:t xml:space="preserve"> </w:t>
      </w:r>
      <w:r w:rsidR="007F1186">
        <w:rPr>
          <w:sz w:val="26"/>
          <w:szCs w:val="26"/>
        </w:rPr>
        <w:t>F</w:t>
      </w:r>
      <w:r>
        <w:rPr>
          <w:sz w:val="26"/>
          <w:szCs w:val="26"/>
        </w:rPr>
        <w:t>indings of Fact and reached five</w:t>
      </w:r>
      <w:r w:rsidR="007F1186" w:rsidRPr="00D64605">
        <w:rPr>
          <w:sz w:val="26"/>
          <w:szCs w:val="26"/>
        </w:rPr>
        <w:t xml:space="preserve"> Conclus</w:t>
      </w:r>
      <w:r>
        <w:rPr>
          <w:sz w:val="26"/>
          <w:szCs w:val="26"/>
        </w:rPr>
        <w:t xml:space="preserve">ions of Law.  </w:t>
      </w:r>
      <w:proofErr w:type="gramStart"/>
      <w:r>
        <w:rPr>
          <w:sz w:val="26"/>
          <w:szCs w:val="26"/>
        </w:rPr>
        <w:t>I.D. at 3-4, 6</w:t>
      </w:r>
      <w:r w:rsidR="007F1186" w:rsidRPr="00D64605">
        <w:rPr>
          <w:sz w:val="26"/>
          <w:szCs w:val="26"/>
        </w:rPr>
        <w:t>.</w:t>
      </w:r>
      <w:proofErr w:type="gramEnd"/>
      <w:r w:rsidR="007F1186" w:rsidRPr="00D64605">
        <w:rPr>
          <w:sz w:val="26"/>
          <w:szCs w:val="26"/>
        </w:rPr>
        <w:t xml:space="preserve">  The Findings of Fact and Conclusions of Law are incorporated herein by reference and are adopted without comment unless they are either expressly or by necessary implication rejected or modified by this Opinion and Order.</w:t>
      </w:r>
    </w:p>
    <w:p w:rsidR="007F1186" w:rsidRDefault="007F1186" w:rsidP="00167690">
      <w:pPr>
        <w:widowControl/>
        <w:spacing w:line="360" w:lineRule="auto"/>
        <w:ind w:firstLine="1440"/>
        <w:rPr>
          <w:sz w:val="26"/>
          <w:szCs w:val="26"/>
        </w:rPr>
      </w:pPr>
    </w:p>
    <w:p w:rsidR="00771AB7" w:rsidRDefault="007F1186" w:rsidP="00167690">
      <w:pPr>
        <w:widowControl/>
        <w:spacing w:line="360" w:lineRule="auto"/>
        <w:ind w:firstLine="1440"/>
        <w:rPr>
          <w:sz w:val="26"/>
          <w:szCs w:val="26"/>
        </w:rPr>
      </w:pPr>
      <w:r>
        <w:rPr>
          <w:sz w:val="26"/>
          <w:szCs w:val="26"/>
        </w:rPr>
        <w:t xml:space="preserve">The ALJ found that </w:t>
      </w:r>
      <w:r w:rsidR="00D53209">
        <w:rPr>
          <w:sz w:val="26"/>
          <w:szCs w:val="26"/>
        </w:rPr>
        <w:t>the C</w:t>
      </w:r>
      <w:r w:rsidR="00884815">
        <w:rPr>
          <w:sz w:val="26"/>
          <w:szCs w:val="26"/>
        </w:rPr>
        <w:t>omplainant did not prove that he ha</w:t>
      </w:r>
      <w:r w:rsidR="00167690">
        <w:rPr>
          <w:sz w:val="26"/>
          <w:szCs w:val="26"/>
        </w:rPr>
        <w:t>d</w:t>
      </w:r>
      <w:r w:rsidR="00884815">
        <w:rPr>
          <w:sz w:val="26"/>
          <w:szCs w:val="26"/>
        </w:rPr>
        <w:t xml:space="preserve"> been mis-billed, or that any payments, including LIHEAP payments</w:t>
      </w:r>
      <w:r w:rsidR="00303E56">
        <w:rPr>
          <w:sz w:val="26"/>
          <w:szCs w:val="26"/>
        </w:rPr>
        <w:t>,</w:t>
      </w:r>
      <w:r w:rsidR="00884815">
        <w:rPr>
          <w:sz w:val="26"/>
          <w:szCs w:val="26"/>
        </w:rPr>
        <w:t xml:space="preserve"> ha</w:t>
      </w:r>
      <w:r w:rsidR="00332CBF">
        <w:rPr>
          <w:sz w:val="26"/>
          <w:szCs w:val="26"/>
        </w:rPr>
        <w:t>d</w:t>
      </w:r>
      <w:r w:rsidR="00884815">
        <w:rPr>
          <w:sz w:val="26"/>
          <w:szCs w:val="26"/>
        </w:rPr>
        <w:t xml:space="preserve"> been misapplied.  He further found that the Complainant did not prove that PGW’s usage charges were inaccurate. </w:t>
      </w:r>
      <w:r w:rsidR="00332CBF">
        <w:rPr>
          <w:sz w:val="26"/>
          <w:szCs w:val="26"/>
        </w:rPr>
        <w:t xml:space="preserve"> </w:t>
      </w:r>
      <w:r w:rsidR="00E4681D">
        <w:rPr>
          <w:sz w:val="26"/>
          <w:szCs w:val="26"/>
        </w:rPr>
        <w:t xml:space="preserve">The ALJ explained that the Complainant </w:t>
      </w:r>
      <w:r w:rsidR="00D53209">
        <w:rPr>
          <w:sz w:val="26"/>
          <w:szCs w:val="26"/>
        </w:rPr>
        <w:t>was at one time enrolled in PGW’</w:t>
      </w:r>
      <w:r w:rsidR="00E4681D">
        <w:rPr>
          <w:sz w:val="26"/>
          <w:szCs w:val="26"/>
        </w:rPr>
        <w:t>s CRP program wherein a customer’s arrearages are frozen and the customer is cha</w:t>
      </w:r>
      <w:r w:rsidR="00771AB7">
        <w:rPr>
          <w:sz w:val="26"/>
          <w:szCs w:val="26"/>
        </w:rPr>
        <w:t xml:space="preserve">rged based solely on his income and not on the basis of gas used.  However, the ALJ noted that when the Complainant was no longer a participant in CRP, his arrearages were unfrozen, and he was billed going forward based on gas usage.  According to the ALJ, the Complainant’s perception of mis-billing is tied to the different treatment accorded to an account in the CRP versus one not in the CRP.  </w:t>
      </w:r>
      <w:proofErr w:type="gramStart"/>
      <w:r w:rsidR="00771AB7">
        <w:rPr>
          <w:sz w:val="26"/>
          <w:szCs w:val="26"/>
        </w:rPr>
        <w:t>I.D. at 5.</w:t>
      </w:r>
      <w:proofErr w:type="gramEnd"/>
    </w:p>
    <w:p w:rsidR="00771AB7" w:rsidRDefault="00771AB7" w:rsidP="00167690">
      <w:pPr>
        <w:widowControl/>
        <w:spacing w:line="360" w:lineRule="auto"/>
        <w:ind w:firstLine="1440"/>
        <w:rPr>
          <w:sz w:val="26"/>
          <w:szCs w:val="26"/>
        </w:rPr>
      </w:pPr>
    </w:p>
    <w:p w:rsidR="003B1324" w:rsidRDefault="00B20C84" w:rsidP="00167690">
      <w:pPr>
        <w:widowControl/>
        <w:spacing w:line="360" w:lineRule="auto"/>
        <w:ind w:firstLine="1440"/>
        <w:rPr>
          <w:sz w:val="26"/>
          <w:szCs w:val="26"/>
        </w:rPr>
      </w:pPr>
      <w:r>
        <w:rPr>
          <w:sz w:val="26"/>
          <w:szCs w:val="26"/>
        </w:rPr>
        <w:t xml:space="preserve">Next, with regard to the Complainant’s allegations that PGW’s gas usage charge was inaccurate because he claimed that he could not have been using </w:t>
      </w:r>
      <w:r w:rsidR="00303E56">
        <w:rPr>
          <w:sz w:val="26"/>
          <w:szCs w:val="26"/>
        </w:rPr>
        <w:t>the gas for which he was billed,</w:t>
      </w:r>
      <w:r>
        <w:rPr>
          <w:sz w:val="26"/>
          <w:szCs w:val="26"/>
        </w:rPr>
        <w:t xml:space="preserve"> </w:t>
      </w:r>
      <w:r w:rsidR="00303E56">
        <w:rPr>
          <w:sz w:val="26"/>
          <w:szCs w:val="26"/>
        </w:rPr>
        <w:t>t</w:t>
      </w:r>
      <w:r>
        <w:rPr>
          <w:sz w:val="26"/>
          <w:szCs w:val="26"/>
        </w:rPr>
        <w:t xml:space="preserve">he ALJ concluded that the Complainant failed to meet his burden of </w:t>
      </w:r>
      <w:r>
        <w:rPr>
          <w:sz w:val="26"/>
          <w:szCs w:val="26"/>
        </w:rPr>
        <w:lastRenderedPageBreak/>
        <w:t xml:space="preserve">proof.  The ALJ found that PGW presented unrefuted testimony that on at least two occasions its agents were present at the Complainant’s residence and discovered that appliances were connected to the gas supply when the Complainant had claimed that they were disconnected.  As such, the ALJ </w:t>
      </w:r>
      <w:r w:rsidR="002855F0">
        <w:rPr>
          <w:sz w:val="26"/>
          <w:szCs w:val="26"/>
        </w:rPr>
        <w:t>dismissed the Complain</w:t>
      </w:r>
      <w:r w:rsidR="00332CBF">
        <w:rPr>
          <w:sz w:val="26"/>
          <w:szCs w:val="26"/>
        </w:rPr>
        <w:t xml:space="preserve">t based on his </w:t>
      </w:r>
      <w:r>
        <w:rPr>
          <w:sz w:val="26"/>
          <w:szCs w:val="26"/>
        </w:rPr>
        <w:t>conclu</w:t>
      </w:r>
      <w:r w:rsidR="00332CBF">
        <w:rPr>
          <w:sz w:val="26"/>
          <w:szCs w:val="26"/>
        </w:rPr>
        <w:t xml:space="preserve">sion </w:t>
      </w:r>
      <w:r>
        <w:rPr>
          <w:sz w:val="26"/>
          <w:szCs w:val="26"/>
        </w:rPr>
        <w:t xml:space="preserve">that the Complainant failed to prove by a preponderance of the evidence that PGW </w:t>
      </w:r>
      <w:r w:rsidR="00332CBF">
        <w:rPr>
          <w:sz w:val="26"/>
          <w:szCs w:val="26"/>
        </w:rPr>
        <w:t xml:space="preserve">had </w:t>
      </w:r>
      <w:r>
        <w:rPr>
          <w:sz w:val="26"/>
          <w:szCs w:val="26"/>
        </w:rPr>
        <w:t>acted improperly or unlawfully</w:t>
      </w:r>
      <w:r w:rsidR="00332CBF">
        <w:rPr>
          <w:sz w:val="26"/>
          <w:szCs w:val="26"/>
        </w:rPr>
        <w:t>.</w:t>
      </w:r>
      <w:r>
        <w:rPr>
          <w:sz w:val="26"/>
          <w:szCs w:val="26"/>
        </w:rPr>
        <w:t xml:space="preserve">  </w:t>
      </w:r>
      <w:proofErr w:type="gramStart"/>
      <w:r>
        <w:rPr>
          <w:sz w:val="26"/>
          <w:szCs w:val="26"/>
        </w:rPr>
        <w:t>I.D. at 6.</w:t>
      </w:r>
      <w:proofErr w:type="gramEnd"/>
    </w:p>
    <w:p w:rsidR="003B1324" w:rsidRDefault="003B1324" w:rsidP="00167690">
      <w:pPr>
        <w:widowControl/>
        <w:spacing w:line="360" w:lineRule="auto"/>
        <w:ind w:firstLine="1440"/>
        <w:rPr>
          <w:sz w:val="26"/>
          <w:szCs w:val="26"/>
        </w:rPr>
      </w:pPr>
    </w:p>
    <w:p w:rsidR="003B1324" w:rsidRDefault="003B1324" w:rsidP="007300F1">
      <w:pPr>
        <w:keepNext/>
        <w:widowControl/>
        <w:spacing w:line="360" w:lineRule="auto"/>
        <w:rPr>
          <w:b/>
          <w:sz w:val="26"/>
          <w:szCs w:val="26"/>
        </w:rPr>
      </w:pPr>
      <w:r>
        <w:rPr>
          <w:b/>
          <w:sz w:val="26"/>
          <w:szCs w:val="26"/>
        </w:rPr>
        <w:t>Exceptions and Replies</w:t>
      </w:r>
    </w:p>
    <w:p w:rsidR="00532AEC" w:rsidRDefault="00532AEC" w:rsidP="007300F1">
      <w:pPr>
        <w:keepNext/>
        <w:widowControl/>
        <w:spacing w:line="360" w:lineRule="auto"/>
        <w:rPr>
          <w:b/>
          <w:sz w:val="26"/>
          <w:szCs w:val="26"/>
        </w:rPr>
      </w:pPr>
    </w:p>
    <w:p w:rsidR="009839FE" w:rsidRDefault="00532AEC" w:rsidP="00167690">
      <w:pPr>
        <w:widowControl/>
        <w:spacing w:line="360" w:lineRule="auto"/>
        <w:rPr>
          <w:sz w:val="26"/>
          <w:szCs w:val="26"/>
        </w:rPr>
      </w:pPr>
      <w:r>
        <w:rPr>
          <w:sz w:val="26"/>
          <w:szCs w:val="26"/>
        </w:rPr>
        <w:tab/>
      </w:r>
      <w:r>
        <w:rPr>
          <w:sz w:val="26"/>
          <w:szCs w:val="26"/>
        </w:rPr>
        <w:tab/>
      </w:r>
      <w:r w:rsidR="0045332C">
        <w:rPr>
          <w:sz w:val="26"/>
          <w:szCs w:val="26"/>
        </w:rPr>
        <w:t>The C</w:t>
      </w:r>
      <w:r w:rsidR="00303E56">
        <w:rPr>
          <w:sz w:val="26"/>
          <w:szCs w:val="26"/>
        </w:rPr>
        <w:t xml:space="preserve">omplainant’s Exceptions </w:t>
      </w:r>
      <w:r w:rsidR="002218B2">
        <w:rPr>
          <w:sz w:val="26"/>
          <w:szCs w:val="26"/>
        </w:rPr>
        <w:t xml:space="preserve">are comprised of </w:t>
      </w:r>
      <w:r w:rsidR="0045332C">
        <w:rPr>
          <w:sz w:val="26"/>
          <w:szCs w:val="26"/>
        </w:rPr>
        <w:t xml:space="preserve">a recitation </w:t>
      </w:r>
      <w:r w:rsidR="009839FE">
        <w:rPr>
          <w:sz w:val="26"/>
          <w:szCs w:val="26"/>
        </w:rPr>
        <w:t xml:space="preserve">of, </w:t>
      </w:r>
      <w:r w:rsidR="0045332C">
        <w:rPr>
          <w:sz w:val="26"/>
          <w:szCs w:val="26"/>
        </w:rPr>
        <w:t>and comments</w:t>
      </w:r>
      <w:r w:rsidR="009839FE">
        <w:rPr>
          <w:sz w:val="26"/>
          <w:szCs w:val="26"/>
        </w:rPr>
        <w:t xml:space="preserve"> on the Findi</w:t>
      </w:r>
      <w:r w:rsidR="00CB5C73">
        <w:rPr>
          <w:sz w:val="26"/>
          <w:szCs w:val="26"/>
        </w:rPr>
        <w:t>ngs of Fact and Conclusions of L</w:t>
      </w:r>
      <w:r w:rsidR="009839FE">
        <w:rPr>
          <w:sz w:val="26"/>
          <w:szCs w:val="26"/>
        </w:rPr>
        <w:t>aw within the ALJ’s Initial Decision.</w:t>
      </w:r>
      <w:r w:rsidR="00CB5C73">
        <w:rPr>
          <w:sz w:val="26"/>
          <w:szCs w:val="26"/>
        </w:rPr>
        <w:t xml:space="preserve">  In h</w:t>
      </w:r>
      <w:r w:rsidR="009839FE">
        <w:rPr>
          <w:sz w:val="26"/>
          <w:szCs w:val="26"/>
        </w:rPr>
        <w:t xml:space="preserve">is Exceptions, the Complainant states that he concurs with </w:t>
      </w:r>
      <w:r w:rsidR="00303E56">
        <w:rPr>
          <w:sz w:val="26"/>
          <w:szCs w:val="26"/>
        </w:rPr>
        <w:t xml:space="preserve">the ALJ’s </w:t>
      </w:r>
      <w:r w:rsidR="009839FE">
        <w:rPr>
          <w:sz w:val="26"/>
          <w:szCs w:val="26"/>
        </w:rPr>
        <w:t>Finding</w:t>
      </w:r>
      <w:r w:rsidR="00CB5C73">
        <w:rPr>
          <w:sz w:val="26"/>
          <w:szCs w:val="26"/>
        </w:rPr>
        <w:t xml:space="preserve">s of Fact </w:t>
      </w:r>
      <w:r w:rsidR="002218B2">
        <w:rPr>
          <w:sz w:val="26"/>
          <w:szCs w:val="26"/>
        </w:rPr>
        <w:t>Nos.</w:t>
      </w:r>
      <w:r w:rsidR="00CB5C73">
        <w:rPr>
          <w:sz w:val="26"/>
          <w:szCs w:val="26"/>
        </w:rPr>
        <w:t xml:space="preserve"> 1, 2, 3, 4 and 6, and concurs with Conclusions of Law </w:t>
      </w:r>
      <w:r w:rsidR="002218B2">
        <w:rPr>
          <w:sz w:val="26"/>
          <w:szCs w:val="26"/>
        </w:rPr>
        <w:t>Nos</w:t>
      </w:r>
      <w:r w:rsidR="00CB5C73">
        <w:rPr>
          <w:sz w:val="26"/>
          <w:szCs w:val="26"/>
        </w:rPr>
        <w:t xml:space="preserve"> 1, 2 and</w:t>
      </w:r>
      <w:r w:rsidR="002218B2">
        <w:rPr>
          <w:sz w:val="26"/>
          <w:szCs w:val="26"/>
        </w:rPr>
        <w:t> </w:t>
      </w:r>
      <w:r w:rsidR="00CB5C73">
        <w:rPr>
          <w:sz w:val="26"/>
          <w:szCs w:val="26"/>
        </w:rPr>
        <w:t xml:space="preserve">4.  However, the Complainant expresses objection to Findings of Fact </w:t>
      </w:r>
      <w:r w:rsidR="002218B2">
        <w:rPr>
          <w:sz w:val="26"/>
          <w:szCs w:val="26"/>
        </w:rPr>
        <w:t>Nos.</w:t>
      </w:r>
      <w:r w:rsidR="00CB5C73">
        <w:rPr>
          <w:sz w:val="26"/>
          <w:szCs w:val="26"/>
        </w:rPr>
        <w:t xml:space="preserve"> 5, 7, 8, 9, 10, 11, 12, 13, 14 and 15.  He also objects to Conclusions of Law </w:t>
      </w:r>
      <w:r w:rsidR="002218B2">
        <w:rPr>
          <w:sz w:val="26"/>
          <w:szCs w:val="26"/>
        </w:rPr>
        <w:t xml:space="preserve">Nos. </w:t>
      </w:r>
      <w:r w:rsidR="00CB5C73">
        <w:rPr>
          <w:sz w:val="26"/>
          <w:szCs w:val="26"/>
        </w:rPr>
        <w:t>3 and 5.</w:t>
      </w:r>
    </w:p>
    <w:p w:rsidR="009839FE" w:rsidRDefault="009839FE" w:rsidP="00167690">
      <w:pPr>
        <w:widowControl/>
        <w:spacing w:line="360" w:lineRule="auto"/>
        <w:rPr>
          <w:sz w:val="26"/>
          <w:szCs w:val="26"/>
        </w:rPr>
      </w:pPr>
    </w:p>
    <w:p w:rsidR="004E25EC" w:rsidRDefault="00CB5C73" w:rsidP="00167690">
      <w:pPr>
        <w:widowControl/>
        <w:spacing w:line="360" w:lineRule="auto"/>
        <w:ind w:firstLine="1440"/>
        <w:rPr>
          <w:sz w:val="26"/>
          <w:szCs w:val="26"/>
        </w:rPr>
      </w:pPr>
      <w:r>
        <w:rPr>
          <w:sz w:val="26"/>
          <w:szCs w:val="26"/>
        </w:rPr>
        <w:t xml:space="preserve">Finding of Fact No. 5 states that the “Complainant’s corrected Exhibit J and the issues therein listed are being investigated by PGW.  Tr. at 42-43.”  </w:t>
      </w:r>
      <w:r w:rsidR="00532AEC">
        <w:rPr>
          <w:sz w:val="26"/>
          <w:szCs w:val="26"/>
        </w:rPr>
        <w:t>In his Exceptions, the Complainant</w:t>
      </w:r>
      <w:r>
        <w:rPr>
          <w:sz w:val="26"/>
          <w:szCs w:val="26"/>
        </w:rPr>
        <w:t xml:space="preserve"> states that neither the Commission nor PGW offered any proof in </w:t>
      </w:r>
      <w:r w:rsidR="006A137C">
        <w:rPr>
          <w:sz w:val="26"/>
          <w:szCs w:val="26"/>
        </w:rPr>
        <w:t>relation</w:t>
      </w:r>
      <w:r>
        <w:rPr>
          <w:sz w:val="26"/>
          <w:szCs w:val="26"/>
        </w:rPr>
        <w:t>ship to this statement.</w:t>
      </w:r>
      <w:r w:rsidR="004E25EC">
        <w:rPr>
          <w:sz w:val="26"/>
          <w:szCs w:val="26"/>
        </w:rPr>
        <w:t xml:space="preserve">  The Complainant states that PGW </w:t>
      </w:r>
      <w:r w:rsidR="006A137C">
        <w:rPr>
          <w:sz w:val="26"/>
          <w:szCs w:val="26"/>
        </w:rPr>
        <w:t xml:space="preserve">never </w:t>
      </w:r>
      <w:r w:rsidR="004E25EC">
        <w:rPr>
          <w:sz w:val="26"/>
          <w:szCs w:val="26"/>
        </w:rPr>
        <w:t>made any attempts to contact him in regards to any issues raised in this Exhibit which clearly shows he is being charged twice for multiple days over a nine-month period.  The Complainant avers that he has been denied access to the written record of the hearing held on September 24, 2015</w:t>
      </w:r>
      <w:r w:rsidR="00DC07E6">
        <w:rPr>
          <w:sz w:val="26"/>
          <w:szCs w:val="26"/>
        </w:rPr>
        <w:t>,</w:t>
      </w:r>
      <w:r w:rsidR="004E25EC">
        <w:rPr>
          <w:sz w:val="26"/>
          <w:szCs w:val="26"/>
        </w:rPr>
        <w:t xml:space="preserve"> as the Commission refused to make the record available at its Philadelphia location.  According to the Complainant, this is in direct conflict with 52 Pa. Code §§ 1.71 and 1.72 of making Court records available for public viewing.  The Complainant points out that the ALJ failed to rule on his </w:t>
      </w:r>
      <w:r w:rsidR="004E25EC">
        <w:rPr>
          <w:i/>
          <w:sz w:val="26"/>
          <w:szCs w:val="26"/>
        </w:rPr>
        <w:t xml:space="preserve">In Forma </w:t>
      </w:r>
      <w:r w:rsidR="004E25EC" w:rsidRPr="004E25EC">
        <w:rPr>
          <w:i/>
          <w:sz w:val="26"/>
          <w:szCs w:val="26"/>
        </w:rPr>
        <w:t>Paupers</w:t>
      </w:r>
      <w:r w:rsidR="004E25EC">
        <w:rPr>
          <w:sz w:val="26"/>
          <w:szCs w:val="26"/>
        </w:rPr>
        <w:t xml:space="preserve"> Petition, the gra</w:t>
      </w:r>
      <w:r w:rsidR="00B64FC0">
        <w:rPr>
          <w:sz w:val="26"/>
          <w:szCs w:val="26"/>
        </w:rPr>
        <w:t>nting of which would have entit</w:t>
      </w:r>
      <w:r w:rsidR="004E25EC">
        <w:rPr>
          <w:sz w:val="26"/>
          <w:szCs w:val="26"/>
        </w:rPr>
        <w:t xml:space="preserve">led him to a copy of the record at no cost.  </w:t>
      </w:r>
      <w:proofErr w:type="gramStart"/>
      <w:r w:rsidR="004E25EC" w:rsidRPr="004E25EC">
        <w:rPr>
          <w:sz w:val="26"/>
          <w:szCs w:val="26"/>
        </w:rPr>
        <w:t>Exc</w:t>
      </w:r>
      <w:r w:rsidR="004E25EC">
        <w:rPr>
          <w:sz w:val="26"/>
          <w:szCs w:val="26"/>
        </w:rPr>
        <w:t>. at 2.</w:t>
      </w:r>
      <w:proofErr w:type="gramEnd"/>
      <w:r>
        <w:rPr>
          <w:sz w:val="26"/>
          <w:szCs w:val="26"/>
        </w:rPr>
        <w:t xml:space="preserve">  </w:t>
      </w:r>
    </w:p>
    <w:p w:rsidR="004E25EC" w:rsidRDefault="004E25EC" w:rsidP="00167690">
      <w:pPr>
        <w:widowControl/>
        <w:spacing w:line="360" w:lineRule="auto"/>
        <w:ind w:firstLine="1440"/>
        <w:rPr>
          <w:sz w:val="26"/>
          <w:szCs w:val="26"/>
        </w:rPr>
      </w:pPr>
    </w:p>
    <w:p w:rsidR="001C6440" w:rsidRDefault="00CB5C73" w:rsidP="00167690">
      <w:pPr>
        <w:widowControl/>
        <w:spacing w:line="360" w:lineRule="auto"/>
        <w:ind w:firstLine="1440"/>
        <w:rPr>
          <w:sz w:val="26"/>
          <w:szCs w:val="26"/>
        </w:rPr>
      </w:pPr>
      <w:r>
        <w:rPr>
          <w:sz w:val="26"/>
          <w:szCs w:val="26"/>
        </w:rPr>
        <w:lastRenderedPageBreak/>
        <w:t>In reply, PGW states that the Complainant’s corrected Exhibit J was still under review as of the time of the telephonic hearing and that the outcome of the instant matter has a bearing on the further review of the Complainant’s account.</w:t>
      </w:r>
      <w:r w:rsidR="004E25EC">
        <w:rPr>
          <w:sz w:val="26"/>
          <w:szCs w:val="26"/>
        </w:rPr>
        <w:t xml:space="preserve"> </w:t>
      </w:r>
      <w:r w:rsidR="00B64FC0">
        <w:rPr>
          <w:sz w:val="26"/>
          <w:szCs w:val="26"/>
        </w:rPr>
        <w:t xml:space="preserve"> PGW </w:t>
      </w:r>
      <w:r w:rsidR="00330FF0">
        <w:rPr>
          <w:sz w:val="26"/>
          <w:szCs w:val="26"/>
        </w:rPr>
        <w:t>asserts that the Complainant’s E</w:t>
      </w:r>
      <w:r w:rsidR="00B64FC0">
        <w:rPr>
          <w:sz w:val="26"/>
          <w:szCs w:val="26"/>
        </w:rPr>
        <w:t xml:space="preserve">xception </w:t>
      </w:r>
      <w:r w:rsidR="00330FF0">
        <w:rPr>
          <w:sz w:val="26"/>
          <w:szCs w:val="26"/>
        </w:rPr>
        <w:t xml:space="preserve">that </w:t>
      </w:r>
      <w:r w:rsidR="00B64FC0">
        <w:rPr>
          <w:sz w:val="26"/>
          <w:szCs w:val="26"/>
        </w:rPr>
        <w:t>tak</w:t>
      </w:r>
      <w:r w:rsidR="00330FF0">
        <w:rPr>
          <w:sz w:val="26"/>
          <w:szCs w:val="26"/>
        </w:rPr>
        <w:t>es</w:t>
      </w:r>
      <w:r w:rsidR="00B64FC0">
        <w:rPr>
          <w:sz w:val="26"/>
          <w:szCs w:val="26"/>
        </w:rPr>
        <w:t xml:space="preserve"> issue with the procedures for allowing public access to Commission documents is beyond the scope of this proceeding and should be denied.  R. Exc. at 3.</w:t>
      </w:r>
    </w:p>
    <w:p w:rsidR="001C6440" w:rsidRDefault="001C6440" w:rsidP="00167690">
      <w:pPr>
        <w:widowControl/>
        <w:spacing w:line="360" w:lineRule="auto"/>
        <w:ind w:firstLine="1440"/>
        <w:rPr>
          <w:sz w:val="26"/>
          <w:szCs w:val="26"/>
        </w:rPr>
      </w:pPr>
    </w:p>
    <w:p w:rsidR="001C6440" w:rsidRDefault="001C6440" w:rsidP="00167690">
      <w:pPr>
        <w:widowControl/>
        <w:spacing w:line="360" w:lineRule="auto"/>
        <w:ind w:firstLine="1440"/>
        <w:rPr>
          <w:sz w:val="26"/>
          <w:szCs w:val="26"/>
        </w:rPr>
      </w:pPr>
      <w:r>
        <w:rPr>
          <w:sz w:val="26"/>
          <w:szCs w:val="26"/>
        </w:rPr>
        <w:t>Finding of Fact No. 7 states that “</w:t>
      </w:r>
      <w:r w:rsidR="00330FF0">
        <w:rPr>
          <w:sz w:val="26"/>
          <w:szCs w:val="26"/>
        </w:rPr>
        <w:t>[o]</w:t>
      </w:r>
      <w:r>
        <w:rPr>
          <w:sz w:val="26"/>
          <w:szCs w:val="26"/>
        </w:rPr>
        <w:t>n April 29, 2012, a PGW repairman visited the residence due to a reported p</w:t>
      </w:r>
      <w:r w:rsidR="00303E56">
        <w:rPr>
          <w:sz w:val="26"/>
          <w:szCs w:val="26"/>
        </w:rPr>
        <w:t xml:space="preserve">ossible gas leak and found </w:t>
      </w:r>
      <w:r>
        <w:rPr>
          <w:sz w:val="26"/>
          <w:szCs w:val="26"/>
        </w:rPr>
        <w:t xml:space="preserve">the natural gas fired house heater connected.  </w:t>
      </w:r>
      <w:proofErr w:type="gramStart"/>
      <w:r>
        <w:rPr>
          <w:sz w:val="26"/>
          <w:szCs w:val="26"/>
        </w:rPr>
        <w:t>Tr. at 47.”</w:t>
      </w:r>
      <w:proofErr w:type="gramEnd"/>
      <w:r>
        <w:rPr>
          <w:sz w:val="26"/>
          <w:szCs w:val="26"/>
        </w:rPr>
        <w:t xml:space="preserve">  In his Exceptions, the Complainant states that this is a complete misrepresentation of the facts of this matter.  The Complainant asserts that PGW’s repairman never visited his home on that date and could not have observed his house heater which he claims was disconnected in 2009 and reconnected after the purchase of a new heater in 2015.  Exc. at 2-3.</w:t>
      </w:r>
    </w:p>
    <w:p w:rsidR="001C6440" w:rsidRDefault="001C6440" w:rsidP="00167690">
      <w:pPr>
        <w:widowControl/>
        <w:spacing w:line="360" w:lineRule="auto"/>
        <w:ind w:firstLine="1440"/>
        <w:rPr>
          <w:sz w:val="26"/>
          <w:szCs w:val="26"/>
        </w:rPr>
      </w:pPr>
    </w:p>
    <w:p w:rsidR="0047442B" w:rsidRDefault="00532AEC" w:rsidP="00167690">
      <w:pPr>
        <w:widowControl/>
        <w:spacing w:line="360" w:lineRule="auto"/>
        <w:rPr>
          <w:b/>
          <w:sz w:val="26"/>
          <w:szCs w:val="26"/>
        </w:rPr>
      </w:pPr>
      <w:r>
        <w:rPr>
          <w:sz w:val="26"/>
          <w:szCs w:val="26"/>
        </w:rPr>
        <w:tab/>
      </w:r>
      <w:r>
        <w:rPr>
          <w:sz w:val="26"/>
          <w:szCs w:val="26"/>
        </w:rPr>
        <w:tab/>
        <w:t xml:space="preserve">In reply, PGW </w:t>
      </w:r>
      <w:r w:rsidR="0047442B">
        <w:rPr>
          <w:sz w:val="26"/>
          <w:szCs w:val="26"/>
        </w:rPr>
        <w:t xml:space="preserve">states that the ALJ found no credible evidence to support this assertion of the Complainant.  PGW asserts that its business documents establish the dates of visitation to the Complainant’s service address.  According to PGW, mere bald assertion, personal opinions or perceptions do not constitute evidence to bolster a claim.  PGW R. Exc. at 3 </w:t>
      </w:r>
      <w:r w:rsidR="005115E6">
        <w:rPr>
          <w:sz w:val="26"/>
          <w:szCs w:val="26"/>
        </w:rPr>
        <w:t>(</w:t>
      </w:r>
      <w:r w:rsidR="0047442B">
        <w:rPr>
          <w:sz w:val="26"/>
          <w:szCs w:val="26"/>
        </w:rPr>
        <w:t xml:space="preserve">citing </w:t>
      </w:r>
      <w:r w:rsidR="0047442B">
        <w:rPr>
          <w:i/>
          <w:sz w:val="26"/>
          <w:szCs w:val="26"/>
        </w:rPr>
        <w:t>Pennsylvania Bureau of Corrections v. City of Pittsburgh</w:t>
      </w:r>
      <w:r w:rsidR="0047442B" w:rsidRPr="0047442B">
        <w:rPr>
          <w:sz w:val="26"/>
          <w:szCs w:val="26"/>
        </w:rPr>
        <w:t>, 516 Pa. 75, 532 A.2d 12 (1987)</w:t>
      </w:r>
      <w:r w:rsidR="005115E6">
        <w:rPr>
          <w:sz w:val="26"/>
          <w:szCs w:val="26"/>
        </w:rPr>
        <w:t xml:space="preserve"> (</w:t>
      </w:r>
      <w:r w:rsidR="005115E6" w:rsidRPr="000E5248">
        <w:rPr>
          <w:i/>
          <w:sz w:val="26"/>
          <w:szCs w:val="26"/>
        </w:rPr>
        <w:t>City of Pittsburgh</w:t>
      </w:r>
      <w:r w:rsidR="005115E6">
        <w:rPr>
          <w:sz w:val="26"/>
          <w:szCs w:val="26"/>
        </w:rPr>
        <w:t>))</w:t>
      </w:r>
      <w:r w:rsidR="0047442B">
        <w:rPr>
          <w:b/>
          <w:sz w:val="26"/>
          <w:szCs w:val="26"/>
        </w:rPr>
        <w:t>.</w:t>
      </w:r>
    </w:p>
    <w:p w:rsidR="0047442B" w:rsidRDefault="0047442B" w:rsidP="00167690">
      <w:pPr>
        <w:widowControl/>
        <w:spacing w:line="360" w:lineRule="auto"/>
        <w:rPr>
          <w:b/>
          <w:sz w:val="26"/>
          <w:szCs w:val="26"/>
        </w:rPr>
      </w:pPr>
    </w:p>
    <w:p w:rsidR="00532AEC" w:rsidRPr="0047442B" w:rsidRDefault="0047442B" w:rsidP="00167690">
      <w:pPr>
        <w:widowControl/>
        <w:spacing w:line="360" w:lineRule="auto"/>
        <w:rPr>
          <w:sz w:val="26"/>
          <w:szCs w:val="26"/>
        </w:rPr>
      </w:pPr>
      <w:r>
        <w:rPr>
          <w:b/>
          <w:sz w:val="26"/>
          <w:szCs w:val="26"/>
        </w:rPr>
        <w:tab/>
      </w:r>
      <w:r>
        <w:rPr>
          <w:b/>
          <w:sz w:val="26"/>
          <w:szCs w:val="26"/>
        </w:rPr>
        <w:tab/>
      </w:r>
      <w:r w:rsidRPr="0047442B">
        <w:rPr>
          <w:sz w:val="26"/>
          <w:szCs w:val="26"/>
        </w:rPr>
        <w:t>Finding of Fact</w:t>
      </w:r>
      <w:r w:rsidR="00532AEC" w:rsidRPr="0047442B">
        <w:rPr>
          <w:sz w:val="26"/>
          <w:szCs w:val="26"/>
        </w:rPr>
        <w:t xml:space="preserve"> </w:t>
      </w:r>
      <w:r>
        <w:rPr>
          <w:sz w:val="26"/>
          <w:szCs w:val="26"/>
        </w:rPr>
        <w:t xml:space="preserve">No. </w:t>
      </w:r>
      <w:r w:rsidR="007E1C76">
        <w:rPr>
          <w:sz w:val="26"/>
          <w:szCs w:val="26"/>
        </w:rPr>
        <w:t>8 states that “</w:t>
      </w:r>
      <w:r w:rsidR="001B212F">
        <w:rPr>
          <w:sz w:val="26"/>
          <w:szCs w:val="26"/>
        </w:rPr>
        <w:t>[a]</w:t>
      </w:r>
      <w:r w:rsidR="007E1C76">
        <w:rPr>
          <w:sz w:val="26"/>
          <w:szCs w:val="26"/>
        </w:rPr>
        <w:t>ccording to PGW’s records, Complainant’s gas water heater</w:t>
      </w:r>
      <w:r w:rsidR="00303E56">
        <w:rPr>
          <w:sz w:val="26"/>
          <w:szCs w:val="26"/>
        </w:rPr>
        <w:t xml:space="preserve"> was disconnected in September, </w:t>
      </w:r>
      <w:r w:rsidR="007E1C76">
        <w:rPr>
          <w:sz w:val="26"/>
          <w:szCs w:val="26"/>
        </w:rPr>
        <w:t xml:space="preserve">2011. </w:t>
      </w:r>
      <w:r w:rsidR="00303E56">
        <w:rPr>
          <w:sz w:val="26"/>
          <w:szCs w:val="26"/>
        </w:rPr>
        <w:t xml:space="preserve"> </w:t>
      </w:r>
      <w:proofErr w:type="gramStart"/>
      <w:r w:rsidR="007E1C76">
        <w:rPr>
          <w:sz w:val="26"/>
          <w:szCs w:val="26"/>
        </w:rPr>
        <w:t>Tr. at 48.”</w:t>
      </w:r>
      <w:proofErr w:type="gramEnd"/>
      <w:r w:rsidR="007E1C76">
        <w:rPr>
          <w:sz w:val="26"/>
          <w:szCs w:val="26"/>
        </w:rPr>
        <w:t xml:space="preserve">  In his Exceptions, the Complainant states that PGW </w:t>
      </w:r>
      <w:r w:rsidR="001B212F">
        <w:rPr>
          <w:sz w:val="26"/>
          <w:szCs w:val="26"/>
        </w:rPr>
        <w:t xml:space="preserve">did </w:t>
      </w:r>
      <w:r w:rsidR="007E1C76">
        <w:rPr>
          <w:sz w:val="26"/>
          <w:szCs w:val="26"/>
        </w:rPr>
        <w:t xml:space="preserve">not present any evidence of disconnecting the Complainant’s house heater in September of 2011 because the house heater was disconnected in 2009.  The Complainant avers that from 2010 through 2014, PGW registered less than 20 Ccf of gas used during any given winter month which would have made it impossible for the house heater to have been operational during the winters </w:t>
      </w:r>
      <w:r w:rsidR="007E1C76">
        <w:rPr>
          <w:sz w:val="26"/>
          <w:szCs w:val="26"/>
        </w:rPr>
        <w:lastRenderedPageBreak/>
        <w:t>of 2010 and 2011 as PGW claims.</w:t>
      </w:r>
      <w:r w:rsidR="009313D5">
        <w:rPr>
          <w:sz w:val="26"/>
          <w:szCs w:val="26"/>
        </w:rPr>
        <w:t xml:space="preserve">  </w:t>
      </w:r>
      <w:r w:rsidR="00665043">
        <w:rPr>
          <w:sz w:val="26"/>
          <w:szCs w:val="26"/>
        </w:rPr>
        <w:t>Next, the Complainant asserts that PGW’s falsified record makes no mention of the water in his basement as a result of Hurricane Irene which struck the City of Philadelphia on August 28, 2011.  According to the Complainant, PGW did visit his flooded basement eleven days after the hurricane to check for a gas leak in rela</w:t>
      </w:r>
      <w:r w:rsidR="002244EA">
        <w:rPr>
          <w:sz w:val="26"/>
          <w:szCs w:val="26"/>
        </w:rPr>
        <w:t>t</w:t>
      </w:r>
      <w:r w:rsidR="00665043">
        <w:rPr>
          <w:sz w:val="26"/>
          <w:szCs w:val="26"/>
        </w:rPr>
        <w:t>ion</w:t>
      </w:r>
      <w:r w:rsidR="002244EA">
        <w:rPr>
          <w:sz w:val="26"/>
          <w:szCs w:val="26"/>
        </w:rPr>
        <w:t xml:space="preserve"> to his hot water heater that had been </w:t>
      </w:r>
      <w:proofErr w:type="gramStart"/>
      <w:r w:rsidR="002244EA">
        <w:rPr>
          <w:sz w:val="26"/>
          <w:szCs w:val="26"/>
        </w:rPr>
        <w:t>under</w:t>
      </w:r>
      <w:proofErr w:type="gramEnd"/>
      <w:r w:rsidR="002244EA">
        <w:rPr>
          <w:sz w:val="26"/>
          <w:szCs w:val="26"/>
        </w:rPr>
        <w:t xml:space="preserve"> three feet of water since the storm. </w:t>
      </w:r>
      <w:r w:rsidR="00665043">
        <w:rPr>
          <w:sz w:val="26"/>
          <w:szCs w:val="26"/>
        </w:rPr>
        <w:t xml:space="preserve"> </w:t>
      </w:r>
      <w:proofErr w:type="gramStart"/>
      <w:r w:rsidR="005F4301">
        <w:rPr>
          <w:sz w:val="26"/>
          <w:szCs w:val="26"/>
        </w:rPr>
        <w:t>Exc. at 3.</w:t>
      </w:r>
      <w:proofErr w:type="gramEnd"/>
      <w:r w:rsidR="007E1C76">
        <w:rPr>
          <w:sz w:val="26"/>
          <w:szCs w:val="26"/>
        </w:rPr>
        <w:t xml:space="preserve">  </w:t>
      </w:r>
    </w:p>
    <w:p w:rsidR="003B1324" w:rsidRDefault="003B1324" w:rsidP="00167690">
      <w:pPr>
        <w:widowControl/>
        <w:spacing w:line="360" w:lineRule="auto"/>
        <w:rPr>
          <w:b/>
          <w:sz w:val="26"/>
          <w:szCs w:val="26"/>
        </w:rPr>
      </w:pPr>
    </w:p>
    <w:p w:rsidR="005F4301" w:rsidRDefault="005F4301" w:rsidP="00167690">
      <w:pPr>
        <w:widowControl/>
        <w:spacing w:line="360" w:lineRule="auto"/>
        <w:rPr>
          <w:b/>
          <w:sz w:val="26"/>
          <w:szCs w:val="26"/>
        </w:rPr>
      </w:pPr>
      <w:r>
        <w:rPr>
          <w:b/>
          <w:sz w:val="26"/>
          <w:szCs w:val="26"/>
        </w:rPr>
        <w:tab/>
      </w:r>
      <w:r>
        <w:rPr>
          <w:b/>
          <w:sz w:val="26"/>
          <w:szCs w:val="26"/>
        </w:rPr>
        <w:tab/>
      </w:r>
      <w:r w:rsidRPr="005F4301">
        <w:rPr>
          <w:sz w:val="26"/>
          <w:szCs w:val="26"/>
        </w:rPr>
        <w:t>In reply</w:t>
      </w:r>
      <w:r>
        <w:rPr>
          <w:sz w:val="26"/>
          <w:szCs w:val="26"/>
        </w:rPr>
        <w:t xml:space="preserve">, PGW states that the ALJ found no credible evidence to support the Complainant’s assertion that this finding is false.  PGW asserts that its business documents establish the dates of the disconnection of the gas water heater at the Complainant’s service address.  According to PGW, mere bald assertion, personal opinions or perceptions </w:t>
      </w:r>
      <w:r w:rsidR="00E70F0B">
        <w:rPr>
          <w:sz w:val="26"/>
          <w:szCs w:val="26"/>
        </w:rPr>
        <w:t xml:space="preserve">such as those made by the Complainant </w:t>
      </w:r>
      <w:r>
        <w:rPr>
          <w:sz w:val="26"/>
          <w:szCs w:val="26"/>
        </w:rPr>
        <w:t xml:space="preserve">do not constitute evidence to bolster a claim.  </w:t>
      </w:r>
      <w:proofErr w:type="gramStart"/>
      <w:r>
        <w:rPr>
          <w:sz w:val="26"/>
          <w:szCs w:val="26"/>
        </w:rPr>
        <w:t xml:space="preserve">PGW R. Exc. at 4 </w:t>
      </w:r>
      <w:r w:rsidR="005115E6">
        <w:rPr>
          <w:sz w:val="26"/>
          <w:szCs w:val="26"/>
        </w:rPr>
        <w:t>(</w:t>
      </w:r>
      <w:r>
        <w:rPr>
          <w:sz w:val="26"/>
          <w:szCs w:val="26"/>
        </w:rPr>
        <w:t xml:space="preserve">citing </w:t>
      </w:r>
      <w:r>
        <w:rPr>
          <w:i/>
          <w:sz w:val="26"/>
          <w:szCs w:val="26"/>
        </w:rPr>
        <w:t>City of Pittsburgh</w:t>
      </w:r>
      <w:r w:rsidRPr="0047442B">
        <w:rPr>
          <w:sz w:val="26"/>
          <w:szCs w:val="26"/>
        </w:rPr>
        <w:t>)</w:t>
      </w:r>
      <w:r>
        <w:rPr>
          <w:b/>
          <w:sz w:val="26"/>
          <w:szCs w:val="26"/>
        </w:rPr>
        <w:t>.</w:t>
      </w:r>
      <w:proofErr w:type="gramEnd"/>
    </w:p>
    <w:p w:rsidR="005F4301" w:rsidRDefault="005F4301" w:rsidP="00167690">
      <w:pPr>
        <w:widowControl/>
        <w:spacing w:line="360" w:lineRule="auto"/>
        <w:rPr>
          <w:sz w:val="26"/>
          <w:szCs w:val="26"/>
        </w:rPr>
      </w:pPr>
    </w:p>
    <w:p w:rsidR="009313D5" w:rsidRDefault="005F4301" w:rsidP="00167690">
      <w:pPr>
        <w:widowControl/>
        <w:spacing w:line="360" w:lineRule="auto"/>
        <w:rPr>
          <w:sz w:val="26"/>
          <w:szCs w:val="26"/>
        </w:rPr>
      </w:pPr>
      <w:r>
        <w:rPr>
          <w:sz w:val="26"/>
          <w:szCs w:val="26"/>
        </w:rPr>
        <w:tab/>
      </w:r>
      <w:r>
        <w:rPr>
          <w:sz w:val="26"/>
          <w:szCs w:val="26"/>
        </w:rPr>
        <w:tab/>
        <w:t>Findings of Fact numbers 9 through 14 all involve the Complainant’s enrollment in PGW’s CRP, when he was sus</w:t>
      </w:r>
      <w:r w:rsidR="001214A4">
        <w:rPr>
          <w:sz w:val="26"/>
          <w:szCs w:val="26"/>
        </w:rPr>
        <w:t>pended from CRP</w:t>
      </w:r>
      <w:r w:rsidR="00E70F0B">
        <w:rPr>
          <w:sz w:val="26"/>
          <w:szCs w:val="26"/>
        </w:rPr>
        <w:t>,</w:t>
      </w:r>
      <w:r w:rsidR="001214A4">
        <w:rPr>
          <w:sz w:val="26"/>
          <w:szCs w:val="26"/>
        </w:rPr>
        <w:t xml:space="preserve"> and what happened</w:t>
      </w:r>
      <w:r>
        <w:rPr>
          <w:sz w:val="26"/>
          <w:szCs w:val="26"/>
        </w:rPr>
        <w:t xml:space="preserve"> to his arrearages when he was suspended from CRP.</w:t>
      </w:r>
      <w:r w:rsidR="009313D5">
        <w:rPr>
          <w:sz w:val="26"/>
          <w:szCs w:val="26"/>
        </w:rPr>
        <w:t xml:space="preserve">  In his Exceptions, the Complainant asserts that he never enrolled in the CRP Program and that this </w:t>
      </w:r>
      <w:r w:rsidR="001214A4">
        <w:rPr>
          <w:sz w:val="26"/>
          <w:szCs w:val="26"/>
        </w:rPr>
        <w:t xml:space="preserve">is </w:t>
      </w:r>
      <w:r w:rsidR="009313D5">
        <w:rPr>
          <w:sz w:val="26"/>
          <w:szCs w:val="26"/>
        </w:rPr>
        <w:t xml:space="preserve">yet another manipulation and misrepresentation of facts and </w:t>
      </w:r>
      <w:r w:rsidR="001214A4">
        <w:rPr>
          <w:sz w:val="26"/>
          <w:szCs w:val="26"/>
        </w:rPr>
        <w:t>work procedures exercised by PGW</w:t>
      </w:r>
      <w:r w:rsidR="009313D5">
        <w:rPr>
          <w:sz w:val="26"/>
          <w:szCs w:val="26"/>
        </w:rPr>
        <w:t xml:space="preserve">.  According to the Complainant, </w:t>
      </w:r>
      <w:r w:rsidR="00E70F0B">
        <w:rPr>
          <w:sz w:val="26"/>
          <w:szCs w:val="26"/>
        </w:rPr>
        <w:t xml:space="preserve">PGW did not provide any </w:t>
      </w:r>
      <w:r w:rsidR="009313D5">
        <w:rPr>
          <w:sz w:val="26"/>
          <w:szCs w:val="26"/>
        </w:rPr>
        <w:t xml:space="preserve">evidence </w:t>
      </w:r>
      <w:r w:rsidR="00E70F0B">
        <w:rPr>
          <w:sz w:val="26"/>
          <w:szCs w:val="26"/>
        </w:rPr>
        <w:t>showing that</w:t>
      </w:r>
      <w:r w:rsidR="009313D5">
        <w:rPr>
          <w:sz w:val="26"/>
          <w:szCs w:val="26"/>
        </w:rPr>
        <w:t xml:space="preserve"> the Complainant ever enrolled into the CRP.  The Complainant asserts that, to the contrary, he submitted a years’ worth of PGW requests for CRP billing re-certification, which were never responded to by him, yet he somehow remained on CRP.  The Complainant alleges that this manipulation of the bill establishes a fictitious balance on the account.  </w:t>
      </w:r>
      <w:proofErr w:type="gramStart"/>
      <w:r w:rsidR="009313D5">
        <w:rPr>
          <w:sz w:val="26"/>
          <w:szCs w:val="26"/>
        </w:rPr>
        <w:t>Exc. at</w:t>
      </w:r>
      <w:r w:rsidR="007F7479">
        <w:rPr>
          <w:sz w:val="26"/>
          <w:szCs w:val="26"/>
        </w:rPr>
        <w:t> </w:t>
      </w:r>
      <w:r w:rsidR="009313D5">
        <w:rPr>
          <w:sz w:val="26"/>
          <w:szCs w:val="26"/>
        </w:rPr>
        <w:t>4</w:t>
      </w:r>
      <w:r w:rsidR="007F7479">
        <w:rPr>
          <w:sz w:val="26"/>
          <w:szCs w:val="26"/>
        </w:rPr>
        <w:noBreakHyphen/>
      </w:r>
      <w:r w:rsidR="009313D5">
        <w:rPr>
          <w:sz w:val="26"/>
          <w:szCs w:val="26"/>
        </w:rPr>
        <w:t>5.</w:t>
      </w:r>
      <w:proofErr w:type="gramEnd"/>
    </w:p>
    <w:p w:rsidR="009313D5" w:rsidRDefault="009313D5" w:rsidP="00167690">
      <w:pPr>
        <w:widowControl/>
        <w:spacing w:line="360" w:lineRule="auto"/>
        <w:rPr>
          <w:sz w:val="26"/>
          <w:szCs w:val="26"/>
        </w:rPr>
      </w:pPr>
    </w:p>
    <w:p w:rsidR="00C649A2" w:rsidRDefault="009313D5" w:rsidP="00167690">
      <w:pPr>
        <w:widowControl/>
        <w:spacing w:line="360" w:lineRule="auto"/>
        <w:rPr>
          <w:b/>
          <w:sz w:val="26"/>
          <w:szCs w:val="26"/>
        </w:rPr>
      </w:pPr>
      <w:r>
        <w:rPr>
          <w:sz w:val="26"/>
          <w:szCs w:val="26"/>
        </w:rPr>
        <w:tab/>
      </w:r>
      <w:r>
        <w:rPr>
          <w:sz w:val="26"/>
          <w:szCs w:val="26"/>
        </w:rPr>
        <w:tab/>
        <w:t xml:space="preserve">In reply, PGW states that </w:t>
      </w:r>
      <w:r w:rsidR="00C649A2">
        <w:rPr>
          <w:sz w:val="26"/>
          <w:szCs w:val="26"/>
        </w:rPr>
        <w:t xml:space="preserve">the ALJ found no evidence to support the Complainant’s assertion that he was never enrolled in CRP.  PGW asserts that the Complainant provided no evidence of bills issued for the period that were based upon </w:t>
      </w:r>
      <w:r w:rsidR="00C649A2">
        <w:rPr>
          <w:sz w:val="26"/>
          <w:szCs w:val="26"/>
        </w:rPr>
        <w:lastRenderedPageBreak/>
        <w:t xml:space="preserve">actual gas usage rather than the monthly payment calculated for CRP.  According to PGW, its business documents established the dates and the income reported that rendered the Complainant eligible for that program.  According to PGW, mere bald assertion, personal opinions or perceptions do not constitute evidence to bolster a claim of never having been enrolled in that program.  </w:t>
      </w:r>
      <w:proofErr w:type="gramStart"/>
      <w:r w:rsidR="00C649A2">
        <w:rPr>
          <w:sz w:val="26"/>
          <w:szCs w:val="26"/>
        </w:rPr>
        <w:t xml:space="preserve">PGW R. Exc. at 4-5 </w:t>
      </w:r>
      <w:r w:rsidR="005115E6">
        <w:rPr>
          <w:sz w:val="26"/>
          <w:szCs w:val="26"/>
        </w:rPr>
        <w:t>(</w:t>
      </w:r>
      <w:r w:rsidR="00C649A2">
        <w:rPr>
          <w:sz w:val="26"/>
          <w:szCs w:val="26"/>
        </w:rPr>
        <w:t xml:space="preserve">citing </w:t>
      </w:r>
      <w:r w:rsidR="00C649A2">
        <w:rPr>
          <w:i/>
          <w:sz w:val="26"/>
          <w:szCs w:val="26"/>
        </w:rPr>
        <w:t>City of Pittsburgh</w:t>
      </w:r>
      <w:r w:rsidR="005115E6">
        <w:rPr>
          <w:sz w:val="26"/>
          <w:szCs w:val="26"/>
        </w:rPr>
        <w:t>)</w:t>
      </w:r>
      <w:r w:rsidR="00C649A2">
        <w:rPr>
          <w:b/>
          <w:sz w:val="26"/>
          <w:szCs w:val="26"/>
        </w:rPr>
        <w:t>.</w:t>
      </w:r>
      <w:proofErr w:type="gramEnd"/>
    </w:p>
    <w:p w:rsidR="000E5248" w:rsidRDefault="000E5248" w:rsidP="00167690">
      <w:pPr>
        <w:widowControl/>
        <w:spacing w:line="360" w:lineRule="auto"/>
        <w:rPr>
          <w:b/>
          <w:sz w:val="26"/>
          <w:szCs w:val="26"/>
        </w:rPr>
      </w:pPr>
    </w:p>
    <w:p w:rsidR="000D0F7E" w:rsidRDefault="00C649A2" w:rsidP="00167690">
      <w:pPr>
        <w:widowControl/>
        <w:spacing w:line="360" w:lineRule="auto"/>
        <w:rPr>
          <w:sz w:val="26"/>
          <w:szCs w:val="26"/>
        </w:rPr>
      </w:pPr>
      <w:r>
        <w:rPr>
          <w:b/>
          <w:sz w:val="26"/>
          <w:szCs w:val="26"/>
        </w:rPr>
        <w:tab/>
      </w:r>
      <w:r>
        <w:rPr>
          <w:b/>
          <w:sz w:val="26"/>
          <w:szCs w:val="26"/>
        </w:rPr>
        <w:tab/>
      </w:r>
      <w:r w:rsidR="000D0F7E">
        <w:rPr>
          <w:sz w:val="26"/>
          <w:szCs w:val="26"/>
        </w:rPr>
        <w:t xml:space="preserve">Conclusion of Law </w:t>
      </w:r>
      <w:r w:rsidR="007F7479">
        <w:rPr>
          <w:sz w:val="26"/>
          <w:szCs w:val="26"/>
        </w:rPr>
        <w:t>No. 3</w:t>
      </w:r>
      <w:r w:rsidR="000D0F7E">
        <w:rPr>
          <w:sz w:val="26"/>
          <w:szCs w:val="26"/>
        </w:rPr>
        <w:t xml:space="preserve"> states that “</w:t>
      </w:r>
      <w:r w:rsidR="007F7479">
        <w:rPr>
          <w:sz w:val="26"/>
          <w:szCs w:val="26"/>
        </w:rPr>
        <w:t>[a]</w:t>
      </w:r>
      <w:r w:rsidR="000D0F7E">
        <w:rPr>
          <w:sz w:val="26"/>
          <w:szCs w:val="26"/>
        </w:rPr>
        <w:t xml:space="preserve"> preponderance of the evidence is not dependent on the number of witnesses testifying on either side but rather on the credibility of the testimony in the light of all the evidence in a case.  </w:t>
      </w:r>
      <w:r w:rsidR="000D0F7E" w:rsidRPr="001214A4">
        <w:rPr>
          <w:i/>
          <w:sz w:val="26"/>
          <w:szCs w:val="26"/>
        </w:rPr>
        <w:t>Burch v. Reading</w:t>
      </w:r>
      <w:r w:rsidR="000D0F7E">
        <w:rPr>
          <w:sz w:val="26"/>
          <w:szCs w:val="26"/>
        </w:rPr>
        <w:t xml:space="preserve"> </w:t>
      </w:r>
      <w:r w:rsidR="000D0F7E" w:rsidRPr="001214A4">
        <w:rPr>
          <w:i/>
          <w:sz w:val="26"/>
          <w:szCs w:val="26"/>
        </w:rPr>
        <w:t>Co.</w:t>
      </w:r>
      <w:r w:rsidR="000D0F7E">
        <w:rPr>
          <w:sz w:val="26"/>
          <w:szCs w:val="26"/>
        </w:rPr>
        <w:t>, 240 F.2d 574 (3d Cir. 1957) cert. denied, 353 U.S. 965 (1957).”  The Complainan</w:t>
      </w:r>
      <w:r w:rsidR="001214A4">
        <w:rPr>
          <w:sz w:val="26"/>
          <w:szCs w:val="26"/>
        </w:rPr>
        <w:t xml:space="preserve">t claims that committing </w:t>
      </w:r>
      <w:r w:rsidR="000D0F7E">
        <w:rPr>
          <w:sz w:val="26"/>
          <w:szCs w:val="26"/>
        </w:rPr>
        <w:t>a fraudulent act should eliminate the credibility of the party committing said fraudulent act.  The Complainant further asserts that if credibility of testimony in light of all evidence is paramount, one must ask the Commission if altering work records would gain or lose credibility with the Commission.  Exc. at 5-6.</w:t>
      </w:r>
      <w:r w:rsidR="00F30CF2">
        <w:rPr>
          <w:sz w:val="26"/>
          <w:szCs w:val="26"/>
        </w:rPr>
        <w:t xml:space="preserve">  Conclusion of Law </w:t>
      </w:r>
      <w:r w:rsidR="007F7479">
        <w:rPr>
          <w:sz w:val="26"/>
          <w:szCs w:val="26"/>
        </w:rPr>
        <w:t xml:space="preserve">No. </w:t>
      </w:r>
      <w:r w:rsidR="00F30CF2">
        <w:rPr>
          <w:sz w:val="26"/>
          <w:szCs w:val="26"/>
        </w:rPr>
        <w:t>5 states that “</w:t>
      </w:r>
      <w:r w:rsidR="00F66498">
        <w:rPr>
          <w:sz w:val="26"/>
          <w:szCs w:val="26"/>
        </w:rPr>
        <w:t>[t]</w:t>
      </w:r>
      <w:r w:rsidR="00F30CF2">
        <w:rPr>
          <w:sz w:val="26"/>
          <w:szCs w:val="26"/>
        </w:rPr>
        <w:t xml:space="preserve">he Complainant has not met his burden of proving that he is entitled to relief. </w:t>
      </w:r>
      <w:proofErr w:type="gramStart"/>
      <w:r w:rsidR="001214A4">
        <w:rPr>
          <w:sz w:val="26"/>
          <w:szCs w:val="26"/>
        </w:rPr>
        <w:t>66 Pa. C.S. § 332(a).”</w:t>
      </w:r>
      <w:proofErr w:type="gramEnd"/>
      <w:r w:rsidR="001214A4">
        <w:rPr>
          <w:sz w:val="26"/>
          <w:szCs w:val="26"/>
        </w:rPr>
        <w:t xml:space="preserve">  In his E</w:t>
      </w:r>
      <w:r w:rsidR="00F30CF2">
        <w:rPr>
          <w:sz w:val="26"/>
          <w:szCs w:val="26"/>
        </w:rPr>
        <w:t xml:space="preserve">xceptions, the Complainant opines that this statement is not based on the facts and credibility of testimony given in this case.  The Complainant further opines that he not only met his burden but has surpassed his burden of proof.  He asserts that the billing process and business practices of PGW are unethical and illegal.  </w:t>
      </w:r>
      <w:proofErr w:type="gramStart"/>
      <w:r w:rsidR="00F30CF2">
        <w:rPr>
          <w:sz w:val="26"/>
          <w:szCs w:val="26"/>
        </w:rPr>
        <w:t>Exc. at 6.</w:t>
      </w:r>
      <w:proofErr w:type="gramEnd"/>
    </w:p>
    <w:p w:rsidR="00370DA3" w:rsidRDefault="00370DA3" w:rsidP="00167690">
      <w:pPr>
        <w:widowControl/>
        <w:spacing w:line="360" w:lineRule="auto"/>
        <w:rPr>
          <w:sz w:val="26"/>
          <w:szCs w:val="26"/>
        </w:rPr>
      </w:pPr>
    </w:p>
    <w:p w:rsidR="00370DA3" w:rsidRDefault="00370DA3" w:rsidP="00167690">
      <w:pPr>
        <w:widowControl/>
        <w:spacing w:line="360" w:lineRule="auto"/>
        <w:rPr>
          <w:sz w:val="26"/>
          <w:szCs w:val="26"/>
        </w:rPr>
      </w:pPr>
      <w:r>
        <w:rPr>
          <w:sz w:val="26"/>
          <w:szCs w:val="26"/>
        </w:rPr>
        <w:tab/>
      </w:r>
      <w:r>
        <w:rPr>
          <w:sz w:val="26"/>
          <w:szCs w:val="26"/>
        </w:rPr>
        <w:tab/>
        <w:t xml:space="preserve">PGW </w:t>
      </w:r>
      <w:r w:rsidR="00F66498">
        <w:rPr>
          <w:sz w:val="26"/>
          <w:szCs w:val="26"/>
        </w:rPr>
        <w:t>rejoins</w:t>
      </w:r>
      <w:r>
        <w:rPr>
          <w:sz w:val="26"/>
          <w:szCs w:val="26"/>
        </w:rPr>
        <w:t xml:space="preserve"> that th</w:t>
      </w:r>
      <w:r w:rsidR="001214A4">
        <w:rPr>
          <w:sz w:val="26"/>
          <w:szCs w:val="26"/>
        </w:rPr>
        <w:t>e Complainant’s Exceptions fail</w:t>
      </w:r>
      <w:r>
        <w:rPr>
          <w:sz w:val="26"/>
          <w:szCs w:val="26"/>
        </w:rPr>
        <w:t xml:space="preserve"> to demonstrate that the ALJ relied upon these conclusions in error as each finding of the ALJ is well supported by the evidence </w:t>
      </w:r>
      <w:r w:rsidR="001214A4">
        <w:rPr>
          <w:sz w:val="26"/>
          <w:szCs w:val="26"/>
        </w:rPr>
        <w:t>of record.  PGW avers that the E</w:t>
      </w:r>
      <w:r>
        <w:rPr>
          <w:sz w:val="26"/>
          <w:szCs w:val="26"/>
        </w:rPr>
        <w:t>xceptions fail to point to any significant evidence that was overlooked by the ALJ.  According to PGW, the Complainant’s Exceptions merely restate his assertions t</w:t>
      </w:r>
      <w:r w:rsidR="001214A4">
        <w:rPr>
          <w:sz w:val="26"/>
          <w:szCs w:val="26"/>
        </w:rPr>
        <w:t>hat the facts presented by the C</w:t>
      </w:r>
      <w:r>
        <w:rPr>
          <w:sz w:val="26"/>
          <w:szCs w:val="26"/>
        </w:rPr>
        <w:t>ompany are fraudulent or illegal and do not provide any evidence rebutting the facts as it has demonstrated.  As such, PGW requests that the Commission deny the Complainant’s Exceptions and dismiss the Complaint in this matter.  PGW R. Exc. at 5-6.</w:t>
      </w:r>
    </w:p>
    <w:p w:rsidR="003B1324" w:rsidRDefault="003B1324" w:rsidP="007300F1">
      <w:pPr>
        <w:keepNext/>
        <w:widowControl/>
        <w:spacing w:line="360" w:lineRule="auto"/>
        <w:rPr>
          <w:b/>
          <w:sz w:val="26"/>
          <w:szCs w:val="26"/>
        </w:rPr>
      </w:pPr>
      <w:r>
        <w:rPr>
          <w:b/>
          <w:sz w:val="26"/>
          <w:szCs w:val="26"/>
        </w:rPr>
        <w:lastRenderedPageBreak/>
        <w:t>Disposition</w:t>
      </w:r>
    </w:p>
    <w:p w:rsidR="003B1324" w:rsidRDefault="003B1324" w:rsidP="007300F1">
      <w:pPr>
        <w:keepNext/>
        <w:widowControl/>
        <w:spacing w:line="360" w:lineRule="auto"/>
        <w:rPr>
          <w:b/>
          <w:sz w:val="26"/>
          <w:szCs w:val="26"/>
        </w:rPr>
      </w:pPr>
    </w:p>
    <w:p w:rsidR="003B1324" w:rsidRDefault="003B1324" w:rsidP="00167690">
      <w:pPr>
        <w:widowControl/>
        <w:spacing w:line="360" w:lineRule="auto"/>
        <w:rPr>
          <w:sz w:val="26"/>
          <w:szCs w:val="26"/>
        </w:rPr>
      </w:pPr>
      <w:r>
        <w:rPr>
          <w:sz w:val="26"/>
          <w:szCs w:val="26"/>
        </w:rPr>
        <w:tab/>
      </w:r>
      <w:r>
        <w:rPr>
          <w:sz w:val="26"/>
          <w:szCs w:val="26"/>
        </w:rPr>
        <w:tab/>
        <w:t>Based upon our review of the evidence of record, the Initial Decision</w:t>
      </w:r>
      <w:r w:rsidR="00F66498">
        <w:rPr>
          <w:sz w:val="26"/>
          <w:szCs w:val="26"/>
        </w:rPr>
        <w:t>,</w:t>
      </w:r>
      <w:r>
        <w:rPr>
          <w:sz w:val="26"/>
          <w:szCs w:val="26"/>
        </w:rPr>
        <w:t xml:space="preserve"> and the Exceptions and Replies thereto, we conclude that the Comp</w:t>
      </w:r>
      <w:r w:rsidR="000378BD">
        <w:rPr>
          <w:sz w:val="26"/>
          <w:szCs w:val="26"/>
        </w:rPr>
        <w:t>lainant’s Exceptions lack merit as the Complainant has failed to provide any evidence to suppo</w:t>
      </w:r>
      <w:r w:rsidR="0041727E">
        <w:rPr>
          <w:sz w:val="26"/>
          <w:szCs w:val="26"/>
        </w:rPr>
        <w:t xml:space="preserve">rt his allegations.  We conclude that we are in agreement with the findings of the ALJ that the Complainant did not prove that he has been mis-billed, or that any of his payments or LIHEAP payments </w:t>
      </w:r>
      <w:proofErr w:type="gramStart"/>
      <w:r w:rsidR="0041727E">
        <w:rPr>
          <w:sz w:val="26"/>
          <w:szCs w:val="26"/>
        </w:rPr>
        <w:t>have</w:t>
      </w:r>
      <w:proofErr w:type="gramEnd"/>
      <w:r w:rsidR="0041727E">
        <w:rPr>
          <w:sz w:val="26"/>
          <w:szCs w:val="26"/>
        </w:rPr>
        <w:t xml:space="preserve"> been misapplied.  We further find that the Complainant did not prove that the Company’s usage charges were inaccurate.</w:t>
      </w:r>
      <w:r w:rsidR="000378BD">
        <w:rPr>
          <w:sz w:val="26"/>
          <w:szCs w:val="26"/>
        </w:rPr>
        <w:t xml:space="preserve">  </w:t>
      </w:r>
      <w:r w:rsidR="0041727E">
        <w:rPr>
          <w:sz w:val="26"/>
          <w:szCs w:val="26"/>
        </w:rPr>
        <w:t>Instead, w</w:t>
      </w:r>
      <w:r w:rsidR="000378BD">
        <w:rPr>
          <w:sz w:val="26"/>
          <w:szCs w:val="26"/>
        </w:rPr>
        <w:t>e are persuaded by the evidence submitted by the Company that</w:t>
      </w:r>
      <w:r w:rsidR="00645ACE">
        <w:rPr>
          <w:sz w:val="26"/>
          <w:szCs w:val="26"/>
        </w:rPr>
        <w:t xml:space="preserve"> </w:t>
      </w:r>
      <w:r w:rsidR="0041727E">
        <w:rPr>
          <w:sz w:val="26"/>
          <w:szCs w:val="26"/>
        </w:rPr>
        <w:t xml:space="preserve">it </w:t>
      </w:r>
      <w:r w:rsidR="00F66498">
        <w:rPr>
          <w:sz w:val="26"/>
          <w:szCs w:val="26"/>
        </w:rPr>
        <w:t xml:space="preserve">did </w:t>
      </w:r>
      <w:r w:rsidR="0041727E">
        <w:rPr>
          <w:sz w:val="26"/>
          <w:szCs w:val="26"/>
        </w:rPr>
        <w:t>not act improperly or unlawfully with regard to this Complainant.</w:t>
      </w:r>
    </w:p>
    <w:p w:rsidR="000648BB" w:rsidRDefault="000648BB" w:rsidP="00167690">
      <w:pPr>
        <w:widowControl/>
        <w:spacing w:line="360" w:lineRule="auto"/>
        <w:rPr>
          <w:sz w:val="26"/>
          <w:szCs w:val="26"/>
        </w:rPr>
      </w:pPr>
    </w:p>
    <w:p w:rsidR="006913F3" w:rsidRDefault="006913F3" w:rsidP="00FF145E">
      <w:pPr>
        <w:pStyle w:val="Default"/>
        <w:spacing w:line="360" w:lineRule="auto"/>
        <w:rPr>
          <w:i/>
          <w:sz w:val="26"/>
          <w:szCs w:val="26"/>
        </w:rPr>
      </w:pPr>
      <w:r>
        <w:rPr>
          <w:sz w:val="26"/>
          <w:szCs w:val="26"/>
        </w:rPr>
        <w:tab/>
      </w:r>
      <w:r>
        <w:rPr>
          <w:sz w:val="26"/>
          <w:szCs w:val="26"/>
        </w:rPr>
        <w:tab/>
      </w:r>
      <w:r w:rsidR="001B2D82">
        <w:rPr>
          <w:sz w:val="26"/>
          <w:szCs w:val="26"/>
        </w:rPr>
        <w:t xml:space="preserve">As noted, the Complainant </w:t>
      </w:r>
      <w:r w:rsidR="00FF145E">
        <w:rPr>
          <w:sz w:val="26"/>
          <w:szCs w:val="26"/>
        </w:rPr>
        <w:t xml:space="preserve">expressed dissatisfaction </w:t>
      </w:r>
      <w:r w:rsidR="001B2D82">
        <w:rPr>
          <w:sz w:val="26"/>
          <w:szCs w:val="26"/>
        </w:rPr>
        <w:t xml:space="preserve">in his Exceptions that the ALJ did not address </w:t>
      </w:r>
      <w:r w:rsidR="00BA7319">
        <w:rPr>
          <w:sz w:val="26"/>
          <w:szCs w:val="26"/>
        </w:rPr>
        <w:t xml:space="preserve">his </w:t>
      </w:r>
      <w:r w:rsidR="00FF145E" w:rsidRPr="00FF145E">
        <w:rPr>
          <w:sz w:val="26"/>
          <w:szCs w:val="26"/>
        </w:rPr>
        <w:t xml:space="preserve">Petition to Proceed </w:t>
      </w:r>
      <w:proofErr w:type="gramStart"/>
      <w:r w:rsidR="00FF145E" w:rsidRPr="00FF145E">
        <w:rPr>
          <w:i/>
          <w:sz w:val="26"/>
          <w:szCs w:val="26"/>
        </w:rPr>
        <w:t>In</w:t>
      </w:r>
      <w:proofErr w:type="gramEnd"/>
      <w:r w:rsidR="00FF145E" w:rsidRPr="00FF145E">
        <w:rPr>
          <w:i/>
          <w:sz w:val="26"/>
          <w:szCs w:val="26"/>
        </w:rPr>
        <w:t xml:space="preserve"> Forma Pauperis</w:t>
      </w:r>
      <w:r w:rsidR="00FF145E">
        <w:rPr>
          <w:sz w:val="26"/>
          <w:szCs w:val="26"/>
        </w:rPr>
        <w:t xml:space="preserve"> and that </w:t>
      </w:r>
      <w:r w:rsidR="00FD4087">
        <w:rPr>
          <w:sz w:val="26"/>
          <w:szCs w:val="26"/>
        </w:rPr>
        <w:t xml:space="preserve">he has been denied access to the written record of the hearing held on September 24, 2015, because the Commission refused to make the record available at its Philadelphia location.  First, </w:t>
      </w:r>
      <w:r>
        <w:rPr>
          <w:sz w:val="26"/>
          <w:szCs w:val="26"/>
        </w:rPr>
        <w:t xml:space="preserve">we find no record evidence that the Commission prevented the Complainant from viewing or otherwise obtaining a copy of the transcript.  </w:t>
      </w:r>
      <w:r w:rsidR="00496441">
        <w:rPr>
          <w:sz w:val="26"/>
          <w:szCs w:val="26"/>
        </w:rPr>
        <w:t>Further, i</w:t>
      </w:r>
      <w:r>
        <w:rPr>
          <w:sz w:val="26"/>
          <w:szCs w:val="26"/>
        </w:rPr>
        <w:t xml:space="preserve">n </w:t>
      </w:r>
      <w:r w:rsidRPr="00FD4176">
        <w:rPr>
          <w:i/>
          <w:sz w:val="26"/>
          <w:szCs w:val="26"/>
        </w:rPr>
        <w:t>Lewis v. Pennsylvania Power Co.</w:t>
      </w:r>
      <w:r>
        <w:rPr>
          <w:sz w:val="26"/>
          <w:szCs w:val="26"/>
        </w:rPr>
        <w:t xml:space="preserve">, </w:t>
      </w:r>
      <w:r w:rsidR="00A12545">
        <w:rPr>
          <w:sz w:val="26"/>
          <w:szCs w:val="26"/>
        </w:rPr>
        <w:t xml:space="preserve">Docket No. </w:t>
      </w:r>
      <w:r>
        <w:rPr>
          <w:sz w:val="26"/>
          <w:szCs w:val="26"/>
        </w:rPr>
        <w:t>F-00285925</w:t>
      </w:r>
      <w:r w:rsidR="00A12545">
        <w:rPr>
          <w:sz w:val="26"/>
          <w:szCs w:val="26"/>
        </w:rPr>
        <w:t>, 1996 WL 944890</w:t>
      </w:r>
      <w:r>
        <w:rPr>
          <w:sz w:val="26"/>
          <w:szCs w:val="26"/>
        </w:rPr>
        <w:t xml:space="preserve"> (Order entered February </w:t>
      </w:r>
      <w:r w:rsidR="00A12545">
        <w:rPr>
          <w:sz w:val="26"/>
          <w:szCs w:val="26"/>
        </w:rPr>
        <w:t>9, 1996) (</w:t>
      </w:r>
      <w:r w:rsidR="00A12545" w:rsidRPr="00FD4176">
        <w:rPr>
          <w:i/>
          <w:sz w:val="26"/>
          <w:szCs w:val="26"/>
        </w:rPr>
        <w:t>Lewis</w:t>
      </w:r>
      <w:r w:rsidR="00A12545">
        <w:rPr>
          <w:sz w:val="26"/>
          <w:szCs w:val="26"/>
        </w:rPr>
        <w:t xml:space="preserve">), we addressed the issue of whether the ALJ </w:t>
      </w:r>
      <w:r w:rsidR="00137805">
        <w:rPr>
          <w:sz w:val="26"/>
          <w:szCs w:val="26"/>
        </w:rPr>
        <w:t>is required to provide</w:t>
      </w:r>
      <w:r w:rsidR="00A12545">
        <w:rPr>
          <w:sz w:val="26"/>
          <w:szCs w:val="26"/>
        </w:rPr>
        <w:t xml:space="preserve"> a complainant with a copy of a telephonic hearing transcript.  The ALJ in </w:t>
      </w:r>
      <w:r w:rsidR="00A12545" w:rsidRPr="00FD4176">
        <w:rPr>
          <w:i/>
          <w:sz w:val="26"/>
          <w:szCs w:val="26"/>
        </w:rPr>
        <w:t>Lewis</w:t>
      </w:r>
      <w:r w:rsidR="00A12545">
        <w:rPr>
          <w:sz w:val="26"/>
          <w:szCs w:val="26"/>
        </w:rPr>
        <w:t xml:space="preserve"> recommended against providing a hearing transcript reasoning that the Commission’s reporting contract</w:t>
      </w:r>
      <w:r>
        <w:rPr>
          <w:sz w:val="26"/>
          <w:szCs w:val="26"/>
        </w:rPr>
        <w:t xml:space="preserve"> </w:t>
      </w:r>
      <w:r w:rsidR="00A12545">
        <w:rPr>
          <w:sz w:val="26"/>
          <w:szCs w:val="26"/>
        </w:rPr>
        <w:t xml:space="preserve">requires transcripts to be ordered directly from the reporting company. </w:t>
      </w:r>
      <w:r w:rsidR="00F66498">
        <w:rPr>
          <w:sz w:val="26"/>
          <w:szCs w:val="26"/>
        </w:rPr>
        <w:t xml:space="preserve"> </w:t>
      </w:r>
      <w:r w:rsidR="00A12545">
        <w:rPr>
          <w:sz w:val="26"/>
          <w:szCs w:val="26"/>
        </w:rPr>
        <w:t xml:space="preserve">However, the ALJ </w:t>
      </w:r>
      <w:r w:rsidR="00FD4087">
        <w:rPr>
          <w:sz w:val="26"/>
          <w:szCs w:val="26"/>
        </w:rPr>
        <w:t xml:space="preserve">in </w:t>
      </w:r>
      <w:r w:rsidR="00FD4087">
        <w:rPr>
          <w:i/>
          <w:sz w:val="26"/>
          <w:szCs w:val="26"/>
        </w:rPr>
        <w:t xml:space="preserve">Lewis </w:t>
      </w:r>
      <w:r w:rsidR="00A12545">
        <w:rPr>
          <w:sz w:val="26"/>
          <w:szCs w:val="26"/>
        </w:rPr>
        <w:t xml:space="preserve">recommended that “this situation be considered for future contracts so that the possibility of </w:t>
      </w:r>
      <w:r w:rsidR="00A12545" w:rsidRPr="00FD4176">
        <w:rPr>
          <w:i/>
          <w:sz w:val="26"/>
          <w:szCs w:val="26"/>
        </w:rPr>
        <w:t>in forma pauperis</w:t>
      </w:r>
      <w:r w:rsidR="00A12545">
        <w:rPr>
          <w:sz w:val="26"/>
          <w:szCs w:val="26"/>
        </w:rPr>
        <w:t xml:space="preserve"> status may </w:t>
      </w:r>
      <w:r w:rsidR="00137805">
        <w:rPr>
          <w:sz w:val="26"/>
          <w:szCs w:val="26"/>
        </w:rPr>
        <w:t xml:space="preserve">be considered and conferred on Commission litigants such as occurs in the civil court system.”  </w:t>
      </w:r>
      <w:proofErr w:type="gramStart"/>
      <w:r w:rsidR="00137805" w:rsidRPr="00FD4176">
        <w:rPr>
          <w:i/>
          <w:sz w:val="26"/>
          <w:szCs w:val="26"/>
        </w:rPr>
        <w:t>Lewis</w:t>
      </w:r>
      <w:r w:rsidR="00137805">
        <w:rPr>
          <w:sz w:val="26"/>
          <w:szCs w:val="26"/>
        </w:rPr>
        <w:t>, 1996 WL 944890 at *4.</w:t>
      </w:r>
      <w:proofErr w:type="gramEnd"/>
      <w:r w:rsidR="00137805">
        <w:rPr>
          <w:sz w:val="26"/>
          <w:szCs w:val="26"/>
        </w:rPr>
        <w:t xml:space="preserve">  In </w:t>
      </w:r>
      <w:r w:rsidR="00137805">
        <w:rPr>
          <w:i/>
          <w:sz w:val="26"/>
          <w:szCs w:val="26"/>
        </w:rPr>
        <w:t xml:space="preserve">Lewis </w:t>
      </w:r>
      <w:r w:rsidR="00137805">
        <w:rPr>
          <w:sz w:val="26"/>
          <w:szCs w:val="26"/>
        </w:rPr>
        <w:t xml:space="preserve">we agreed with the ALJ that the complainant should contact the reporting company for the transcript </w:t>
      </w:r>
      <w:r w:rsidR="001E7E3E">
        <w:rPr>
          <w:sz w:val="26"/>
          <w:szCs w:val="26"/>
        </w:rPr>
        <w:t xml:space="preserve">and with the ALJ’s recommendation that future </w:t>
      </w:r>
      <w:r w:rsidR="001E7E3E">
        <w:rPr>
          <w:sz w:val="26"/>
          <w:szCs w:val="26"/>
        </w:rPr>
        <w:lastRenderedPageBreak/>
        <w:t xml:space="preserve">discussions of the reporting contract consider the situation of </w:t>
      </w:r>
      <w:r w:rsidR="001E7E3E" w:rsidRPr="00FD4176">
        <w:rPr>
          <w:i/>
          <w:sz w:val="26"/>
          <w:szCs w:val="26"/>
        </w:rPr>
        <w:t>in forma pauperis</w:t>
      </w:r>
      <w:r w:rsidR="001E7E3E">
        <w:rPr>
          <w:sz w:val="26"/>
          <w:szCs w:val="26"/>
        </w:rPr>
        <w:t xml:space="preserve"> requests.  </w:t>
      </w:r>
      <w:r w:rsidR="00D947C8">
        <w:rPr>
          <w:i/>
          <w:sz w:val="26"/>
          <w:szCs w:val="26"/>
        </w:rPr>
        <w:t>Id.</w:t>
      </w:r>
      <w:r w:rsidR="00D947C8">
        <w:rPr>
          <w:rStyle w:val="FootnoteReference"/>
          <w:i/>
          <w:sz w:val="26"/>
          <w:szCs w:val="26"/>
        </w:rPr>
        <w:footnoteReference w:id="2"/>
      </w:r>
    </w:p>
    <w:p w:rsidR="00137805" w:rsidRDefault="00137805" w:rsidP="00167690">
      <w:pPr>
        <w:widowControl/>
        <w:spacing w:line="360" w:lineRule="auto"/>
        <w:rPr>
          <w:i/>
          <w:sz w:val="26"/>
          <w:szCs w:val="26"/>
        </w:rPr>
      </w:pPr>
    </w:p>
    <w:p w:rsidR="00137805" w:rsidRDefault="00137805" w:rsidP="00167690">
      <w:pPr>
        <w:widowControl/>
        <w:spacing w:line="360" w:lineRule="auto"/>
        <w:rPr>
          <w:sz w:val="26"/>
          <w:szCs w:val="26"/>
        </w:rPr>
      </w:pPr>
      <w:r>
        <w:rPr>
          <w:i/>
          <w:sz w:val="26"/>
          <w:szCs w:val="26"/>
        </w:rPr>
        <w:tab/>
      </w:r>
      <w:r>
        <w:rPr>
          <w:i/>
          <w:sz w:val="26"/>
          <w:szCs w:val="26"/>
        </w:rPr>
        <w:tab/>
      </w:r>
      <w:r w:rsidR="001E7E3E">
        <w:rPr>
          <w:sz w:val="26"/>
          <w:szCs w:val="26"/>
        </w:rPr>
        <w:t xml:space="preserve">At present, however, Commission litigants are required to contact the reporting </w:t>
      </w:r>
      <w:r w:rsidR="00496441">
        <w:rPr>
          <w:sz w:val="26"/>
          <w:szCs w:val="26"/>
        </w:rPr>
        <w:t>company for hearing transcripts and there is no apparent waiver of the transcript fee for indigent litigants</w:t>
      </w:r>
      <w:r w:rsidR="001E7E3E">
        <w:rPr>
          <w:sz w:val="26"/>
          <w:szCs w:val="26"/>
        </w:rPr>
        <w:t>.  Additionally, o</w:t>
      </w:r>
      <w:r>
        <w:rPr>
          <w:sz w:val="26"/>
          <w:szCs w:val="26"/>
        </w:rPr>
        <w:t xml:space="preserve">ur Regulations do not provide for a procedure to proceed </w:t>
      </w:r>
      <w:r w:rsidRPr="00FD4176">
        <w:rPr>
          <w:i/>
          <w:sz w:val="26"/>
          <w:szCs w:val="26"/>
        </w:rPr>
        <w:t>in forma pauperis</w:t>
      </w:r>
      <w:r>
        <w:rPr>
          <w:sz w:val="26"/>
          <w:szCs w:val="26"/>
        </w:rPr>
        <w:t xml:space="preserve"> which would allow for a complainant to receive a transcript without charge.  Th</w:t>
      </w:r>
      <w:r w:rsidR="001E7E3E">
        <w:rPr>
          <w:sz w:val="26"/>
          <w:szCs w:val="26"/>
        </w:rPr>
        <w:t xml:space="preserve">us, we find no error in the ALJ’s </w:t>
      </w:r>
      <w:r w:rsidR="00496441">
        <w:rPr>
          <w:sz w:val="26"/>
          <w:szCs w:val="26"/>
        </w:rPr>
        <w:t xml:space="preserve">failure to rule on the Complainant’s </w:t>
      </w:r>
      <w:r w:rsidR="00496441">
        <w:rPr>
          <w:i/>
          <w:sz w:val="26"/>
          <w:szCs w:val="26"/>
        </w:rPr>
        <w:t>I</w:t>
      </w:r>
      <w:r w:rsidR="00496441" w:rsidRPr="00496441">
        <w:rPr>
          <w:i/>
          <w:sz w:val="26"/>
          <w:szCs w:val="26"/>
        </w:rPr>
        <w:t xml:space="preserve">n </w:t>
      </w:r>
      <w:r w:rsidR="00496441">
        <w:rPr>
          <w:i/>
          <w:sz w:val="26"/>
          <w:szCs w:val="26"/>
        </w:rPr>
        <w:t>F</w:t>
      </w:r>
      <w:r w:rsidR="00496441" w:rsidRPr="00496441">
        <w:rPr>
          <w:i/>
          <w:sz w:val="26"/>
          <w:szCs w:val="26"/>
        </w:rPr>
        <w:t xml:space="preserve">orma </w:t>
      </w:r>
      <w:r w:rsidR="00496441">
        <w:rPr>
          <w:i/>
          <w:sz w:val="26"/>
          <w:szCs w:val="26"/>
        </w:rPr>
        <w:t>P</w:t>
      </w:r>
      <w:r w:rsidR="00496441" w:rsidRPr="00FD4176">
        <w:rPr>
          <w:i/>
          <w:sz w:val="26"/>
          <w:szCs w:val="26"/>
        </w:rPr>
        <w:t>auperis</w:t>
      </w:r>
      <w:r w:rsidR="00496441">
        <w:rPr>
          <w:sz w:val="26"/>
          <w:szCs w:val="26"/>
        </w:rPr>
        <w:t xml:space="preserve"> Petition.</w:t>
      </w:r>
      <w:r w:rsidR="00763D54">
        <w:rPr>
          <w:sz w:val="26"/>
          <w:szCs w:val="26"/>
        </w:rPr>
        <w:t xml:space="preserve">  In addition, we agree with PGW </w:t>
      </w:r>
      <w:r w:rsidR="00571966">
        <w:rPr>
          <w:sz w:val="26"/>
          <w:szCs w:val="26"/>
        </w:rPr>
        <w:t>that addressing</w:t>
      </w:r>
      <w:r w:rsidR="00763D54">
        <w:rPr>
          <w:sz w:val="26"/>
          <w:szCs w:val="26"/>
        </w:rPr>
        <w:t xml:space="preserve"> procedures allowing public access to Commission documents is beyond the scope of this proceeding</w:t>
      </w:r>
      <w:r w:rsidR="00571966">
        <w:rPr>
          <w:sz w:val="26"/>
          <w:szCs w:val="26"/>
        </w:rPr>
        <w:t>.</w:t>
      </w:r>
    </w:p>
    <w:p w:rsidR="00BD5C9A" w:rsidRDefault="00BD5C9A" w:rsidP="00167690">
      <w:pPr>
        <w:widowControl/>
        <w:spacing w:line="360" w:lineRule="auto"/>
        <w:rPr>
          <w:sz w:val="26"/>
          <w:szCs w:val="26"/>
        </w:rPr>
      </w:pPr>
    </w:p>
    <w:p w:rsidR="00BD5C9A" w:rsidRPr="00137805" w:rsidRDefault="00BD5C9A" w:rsidP="00167690">
      <w:pPr>
        <w:widowControl/>
        <w:spacing w:line="360" w:lineRule="auto"/>
        <w:rPr>
          <w:sz w:val="26"/>
          <w:szCs w:val="26"/>
        </w:rPr>
      </w:pPr>
      <w:r>
        <w:rPr>
          <w:sz w:val="26"/>
          <w:szCs w:val="26"/>
        </w:rPr>
        <w:tab/>
      </w:r>
      <w:r>
        <w:rPr>
          <w:sz w:val="26"/>
          <w:szCs w:val="26"/>
        </w:rPr>
        <w:tab/>
        <w:t xml:space="preserve">Nevertheless, </w:t>
      </w:r>
      <w:r w:rsidR="007E262E">
        <w:rPr>
          <w:sz w:val="26"/>
          <w:szCs w:val="26"/>
        </w:rPr>
        <w:t xml:space="preserve">we recognize that </w:t>
      </w:r>
      <w:r>
        <w:rPr>
          <w:sz w:val="26"/>
          <w:szCs w:val="26"/>
        </w:rPr>
        <w:t xml:space="preserve">the issue as to whether </w:t>
      </w:r>
      <w:r w:rsidR="0017362C">
        <w:rPr>
          <w:sz w:val="26"/>
          <w:szCs w:val="26"/>
        </w:rPr>
        <w:t xml:space="preserve">future contracts with reporting companies should </w:t>
      </w:r>
      <w:r w:rsidR="00D902AF">
        <w:rPr>
          <w:sz w:val="26"/>
          <w:szCs w:val="26"/>
        </w:rPr>
        <w:t xml:space="preserve">provide </w:t>
      </w:r>
      <w:r w:rsidR="0017362C">
        <w:rPr>
          <w:i/>
          <w:sz w:val="26"/>
          <w:szCs w:val="26"/>
        </w:rPr>
        <w:t xml:space="preserve">in forma pauperis </w:t>
      </w:r>
      <w:r w:rsidR="0017362C">
        <w:rPr>
          <w:sz w:val="26"/>
          <w:szCs w:val="26"/>
        </w:rPr>
        <w:t xml:space="preserve">complainants </w:t>
      </w:r>
      <w:r w:rsidR="00884B6A">
        <w:rPr>
          <w:sz w:val="26"/>
          <w:szCs w:val="26"/>
        </w:rPr>
        <w:t xml:space="preserve">with </w:t>
      </w:r>
      <w:r w:rsidR="0017362C">
        <w:rPr>
          <w:sz w:val="26"/>
          <w:szCs w:val="26"/>
        </w:rPr>
        <w:t xml:space="preserve">access to </w:t>
      </w:r>
      <w:r>
        <w:rPr>
          <w:sz w:val="26"/>
          <w:szCs w:val="26"/>
        </w:rPr>
        <w:t xml:space="preserve">transcripts </w:t>
      </w:r>
      <w:r w:rsidR="002855F0">
        <w:rPr>
          <w:sz w:val="26"/>
          <w:szCs w:val="26"/>
        </w:rPr>
        <w:t xml:space="preserve">and related hearing records </w:t>
      </w:r>
      <w:r w:rsidR="0017362C">
        <w:rPr>
          <w:sz w:val="26"/>
          <w:szCs w:val="26"/>
        </w:rPr>
        <w:t xml:space="preserve">without charge </w:t>
      </w:r>
      <w:r w:rsidR="007E262E">
        <w:rPr>
          <w:sz w:val="26"/>
          <w:szCs w:val="26"/>
        </w:rPr>
        <w:t>merits</w:t>
      </w:r>
      <w:r w:rsidR="002855F0">
        <w:rPr>
          <w:sz w:val="26"/>
          <w:szCs w:val="26"/>
        </w:rPr>
        <w:t xml:space="preserve"> further </w:t>
      </w:r>
      <w:r w:rsidR="00763D54">
        <w:rPr>
          <w:sz w:val="26"/>
          <w:szCs w:val="26"/>
        </w:rPr>
        <w:t>review</w:t>
      </w:r>
      <w:r w:rsidR="002855F0">
        <w:rPr>
          <w:sz w:val="26"/>
          <w:szCs w:val="26"/>
        </w:rPr>
        <w:t xml:space="preserve"> and </w:t>
      </w:r>
      <w:r w:rsidR="00884B6A">
        <w:rPr>
          <w:sz w:val="26"/>
          <w:szCs w:val="26"/>
        </w:rPr>
        <w:t>recommendation</w:t>
      </w:r>
      <w:r w:rsidR="00013D19">
        <w:rPr>
          <w:sz w:val="26"/>
          <w:szCs w:val="26"/>
        </w:rPr>
        <w:t xml:space="preserve"> by the Commission b</w:t>
      </w:r>
      <w:r w:rsidR="007E262E">
        <w:rPr>
          <w:sz w:val="26"/>
          <w:szCs w:val="26"/>
        </w:rPr>
        <w:t xml:space="preserve">ureaus responsible for </w:t>
      </w:r>
      <w:r w:rsidR="00884B6A">
        <w:rPr>
          <w:sz w:val="26"/>
          <w:szCs w:val="26"/>
        </w:rPr>
        <w:t>contracting with the reporting companies</w:t>
      </w:r>
      <w:r w:rsidR="00013D19">
        <w:rPr>
          <w:sz w:val="26"/>
          <w:szCs w:val="26"/>
        </w:rPr>
        <w:t>.  I</w:t>
      </w:r>
      <w:r w:rsidR="0031068C">
        <w:rPr>
          <w:sz w:val="26"/>
          <w:szCs w:val="26"/>
        </w:rPr>
        <w:t>t is our intention to meet with the responsible bureaus concerning this undertaking in the near future.</w:t>
      </w:r>
    </w:p>
    <w:p w:rsidR="003B1324" w:rsidRPr="00836D64" w:rsidRDefault="003B1324" w:rsidP="007300F1">
      <w:pPr>
        <w:keepNext/>
        <w:widowControl/>
        <w:spacing w:line="360" w:lineRule="auto"/>
        <w:jc w:val="center"/>
        <w:rPr>
          <w:sz w:val="26"/>
          <w:szCs w:val="26"/>
        </w:rPr>
      </w:pPr>
      <w:r w:rsidRPr="00836D64">
        <w:rPr>
          <w:b/>
          <w:sz w:val="26"/>
          <w:szCs w:val="26"/>
        </w:rPr>
        <w:lastRenderedPageBreak/>
        <w:t>Conclusion</w:t>
      </w:r>
    </w:p>
    <w:p w:rsidR="003B1324" w:rsidRPr="00836D64" w:rsidRDefault="003B1324" w:rsidP="007300F1">
      <w:pPr>
        <w:keepNext/>
        <w:keepLines/>
        <w:widowControl/>
        <w:spacing w:line="360" w:lineRule="auto"/>
        <w:ind w:firstLine="1440"/>
        <w:rPr>
          <w:spacing w:val="-3"/>
          <w:sz w:val="26"/>
          <w:szCs w:val="26"/>
        </w:rPr>
      </w:pPr>
    </w:p>
    <w:p w:rsidR="003B1324" w:rsidRPr="001F35D1" w:rsidRDefault="003B1324" w:rsidP="00167690">
      <w:pPr>
        <w:widowControl/>
        <w:spacing w:line="360" w:lineRule="auto"/>
        <w:ind w:firstLine="1440"/>
        <w:rPr>
          <w:spacing w:val="-3"/>
          <w:sz w:val="26"/>
          <w:szCs w:val="26"/>
        </w:rPr>
      </w:pPr>
      <w:r w:rsidRPr="00836D64">
        <w:rPr>
          <w:spacing w:val="-3"/>
          <w:sz w:val="26"/>
          <w:szCs w:val="26"/>
        </w:rPr>
        <w:t>Based on the</w:t>
      </w:r>
      <w:r>
        <w:rPr>
          <w:spacing w:val="-3"/>
          <w:sz w:val="26"/>
          <w:szCs w:val="26"/>
        </w:rPr>
        <w:t xml:space="preserve"> foregoing discussion, we shall </w:t>
      </w:r>
      <w:r w:rsidR="00D86871">
        <w:rPr>
          <w:spacing w:val="-3"/>
          <w:sz w:val="26"/>
          <w:szCs w:val="26"/>
        </w:rPr>
        <w:t>deny the Complainant’s Exceptions</w:t>
      </w:r>
      <w:r w:rsidR="0031068C">
        <w:rPr>
          <w:spacing w:val="-3"/>
          <w:sz w:val="26"/>
          <w:szCs w:val="26"/>
        </w:rPr>
        <w:t xml:space="preserve"> and </w:t>
      </w:r>
      <w:r>
        <w:rPr>
          <w:spacing w:val="-3"/>
          <w:sz w:val="26"/>
          <w:szCs w:val="26"/>
        </w:rPr>
        <w:t>ado</w:t>
      </w:r>
      <w:r w:rsidR="007144C1">
        <w:rPr>
          <w:spacing w:val="-3"/>
          <w:sz w:val="26"/>
          <w:szCs w:val="26"/>
        </w:rPr>
        <w:t>pt the ALJ’s Initial Decision</w:t>
      </w:r>
      <w:r w:rsidR="00D86871">
        <w:rPr>
          <w:spacing w:val="-3"/>
          <w:sz w:val="26"/>
          <w:szCs w:val="26"/>
        </w:rPr>
        <w:t xml:space="preserve"> that </w:t>
      </w:r>
      <w:r>
        <w:rPr>
          <w:spacing w:val="-3"/>
          <w:sz w:val="26"/>
          <w:szCs w:val="26"/>
        </w:rPr>
        <w:t>dismiss</w:t>
      </w:r>
      <w:r w:rsidR="00D86871">
        <w:rPr>
          <w:spacing w:val="-3"/>
          <w:sz w:val="26"/>
          <w:szCs w:val="26"/>
        </w:rPr>
        <w:t>es</w:t>
      </w:r>
      <w:r>
        <w:rPr>
          <w:spacing w:val="-3"/>
          <w:sz w:val="26"/>
          <w:szCs w:val="26"/>
        </w:rPr>
        <w:t xml:space="preserve"> the Complaint</w:t>
      </w:r>
      <w:r w:rsidR="00C62667">
        <w:rPr>
          <w:spacing w:val="-3"/>
          <w:sz w:val="26"/>
          <w:szCs w:val="26"/>
        </w:rPr>
        <w:t xml:space="preserve"> for failure by the Complainant to meet his burden of proof</w:t>
      </w:r>
      <w:r w:rsidR="00013D19">
        <w:rPr>
          <w:spacing w:val="-3"/>
          <w:sz w:val="26"/>
          <w:szCs w:val="26"/>
        </w:rPr>
        <w:t xml:space="preserve">, </w:t>
      </w:r>
      <w:r>
        <w:rPr>
          <w:spacing w:val="-3"/>
          <w:sz w:val="26"/>
          <w:szCs w:val="26"/>
        </w:rPr>
        <w:t xml:space="preserve">consistent with this Opinion and Order; </w:t>
      </w:r>
      <w:r w:rsidRPr="001C7049">
        <w:rPr>
          <w:b/>
          <w:sz w:val="26"/>
          <w:szCs w:val="26"/>
        </w:rPr>
        <w:t>THEREFORE</w:t>
      </w:r>
      <w:r w:rsidRPr="001C7049">
        <w:rPr>
          <w:sz w:val="26"/>
          <w:szCs w:val="26"/>
        </w:rPr>
        <w:t>,</w:t>
      </w:r>
    </w:p>
    <w:p w:rsidR="003B1324" w:rsidRDefault="003B1324" w:rsidP="00167690">
      <w:pPr>
        <w:widowControl/>
        <w:spacing w:line="360" w:lineRule="auto"/>
        <w:rPr>
          <w:sz w:val="26"/>
          <w:szCs w:val="26"/>
        </w:rPr>
      </w:pPr>
    </w:p>
    <w:p w:rsidR="003B1324" w:rsidRDefault="003B1324" w:rsidP="00167690">
      <w:pPr>
        <w:keepNext/>
        <w:keepLines/>
        <w:widowControl/>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3B1324" w:rsidRDefault="003B1324" w:rsidP="00167690">
      <w:pPr>
        <w:keepNext/>
        <w:keepLines/>
        <w:widowControl/>
        <w:spacing w:line="360" w:lineRule="auto"/>
        <w:rPr>
          <w:b/>
          <w:sz w:val="26"/>
          <w:szCs w:val="26"/>
        </w:rPr>
      </w:pPr>
    </w:p>
    <w:p w:rsidR="003B1324" w:rsidRDefault="003B1324" w:rsidP="00167690">
      <w:pPr>
        <w:widowControl/>
        <w:spacing w:line="360" w:lineRule="auto"/>
        <w:rPr>
          <w:sz w:val="26"/>
          <w:szCs w:val="26"/>
        </w:rPr>
      </w:pPr>
      <w:r>
        <w:rPr>
          <w:b/>
          <w:sz w:val="26"/>
          <w:szCs w:val="26"/>
        </w:rPr>
        <w:tab/>
      </w:r>
      <w:r>
        <w:rPr>
          <w:b/>
          <w:sz w:val="26"/>
          <w:szCs w:val="26"/>
        </w:rPr>
        <w:tab/>
      </w:r>
      <w:r>
        <w:rPr>
          <w:sz w:val="26"/>
          <w:szCs w:val="26"/>
        </w:rPr>
        <w:t>1.</w:t>
      </w:r>
      <w:r>
        <w:rPr>
          <w:sz w:val="26"/>
          <w:szCs w:val="26"/>
        </w:rPr>
        <w:tab/>
        <w:t>That the Exceptions filed by Deree Norman on August 11, 2016, to the Initial Decision of Administrative Law Judge Dennis</w:t>
      </w:r>
      <w:r w:rsidR="000E1528">
        <w:rPr>
          <w:sz w:val="26"/>
          <w:szCs w:val="26"/>
        </w:rPr>
        <w:t> </w:t>
      </w:r>
      <w:r>
        <w:rPr>
          <w:sz w:val="26"/>
          <w:szCs w:val="26"/>
        </w:rPr>
        <w:t>J.</w:t>
      </w:r>
      <w:r w:rsidR="000E1528">
        <w:rPr>
          <w:sz w:val="26"/>
          <w:szCs w:val="26"/>
        </w:rPr>
        <w:t> </w:t>
      </w:r>
      <w:r>
        <w:rPr>
          <w:sz w:val="26"/>
          <w:szCs w:val="26"/>
        </w:rPr>
        <w:t>Buckley, issued on July 22, 2016, are denied, consistent with this Opinion and Order.</w:t>
      </w:r>
    </w:p>
    <w:p w:rsidR="003B1324" w:rsidRDefault="003B1324" w:rsidP="00167690">
      <w:pPr>
        <w:widowControl/>
        <w:spacing w:line="360" w:lineRule="auto"/>
        <w:rPr>
          <w:sz w:val="26"/>
          <w:szCs w:val="26"/>
        </w:rPr>
      </w:pPr>
    </w:p>
    <w:p w:rsidR="003B1324" w:rsidRDefault="003B1324" w:rsidP="00167690">
      <w:pPr>
        <w:widowControl/>
        <w:spacing w:line="360" w:lineRule="auto"/>
        <w:ind w:firstLine="1440"/>
        <w:rPr>
          <w:sz w:val="26"/>
          <w:szCs w:val="26"/>
        </w:rPr>
      </w:pPr>
      <w:r>
        <w:rPr>
          <w:sz w:val="26"/>
          <w:szCs w:val="26"/>
        </w:rPr>
        <w:t>2.</w:t>
      </w:r>
      <w:r>
        <w:rPr>
          <w:sz w:val="26"/>
          <w:szCs w:val="26"/>
        </w:rPr>
        <w:tab/>
        <w:t>That the Initial Decision of Administrative Law Judge Dennis</w:t>
      </w:r>
      <w:r w:rsidR="00D86871">
        <w:rPr>
          <w:sz w:val="26"/>
          <w:szCs w:val="26"/>
        </w:rPr>
        <w:t> </w:t>
      </w:r>
      <w:r>
        <w:rPr>
          <w:sz w:val="26"/>
          <w:szCs w:val="26"/>
        </w:rPr>
        <w:t>J.</w:t>
      </w:r>
      <w:r w:rsidR="00D86871">
        <w:rPr>
          <w:sz w:val="26"/>
          <w:szCs w:val="26"/>
        </w:rPr>
        <w:t> </w:t>
      </w:r>
      <w:r>
        <w:rPr>
          <w:sz w:val="26"/>
          <w:szCs w:val="26"/>
        </w:rPr>
        <w:t>Buckley, issued on July 22, 2016, is adopted, consistent with this Opinion and Order.</w:t>
      </w:r>
    </w:p>
    <w:p w:rsidR="003B1324" w:rsidRDefault="003B1324" w:rsidP="00167690">
      <w:pPr>
        <w:widowControl/>
        <w:spacing w:line="360" w:lineRule="auto"/>
        <w:ind w:firstLine="1440"/>
        <w:rPr>
          <w:sz w:val="26"/>
          <w:szCs w:val="26"/>
        </w:rPr>
      </w:pPr>
    </w:p>
    <w:p w:rsidR="00013D19" w:rsidRDefault="003B1324" w:rsidP="00013D19">
      <w:pPr>
        <w:widowControl/>
        <w:spacing w:line="360" w:lineRule="auto"/>
        <w:ind w:firstLine="1440"/>
        <w:rPr>
          <w:sz w:val="26"/>
          <w:szCs w:val="26"/>
        </w:rPr>
      </w:pPr>
      <w:r>
        <w:rPr>
          <w:sz w:val="26"/>
          <w:szCs w:val="26"/>
        </w:rPr>
        <w:t>3.</w:t>
      </w:r>
      <w:r>
        <w:rPr>
          <w:sz w:val="26"/>
          <w:szCs w:val="26"/>
        </w:rPr>
        <w:tab/>
        <w:t>That the Fo</w:t>
      </w:r>
      <w:r w:rsidR="0006622D">
        <w:rPr>
          <w:sz w:val="26"/>
          <w:szCs w:val="26"/>
        </w:rPr>
        <w:t>rmal Complaint filed on June 25</w:t>
      </w:r>
      <w:r>
        <w:rPr>
          <w:sz w:val="26"/>
          <w:szCs w:val="26"/>
        </w:rPr>
        <w:t xml:space="preserve">, 2015, by </w:t>
      </w:r>
      <w:r w:rsidR="0006622D">
        <w:rPr>
          <w:sz w:val="26"/>
          <w:szCs w:val="26"/>
        </w:rPr>
        <w:t>Deree</w:t>
      </w:r>
      <w:r w:rsidR="000E1528">
        <w:rPr>
          <w:sz w:val="26"/>
          <w:szCs w:val="26"/>
        </w:rPr>
        <w:t> </w:t>
      </w:r>
      <w:r w:rsidR="0006622D">
        <w:rPr>
          <w:sz w:val="26"/>
          <w:szCs w:val="26"/>
        </w:rPr>
        <w:t>Norman</w:t>
      </w:r>
      <w:r w:rsidR="008C2DE2">
        <w:rPr>
          <w:sz w:val="26"/>
          <w:szCs w:val="26"/>
        </w:rPr>
        <w:t xml:space="preserve"> against the Philadelphia Gas Works</w:t>
      </w:r>
      <w:r w:rsidR="00065A54">
        <w:rPr>
          <w:sz w:val="26"/>
          <w:szCs w:val="26"/>
        </w:rPr>
        <w:t>, is dismissed.</w:t>
      </w:r>
    </w:p>
    <w:p w:rsidR="00013D19" w:rsidRDefault="00013D19" w:rsidP="00013D19">
      <w:pPr>
        <w:widowControl/>
        <w:spacing w:line="360" w:lineRule="auto"/>
        <w:ind w:firstLine="1440"/>
        <w:rPr>
          <w:sz w:val="26"/>
          <w:szCs w:val="26"/>
        </w:rPr>
      </w:pPr>
    </w:p>
    <w:p w:rsidR="00013D19" w:rsidRDefault="00013D19">
      <w:pPr>
        <w:widowControl/>
        <w:spacing w:after="200" w:line="276" w:lineRule="auto"/>
        <w:rPr>
          <w:sz w:val="26"/>
          <w:szCs w:val="26"/>
        </w:rPr>
      </w:pPr>
      <w:r>
        <w:rPr>
          <w:sz w:val="26"/>
          <w:szCs w:val="26"/>
        </w:rPr>
        <w:br w:type="page"/>
      </w:r>
    </w:p>
    <w:p w:rsidR="003B1324" w:rsidRPr="00F466B0" w:rsidRDefault="00065A54" w:rsidP="00013D19">
      <w:pPr>
        <w:widowControl/>
        <w:spacing w:line="360" w:lineRule="auto"/>
        <w:ind w:firstLine="1440"/>
        <w:rPr>
          <w:sz w:val="26"/>
          <w:szCs w:val="26"/>
        </w:rPr>
      </w:pPr>
      <w:r>
        <w:rPr>
          <w:sz w:val="26"/>
          <w:szCs w:val="26"/>
        </w:rPr>
        <w:lastRenderedPageBreak/>
        <w:t>4.</w:t>
      </w:r>
      <w:r>
        <w:rPr>
          <w:sz w:val="26"/>
          <w:szCs w:val="26"/>
        </w:rPr>
        <w:tab/>
      </w:r>
      <w:r w:rsidR="00B32D1C">
        <w:rPr>
          <w:sz w:val="26"/>
          <w:szCs w:val="26"/>
        </w:rPr>
        <w:t xml:space="preserve"> </w:t>
      </w:r>
      <w:r w:rsidR="003B1324">
        <w:rPr>
          <w:sz w:val="26"/>
          <w:szCs w:val="26"/>
        </w:rPr>
        <w:t>That the proceeding at this docket be marked closed.</w:t>
      </w:r>
    </w:p>
    <w:p w:rsidR="003B1324" w:rsidRDefault="003B1324" w:rsidP="00065A54">
      <w:pPr>
        <w:keepNext/>
        <w:keepLines/>
        <w:widowControl/>
        <w:spacing w:line="360" w:lineRule="auto"/>
        <w:rPr>
          <w:sz w:val="26"/>
          <w:szCs w:val="26"/>
        </w:rPr>
      </w:pPr>
    </w:p>
    <w:p w:rsidR="00013D19" w:rsidRDefault="00013D19" w:rsidP="00065A54">
      <w:pPr>
        <w:keepNext/>
        <w:keepLines/>
        <w:widowControl/>
        <w:spacing w:line="360" w:lineRule="auto"/>
        <w:rPr>
          <w:sz w:val="26"/>
          <w:szCs w:val="26"/>
        </w:rPr>
      </w:pPr>
    </w:p>
    <w:p w:rsidR="003B1324" w:rsidRPr="000D6043" w:rsidRDefault="00494E30" w:rsidP="00065A54">
      <w:pPr>
        <w:keepNext/>
        <w:keepLines/>
        <w:widowControl/>
        <w:spacing w:line="360" w:lineRule="auto"/>
        <w:rPr>
          <w:b/>
          <w:sz w:val="26"/>
          <w:szCs w:val="26"/>
        </w:rPr>
      </w:pPr>
      <w:r>
        <w:rPr>
          <w:noProof/>
        </w:rPr>
        <w:drawing>
          <wp:anchor distT="0" distB="0" distL="114300" distR="114300" simplePos="0" relativeHeight="251659264" behindDoc="1" locked="0" layoutInCell="1" allowOverlap="1" wp14:anchorId="72FBF65D" wp14:editId="472734BD">
            <wp:simplePos x="0" y="0"/>
            <wp:positionH relativeFrom="column">
              <wp:posOffset>3151505</wp:posOffset>
            </wp:positionH>
            <wp:positionV relativeFrom="paragraph">
              <wp:posOffset>184150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1324" w:rsidRPr="000D6043">
        <w:rPr>
          <w:sz w:val="26"/>
          <w:szCs w:val="26"/>
        </w:rPr>
        <w:tab/>
      </w:r>
      <w:r w:rsidR="003B1324" w:rsidRPr="000D6043">
        <w:rPr>
          <w:sz w:val="26"/>
          <w:szCs w:val="26"/>
        </w:rPr>
        <w:tab/>
      </w:r>
      <w:r w:rsidR="003B1324" w:rsidRPr="000D6043">
        <w:rPr>
          <w:sz w:val="26"/>
          <w:szCs w:val="26"/>
        </w:rPr>
        <w:tab/>
      </w:r>
      <w:r w:rsidR="003B1324" w:rsidRPr="000D6043">
        <w:rPr>
          <w:sz w:val="26"/>
          <w:szCs w:val="26"/>
        </w:rPr>
        <w:tab/>
      </w:r>
      <w:r w:rsidR="003B1324" w:rsidRPr="000D6043">
        <w:rPr>
          <w:sz w:val="26"/>
          <w:szCs w:val="26"/>
        </w:rPr>
        <w:tab/>
      </w:r>
      <w:r w:rsidR="003B1324" w:rsidRPr="000D6043">
        <w:rPr>
          <w:sz w:val="26"/>
          <w:szCs w:val="26"/>
        </w:rPr>
        <w:tab/>
      </w:r>
      <w:r w:rsidR="003B1324" w:rsidRPr="000D6043">
        <w:rPr>
          <w:sz w:val="26"/>
          <w:szCs w:val="26"/>
        </w:rPr>
        <w:tab/>
      </w:r>
      <w:r w:rsidR="003B1324" w:rsidRPr="000D6043">
        <w:rPr>
          <w:b/>
          <w:sz w:val="26"/>
          <w:szCs w:val="26"/>
        </w:rPr>
        <w:t>BY THE COMMISSION,</w:t>
      </w:r>
    </w:p>
    <w:p w:rsidR="003B1324" w:rsidRDefault="003B1324" w:rsidP="00065A54">
      <w:pPr>
        <w:keepNext/>
        <w:keepLines/>
        <w:widowControl/>
        <w:rPr>
          <w:sz w:val="26"/>
          <w:szCs w:val="26"/>
        </w:rPr>
      </w:pPr>
      <w:bookmarkStart w:id="0" w:name="_GoBack"/>
      <w:bookmarkEnd w:id="0"/>
    </w:p>
    <w:p w:rsidR="007144C1" w:rsidRDefault="007144C1" w:rsidP="00065A54">
      <w:pPr>
        <w:keepNext/>
        <w:keepLines/>
        <w:widowControl/>
        <w:rPr>
          <w:sz w:val="26"/>
          <w:szCs w:val="26"/>
        </w:rPr>
      </w:pPr>
    </w:p>
    <w:p w:rsidR="003B1324" w:rsidRDefault="003B1324" w:rsidP="00065A54">
      <w:pPr>
        <w:keepNext/>
        <w:keepLines/>
        <w:widowControl/>
        <w:rPr>
          <w:sz w:val="26"/>
          <w:szCs w:val="26"/>
        </w:rPr>
      </w:pPr>
    </w:p>
    <w:p w:rsidR="003B1324" w:rsidRPr="000D6043" w:rsidRDefault="003B1324" w:rsidP="00065A54">
      <w:pPr>
        <w:keepNext/>
        <w:keepLines/>
        <w:widowControl/>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rsidR="003B1324" w:rsidRDefault="003B1324" w:rsidP="00065A54">
      <w:pPr>
        <w:keepNext/>
        <w:keepLines/>
        <w:widowControl/>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3B1324" w:rsidRDefault="003B1324" w:rsidP="00065A54">
      <w:pPr>
        <w:keepNext/>
        <w:keepLines/>
        <w:widowControl/>
        <w:tabs>
          <w:tab w:val="left" w:pos="-720"/>
        </w:tabs>
        <w:suppressAutoHyphens/>
        <w:rPr>
          <w:sz w:val="26"/>
          <w:szCs w:val="26"/>
        </w:rPr>
      </w:pPr>
    </w:p>
    <w:p w:rsidR="003B1324" w:rsidRDefault="003B1324" w:rsidP="00065A54">
      <w:pPr>
        <w:keepNext/>
        <w:keepLines/>
        <w:widowControl/>
        <w:tabs>
          <w:tab w:val="left" w:pos="-720"/>
        </w:tabs>
        <w:suppressAutoHyphens/>
        <w:rPr>
          <w:sz w:val="26"/>
          <w:szCs w:val="26"/>
        </w:rPr>
      </w:pPr>
    </w:p>
    <w:p w:rsidR="003B1324" w:rsidRPr="001B2BFB" w:rsidRDefault="003B1324" w:rsidP="00065A54">
      <w:pPr>
        <w:keepNext/>
        <w:keepLines/>
        <w:widowControl/>
        <w:tabs>
          <w:tab w:val="left" w:pos="-720"/>
        </w:tabs>
        <w:suppressAutoHyphens/>
        <w:rPr>
          <w:sz w:val="26"/>
          <w:szCs w:val="26"/>
        </w:rPr>
      </w:pPr>
      <w:r w:rsidRPr="00AD292A">
        <w:rPr>
          <w:sz w:val="26"/>
          <w:szCs w:val="26"/>
        </w:rPr>
        <w:t>(SEAL)</w:t>
      </w:r>
    </w:p>
    <w:p w:rsidR="003B1324" w:rsidRDefault="003B1324" w:rsidP="00065A54">
      <w:pPr>
        <w:keepNext/>
        <w:keepLines/>
        <w:widowControl/>
        <w:tabs>
          <w:tab w:val="left" w:pos="-720"/>
        </w:tabs>
        <w:suppressAutoHyphens/>
        <w:rPr>
          <w:sz w:val="26"/>
          <w:szCs w:val="26"/>
        </w:rPr>
      </w:pPr>
    </w:p>
    <w:p w:rsidR="003B1324" w:rsidRDefault="003B1324" w:rsidP="00065A54">
      <w:pPr>
        <w:keepNext/>
        <w:keepLines/>
        <w:widowControl/>
        <w:tabs>
          <w:tab w:val="left" w:pos="-720"/>
        </w:tabs>
        <w:suppressAutoHyphens/>
        <w:rPr>
          <w:sz w:val="26"/>
          <w:szCs w:val="26"/>
        </w:rPr>
      </w:pPr>
      <w:r w:rsidRPr="00AD292A">
        <w:rPr>
          <w:sz w:val="26"/>
          <w:szCs w:val="26"/>
        </w:rPr>
        <w:t>ORDER ADOPTED:</w:t>
      </w:r>
      <w:r w:rsidRPr="001B2BFB">
        <w:rPr>
          <w:sz w:val="26"/>
          <w:szCs w:val="26"/>
        </w:rPr>
        <w:t xml:space="preserve"> </w:t>
      </w:r>
      <w:r>
        <w:rPr>
          <w:sz w:val="26"/>
          <w:szCs w:val="26"/>
        </w:rPr>
        <w:t xml:space="preserve"> Ju</w:t>
      </w:r>
      <w:r w:rsidR="00C72D88">
        <w:rPr>
          <w:sz w:val="26"/>
          <w:szCs w:val="26"/>
        </w:rPr>
        <w:t>ly 1</w:t>
      </w:r>
      <w:r w:rsidR="00414234">
        <w:rPr>
          <w:sz w:val="26"/>
          <w:szCs w:val="26"/>
        </w:rPr>
        <w:t>2</w:t>
      </w:r>
      <w:r>
        <w:rPr>
          <w:sz w:val="26"/>
          <w:szCs w:val="26"/>
        </w:rPr>
        <w:t>, 2017</w:t>
      </w:r>
    </w:p>
    <w:p w:rsidR="003B1324" w:rsidRDefault="003B1324" w:rsidP="00065A54">
      <w:pPr>
        <w:keepNext/>
        <w:keepLines/>
        <w:widowControl/>
        <w:tabs>
          <w:tab w:val="left" w:pos="-720"/>
        </w:tabs>
        <w:suppressAutoHyphens/>
        <w:rPr>
          <w:sz w:val="26"/>
          <w:szCs w:val="26"/>
        </w:rPr>
      </w:pPr>
    </w:p>
    <w:p w:rsidR="003B1324" w:rsidRPr="00507493" w:rsidRDefault="003B1324" w:rsidP="00065A54">
      <w:pPr>
        <w:keepNext/>
        <w:keepLines/>
        <w:widowControl/>
        <w:tabs>
          <w:tab w:val="left" w:pos="-720"/>
        </w:tabs>
        <w:suppressAutoHyphens/>
        <w:rPr>
          <w:sz w:val="26"/>
          <w:szCs w:val="26"/>
        </w:rPr>
      </w:pPr>
      <w:r w:rsidRPr="00507493">
        <w:rPr>
          <w:sz w:val="26"/>
          <w:szCs w:val="26"/>
        </w:rPr>
        <w:t xml:space="preserve">ORDER ENTERED: </w:t>
      </w:r>
      <w:r>
        <w:rPr>
          <w:sz w:val="26"/>
          <w:szCs w:val="26"/>
        </w:rPr>
        <w:t xml:space="preserve"> </w:t>
      </w:r>
      <w:r w:rsidR="00494E30">
        <w:rPr>
          <w:sz w:val="26"/>
          <w:szCs w:val="26"/>
        </w:rPr>
        <w:t>July 13, 2017</w:t>
      </w:r>
    </w:p>
    <w:sectPr w:rsidR="003B1324" w:rsidRPr="00507493" w:rsidSect="009377AA">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B40" w:rsidRDefault="00F37B40" w:rsidP="00EA6F5B">
      <w:r>
        <w:separator/>
      </w:r>
    </w:p>
  </w:endnote>
  <w:endnote w:type="continuationSeparator" w:id="0">
    <w:p w:rsidR="00F37B40" w:rsidRDefault="00F37B40" w:rsidP="00EA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290201"/>
      <w:docPartObj>
        <w:docPartGallery w:val="Page Numbers (Bottom of Page)"/>
        <w:docPartUnique/>
      </w:docPartObj>
    </w:sdtPr>
    <w:sdtEndPr>
      <w:rPr>
        <w:noProof/>
      </w:rPr>
    </w:sdtEndPr>
    <w:sdtContent>
      <w:p w:rsidR="007E262E" w:rsidRDefault="007E262E">
        <w:pPr>
          <w:pStyle w:val="Footer"/>
          <w:jc w:val="center"/>
        </w:pPr>
        <w:r>
          <w:fldChar w:fldCharType="begin"/>
        </w:r>
        <w:r>
          <w:instrText xml:space="preserve"> PAGE   \* MERGEFORMAT </w:instrText>
        </w:r>
        <w:r>
          <w:fldChar w:fldCharType="separate"/>
        </w:r>
        <w:r w:rsidR="00494E30">
          <w:rPr>
            <w:noProof/>
          </w:rPr>
          <w:t>13</w:t>
        </w:r>
        <w:r>
          <w:rPr>
            <w:noProof/>
          </w:rPr>
          <w:fldChar w:fldCharType="end"/>
        </w:r>
      </w:p>
    </w:sdtContent>
  </w:sdt>
  <w:p w:rsidR="007E262E" w:rsidRDefault="007E2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B40" w:rsidRDefault="00F37B40" w:rsidP="00EA6F5B">
      <w:r>
        <w:separator/>
      </w:r>
    </w:p>
  </w:footnote>
  <w:footnote w:type="continuationSeparator" w:id="0">
    <w:p w:rsidR="00F37B40" w:rsidRDefault="00F37B40" w:rsidP="00EA6F5B">
      <w:r>
        <w:continuationSeparator/>
      </w:r>
    </w:p>
  </w:footnote>
  <w:footnote w:id="1">
    <w:p w:rsidR="007E262E" w:rsidRPr="00E50C69" w:rsidRDefault="007E262E" w:rsidP="001B7D12">
      <w:pPr>
        <w:pStyle w:val="FootnoteText"/>
        <w:keepNext/>
        <w:keepLines/>
        <w:widowControl/>
        <w:ind w:firstLine="720"/>
        <w:rPr>
          <w:sz w:val="26"/>
          <w:szCs w:val="26"/>
        </w:rPr>
      </w:pPr>
      <w:r w:rsidRPr="00E50C69">
        <w:rPr>
          <w:rStyle w:val="FootnoteReference"/>
          <w:sz w:val="26"/>
          <w:szCs w:val="26"/>
        </w:rPr>
        <w:footnoteRef/>
      </w:r>
      <w:r w:rsidRPr="00E50C69">
        <w:rPr>
          <w:sz w:val="26"/>
          <w:szCs w:val="26"/>
        </w:rPr>
        <w:t xml:space="preserve"> </w:t>
      </w:r>
      <w:r>
        <w:rPr>
          <w:sz w:val="26"/>
          <w:szCs w:val="26"/>
        </w:rPr>
        <w:tab/>
        <w:t>The Exceptions that were filed with the Secretary’s Bureau on August 11, 2016, did not include a Certificate of Service.  As such, by letter dated August 12, 2016, the Secretary’s Bureau provided a copy of the Exceptions to the Respondent and noted that due to the failure of the Complainant to provide service on all the parties of record to the case, and in order to avoid prejudice to any party pursuant to 52 Pa. Code § 5.535, PGW had until August 22, 2016, to file Replies to Exceptions.</w:t>
      </w:r>
    </w:p>
  </w:footnote>
  <w:footnote w:id="2">
    <w:p w:rsidR="007E262E" w:rsidRPr="00D947C8" w:rsidRDefault="007E262E">
      <w:pPr>
        <w:pStyle w:val="FootnoteText"/>
        <w:rPr>
          <w:sz w:val="26"/>
          <w:szCs w:val="26"/>
        </w:rPr>
      </w:pPr>
      <w:r>
        <w:tab/>
      </w:r>
      <w:r>
        <w:rPr>
          <w:rStyle w:val="FootnoteReference"/>
        </w:rPr>
        <w:footnoteRef/>
      </w:r>
      <w:r w:rsidRPr="00D947C8">
        <w:rPr>
          <w:sz w:val="26"/>
          <w:szCs w:val="26"/>
        </w:rPr>
        <w:tab/>
      </w:r>
      <w:r>
        <w:rPr>
          <w:sz w:val="26"/>
          <w:szCs w:val="26"/>
        </w:rPr>
        <w:t xml:space="preserve">We note that the Complainant also filed a Petition to Proceed </w:t>
      </w:r>
      <w:proofErr w:type="gramStart"/>
      <w:r>
        <w:rPr>
          <w:i/>
          <w:sz w:val="26"/>
          <w:szCs w:val="26"/>
        </w:rPr>
        <w:t>In</w:t>
      </w:r>
      <w:proofErr w:type="gramEnd"/>
      <w:r>
        <w:rPr>
          <w:i/>
          <w:sz w:val="26"/>
          <w:szCs w:val="26"/>
        </w:rPr>
        <w:t xml:space="preserve"> Forma Pauperis</w:t>
      </w:r>
      <w:r>
        <w:rPr>
          <w:sz w:val="26"/>
          <w:szCs w:val="26"/>
        </w:rPr>
        <w:t xml:space="preserve"> in another Complaint proceeding involving PECO Energy Company at Docket No. </w:t>
      </w:r>
      <w:proofErr w:type="gramStart"/>
      <w:r>
        <w:rPr>
          <w:sz w:val="26"/>
          <w:szCs w:val="26"/>
        </w:rPr>
        <w:t>C-2015-2472605.</w:t>
      </w:r>
      <w:proofErr w:type="gramEnd"/>
      <w:r>
        <w:rPr>
          <w:sz w:val="26"/>
          <w:szCs w:val="26"/>
        </w:rPr>
        <w:t xml:space="preserve">  In that case, however, ALJ Mary Long issued an Interim Order dated December 17, 2015, dismissing the Petition because: (1) the Commission does not have a regulation which provides authority to enter an order waiving fees or costs; (2) the Commission does not impose any filing fees for customers who file complaints against public utilities; and (3) the Petition did not specify what costs or fees that the Complainant is seeking to be excused from paying.  ALJ Long also cited to </w:t>
      </w:r>
      <w:r w:rsidRPr="002855F0">
        <w:rPr>
          <w:i/>
          <w:sz w:val="26"/>
          <w:szCs w:val="26"/>
        </w:rPr>
        <w:t>Lepre v. Equitable Gas Company</w:t>
      </w:r>
      <w:r>
        <w:rPr>
          <w:sz w:val="26"/>
          <w:szCs w:val="26"/>
        </w:rPr>
        <w:t>, Docket No. C-2010-2189362, (Opinion and Order entered August 12, 2011) for the proposition that the Commission cannot provide the Complainant with a copy of the transcript of the proceeding for free, but that the Commission can make arrangements for the Complainant to review the transcript and take notes in an office of the Commission upon request.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F5B"/>
    <w:rsid w:val="00013D19"/>
    <w:rsid w:val="000378BD"/>
    <w:rsid w:val="000433B8"/>
    <w:rsid w:val="000648BB"/>
    <w:rsid w:val="00065A54"/>
    <w:rsid w:val="0006622D"/>
    <w:rsid w:val="00093ECC"/>
    <w:rsid w:val="000B4B67"/>
    <w:rsid w:val="000C58D5"/>
    <w:rsid w:val="000C7195"/>
    <w:rsid w:val="000D0F7E"/>
    <w:rsid w:val="000D18CF"/>
    <w:rsid w:val="000E1528"/>
    <w:rsid w:val="000E5248"/>
    <w:rsid w:val="001214A4"/>
    <w:rsid w:val="00132785"/>
    <w:rsid w:val="00137805"/>
    <w:rsid w:val="00167690"/>
    <w:rsid w:val="0017362C"/>
    <w:rsid w:val="001825C7"/>
    <w:rsid w:val="00192297"/>
    <w:rsid w:val="001A4D39"/>
    <w:rsid w:val="001B011D"/>
    <w:rsid w:val="001B212F"/>
    <w:rsid w:val="001B2D82"/>
    <w:rsid w:val="001B7D12"/>
    <w:rsid w:val="001C6440"/>
    <w:rsid w:val="001E7E3E"/>
    <w:rsid w:val="00217569"/>
    <w:rsid w:val="002217B7"/>
    <w:rsid w:val="002218B2"/>
    <w:rsid w:val="002244EA"/>
    <w:rsid w:val="002855F0"/>
    <w:rsid w:val="002B139D"/>
    <w:rsid w:val="002C051A"/>
    <w:rsid w:val="002F64B1"/>
    <w:rsid w:val="00303E56"/>
    <w:rsid w:val="0031068C"/>
    <w:rsid w:val="00330FF0"/>
    <w:rsid w:val="00332CBF"/>
    <w:rsid w:val="00370DA3"/>
    <w:rsid w:val="003765AD"/>
    <w:rsid w:val="003869C3"/>
    <w:rsid w:val="003B1324"/>
    <w:rsid w:val="003C29E4"/>
    <w:rsid w:val="003E59EA"/>
    <w:rsid w:val="004078E7"/>
    <w:rsid w:val="00414234"/>
    <w:rsid w:val="0041727E"/>
    <w:rsid w:val="00446411"/>
    <w:rsid w:val="0045332C"/>
    <w:rsid w:val="0047442B"/>
    <w:rsid w:val="00494E30"/>
    <w:rsid w:val="00496441"/>
    <w:rsid w:val="004B3567"/>
    <w:rsid w:val="004B6EAA"/>
    <w:rsid w:val="004E25EC"/>
    <w:rsid w:val="004E30CA"/>
    <w:rsid w:val="00510360"/>
    <w:rsid w:val="005115E6"/>
    <w:rsid w:val="0051282D"/>
    <w:rsid w:val="00532AEC"/>
    <w:rsid w:val="00571966"/>
    <w:rsid w:val="005F4301"/>
    <w:rsid w:val="00643A8E"/>
    <w:rsid w:val="00645ACE"/>
    <w:rsid w:val="00665043"/>
    <w:rsid w:val="00666997"/>
    <w:rsid w:val="006913F3"/>
    <w:rsid w:val="006A137C"/>
    <w:rsid w:val="006B38CB"/>
    <w:rsid w:val="006D40E7"/>
    <w:rsid w:val="007144C1"/>
    <w:rsid w:val="007300F1"/>
    <w:rsid w:val="007463E6"/>
    <w:rsid w:val="00763D54"/>
    <w:rsid w:val="00771AB7"/>
    <w:rsid w:val="00772ED4"/>
    <w:rsid w:val="007A710C"/>
    <w:rsid w:val="007B0D54"/>
    <w:rsid w:val="007D6474"/>
    <w:rsid w:val="007E1C76"/>
    <w:rsid w:val="007E262E"/>
    <w:rsid w:val="007F1186"/>
    <w:rsid w:val="007F7479"/>
    <w:rsid w:val="00802024"/>
    <w:rsid w:val="00833CAB"/>
    <w:rsid w:val="00833D3B"/>
    <w:rsid w:val="00884815"/>
    <w:rsid w:val="00884B6A"/>
    <w:rsid w:val="008A3CD9"/>
    <w:rsid w:val="008C2DE2"/>
    <w:rsid w:val="008D7A0E"/>
    <w:rsid w:val="0090607F"/>
    <w:rsid w:val="00917024"/>
    <w:rsid w:val="00923E87"/>
    <w:rsid w:val="009313D5"/>
    <w:rsid w:val="009377AA"/>
    <w:rsid w:val="009839FE"/>
    <w:rsid w:val="009A7B17"/>
    <w:rsid w:val="009E183F"/>
    <w:rsid w:val="009E33FA"/>
    <w:rsid w:val="009E3DB5"/>
    <w:rsid w:val="00A00971"/>
    <w:rsid w:val="00A12545"/>
    <w:rsid w:val="00A41D64"/>
    <w:rsid w:val="00A95049"/>
    <w:rsid w:val="00A9613B"/>
    <w:rsid w:val="00AD09A9"/>
    <w:rsid w:val="00B07647"/>
    <w:rsid w:val="00B17A1A"/>
    <w:rsid w:val="00B20C84"/>
    <w:rsid w:val="00B30316"/>
    <w:rsid w:val="00B32D1C"/>
    <w:rsid w:val="00B64FC0"/>
    <w:rsid w:val="00BA7319"/>
    <w:rsid w:val="00BC31E5"/>
    <w:rsid w:val="00BD5C9A"/>
    <w:rsid w:val="00BE4007"/>
    <w:rsid w:val="00BF5CD2"/>
    <w:rsid w:val="00C110F6"/>
    <w:rsid w:val="00C53A3F"/>
    <w:rsid w:val="00C62667"/>
    <w:rsid w:val="00C649A2"/>
    <w:rsid w:val="00C72D88"/>
    <w:rsid w:val="00CB5C73"/>
    <w:rsid w:val="00CF44F2"/>
    <w:rsid w:val="00D53209"/>
    <w:rsid w:val="00D57129"/>
    <w:rsid w:val="00D86871"/>
    <w:rsid w:val="00D902AF"/>
    <w:rsid w:val="00D947C8"/>
    <w:rsid w:val="00DA3691"/>
    <w:rsid w:val="00DC07E6"/>
    <w:rsid w:val="00DC11E3"/>
    <w:rsid w:val="00DD1C15"/>
    <w:rsid w:val="00DE6A36"/>
    <w:rsid w:val="00E02471"/>
    <w:rsid w:val="00E3470D"/>
    <w:rsid w:val="00E4681D"/>
    <w:rsid w:val="00E70F0B"/>
    <w:rsid w:val="00E93899"/>
    <w:rsid w:val="00EA6F5B"/>
    <w:rsid w:val="00F03585"/>
    <w:rsid w:val="00F155C5"/>
    <w:rsid w:val="00F30CF2"/>
    <w:rsid w:val="00F37B40"/>
    <w:rsid w:val="00F51DBC"/>
    <w:rsid w:val="00F66498"/>
    <w:rsid w:val="00FD4087"/>
    <w:rsid w:val="00FD4163"/>
    <w:rsid w:val="00FD4176"/>
    <w:rsid w:val="00FF1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F5B"/>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F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EA6F5B"/>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EA6F5B"/>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A6F5B"/>
    <w:rPr>
      <w:rFonts w:ascii="Times New Roman" w:eastAsia="Times New Roman" w:hAnsi="Times New Roman" w:cs="Times New Roman"/>
      <w:sz w:val="20"/>
      <w:szCs w:val="20"/>
    </w:rPr>
  </w:style>
  <w:style w:type="paragraph" w:customStyle="1" w:styleId="Default">
    <w:name w:val="Default"/>
    <w:rsid w:val="00DC11E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7F1186"/>
    <w:rPr>
      <w:color w:val="0000FF"/>
      <w:u w:val="single"/>
    </w:rPr>
  </w:style>
  <w:style w:type="character" w:customStyle="1" w:styleId="term1">
    <w:name w:val="term1"/>
    <w:basedOn w:val="DefaultParagraphFont"/>
    <w:rsid w:val="007F1186"/>
    <w:rPr>
      <w:b/>
      <w:bCs/>
    </w:rPr>
  </w:style>
  <w:style w:type="character" w:styleId="Emphasis">
    <w:name w:val="Emphasis"/>
    <w:basedOn w:val="DefaultParagraphFont"/>
    <w:qFormat/>
    <w:rsid w:val="007F1186"/>
    <w:rPr>
      <w:i/>
      <w:iCs/>
    </w:rPr>
  </w:style>
  <w:style w:type="paragraph" w:styleId="Header">
    <w:name w:val="header"/>
    <w:basedOn w:val="Normal"/>
    <w:link w:val="HeaderChar"/>
    <w:uiPriority w:val="99"/>
    <w:unhideWhenUsed/>
    <w:rsid w:val="009377AA"/>
    <w:pPr>
      <w:tabs>
        <w:tab w:val="center" w:pos="4680"/>
        <w:tab w:val="right" w:pos="9360"/>
      </w:tabs>
    </w:pPr>
  </w:style>
  <w:style w:type="character" w:customStyle="1" w:styleId="HeaderChar">
    <w:name w:val="Header Char"/>
    <w:basedOn w:val="DefaultParagraphFont"/>
    <w:link w:val="Header"/>
    <w:uiPriority w:val="99"/>
    <w:rsid w:val="009377A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377AA"/>
    <w:pPr>
      <w:tabs>
        <w:tab w:val="center" w:pos="4680"/>
        <w:tab w:val="right" w:pos="9360"/>
      </w:tabs>
    </w:pPr>
  </w:style>
  <w:style w:type="character" w:customStyle="1" w:styleId="FooterChar">
    <w:name w:val="Footer Char"/>
    <w:basedOn w:val="DefaultParagraphFont"/>
    <w:link w:val="Footer"/>
    <w:uiPriority w:val="99"/>
    <w:rsid w:val="009377A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115E6"/>
    <w:rPr>
      <w:sz w:val="16"/>
      <w:szCs w:val="16"/>
    </w:rPr>
  </w:style>
  <w:style w:type="paragraph" w:styleId="CommentText">
    <w:name w:val="annotation text"/>
    <w:basedOn w:val="Normal"/>
    <w:link w:val="CommentTextChar"/>
    <w:uiPriority w:val="99"/>
    <w:semiHidden/>
    <w:unhideWhenUsed/>
    <w:rsid w:val="005115E6"/>
  </w:style>
  <w:style w:type="character" w:customStyle="1" w:styleId="CommentTextChar">
    <w:name w:val="Comment Text Char"/>
    <w:basedOn w:val="DefaultParagraphFont"/>
    <w:link w:val="CommentText"/>
    <w:uiPriority w:val="99"/>
    <w:semiHidden/>
    <w:rsid w:val="005115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15E6"/>
    <w:rPr>
      <w:b/>
      <w:bCs/>
    </w:rPr>
  </w:style>
  <w:style w:type="character" w:customStyle="1" w:styleId="CommentSubjectChar">
    <w:name w:val="Comment Subject Char"/>
    <w:basedOn w:val="CommentTextChar"/>
    <w:link w:val="CommentSubject"/>
    <w:uiPriority w:val="99"/>
    <w:semiHidden/>
    <w:rsid w:val="005115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15E6"/>
    <w:rPr>
      <w:rFonts w:ascii="Tahoma" w:hAnsi="Tahoma" w:cs="Tahoma"/>
      <w:sz w:val="16"/>
      <w:szCs w:val="16"/>
    </w:rPr>
  </w:style>
  <w:style w:type="character" w:customStyle="1" w:styleId="BalloonTextChar">
    <w:name w:val="Balloon Text Char"/>
    <w:basedOn w:val="DefaultParagraphFont"/>
    <w:link w:val="BalloonText"/>
    <w:uiPriority w:val="99"/>
    <w:semiHidden/>
    <w:rsid w:val="005115E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F5B"/>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F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EA6F5B"/>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EA6F5B"/>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A6F5B"/>
    <w:rPr>
      <w:rFonts w:ascii="Times New Roman" w:eastAsia="Times New Roman" w:hAnsi="Times New Roman" w:cs="Times New Roman"/>
      <w:sz w:val="20"/>
      <w:szCs w:val="20"/>
    </w:rPr>
  </w:style>
  <w:style w:type="paragraph" w:customStyle="1" w:styleId="Default">
    <w:name w:val="Default"/>
    <w:rsid w:val="00DC11E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7F1186"/>
    <w:rPr>
      <w:color w:val="0000FF"/>
      <w:u w:val="single"/>
    </w:rPr>
  </w:style>
  <w:style w:type="character" w:customStyle="1" w:styleId="term1">
    <w:name w:val="term1"/>
    <w:basedOn w:val="DefaultParagraphFont"/>
    <w:rsid w:val="007F1186"/>
    <w:rPr>
      <w:b/>
      <w:bCs/>
    </w:rPr>
  </w:style>
  <w:style w:type="character" w:styleId="Emphasis">
    <w:name w:val="Emphasis"/>
    <w:basedOn w:val="DefaultParagraphFont"/>
    <w:qFormat/>
    <w:rsid w:val="007F1186"/>
    <w:rPr>
      <w:i/>
      <w:iCs/>
    </w:rPr>
  </w:style>
  <w:style w:type="paragraph" w:styleId="Header">
    <w:name w:val="header"/>
    <w:basedOn w:val="Normal"/>
    <w:link w:val="HeaderChar"/>
    <w:uiPriority w:val="99"/>
    <w:unhideWhenUsed/>
    <w:rsid w:val="009377AA"/>
    <w:pPr>
      <w:tabs>
        <w:tab w:val="center" w:pos="4680"/>
        <w:tab w:val="right" w:pos="9360"/>
      </w:tabs>
    </w:pPr>
  </w:style>
  <w:style w:type="character" w:customStyle="1" w:styleId="HeaderChar">
    <w:name w:val="Header Char"/>
    <w:basedOn w:val="DefaultParagraphFont"/>
    <w:link w:val="Header"/>
    <w:uiPriority w:val="99"/>
    <w:rsid w:val="009377A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377AA"/>
    <w:pPr>
      <w:tabs>
        <w:tab w:val="center" w:pos="4680"/>
        <w:tab w:val="right" w:pos="9360"/>
      </w:tabs>
    </w:pPr>
  </w:style>
  <w:style w:type="character" w:customStyle="1" w:styleId="FooterChar">
    <w:name w:val="Footer Char"/>
    <w:basedOn w:val="DefaultParagraphFont"/>
    <w:link w:val="Footer"/>
    <w:uiPriority w:val="99"/>
    <w:rsid w:val="009377A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115E6"/>
    <w:rPr>
      <w:sz w:val="16"/>
      <w:szCs w:val="16"/>
    </w:rPr>
  </w:style>
  <w:style w:type="paragraph" w:styleId="CommentText">
    <w:name w:val="annotation text"/>
    <w:basedOn w:val="Normal"/>
    <w:link w:val="CommentTextChar"/>
    <w:uiPriority w:val="99"/>
    <w:semiHidden/>
    <w:unhideWhenUsed/>
    <w:rsid w:val="005115E6"/>
  </w:style>
  <w:style w:type="character" w:customStyle="1" w:styleId="CommentTextChar">
    <w:name w:val="Comment Text Char"/>
    <w:basedOn w:val="DefaultParagraphFont"/>
    <w:link w:val="CommentText"/>
    <w:uiPriority w:val="99"/>
    <w:semiHidden/>
    <w:rsid w:val="005115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15E6"/>
    <w:rPr>
      <w:b/>
      <w:bCs/>
    </w:rPr>
  </w:style>
  <w:style w:type="character" w:customStyle="1" w:styleId="CommentSubjectChar">
    <w:name w:val="Comment Subject Char"/>
    <w:basedOn w:val="CommentTextChar"/>
    <w:link w:val="CommentSubject"/>
    <w:uiPriority w:val="99"/>
    <w:semiHidden/>
    <w:rsid w:val="005115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15E6"/>
    <w:rPr>
      <w:rFonts w:ascii="Tahoma" w:hAnsi="Tahoma" w:cs="Tahoma"/>
      <w:sz w:val="16"/>
      <w:szCs w:val="16"/>
    </w:rPr>
  </w:style>
  <w:style w:type="character" w:customStyle="1" w:styleId="BalloonTextChar">
    <w:name w:val="Balloon Text Char"/>
    <w:basedOn w:val="DefaultParagraphFont"/>
    <w:link w:val="BalloonText"/>
    <w:uiPriority w:val="99"/>
    <w:semiHidden/>
    <w:rsid w:val="005115E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BDAD8-E9B9-43D2-8D95-EE396178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3233</Words>
  <Characters>18430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Wagner, Nathan R</cp:lastModifiedBy>
  <cp:revision>3</cp:revision>
  <cp:lastPrinted>2017-07-11T14:35:00Z</cp:lastPrinted>
  <dcterms:created xsi:type="dcterms:W3CDTF">2017-07-12T14:07:00Z</dcterms:created>
  <dcterms:modified xsi:type="dcterms:W3CDTF">2017-07-13T12:26:00Z</dcterms:modified>
</cp:coreProperties>
</file>