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9F" w:rsidRDefault="001B028B" w:rsidP="001B028B">
      <w:pPr>
        <w:tabs>
          <w:tab w:val="center" w:pos="4680"/>
        </w:tabs>
        <w:suppressAutoHyphens/>
        <w:jc w:val="center"/>
        <w:rPr>
          <w:b/>
        </w:rPr>
      </w:pPr>
      <w:r>
        <w:rPr>
          <w:b/>
        </w:rPr>
        <w:t>P</w:t>
      </w:r>
      <w:r w:rsidRPr="00695752">
        <w:rPr>
          <w:b/>
        </w:rPr>
        <w:t>ENNSYLVANIA</w:t>
      </w:r>
    </w:p>
    <w:p w:rsidR="001B028B" w:rsidRPr="00410A75" w:rsidRDefault="001B028B" w:rsidP="001B028B">
      <w:pPr>
        <w:tabs>
          <w:tab w:val="center" w:pos="4680"/>
        </w:tabs>
        <w:suppressAutoHyphens/>
        <w:jc w:val="center"/>
        <w:rPr>
          <w:b/>
        </w:rPr>
      </w:pPr>
      <w:r w:rsidRPr="00CD53A4">
        <w:rPr>
          <w:b/>
        </w:rPr>
        <w:t>PUBLIC UTILITY COMMISSION</w:t>
      </w:r>
    </w:p>
    <w:p w:rsidR="001B028B" w:rsidRPr="00CD53A4" w:rsidRDefault="001B028B" w:rsidP="001B028B">
      <w:pPr>
        <w:tabs>
          <w:tab w:val="center" w:pos="4680"/>
        </w:tabs>
        <w:suppressAutoHyphens/>
        <w:jc w:val="center"/>
      </w:pPr>
      <w:r w:rsidRPr="00CD53A4">
        <w:rPr>
          <w:b/>
        </w:rPr>
        <w:t>Harrisburg, PA 17105-3265</w:t>
      </w:r>
    </w:p>
    <w:p w:rsidR="001B028B" w:rsidRPr="00CD53A4" w:rsidRDefault="001B028B" w:rsidP="001B02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1B028B" w:rsidRPr="00CD53A4" w:rsidTr="00CA6E16">
        <w:tc>
          <w:tcPr>
            <w:tcW w:w="5058" w:type="dxa"/>
          </w:tcPr>
          <w:p w:rsidR="001B028B" w:rsidRPr="00CD53A4" w:rsidRDefault="001B028B" w:rsidP="00CA6E16">
            <w:pPr>
              <w:ind w:left="-720"/>
            </w:pPr>
          </w:p>
        </w:tc>
        <w:tc>
          <w:tcPr>
            <w:tcW w:w="4428" w:type="dxa"/>
          </w:tcPr>
          <w:p w:rsidR="001B028B" w:rsidRDefault="00410A75" w:rsidP="00410A75">
            <w:pPr>
              <w:ind w:right="-720" w:firstLine="0"/>
            </w:pPr>
            <w:r>
              <w:t xml:space="preserve">        </w:t>
            </w:r>
            <w:r w:rsidR="001B028B" w:rsidRPr="00CD53A4">
              <w:t xml:space="preserve">Public Meeting held  </w:t>
            </w:r>
            <w:r w:rsidR="00182297">
              <w:t>Ju</w:t>
            </w:r>
            <w:r w:rsidR="00256312">
              <w:t>ly</w:t>
            </w:r>
            <w:r w:rsidR="00182297">
              <w:t xml:space="preserve"> 1</w:t>
            </w:r>
            <w:r w:rsidR="00414780">
              <w:t>2</w:t>
            </w:r>
            <w:r w:rsidR="00026F66">
              <w:t>, 2017</w:t>
            </w:r>
          </w:p>
          <w:p w:rsidR="001B028B" w:rsidRPr="00CD53A4" w:rsidRDefault="001B028B" w:rsidP="00CA6E16"/>
        </w:tc>
      </w:tr>
      <w:tr w:rsidR="001B028B" w:rsidRPr="00CD53A4" w:rsidTr="00CA6E16">
        <w:tc>
          <w:tcPr>
            <w:tcW w:w="5058" w:type="dxa"/>
          </w:tcPr>
          <w:p w:rsidR="001B028B" w:rsidRPr="00CD53A4" w:rsidRDefault="001B028B" w:rsidP="00CA6E16">
            <w:pPr>
              <w:ind w:left="-720"/>
            </w:pPr>
          </w:p>
        </w:tc>
        <w:tc>
          <w:tcPr>
            <w:tcW w:w="4428" w:type="dxa"/>
          </w:tcPr>
          <w:p w:rsidR="001B028B" w:rsidRPr="00CD53A4" w:rsidRDefault="001B028B" w:rsidP="00CA6E16">
            <w:pPr>
              <w:ind w:right="-720"/>
              <w:jc w:val="center"/>
            </w:pPr>
          </w:p>
        </w:tc>
      </w:tr>
      <w:tr w:rsidR="001B028B" w:rsidRPr="00CD53A4" w:rsidTr="00CA6E16">
        <w:tc>
          <w:tcPr>
            <w:tcW w:w="5058" w:type="dxa"/>
          </w:tcPr>
          <w:p w:rsidR="001B028B" w:rsidRPr="00CD53A4" w:rsidRDefault="001B028B" w:rsidP="00031CA6">
            <w:pPr>
              <w:ind w:firstLine="0"/>
            </w:pPr>
            <w:r w:rsidRPr="00CD53A4">
              <w:t>Commissioners Present:</w:t>
            </w:r>
          </w:p>
          <w:p w:rsidR="001B028B" w:rsidRPr="00CD53A4" w:rsidRDefault="001B028B" w:rsidP="00CA6E16"/>
          <w:p w:rsidR="001B028B" w:rsidRPr="00CD53A4" w:rsidRDefault="001B028B" w:rsidP="00CA6E16">
            <w:pPr>
              <w:tabs>
                <w:tab w:val="left" w:pos="705"/>
              </w:tabs>
              <w:rPr>
                <w:spacing w:val="-3"/>
              </w:rPr>
            </w:pPr>
            <w:r w:rsidRPr="00CD53A4">
              <w:rPr>
                <w:spacing w:val="-3"/>
              </w:rPr>
              <w:t>Gladys M. Brown, Chairman</w:t>
            </w:r>
          </w:p>
          <w:p w:rsidR="001B028B" w:rsidRPr="00CD53A4" w:rsidRDefault="001B028B" w:rsidP="00CA6E16">
            <w:pPr>
              <w:tabs>
                <w:tab w:val="left" w:pos="705"/>
              </w:tabs>
              <w:rPr>
                <w:spacing w:val="-3"/>
              </w:rPr>
            </w:pPr>
            <w:r w:rsidRPr="00CD53A4">
              <w:rPr>
                <w:spacing w:val="-3"/>
              </w:rPr>
              <w:t>Andrew G. Place, Vice Chairman</w:t>
            </w:r>
          </w:p>
          <w:p w:rsidR="001B028B" w:rsidRPr="00CD53A4" w:rsidRDefault="001B028B" w:rsidP="00CA6E16">
            <w:pPr>
              <w:tabs>
                <w:tab w:val="left" w:pos="705"/>
              </w:tabs>
              <w:rPr>
                <w:spacing w:val="-3"/>
              </w:rPr>
            </w:pPr>
            <w:r w:rsidRPr="00CD53A4">
              <w:rPr>
                <w:spacing w:val="-3"/>
              </w:rPr>
              <w:t>John F. Coleman, Jr.</w:t>
            </w:r>
          </w:p>
          <w:p w:rsidR="001B028B" w:rsidRPr="00CD53A4" w:rsidRDefault="001B028B" w:rsidP="00CA6E16">
            <w:pPr>
              <w:tabs>
                <w:tab w:val="left" w:pos="705"/>
              </w:tabs>
              <w:rPr>
                <w:spacing w:val="-3"/>
              </w:rPr>
            </w:pPr>
            <w:r w:rsidRPr="00CD53A4">
              <w:rPr>
                <w:spacing w:val="-3"/>
              </w:rPr>
              <w:t>Robert F. Powelson</w:t>
            </w:r>
          </w:p>
          <w:p w:rsidR="001B028B" w:rsidRPr="00BF4F78" w:rsidRDefault="001B028B" w:rsidP="00CA6E16">
            <w:pPr>
              <w:tabs>
                <w:tab w:val="left" w:pos="705"/>
              </w:tabs>
              <w:rPr>
                <w:i/>
                <w:spacing w:val="-3"/>
              </w:rPr>
            </w:pPr>
            <w:r w:rsidRPr="00CD53A4">
              <w:rPr>
                <w:spacing w:val="-3"/>
              </w:rPr>
              <w:t>David W. Sweet</w:t>
            </w:r>
          </w:p>
          <w:p w:rsidR="001B028B" w:rsidRPr="00CD53A4" w:rsidRDefault="001B028B" w:rsidP="00CA6E16"/>
        </w:tc>
        <w:tc>
          <w:tcPr>
            <w:tcW w:w="4428" w:type="dxa"/>
          </w:tcPr>
          <w:p w:rsidR="001B028B" w:rsidRPr="00CD53A4" w:rsidRDefault="001B028B" w:rsidP="00CA6E16"/>
          <w:p w:rsidR="001B028B" w:rsidRPr="00CD53A4" w:rsidRDefault="001B028B" w:rsidP="00CA6E16"/>
        </w:tc>
      </w:tr>
    </w:tbl>
    <w:p w:rsidR="00160C0B" w:rsidRDefault="00160C0B" w:rsidP="001B028B"/>
    <w:p w:rsidR="001B028B" w:rsidRPr="00F138CB" w:rsidRDefault="001B028B" w:rsidP="00F138CB">
      <w:pPr>
        <w:tabs>
          <w:tab w:val="left" w:pos="-720"/>
        </w:tabs>
        <w:suppressAutoHyphens/>
        <w:rPr>
          <w:spacing w:val="-3"/>
        </w:rPr>
      </w:pPr>
    </w:p>
    <w:p w:rsidR="001B028B" w:rsidRPr="00F138CB" w:rsidRDefault="001B028B" w:rsidP="00F138CB">
      <w:pPr>
        <w:tabs>
          <w:tab w:val="left" w:pos="-720"/>
        </w:tabs>
        <w:suppressAutoHyphens/>
        <w:rPr>
          <w:spacing w:val="-3"/>
        </w:rPr>
      </w:pPr>
      <w:r w:rsidRPr="00F138CB">
        <w:rPr>
          <w:spacing w:val="-3"/>
        </w:rPr>
        <w:t>Vernon Robinson, CB-3895</w:t>
      </w:r>
      <w:r w:rsidRPr="00F138CB">
        <w:rPr>
          <w:spacing w:val="-3"/>
        </w:rPr>
        <w:tab/>
      </w:r>
      <w:r w:rsidR="0088038C">
        <w:rPr>
          <w:spacing w:val="-3"/>
        </w:rPr>
        <w:tab/>
      </w:r>
      <w:r w:rsidR="0088038C">
        <w:rPr>
          <w:spacing w:val="-3"/>
        </w:rPr>
        <w:tab/>
      </w:r>
      <w:r w:rsidR="0088038C">
        <w:rPr>
          <w:spacing w:val="-3"/>
        </w:rPr>
        <w:tab/>
      </w:r>
      <w:r w:rsidR="0088038C">
        <w:rPr>
          <w:spacing w:val="-3"/>
        </w:rPr>
        <w:tab/>
      </w:r>
      <w:r w:rsidR="0088038C">
        <w:rPr>
          <w:spacing w:val="-3"/>
        </w:rPr>
        <w:tab/>
      </w:r>
      <w:r w:rsidR="0088038C">
        <w:rPr>
          <w:spacing w:val="-3"/>
        </w:rPr>
        <w:tab/>
        <w:t xml:space="preserve">      </w:t>
      </w:r>
      <w:r w:rsidR="0088038C" w:rsidRPr="00F138CB">
        <w:rPr>
          <w:spacing w:val="-3"/>
        </w:rPr>
        <w:t>C-2013-2343289</w:t>
      </w:r>
      <w:r w:rsidR="00FE2DF4" w:rsidRPr="00F138CB">
        <w:rPr>
          <w:spacing w:val="-3"/>
        </w:rPr>
        <w:fldChar w:fldCharType="begin"/>
      </w:r>
      <w:r w:rsidRPr="00F138CB">
        <w:rPr>
          <w:spacing w:val="-3"/>
        </w:rPr>
        <w:instrText>fillin "Complainant's name" \d ""</w:instrText>
      </w:r>
      <w:r w:rsidR="00FE2DF4" w:rsidRPr="00F138CB">
        <w:rPr>
          <w:spacing w:val="-3"/>
        </w:rPr>
        <w:fldChar w:fldCharType="end"/>
      </w:r>
    </w:p>
    <w:p w:rsidR="001B028B" w:rsidRPr="00F138CB" w:rsidRDefault="001B028B" w:rsidP="00F138CB">
      <w:pPr>
        <w:tabs>
          <w:tab w:val="left" w:pos="-720"/>
        </w:tabs>
        <w:suppressAutoHyphens/>
        <w:rPr>
          <w:spacing w:val="-3"/>
        </w:rPr>
      </w:pPr>
    </w:p>
    <w:p w:rsidR="001B028B" w:rsidRPr="00F138CB" w:rsidRDefault="001B028B" w:rsidP="00F138CB">
      <w:pPr>
        <w:tabs>
          <w:tab w:val="left" w:pos="-720"/>
        </w:tabs>
        <w:suppressAutoHyphens/>
        <w:rPr>
          <w:spacing w:val="-3"/>
        </w:rPr>
      </w:pPr>
      <w:r w:rsidRPr="00F138CB">
        <w:rPr>
          <w:spacing w:val="-3"/>
        </w:rPr>
        <w:tab/>
      </w:r>
      <w:r w:rsidR="0088038C">
        <w:rPr>
          <w:spacing w:val="-3"/>
        </w:rPr>
        <w:tab/>
        <w:t>v.</w:t>
      </w:r>
    </w:p>
    <w:p w:rsidR="001B028B" w:rsidRPr="00F138CB" w:rsidRDefault="001B028B" w:rsidP="00F138CB">
      <w:pPr>
        <w:tabs>
          <w:tab w:val="left" w:pos="-720"/>
        </w:tabs>
        <w:suppressAutoHyphens/>
        <w:rPr>
          <w:spacing w:val="-3"/>
        </w:rPr>
      </w:pPr>
    </w:p>
    <w:p w:rsidR="001B028B" w:rsidRPr="00F138CB" w:rsidRDefault="001B028B" w:rsidP="00F138CB">
      <w:pPr>
        <w:tabs>
          <w:tab w:val="left" w:pos="-720"/>
          <w:tab w:val="left" w:pos="-90"/>
        </w:tabs>
        <w:suppressAutoHyphens/>
        <w:rPr>
          <w:spacing w:val="-3"/>
        </w:rPr>
      </w:pPr>
      <w:r w:rsidRPr="00F138CB">
        <w:rPr>
          <w:spacing w:val="-3"/>
        </w:rPr>
        <w:t>Global Tel</w:t>
      </w:r>
      <w:r w:rsidR="008F5F09">
        <w:rPr>
          <w:spacing w:val="-3"/>
        </w:rPr>
        <w:t>*</w:t>
      </w:r>
      <w:r w:rsidR="00256312">
        <w:rPr>
          <w:spacing w:val="-3"/>
        </w:rPr>
        <w:t xml:space="preserve"> Link Corporation</w:t>
      </w:r>
    </w:p>
    <w:p w:rsidR="00F138CB" w:rsidRDefault="00F138CB" w:rsidP="001B028B">
      <w:pPr>
        <w:rPr>
          <w:spacing w:val="-3"/>
        </w:rPr>
      </w:pPr>
    </w:p>
    <w:p w:rsidR="001D5173" w:rsidRDefault="001D5173" w:rsidP="001B028B"/>
    <w:p w:rsidR="00F138CB" w:rsidRPr="00F138CB" w:rsidRDefault="00F138CB" w:rsidP="00B029C0">
      <w:pPr>
        <w:spacing w:line="360" w:lineRule="auto"/>
        <w:jc w:val="center"/>
        <w:rPr>
          <w:b/>
        </w:rPr>
      </w:pPr>
      <w:r w:rsidRPr="00F138CB">
        <w:rPr>
          <w:b/>
        </w:rPr>
        <w:t>OPINION AND ORDER</w:t>
      </w:r>
    </w:p>
    <w:p w:rsidR="00F138CB" w:rsidRDefault="00F138CB" w:rsidP="00B029C0">
      <w:pPr>
        <w:spacing w:line="360" w:lineRule="auto"/>
      </w:pPr>
    </w:p>
    <w:p w:rsidR="00F138CB" w:rsidRPr="00026F66" w:rsidRDefault="00026F66" w:rsidP="00B029C0">
      <w:pPr>
        <w:spacing w:line="360" w:lineRule="auto"/>
        <w:rPr>
          <w:b/>
        </w:rPr>
      </w:pPr>
      <w:r>
        <w:rPr>
          <w:b/>
        </w:rPr>
        <w:t>BY THE COMMISSION:</w:t>
      </w:r>
    </w:p>
    <w:p w:rsidR="00026F66" w:rsidRDefault="00026F66" w:rsidP="00B029C0">
      <w:pPr>
        <w:spacing w:line="360" w:lineRule="auto"/>
      </w:pPr>
    </w:p>
    <w:p w:rsidR="00F138CB" w:rsidRPr="00DC47FA" w:rsidRDefault="00F138CB" w:rsidP="00F138CB">
      <w:pPr>
        <w:spacing w:line="360" w:lineRule="auto"/>
        <w:ind w:firstLine="1440"/>
        <w:rPr>
          <w:i/>
        </w:rPr>
      </w:pPr>
      <w:r>
        <w:t xml:space="preserve">Before the </w:t>
      </w:r>
      <w:r w:rsidR="0040550D">
        <w:t>Pennsylvania Public Utility Commission (</w:t>
      </w:r>
      <w:r>
        <w:t>Commission</w:t>
      </w:r>
      <w:r w:rsidR="0040550D">
        <w:t>)</w:t>
      </w:r>
      <w:r>
        <w:t xml:space="preserve"> for consideration and disposition are the Exceptions filed </w:t>
      </w:r>
      <w:r w:rsidR="001B2488">
        <w:t>by</w:t>
      </w:r>
      <w:r w:rsidR="0040550D">
        <w:t xml:space="preserve"> </w:t>
      </w:r>
      <w:r w:rsidR="001B2488">
        <w:t>Vernon Robinson (Mr. Robinson or Complainant)</w:t>
      </w:r>
      <w:r>
        <w:t xml:space="preserve"> </w:t>
      </w:r>
      <w:r w:rsidR="0040550D">
        <w:t xml:space="preserve">on </w:t>
      </w:r>
      <w:r>
        <w:t xml:space="preserve">October 19, 2015, to the Initial Decision (I.D.) of Administrative Law Judge (ALJ) </w:t>
      </w:r>
      <w:r w:rsidR="001B2488">
        <w:t>Mark A. Hoyer</w:t>
      </w:r>
      <w:r w:rsidR="00026F66">
        <w:t>,</w:t>
      </w:r>
      <w:r w:rsidR="001B2488">
        <w:t xml:space="preserve"> </w:t>
      </w:r>
      <w:r>
        <w:t>issued September 1, 2015.</w:t>
      </w:r>
      <w:r>
        <w:rPr>
          <w:rStyle w:val="FootnoteReference"/>
        </w:rPr>
        <w:footnoteReference w:id="1"/>
      </w:r>
      <w:r w:rsidR="001B2488">
        <w:t xml:space="preserve">  Replies to the Exceptions were filed by </w:t>
      </w:r>
      <w:r w:rsidR="001B2488" w:rsidRPr="00F138CB">
        <w:rPr>
          <w:spacing w:val="-3"/>
        </w:rPr>
        <w:t>Global Tel</w:t>
      </w:r>
      <w:r w:rsidR="008F5F09">
        <w:rPr>
          <w:spacing w:val="-3"/>
        </w:rPr>
        <w:t>*</w:t>
      </w:r>
      <w:r w:rsidR="001B2488" w:rsidRPr="00F138CB">
        <w:rPr>
          <w:spacing w:val="-3"/>
        </w:rPr>
        <w:t xml:space="preserve"> Link Corporation</w:t>
      </w:r>
      <w:r w:rsidR="001B2488">
        <w:rPr>
          <w:spacing w:val="-3"/>
        </w:rPr>
        <w:t xml:space="preserve"> (GTL or Respondent) on </w:t>
      </w:r>
      <w:r w:rsidR="001B2488">
        <w:rPr>
          <w:spacing w:val="-3"/>
        </w:rPr>
        <w:lastRenderedPageBreak/>
        <w:t>November</w:t>
      </w:r>
      <w:r w:rsidR="00CB271D">
        <w:rPr>
          <w:spacing w:val="-3"/>
        </w:rPr>
        <w:t> </w:t>
      </w:r>
      <w:r w:rsidR="001B2488">
        <w:rPr>
          <w:spacing w:val="-3"/>
        </w:rPr>
        <w:t>2, 2015.</w:t>
      </w:r>
      <w:r w:rsidR="0040550D">
        <w:rPr>
          <w:spacing w:val="-3"/>
        </w:rPr>
        <w:t xml:space="preserve">  On consideration of the </w:t>
      </w:r>
      <w:r w:rsidR="008F5F09">
        <w:rPr>
          <w:spacing w:val="-3"/>
        </w:rPr>
        <w:t xml:space="preserve">record, </w:t>
      </w:r>
      <w:r w:rsidR="00400293">
        <w:rPr>
          <w:spacing w:val="-3"/>
        </w:rPr>
        <w:t xml:space="preserve">the </w:t>
      </w:r>
      <w:r w:rsidR="0040550D">
        <w:rPr>
          <w:spacing w:val="-3"/>
        </w:rPr>
        <w:t xml:space="preserve">Exceptions, Replies to Exceptions, and the Initial Decision, </w:t>
      </w:r>
      <w:r w:rsidR="00500B1D">
        <w:rPr>
          <w:spacing w:val="-3"/>
        </w:rPr>
        <w:t xml:space="preserve">we shall </w:t>
      </w:r>
      <w:r w:rsidR="0069238B">
        <w:rPr>
          <w:spacing w:val="-3"/>
        </w:rPr>
        <w:t xml:space="preserve">deny </w:t>
      </w:r>
      <w:r w:rsidR="00500B1D">
        <w:rPr>
          <w:spacing w:val="-3"/>
        </w:rPr>
        <w:t xml:space="preserve">the Exceptions, consistent with the discussion in </w:t>
      </w:r>
      <w:r w:rsidR="00F0135D">
        <w:rPr>
          <w:spacing w:val="-3"/>
        </w:rPr>
        <w:t>this Opinion and Order.</w:t>
      </w:r>
    </w:p>
    <w:p w:rsidR="00F138CB" w:rsidRPr="00B11126" w:rsidRDefault="00F138CB" w:rsidP="00F138CB">
      <w:pPr>
        <w:spacing w:line="360" w:lineRule="auto"/>
        <w:ind w:firstLine="1440"/>
      </w:pPr>
    </w:p>
    <w:p w:rsidR="001B028B" w:rsidRPr="0040550D" w:rsidRDefault="001B2488" w:rsidP="00B029C0">
      <w:pPr>
        <w:keepNext/>
        <w:keepLines/>
        <w:jc w:val="center"/>
        <w:rPr>
          <w:b/>
        </w:rPr>
      </w:pPr>
      <w:r w:rsidRPr="0040550D">
        <w:rPr>
          <w:b/>
        </w:rPr>
        <w:t>Background</w:t>
      </w:r>
    </w:p>
    <w:p w:rsidR="001B028B" w:rsidRPr="0040550D" w:rsidRDefault="001B028B" w:rsidP="00B029C0">
      <w:pPr>
        <w:keepNext/>
        <w:keepLines/>
        <w:jc w:val="both"/>
      </w:pPr>
    </w:p>
    <w:p w:rsidR="001B028B" w:rsidRPr="00182297" w:rsidRDefault="001B028B" w:rsidP="00B029C0">
      <w:pPr>
        <w:keepNext/>
        <w:keepLines/>
        <w:spacing w:line="360" w:lineRule="auto"/>
        <w:ind w:firstLine="1440"/>
        <w:jc w:val="both"/>
      </w:pPr>
    </w:p>
    <w:p w:rsidR="004C56C6" w:rsidRPr="00182297" w:rsidRDefault="001B028B" w:rsidP="00182297">
      <w:pPr>
        <w:pStyle w:val="FootnoteText"/>
        <w:spacing w:line="360" w:lineRule="auto"/>
        <w:ind w:firstLine="1440"/>
        <w:rPr>
          <w:rFonts w:ascii="Times New Roman" w:hAnsi="Times New Roman" w:cs="Times New Roman"/>
          <w:sz w:val="26"/>
          <w:szCs w:val="26"/>
        </w:rPr>
      </w:pPr>
      <w:r w:rsidRPr="00182297">
        <w:rPr>
          <w:rFonts w:ascii="Times New Roman" w:hAnsi="Times New Roman" w:cs="Times New Roman"/>
          <w:sz w:val="26"/>
          <w:szCs w:val="26"/>
        </w:rPr>
        <w:t xml:space="preserve">This </w:t>
      </w:r>
      <w:r w:rsidR="00031CA6" w:rsidRPr="00182297">
        <w:rPr>
          <w:rFonts w:ascii="Times New Roman" w:hAnsi="Times New Roman" w:cs="Times New Roman"/>
          <w:sz w:val="26"/>
          <w:szCs w:val="26"/>
        </w:rPr>
        <w:t xml:space="preserve">matter </w:t>
      </w:r>
      <w:r w:rsidR="00C87073">
        <w:rPr>
          <w:rFonts w:ascii="Times New Roman" w:hAnsi="Times New Roman" w:cs="Times New Roman"/>
          <w:sz w:val="26"/>
          <w:szCs w:val="26"/>
        </w:rPr>
        <w:t>is a F</w:t>
      </w:r>
      <w:r w:rsidR="00500B1D" w:rsidRPr="00182297">
        <w:rPr>
          <w:rFonts w:ascii="Times New Roman" w:hAnsi="Times New Roman" w:cs="Times New Roman"/>
          <w:sz w:val="26"/>
          <w:szCs w:val="26"/>
        </w:rPr>
        <w:t xml:space="preserve">ormal </w:t>
      </w:r>
      <w:r w:rsidR="00C87073">
        <w:rPr>
          <w:rFonts w:ascii="Times New Roman" w:hAnsi="Times New Roman" w:cs="Times New Roman"/>
          <w:sz w:val="26"/>
          <w:szCs w:val="26"/>
        </w:rPr>
        <w:t>C</w:t>
      </w:r>
      <w:r w:rsidR="00500B1D" w:rsidRPr="00182297">
        <w:rPr>
          <w:rFonts w:ascii="Times New Roman" w:hAnsi="Times New Roman" w:cs="Times New Roman"/>
          <w:sz w:val="26"/>
          <w:szCs w:val="26"/>
        </w:rPr>
        <w:t xml:space="preserve">omplaint filed by Mr. Robinson, </w:t>
      </w:r>
      <w:r w:rsidR="00031CA6" w:rsidRPr="00182297">
        <w:rPr>
          <w:rFonts w:ascii="Times New Roman" w:hAnsi="Times New Roman" w:cs="Times New Roman"/>
          <w:sz w:val="26"/>
          <w:szCs w:val="26"/>
        </w:rPr>
        <w:t xml:space="preserve">on January 7, 2013, against GTL concerning the rates and service provided.  </w:t>
      </w:r>
      <w:r w:rsidR="00CA6E16" w:rsidRPr="00182297">
        <w:rPr>
          <w:rFonts w:ascii="Times New Roman" w:hAnsi="Times New Roman" w:cs="Times New Roman"/>
          <w:sz w:val="26"/>
          <w:szCs w:val="26"/>
        </w:rPr>
        <w:t>G</w:t>
      </w:r>
      <w:r w:rsidR="00214150" w:rsidRPr="00182297">
        <w:rPr>
          <w:rFonts w:ascii="Times New Roman" w:hAnsi="Times New Roman" w:cs="Times New Roman"/>
          <w:sz w:val="26"/>
          <w:szCs w:val="26"/>
        </w:rPr>
        <w:t xml:space="preserve">TL is a Commission-licensed </w:t>
      </w:r>
      <w:r w:rsidR="00BB3991">
        <w:rPr>
          <w:rFonts w:ascii="Times New Roman" w:hAnsi="Times New Roman" w:cs="Times New Roman"/>
          <w:sz w:val="26"/>
          <w:szCs w:val="26"/>
        </w:rPr>
        <w:t xml:space="preserve">telecommunications </w:t>
      </w:r>
      <w:r w:rsidR="00214150" w:rsidRPr="00182297">
        <w:rPr>
          <w:rFonts w:ascii="Times New Roman" w:hAnsi="Times New Roman" w:cs="Times New Roman"/>
          <w:sz w:val="26"/>
          <w:szCs w:val="26"/>
        </w:rPr>
        <w:t>interexchange carrier</w:t>
      </w:r>
      <w:r w:rsidR="00DF2ECF" w:rsidRPr="00182297">
        <w:rPr>
          <w:rFonts w:ascii="Times New Roman" w:hAnsi="Times New Roman" w:cs="Times New Roman"/>
          <w:sz w:val="26"/>
          <w:szCs w:val="26"/>
        </w:rPr>
        <w:t>.  D</w:t>
      </w:r>
      <w:r w:rsidR="00214150" w:rsidRPr="00182297">
        <w:rPr>
          <w:rFonts w:ascii="Times New Roman" w:hAnsi="Times New Roman" w:cs="Times New Roman"/>
          <w:sz w:val="26"/>
          <w:szCs w:val="26"/>
        </w:rPr>
        <w:t xml:space="preserve">uring all times material to this Complaint, </w:t>
      </w:r>
      <w:r w:rsidR="00DF2ECF" w:rsidRPr="00182297">
        <w:rPr>
          <w:rFonts w:ascii="Times New Roman" w:hAnsi="Times New Roman" w:cs="Times New Roman"/>
          <w:sz w:val="26"/>
          <w:szCs w:val="26"/>
        </w:rPr>
        <w:t xml:space="preserve">GTL </w:t>
      </w:r>
      <w:r w:rsidR="00214150" w:rsidRPr="00182297">
        <w:rPr>
          <w:rFonts w:ascii="Times New Roman" w:hAnsi="Times New Roman" w:cs="Times New Roman"/>
          <w:sz w:val="26"/>
          <w:szCs w:val="26"/>
        </w:rPr>
        <w:t xml:space="preserve">provided telephone service to </w:t>
      </w:r>
      <w:r w:rsidR="00CA6E16" w:rsidRPr="00182297">
        <w:rPr>
          <w:rFonts w:ascii="Times New Roman" w:hAnsi="Times New Roman" w:cs="Times New Roman"/>
          <w:sz w:val="26"/>
          <w:szCs w:val="26"/>
        </w:rPr>
        <w:t>Graterford State Correctional Institution (SCI Graterford)</w:t>
      </w:r>
      <w:r w:rsidR="00214150" w:rsidRPr="00182297">
        <w:rPr>
          <w:rFonts w:ascii="Times New Roman" w:hAnsi="Times New Roman" w:cs="Times New Roman"/>
          <w:sz w:val="26"/>
          <w:szCs w:val="26"/>
        </w:rPr>
        <w:t xml:space="preserve"> pursuant to a competitively-bid</w:t>
      </w:r>
      <w:r w:rsidR="009B1C72" w:rsidRPr="00182297">
        <w:rPr>
          <w:rFonts w:ascii="Times New Roman" w:hAnsi="Times New Roman" w:cs="Times New Roman"/>
          <w:sz w:val="26"/>
          <w:szCs w:val="26"/>
        </w:rPr>
        <w:t xml:space="preserve">, </w:t>
      </w:r>
      <w:r w:rsidR="0096253A" w:rsidRPr="00182297">
        <w:rPr>
          <w:rFonts w:ascii="Times New Roman" w:hAnsi="Times New Roman" w:cs="Times New Roman"/>
          <w:sz w:val="26"/>
          <w:szCs w:val="26"/>
        </w:rPr>
        <w:t>exclusive</w:t>
      </w:r>
      <w:r w:rsidR="00214150" w:rsidRPr="00182297">
        <w:rPr>
          <w:rFonts w:ascii="Times New Roman" w:hAnsi="Times New Roman" w:cs="Times New Roman"/>
          <w:sz w:val="26"/>
          <w:szCs w:val="26"/>
        </w:rPr>
        <w:t xml:space="preserve"> contract with the Commonwealth of Pennsylvania Department of Corrections (DOC).  </w:t>
      </w:r>
      <w:r w:rsidR="00214150" w:rsidRPr="00182297">
        <w:rPr>
          <w:rFonts w:ascii="Times New Roman" w:hAnsi="Times New Roman" w:cs="Times New Roman"/>
          <w:i/>
          <w:sz w:val="26"/>
          <w:szCs w:val="26"/>
        </w:rPr>
        <w:t xml:space="preserve">See </w:t>
      </w:r>
      <w:r w:rsidR="00214150" w:rsidRPr="00182297">
        <w:rPr>
          <w:rFonts w:ascii="Times New Roman" w:hAnsi="Times New Roman" w:cs="Times New Roman"/>
          <w:sz w:val="26"/>
          <w:szCs w:val="26"/>
        </w:rPr>
        <w:t xml:space="preserve">I.D. </w:t>
      </w:r>
      <w:r w:rsidR="00DF2ECF" w:rsidRPr="00182297">
        <w:rPr>
          <w:rFonts w:ascii="Times New Roman" w:hAnsi="Times New Roman" w:cs="Times New Roman"/>
          <w:sz w:val="26"/>
          <w:szCs w:val="26"/>
        </w:rPr>
        <w:t>Finding of Fact (</w:t>
      </w:r>
      <w:r w:rsidR="00214150" w:rsidRPr="00182297">
        <w:rPr>
          <w:rFonts w:ascii="Times New Roman" w:hAnsi="Times New Roman" w:cs="Times New Roman"/>
          <w:sz w:val="26"/>
          <w:szCs w:val="26"/>
        </w:rPr>
        <w:t>FOF</w:t>
      </w:r>
      <w:r w:rsidR="00DF2ECF" w:rsidRPr="00182297">
        <w:rPr>
          <w:rFonts w:ascii="Times New Roman" w:hAnsi="Times New Roman" w:cs="Times New Roman"/>
          <w:sz w:val="26"/>
          <w:szCs w:val="26"/>
        </w:rPr>
        <w:t>)</w:t>
      </w:r>
      <w:r w:rsidR="004C56C6" w:rsidRPr="00182297">
        <w:rPr>
          <w:rFonts w:ascii="Times New Roman" w:hAnsi="Times New Roman" w:cs="Times New Roman"/>
          <w:sz w:val="26"/>
          <w:szCs w:val="26"/>
        </w:rPr>
        <w:t>,</w:t>
      </w:r>
      <w:r w:rsidR="00DF2ECF" w:rsidRPr="00182297">
        <w:rPr>
          <w:rFonts w:ascii="Times New Roman" w:hAnsi="Times New Roman" w:cs="Times New Roman"/>
          <w:sz w:val="26"/>
          <w:szCs w:val="26"/>
        </w:rPr>
        <w:t xml:space="preserve"> FOF</w:t>
      </w:r>
      <w:r w:rsidR="00214150" w:rsidRPr="00182297">
        <w:rPr>
          <w:rFonts w:ascii="Times New Roman" w:hAnsi="Times New Roman" w:cs="Times New Roman"/>
          <w:sz w:val="26"/>
          <w:szCs w:val="26"/>
        </w:rPr>
        <w:t xml:space="preserve"> </w:t>
      </w:r>
      <w:r w:rsidR="00C646C4">
        <w:rPr>
          <w:rFonts w:ascii="Times New Roman" w:hAnsi="Times New Roman" w:cs="Times New Roman"/>
          <w:sz w:val="26"/>
          <w:szCs w:val="26"/>
        </w:rPr>
        <w:t xml:space="preserve">No. </w:t>
      </w:r>
      <w:r w:rsidR="00214150" w:rsidRPr="00182297">
        <w:rPr>
          <w:rFonts w:ascii="Times New Roman" w:hAnsi="Times New Roman" w:cs="Times New Roman"/>
          <w:sz w:val="26"/>
          <w:szCs w:val="26"/>
        </w:rPr>
        <w:t xml:space="preserve">2; </w:t>
      </w:r>
      <w:r w:rsidR="00DF2ECF" w:rsidRPr="00182297">
        <w:rPr>
          <w:rFonts w:ascii="Times New Roman" w:hAnsi="Times New Roman" w:cs="Times New Roman"/>
          <w:sz w:val="26"/>
          <w:szCs w:val="26"/>
        </w:rPr>
        <w:t xml:space="preserve">3; </w:t>
      </w:r>
      <w:r w:rsidR="00A844A9" w:rsidRPr="00182297">
        <w:rPr>
          <w:rFonts w:ascii="Times New Roman" w:hAnsi="Times New Roman" w:cs="Times New Roman"/>
          <w:sz w:val="26"/>
          <w:szCs w:val="26"/>
        </w:rPr>
        <w:t xml:space="preserve">42; </w:t>
      </w:r>
      <w:r w:rsidR="004D2044">
        <w:rPr>
          <w:rFonts w:ascii="Times New Roman" w:hAnsi="Times New Roman" w:cs="Times New Roman"/>
          <w:i/>
          <w:sz w:val="26"/>
          <w:szCs w:val="26"/>
        </w:rPr>
        <w:t xml:space="preserve">also </w:t>
      </w:r>
      <w:r w:rsidR="004D2044">
        <w:rPr>
          <w:rFonts w:ascii="Times New Roman" w:hAnsi="Times New Roman" w:cs="Times New Roman"/>
          <w:sz w:val="26"/>
          <w:szCs w:val="26"/>
        </w:rPr>
        <w:t xml:space="preserve">I.D., </w:t>
      </w:r>
      <w:r w:rsidR="00DF2ECF" w:rsidRPr="00182297">
        <w:rPr>
          <w:rFonts w:ascii="Times New Roman" w:hAnsi="Times New Roman" w:cs="Times New Roman"/>
          <w:sz w:val="26"/>
          <w:szCs w:val="26"/>
        </w:rPr>
        <w:t>n</w:t>
      </w:r>
      <w:r w:rsidR="00182297" w:rsidRPr="00182297">
        <w:rPr>
          <w:rFonts w:ascii="Times New Roman" w:hAnsi="Times New Roman" w:cs="Times New Roman"/>
          <w:sz w:val="26"/>
          <w:szCs w:val="26"/>
        </w:rPr>
        <w:t xml:space="preserve">. </w:t>
      </w:r>
      <w:r w:rsidR="00DF2ECF" w:rsidRPr="00182297">
        <w:rPr>
          <w:rFonts w:ascii="Times New Roman" w:hAnsi="Times New Roman" w:cs="Times New Roman"/>
          <w:sz w:val="26"/>
          <w:szCs w:val="26"/>
        </w:rPr>
        <w:t>2</w:t>
      </w:r>
      <w:r w:rsidR="00214150" w:rsidRPr="00182297">
        <w:rPr>
          <w:rFonts w:ascii="Times New Roman" w:hAnsi="Times New Roman" w:cs="Times New Roman"/>
          <w:sz w:val="26"/>
          <w:szCs w:val="26"/>
        </w:rPr>
        <w:t>.</w:t>
      </w:r>
      <w:r w:rsidR="00CA6E16" w:rsidRPr="00182297">
        <w:rPr>
          <w:rFonts w:ascii="Times New Roman" w:hAnsi="Times New Roman" w:cs="Times New Roman"/>
          <w:sz w:val="26"/>
          <w:szCs w:val="26"/>
        </w:rPr>
        <w:t xml:space="preserve">  </w:t>
      </w:r>
      <w:r w:rsidR="00182297" w:rsidRPr="00182297">
        <w:rPr>
          <w:rFonts w:ascii="Times New Roman" w:hAnsi="Times New Roman" w:cs="Times New Roman"/>
          <w:sz w:val="26"/>
          <w:szCs w:val="26"/>
        </w:rPr>
        <w:t xml:space="preserve">GTL is no longer the contractual service provider of inmate telephone services to Pennsylvania State Correctional Institutions.  FOF </w:t>
      </w:r>
      <w:r w:rsidR="00C646C4">
        <w:rPr>
          <w:rFonts w:ascii="Times New Roman" w:hAnsi="Times New Roman" w:cs="Times New Roman"/>
          <w:sz w:val="26"/>
          <w:szCs w:val="26"/>
        </w:rPr>
        <w:t xml:space="preserve">No. </w:t>
      </w:r>
      <w:r w:rsidR="00182297" w:rsidRPr="00182297">
        <w:rPr>
          <w:rFonts w:ascii="Times New Roman" w:hAnsi="Times New Roman" w:cs="Times New Roman"/>
          <w:sz w:val="26"/>
          <w:szCs w:val="26"/>
        </w:rPr>
        <w:t>3.</w:t>
      </w:r>
    </w:p>
    <w:p w:rsidR="004C56C6" w:rsidRDefault="004C56C6" w:rsidP="00CA6E16">
      <w:pPr>
        <w:spacing w:line="360" w:lineRule="auto"/>
        <w:ind w:firstLine="1440"/>
      </w:pPr>
    </w:p>
    <w:p w:rsidR="008F5F09" w:rsidRPr="002978D2" w:rsidRDefault="00CA6E16" w:rsidP="00E4001F">
      <w:pPr>
        <w:spacing w:line="360" w:lineRule="auto"/>
        <w:ind w:firstLine="1440"/>
      </w:pPr>
      <w:r w:rsidRPr="00CA6E16">
        <w:t>Mr. Robinson is incarcerated at</w:t>
      </w:r>
      <w:r>
        <w:t xml:space="preserve"> SCI </w:t>
      </w:r>
      <w:r w:rsidRPr="00CA6E16">
        <w:t xml:space="preserve">Graterford.  I.D. FOF </w:t>
      </w:r>
      <w:r w:rsidR="00D03766">
        <w:t xml:space="preserve">No. </w:t>
      </w:r>
      <w:r w:rsidRPr="00CA6E16">
        <w:t xml:space="preserve">1.  </w:t>
      </w:r>
      <w:r w:rsidR="008F5F09" w:rsidRPr="002978D2">
        <w:t xml:space="preserve">Because of incarceration, Mr. </w:t>
      </w:r>
      <w:r w:rsidR="008F5F09">
        <w:t xml:space="preserve">Robinson </w:t>
      </w:r>
      <w:r w:rsidR="008F5F09" w:rsidRPr="002978D2">
        <w:t>is subject to DOC regulations and internal prison operation policies relative to access to telephone utility services</w:t>
      </w:r>
      <w:r w:rsidR="008F5F09">
        <w:t xml:space="preserve"> and does not have the ability to choose a service provider.</w:t>
      </w:r>
      <w:r w:rsidR="00DC47FA">
        <w:t xml:space="preserve">  </w:t>
      </w:r>
      <w:r w:rsidR="00DC47FA">
        <w:rPr>
          <w:i/>
        </w:rPr>
        <w:t>See</w:t>
      </w:r>
      <w:r w:rsidR="00DC47FA">
        <w:t xml:space="preserve"> </w:t>
      </w:r>
      <w:r w:rsidR="008F5F09">
        <w:t xml:space="preserve"> </w:t>
      </w:r>
      <w:r w:rsidR="008F5F09" w:rsidRPr="002978D2">
        <w:rPr>
          <w:i/>
        </w:rPr>
        <w:t>Bowers v. T-Netix, et al</w:t>
      </w:r>
      <w:r w:rsidR="008F5F09" w:rsidRPr="002978D2">
        <w:t>., 837 A.2d 608 (Pa. Cmwlth. 2003)</w:t>
      </w:r>
      <w:r w:rsidR="008F5F09">
        <w:t xml:space="preserve"> </w:t>
      </w:r>
      <w:r w:rsidR="00C646C4">
        <w:t>–</w:t>
      </w:r>
      <w:r w:rsidR="008F5F09">
        <w:t xml:space="preserve"> </w:t>
      </w:r>
      <w:r w:rsidR="008F5F09" w:rsidRPr="002978D2">
        <w:t xml:space="preserve">the Commonwealth Court rejected an inmate’s challenge to DOC regulations regarding his inability to choose a telecommunications service provider for calls to the </w:t>
      </w:r>
      <w:r w:rsidR="00F0135D">
        <w:t>Public Switched Telephone Network (</w:t>
      </w:r>
      <w:r w:rsidR="008F5F09" w:rsidRPr="002978D2">
        <w:t>PSTN</w:t>
      </w:r>
      <w:r w:rsidR="00F0135D">
        <w:t>)</w:t>
      </w:r>
      <w:r w:rsidR="008F5F09">
        <w:t xml:space="preserve"> as an illegal monopoly</w:t>
      </w:r>
      <w:r w:rsidR="00E4001F">
        <w:t xml:space="preserve">; </w:t>
      </w:r>
      <w:r w:rsidR="00E4001F">
        <w:rPr>
          <w:i/>
        </w:rPr>
        <w:t xml:space="preserve">also </w:t>
      </w:r>
      <w:r w:rsidR="00E4001F" w:rsidRPr="002978D2">
        <w:t>37 Pa</w:t>
      </w:r>
      <w:r w:rsidR="00E4001F">
        <w:t>. Code §</w:t>
      </w:r>
      <w:r w:rsidR="00C646C4">
        <w:t> </w:t>
      </w:r>
      <w:r w:rsidR="00E4001F">
        <w:t>93.7</w:t>
      </w:r>
      <w:r w:rsidR="008F5F09">
        <w:t xml:space="preserve">.  Access to telephone utility service is provided to Mr. Robinson under </w:t>
      </w:r>
      <w:r w:rsidR="00F0135D">
        <w:t xml:space="preserve">DOC </w:t>
      </w:r>
      <w:r w:rsidR="008F5F09">
        <w:t xml:space="preserve">conditions </w:t>
      </w:r>
      <w:r w:rsidR="00F0135D">
        <w:t xml:space="preserve">and policies </w:t>
      </w:r>
      <w:r w:rsidR="008F5F09">
        <w:t xml:space="preserve">as a privilege.  </w:t>
      </w:r>
      <w:r w:rsidR="008F5F09" w:rsidRPr="002978D2">
        <w:rPr>
          <w:i/>
          <w:iCs/>
        </w:rPr>
        <w:t>Sandra L. Feigley v. AT&amp;T Communications of Pa., Inc.</w:t>
      </w:r>
      <w:r w:rsidR="008F5F09" w:rsidRPr="002978D2">
        <w:t>, Docket No. C-00981434 (Order entered April 30, 2001) (</w:t>
      </w:r>
      <w:r w:rsidR="008F5F09" w:rsidRPr="002978D2">
        <w:rPr>
          <w:i/>
          <w:iCs/>
        </w:rPr>
        <w:t>Feigley</w:t>
      </w:r>
      <w:r w:rsidR="008F5F09" w:rsidRPr="002978D2">
        <w:t xml:space="preserve">), </w:t>
      </w:r>
      <w:r w:rsidR="008F5F09" w:rsidRPr="002978D2">
        <w:rPr>
          <w:i/>
          <w:iCs/>
        </w:rPr>
        <w:t xml:space="preserve">affirmed, </w:t>
      </w:r>
      <w:hyperlink r:id="rId9" w:history="1">
        <w:r w:rsidR="008F5F09" w:rsidRPr="002978D2">
          <w:rPr>
            <w:rStyle w:val="Hyperlink"/>
            <w:i/>
            <w:iCs/>
            <w:color w:val="auto"/>
          </w:rPr>
          <w:t>Sandra L. Feigley, et al. v. Pa. PUC</w:t>
        </w:r>
        <w:r w:rsidR="008F5F09" w:rsidRPr="002978D2">
          <w:rPr>
            <w:rStyle w:val="Hyperlink"/>
            <w:color w:val="auto"/>
          </w:rPr>
          <w:t>, 794 A.2d 428 (Pa. Cmwlth. 2002),</w:t>
        </w:r>
      </w:hyperlink>
      <w:r w:rsidR="008F5F09" w:rsidRPr="002978D2">
        <w:t xml:space="preserve"> </w:t>
      </w:r>
      <w:r w:rsidR="008F5F09" w:rsidRPr="002978D2">
        <w:rPr>
          <w:i/>
          <w:iCs/>
        </w:rPr>
        <w:t xml:space="preserve">appeal denied sub nom; </w:t>
      </w:r>
      <w:hyperlink r:id="rId10" w:history="1">
        <w:r w:rsidR="008F5F09" w:rsidRPr="002978D2">
          <w:rPr>
            <w:rStyle w:val="Hyperlink"/>
            <w:i/>
            <w:iCs/>
            <w:color w:val="auto"/>
          </w:rPr>
          <w:t>C.U.R.E. v. Pa. PUC</w:t>
        </w:r>
        <w:r w:rsidR="008F5F09" w:rsidRPr="002978D2">
          <w:rPr>
            <w:rStyle w:val="Hyperlink"/>
            <w:color w:val="auto"/>
          </w:rPr>
          <w:t>, 569 Pa. 723, 806 A.2d 863 (2002)</w:t>
        </w:r>
      </w:hyperlink>
      <w:r w:rsidR="008F5F09" w:rsidRPr="002978D2">
        <w:rPr>
          <w:rStyle w:val="Hyperlink"/>
          <w:color w:val="auto"/>
        </w:rPr>
        <w:t xml:space="preserve">. </w:t>
      </w:r>
    </w:p>
    <w:p w:rsidR="008F5F09" w:rsidRDefault="008F5F09" w:rsidP="008F5F09">
      <w:pPr>
        <w:spacing w:line="360" w:lineRule="auto"/>
      </w:pPr>
    </w:p>
    <w:p w:rsidR="00CA6E16" w:rsidRPr="00CA6E16" w:rsidRDefault="00CA6E16" w:rsidP="00CA6E16">
      <w:pPr>
        <w:spacing w:line="360" w:lineRule="auto"/>
        <w:ind w:firstLine="1440"/>
        <w:rPr>
          <w:spacing w:val="-3"/>
        </w:rPr>
      </w:pPr>
      <w:r w:rsidRPr="00CA6E16">
        <w:t>The services provided by GTL pursuant to its contract with the DOC involve</w:t>
      </w:r>
      <w:r w:rsidR="00C562D4">
        <w:t>d</w:t>
      </w:r>
      <w:r w:rsidR="00DF2ECF">
        <w:t xml:space="preserve">, </w:t>
      </w:r>
      <w:r w:rsidR="00DF2ECF">
        <w:rPr>
          <w:i/>
        </w:rPr>
        <w:t>inter</w:t>
      </w:r>
      <w:r w:rsidR="00DF2ECF">
        <w:t xml:space="preserve"> </w:t>
      </w:r>
      <w:r w:rsidR="00DF2ECF">
        <w:rPr>
          <w:i/>
        </w:rPr>
        <w:t>alia</w:t>
      </w:r>
      <w:r w:rsidR="00DF2ECF">
        <w:t>,</w:t>
      </w:r>
      <w:r w:rsidRPr="00CA6E16">
        <w:t xml:space="preserve"> </w:t>
      </w:r>
      <w:r w:rsidR="00DF2ECF">
        <w:t xml:space="preserve">providing inmate </w:t>
      </w:r>
      <w:r w:rsidRPr="00CA6E16">
        <w:t>access to the PSTN for the purpose of completing a telephone call.</w:t>
      </w:r>
      <w:r>
        <w:t xml:space="preserve">  </w:t>
      </w:r>
      <w:r>
        <w:rPr>
          <w:i/>
        </w:rPr>
        <w:t xml:space="preserve">See </w:t>
      </w:r>
      <w:r w:rsidRPr="00CA6E16">
        <w:rPr>
          <w:i/>
          <w:spacing w:val="-3"/>
        </w:rPr>
        <w:t>Tyrone Gibbs, FS-7093 v. Global Tel* Link Corporation</w:t>
      </w:r>
      <w:r>
        <w:rPr>
          <w:spacing w:val="-3"/>
        </w:rPr>
        <w:t xml:space="preserve">, Docket No. </w:t>
      </w:r>
      <w:r w:rsidRPr="002978D2">
        <w:rPr>
          <w:spacing w:val="-3"/>
        </w:rPr>
        <w:t>C-2013-2358084</w:t>
      </w:r>
      <w:r>
        <w:rPr>
          <w:spacing w:val="-3"/>
        </w:rPr>
        <w:t xml:space="preserve"> (Order entered July 10, 2015) (</w:t>
      </w:r>
      <w:r>
        <w:rPr>
          <w:i/>
          <w:spacing w:val="-3"/>
        </w:rPr>
        <w:t>Gibbs</w:t>
      </w:r>
      <w:r>
        <w:rPr>
          <w:spacing w:val="-3"/>
        </w:rPr>
        <w:t xml:space="preserve">).  </w:t>
      </w:r>
      <w:r w:rsidRPr="00CA6E16">
        <w:t xml:space="preserve">The telephone equipment and related services provided by GTL are, essentially, the only means by which incarcerated persons are authorized to make telephone calls to the PSTN.  </w:t>
      </w:r>
      <w:r>
        <w:t xml:space="preserve">Based on the foregoing, </w:t>
      </w:r>
      <w:r w:rsidR="00DF2ECF">
        <w:t>Mr.</w:t>
      </w:r>
      <w:r w:rsidR="00D03766">
        <w:t> </w:t>
      </w:r>
      <w:r w:rsidR="00DF2ECF">
        <w:t>Robinson</w:t>
      </w:r>
      <w:r w:rsidRPr="00CA6E16">
        <w:t xml:space="preserve"> relies on the inmate telephone system </w:t>
      </w:r>
      <w:r w:rsidR="00187A99">
        <w:t xml:space="preserve">and service </w:t>
      </w:r>
      <w:r w:rsidRPr="00CA6E16">
        <w:t xml:space="preserve">provided by GTL (and GTL subcontractors) to </w:t>
      </w:r>
      <w:r w:rsidR="00187A99">
        <w:t>engage</w:t>
      </w:r>
      <w:r w:rsidRPr="00CA6E16">
        <w:t xml:space="preserve"> in </w:t>
      </w:r>
      <w:r w:rsidR="00187A99">
        <w:t>telephone</w:t>
      </w:r>
      <w:r w:rsidRPr="00CA6E16">
        <w:t xml:space="preserve"> </w:t>
      </w:r>
      <w:r w:rsidR="00187A99">
        <w:t xml:space="preserve">communication </w:t>
      </w:r>
      <w:r w:rsidRPr="00CA6E16">
        <w:t>with</w:t>
      </w:r>
      <w:r>
        <w:t xml:space="preserve"> all</w:t>
      </w:r>
      <w:r w:rsidRPr="00CA6E16">
        <w:t xml:space="preserve"> </w:t>
      </w:r>
      <w:r w:rsidR="00C3705B">
        <w:t xml:space="preserve">outside party </w:t>
      </w:r>
      <w:r w:rsidRPr="00CA6E16">
        <w:t>contacts</w:t>
      </w:r>
      <w:r w:rsidR="00D55454">
        <w:t xml:space="preserve">, </w:t>
      </w:r>
      <w:r w:rsidR="00D55454">
        <w:rPr>
          <w:i/>
        </w:rPr>
        <w:t>i.e.</w:t>
      </w:r>
      <w:r w:rsidR="00D55454">
        <w:t>,</w:t>
      </w:r>
      <w:r w:rsidRPr="00CA6E16">
        <w:t xml:space="preserve"> </w:t>
      </w:r>
      <w:r w:rsidR="00187A99">
        <w:t xml:space="preserve">call destinations </w:t>
      </w:r>
      <w:r w:rsidRPr="00CA6E16">
        <w:t>that have been approved by the DOC administration.</w:t>
      </w:r>
      <w:r w:rsidR="00AA2177">
        <w:t xml:space="preserve">  FOF </w:t>
      </w:r>
      <w:r w:rsidR="00C646C4">
        <w:t xml:space="preserve">Nos. </w:t>
      </w:r>
      <w:r w:rsidR="00AA2177">
        <w:t xml:space="preserve">4-9; </w:t>
      </w:r>
      <w:r w:rsidR="00AA2177">
        <w:rPr>
          <w:i/>
        </w:rPr>
        <w:t xml:space="preserve">also </w:t>
      </w:r>
      <w:r>
        <w:rPr>
          <w:i/>
        </w:rPr>
        <w:t>Gibbs</w:t>
      </w:r>
      <w:r>
        <w:t>.</w:t>
      </w:r>
    </w:p>
    <w:p w:rsidR="00214150" w:rsidRPr="0040550D" w:rsidRDefault="00214150" w:rsidP="00C3705B">
      <w:pPr>
        <w:spacing w:line="360" w:lineRule="auto"/>
        <w:ind w:firstLine="1440"/>
      </w:pPr>
    </w:p>
    <w:p w:rsidR="00031CA6" w:rsidRPr="002978D2" w:rsidRDefault="00214150" w:rsidP="00AD2826">
      <w:pPr>
        <w:spacing w:line="360" w:lineRule="auto"/>
        <w:ind w:firstLine="1440"/>
      </w:pPr>
      <w:r w:rsidRPr="0040550D">
        <w:t xml:space="preserve">Inmates at </w:t>
      </w:r>
      <w:r w:rsidR="008F5F09">
        <w:t xml:space="preserve">SCI </w:t>
      </w:r>
      <w:r w:rsidRPr="0040550D">
        <w:t xml:space="preserve">Graterford </w:t>
      </w:r>
      <w:r w:rsidR="00C3705B">
        <w:t xml:space="preserve">are only permitted to make </w:t>
      </w:r>
      <w:r w:rsidRPr="0040550D">
        <w:t>“debit calls” or “collect calls” when they access the telephone system.</w:t>
      </w:r>
      <w:r w:rsidR="00C3705B">
        <w:t xml:space="preserve">  FOF </w:t>
      </w:r>
      <w:r w:rsidR="00AD2826">
        <w:t xml:space="preserve">No. </w:t>
      </w:r>
      <w:r w:rsidR="00C3705B">
        <w:t xml:space="preserve">5.  An authorized </w:t>
      </w:r>
      <w:r w:rsidRPr="0040550D">
        <w:t>telephone debit account with GTL</w:t>
      </w:r>
      <w:r w:rsidR="00C3705B">
        <w:t xml:space="preserve"> is </w:t>
      </w:r>
      <w:r w:rsidR="00873F16">
        <w:t>maintain</w:t>
      </w:r>
      <w:r w:rsidR="00187A99">
        <w:t>ed</w:t>
      </w:r>
      <w:r w:rsidR="00873F16">
        <w:t xml:space="preserve"> </w:t>
      </w:r>
      <w:r w:rsidR="008F5F09">
        <w:t xml:space="preserve">at SCI Graterford </w:t>
      </w:r>
      <w:r w:rsidR="00873F16">
        <w:t xml:space="preserve">on behalf of </w:t>
      </w:r>
      <w:r w:rsidR="008F5F09">
        <w:t>Mr.</w:t>
      </w:r>
      <w:r w:rsidR="00AD2826">
        <w:t> </w:t>
      </w:r>
      <w:r w:rsidR="008F5F09">
        <w:t>Robinson</w:t>
      </w:r>
      <w:r w:rsidR="00873F16">
        <w:t xml:space="preserve"> </w:t>
      </w:r>
      <w:r w:rsidR="00C3705B">
        <w:t xml:space="preserve">for the purposes of </w:t>
      </w:r>
      <w:r w:rsidRPr="0040550D">
        <w:t>mak</w:t>
      </w:r>
      <w:r w:rsidR="00C3705B">
        <w:t>ing</w:t>
      </w:r>
      <w:r w:rsidRPr="0040550D">
        <w:t xml:space="preserve"> debit calls </w:t>
      </w:r>
      <w:r w:rsidR="00C3705B">
        <w:t xml:space="preserve">with the use of funds </w:t>
      </w:r>
      <w:r w:rsidRPr="0040550D">
        <w:t>from this account</w:t>
      </w:r>
      <w:r w:rsidR="00C3705B">
        <w:t xml:space="preserve">.  </w:t>
      </w:r>
      <w:r w:rsidR="00C3705B">
        <w:rPr>
          <w:i/>
        </w:rPr>
        <w:t xml:space="preserve">See </w:t>
      </w:r>
      <w:r w:rsidR="00C3705B">
        <w:t xml:space="preserve">FOF </w:t>
      </w:r>
      <w:r w:rsidR="00AD2826">
        <w:t xml:space="preserve">No. </w:t>
      </w:r>
      <w:r w:rsidR="00C3705B">
        <w:t>6;</w:t>
      </w:r>
      <w:r w:rsidR="00C3705B">
        <w:rPr>
          <w:i/>
        </w:rPr>
        <w:t xml:space="preserve"> </w:t>
      </w:r>
      <w:r w:rsidRPr="0040550D">
        <w:t>Tr. 26; GTL Ex. B.</w:t>
      </w:r>
    </w:p>
    <w:p w:rsidR="001B028B" w:rsidRPr="0040550D" w:rsidRDefault="001B028B" w:rsidP="00031CA6">
      <w:pPr>
        <w:pStyle w:val="ParaTab1"/>
        <w:spacing w:line="360" w:lineRule="auto"/>
        <w:ind w:left="86" w:firstLine="1354"/>
        <w:rPr>
          <w:rFonts w:ascii="Times New Roman" w:hAnsi="Times New Roman" w:cs="Times New Roman"/>
          <w:sz w:val="26"/>
          <w:szCs w:val="26"/>
        </w:rPr>
      </w:pPr>
    </w:p>
    <w:p w:rsidR="001B028B" w:rsidRPr="00AD2826" w:rsidRDefault="001B028B" w:rsidP="00B029C0">
      <w:pPr>
        <w:keepNext/>
        <w:keepLines/>
        <w:spacing w:line="360" w:lineRule="auto"/>
        <w:jc w:val="center"/>
        <w:rPr>
          <w:b/>
        </w:rPr>
      </w:pPr>
      <w:r w:rsidRPr="00AD2826">
        <w:rPr>
          <w:b/>
        </w:rPr>
        <w:t>H</w:t>
      </w:r>
      <w:r w:rsidR="00A674DF" w:rsidRPr="00AD2826">
        <w:rPr>
          <w:b/>
        </w:rPr>
        <w:t>istory of the Proceedings</w:t>
      </w:r>
    </w:p>
    <w:p w:rsidR="00A674DF" w:rsidRPr="00A674DF" w:rsidRDefault="00A674DF" w:rsidP="00B029C0">
      <w:pPr>
        <w:keepNext/>
        <w:keepLines/>
        <w:spacing w:line="360" w:lineRule="auto"/>
      </w:pPr>
    </w:p>
    <w:p w:rsidR="00F439C1" w:rsidRDefault="001B028B" w:rsidP="006B4A57">
      <w:pPr>
        <w:spacing w:line="360" w:lineRule="auto"/>
        <w:ind w:firstLine="1440"/>
      </w:pPr>
      <w:r w:rsidRPr="0040550D">
        <w:t xml:space="preserve">On January 7, 2013, </w:t>
      </w:r>
      <w:r w:rsidR="00A674DF">
        <w:t>Mr.</w:t>
      </w:r>
      <w:r w:rsidR="007F241A">
        <w:t xml:space="preserve"> Robinson filed a Formal C</w:t>
      </w:r>
      <w:r w:rsidRPr="0040550D">
        <w:t>omplaint</w:t>
      </w:r>
      <w:r w:rsidR="00490207">
        <w:t xml:space="preserve"> </w:t>
      </w:r>
      <w:r w:rsidR="007F241A">
        <w:t xml:space="preserve">(Complaint) against GTL </w:t>
      </w:r>
      <w:r w:rsidRPr="0040550D">
        <w:t>with the Commission</w:t>
      </w:r>
      <w:r w:rsidR="003A5444">
        <w:t xml:space="preserve">.  The Complaint extensively asserted dissatisfaction with the </w:t>
      </w:r>
      <w:r w:rsidR="00292CD5">
        <w:t xml:space="preserve">quality of the </w:t>
      </w:r>
      <w:r w:rsidR="003A5444">
        <w:t xml:space="preserve">service and billing used by GTL for service </w:t>
      </w:r>
      <w:r w:rsidR="00292CD5">
        <w:t xml:space="preserve">provided </w:t>
      </w:r>
      <w:r w:rsidR="003A5444">
        <w:t xml:space="preserve">to inmates at </w:t>
      </w:r>
      <w:r w:rsidR="00F80E72">
        <w:t xml:space="preserve">SCI </w:t>
      </w:r>
      <w:r w:rsidR="003A5444">
        <w:t>Graterford.</w:t>
      </w:r>
    </w:p>
    <w:p w:rsidR="00F439C1" w:rsidRDefault="00F439C1" w:rsidP="006B4A57">
      <w:pPr>
        <w:spacing w:line="360" w:lineRule="auto"/>
        <w:ind w:firstLine="1440"/>
      </w:pPr>
    </w:p>
    <w:p w:rsidR="002350F9" w:rsidRDefault="003A5444" w:rsidP="006B4A57">
      <w:pPr>
        <w:spacing w:line="360" w:lineRule="auto"/>
        <w:ind w:firstLine="1440"/>
      </w:pPr>
      <w:r>
        <w:t xml:space="preserve">The billing allegations concerned a change in GTL policy under which GTL ceased using third-party </w:t>
      </w:r>
      <w:r w:rsidR="006B4A57">
        <w:t xml:space="preserve">billing </w:t>
      </w:r>
      <w:r>
        <w:t xml:space="preserve">for telephone calls made to friends and family </w:t>
      </w:r>
      <w:r w:rsidR="006B4A57">
        <w:t xml:space="preserve">submitted </w:t>
      </w:r>
      <w:r>
        <w:t xml:space="preserve">by the </w:t>
      </w:r>
      <w:r w:rsidR="00F80E72">
        <w:t>l</w:t>
      </w:r>
      <w:r>
        <w:t xml:space="preserve">ocal </w:t>
      </w:r>
      <w:r w:rsidR="00F80E72">
        <w:t>t</w:t>
      </w:r>
      <w:r>
        <w:t>elephone service provider</w:t>
      </w:r>
      <w:r w:rsidR="00F439C1">
        <w:t xml:space="preserve">, </w:t>
      </w:r>
      <w:r w:rsidR="00F439C1">
        <w:rPr>
          <w:i/>
        </w:rPr>
        <w:t xml:space="preserve">i.e., </w:t>
      </w:r>
      <w:r w:rsidR="00F439C1">
        <w:t>collect calls</w:t>
      </w:r>
      <w:r>
        <w:t xml:space="preserve">.  GTL required that all </w:t>
      </w:r>
      <w:r>
        <w:lastRenderedPageBreak/>
        <w:t>accounts be prepaid or direct</w:t>
      </w:r>
      <w:r w:rsidR="007F241A">
        <w:t>-</w:t>
      </w:r>
      <w:r>
        <w:t xml:space="preserve">billed.  </w:t>
      </w:r>
      <w:r>
        <w:rPr>
          <w:i/>
        </w:rPr>
        <w:t xml:space="preserve">See </w:t>
      </w:r>
      <w:r>
        <w:t>Complaint</w:t>
      </w:r>
      <w:r w:rsidR="000F2E2A">
        <w:t xml:space="preserve"> attachment</w:t>
      </w:r>
      <w:r>
        <w:t>, October 26, 2012 letter of GTL</w:t>
      </w:r>
      <w:r w:rsidR="006B4A57">
        <w:t>.</w:t>
      </w:r>
    </w:p>
    <w:p w:rsidR="002350F9" w:rsidRDefault="002350F9" w:rsidP="006B4A57">
      <w:pPr>
        <w:spacing w:line="360" w:lineRule="auto"/>
        <w:ind w:firstLine="1440"/>
      </w:pPr>
    </w:p>
    <w:p w:rsidR="00A674DF" w:rsidRDefault="006B4A57" w:rsidP="006B4A57">
      <w:pPr>
        <w:spacing w:line="360" w:lineRule="auto"/>
        <w:ind w:firstLine="1440"/>
      </w:pPr>
      <w:r>
        <w:t>Regarding service</w:t>
      </w:r>
      <w:r w:rsidR="002350F9">
        <w:t xml:space="preserve"> quality</w:t>
      </w:r>
      <w:r>
        <w:t>, Mr. Robinson alleged that a</w:t>
      </w:r>
      <w:r w:rsidRPr="00CB0271">
        <w:t>lmost every week when</w:t>
      </w:r>
      <w:r>
        <w:t xml:space="preserve"> </w:t>
      </w:r>
      <w:r w:rsidRPr="00CB0271">
        <w:t xml:space="preserve">prepaid phone accounts </w:t>
      </w:r>
      <w:r w:rsidR="003576CD">
        <w:t>were</w:t>
      </w:r>
      <w:r w:rsidRPr="00CB0271">
        <w:t xml:space="preserve"> credited for t</w:t>
      </w:r>
      <w:r>
        <w:t>he inmates, the system seem</w:t>
      </w:r>
      <w:r w:rsidR="00F439C1">
        <w:t>ed</w:t>
      </w:r>
      <w:r>
        <w:t xml:space="preserve"> to “</w:t>
      </w:r>
      <w:r w:rsidRPr="00CB0271">
        <w:t>cras</w:t>
      </w:r>
      <w:r>
        <w:t>h.”</w:t>
      </w:r>
      <w:r w:rsidR="007F241A">
        <w:t xml:space="preserve"> </w:t>
      </w:r>
      <w:r>
        <w:t xml:space="preserve"> Mr. Robinson explained </w:t>
      </w:r>
      <w:r w:rsidR="007F241A">
        <w:t xml:space="preserve">that </w:t>
      </w:r>
      <w:r w:rsidR="00C44035">
        <w:t xml:space="preserve">inmates experienced </w:t>
      </w:r>
      <w:r>
        <w:t>widespread and systematic service disruptions</w:t>
      </w:r>
      <w:r w:rsidR="00C44035">
        <w:t>.</w:t>
      </w:r>
      <w:r>
        <w:t xml:space="preserve">  The </w:t>
      </w:r>
      <w:r w:rsidR="00F439C1">
        <w:t xml:space="preserve">service </w:t>
      </w:r>
      <w:r>
        <w:t>problems were compounded by difficulty and some</w:t>
      </w:r>
      <w:r w:rsidR="00C44035">
        <w:t xml:space="preserve">times </w:t>
      </w:r>
      <w:r>
        <w:t xml:space="preserve">failure to </w:t>
      </w:r>
      <w:r w:rsidR="00F439C1">
        <w:t>receive</w:t>
      </w:r>
      <w:r>
        <w:t xml:space="preserve"> refunds </w:t>
      </w:r>
      <w:r w:rsidR="00F439C1">
        <w:t>for prematurely disconnected and/or interrupted calls</w:t>
      </w:r>
      <w:r>
        <w:t xml:space="preserve">.  The major justification </w:t>
      </w:r>
      <w:r w:rsidR="00F74787">
        <w:t xml:space="preserve">provided by GTL </w:t>
      </w:r>
      <w:r>
        <w:t xml:space="preserve">for failing to provide </w:t>
      </w:r>
      <w:r w:rsidR="00F439C1">
        <w:t xml:space="preserve">inmate </w:t>
      </w:r>
      <w:r>
        <w:t xml:space="preserve">refunds </w:t>
      </w:r>
      <w:r w:rsidR="00182297">
        <w:t xml:space="preserve">for prematurely disconnected calls </w:t>
      </w:r>
      <w:r>
        <w:t xml:space="preserve">was a DOC policy regarding calls to cell phones.  </w:t>
      </w:r>
      <w:r w:rsidR="00490207">
        <w:t>Mr. Robinson</w:t>
      </w:r>
      <w:r w:rsidR="001B028B" w:rsidRPr="0040550D">
        <w:t xml:space="preserve"> asserted that </w:t>
      </w:r>
      <w:r w:rsidR="00A674DF">
        <w:t xml:space="preserve">GTL </w:t>
      </w:r>
      <w:r w:rsidR="001B028B" w:rsidRPr="0040550D">
        <w:t xml:space="preserve">failed to correct the </w:t>
      </w:r>
      <w:r w:rsidR="00F80E72">
        <w:t xml:space="preserve">technical glitches and </w:t>
      </w:r>
      <w:r w:rsidR="001B028B" w:rsidRPr="0040550D">
        <w:t xml:space="preserve">problems </w:t>
      </w:r>
      <w:r w:rsidR="00F92EC3">
        <w:t xml:space="preserve">with the service </w:t>
      </w:r>
      <w:r w:rsidR="001B028B" w:rsidRPr="0040550D">
        <w:t>despite having knowledge of the problems.</w:t>
      </w:r>
      <w:r w:rsidR="00F439C1">
        <w:t xml:space="preserve">  </w:t>
      </w:r>
      <w:r w:rsidR="00F439C1">
        <w:rPr>
          <w:i/>
        </w:rPr>
        <w:t xml:space="preserve">See </w:t>
      </w:r>
      <w:r w:rsidR="00F439C1">
        <w:t>Complaint.</w:t>
      </w:r>
    </w:p>
    <w:p w:rsidR="00A674DF" w:rsidRDefault="00A674DF" w:rsidP="001B028B">
      <w:pPr>
        <w:spacing w:line="360" w:lineRule="auto"/>
        <w:ind w:firstLine="1440"/>
      </w:pPr>
    </w:p>
    <w:p w:rsidR="001B028B" w:rsidRPr="0040550D" w:rsidRDefault="006B4A57" w:rsidP="001B028B">
      <w:pPr>
        <w:spacing w:line="360" w:lineRule="auto"/>
        <w:ind w:firstLine="1440"/>
      </w:pPr>
      <w:r>
        <w:t>GTL responded to the Complaint by</w:t>
      </w:r>
      <w:r w:rsidR="001B028B" w:rsidRPr="0040550D">
        <w:t xml:space="preserve"> letter dated January 31, 2013</w:t>
      </w:r>
      <w:r w:rsidR="001B7F85">
        <w:t xml:space="preserve">.  The letter was authored by </w:t>
      </w:r>
      <w:r>
        <w:t>a</w:t>
      </w:r>
      <w:r w:rsidR="001B028B" w:rsidRPr="0040550D">
        <w:t xml:space="preserve"> non-attorney complaint analyst employed by GTL</w:t>
      </w:r>
      <w:r>
        <w:t>.  The GTL submittal</w:t>
      </w:r>
      <w:r w:rsidR="001B028B" w:rsidRPr="0040550D">
        <w:t xml:space="preserve"> was intended to be a “formal response” </w:t>
      </w:r>
      <w:r w:rsidR="001B7F85">
        <w:t xml:space="preserve">to the Complaint </w:t>
      </w:r>
      <w:r w:rsidR="001B028B" w:rsidRPr="0040550D">
        <w:t xml:space="preserve">and generally addressed the allegations in the </w:t>
      </w:r>
      <w:r>
        <w:t>C</w:t>
      </w:r>
      <w:r w:rsidR="001B028B" w:rsidRPr="0040550D">
        <w:t>omplaint regarding the billing methods, the quality of calls</w:t>
      </w:r>
      <w:r w:rsidR="00F74787">
        <w:t>,</w:t>
      </w:r>
      <w:r w:rsidR="001B028B" w:rsidRPr="0040550D">
        <w:t xml:space="preserve"> and calls that disconnect prematurely.</w:t>
      </w:r>
      <w:r>
        <w:t xml:space="preserve">  I.D. at </w:t>
      </w:r>
      <w:r w:rsidR="00016C9B">
        <w:t>2.</w:t>
      </w:r>
      <w:r w:rsidR="001B028B" w:rsidRPr="0040550D">
        <w:t xml:space="preserve">  </w:t>
      </w:r>
      <w:r w:rsidR="00016C9B">
        <w:t>Presiding ALJ Hoyer rejected the</w:t>
      </w:r>
      <w:r w:rsidR="001B028B" w:rsidRPr="0040550D">
        <w:t xml:space="preserve"> letter </w:t>
      </w:r>
      <w:r w:rsidR="00016C9B">
        <w:t xml:space="preserve">as </w:t>
      </w:r>
      <w:r w:rsidR="001B028B" w:rsidRPr="0040550D">
        <w:t xml:space="preserve">an answer to the </w:t>
      </w:r>
      <w:r w:rsidR="00016C9B">
        <w:t>C</w:t>
      </w:r>
      <w:r w:rsidR="001B028B" w:rsidRPr="0040550D">
        <w:t>omplaint</w:t>
      </w:r>
      <w:r w:rsidR="00016C9B">
        <w:t>, noting that</w:t>
      </w:r>
      <w:r w:rsidR="001B028B" w:rsidRPr="0040550D">
        <w:t xml:space="preserve"> it d</w:t>
      </w:r>
      <w:r w:rsidR="00016C9B">
        <w:t>id</w:t>
      </w:r>
      <w:r w:rsidR="001B028B" w:rsidRPr="0040550D">
        <w:t xml:space="preserve"> not comply with the Commission’s </w:t>
      </w:r>
      <w:r w:rsidR="00016C9B">
        <w:t>R</w:t>
      </w:r>
      <w:r w:rsidR="001B028B" w:rsidRPr="0040550D">
        <w:t xml:space="preserve">egulations.  </w:t>
      </w:r>
      <w:r w:rsidR="001B028B" w:rsidRPr="0040550D">
        <w:rPr>
          <w:i/>
        </w:rPr>
        <w:t xml:space="preserve">See </w:t>
      </w:r>
      <w:r w:rsidR="001B028B" w:rsidRPr="0040550D">
        <w:t>Pa.</w:t>
      </w:r>
      <w:r w:rsidR="001B7F85">
        <w:t xml:space="preserve"> </w:t>
      </w:r>
      <w:r w:rsidR="001B028B" w:rsidRPr="0040550D">
        <w:t>Code § 5.61 - § 5.62 and § 1.36.</w:t>
      </w:r>
      <w:r w:rsidR="00A03A40">
        <w:rPr>
          <w:rStyle w:val="FootnoteReference"/>
        </w:rPr>
        <w:footnoteReference w:id="2"/>
      </w:r>
    </w:p>
    <w:p w:rsidR="001B028B" w:rsidRPr="0040550D" w:rsidRDefault="001B028B" w:rsidP="001B028B">
      <w:pPr>
        <w:spacing w:line="360" w:lineRule="auto"/>
        <w:ind w:firstLine="1440"/>
      </w:pPr>
    </w:p>
    <w:p w:rsidR="001B028B" w:rsidRPr="0040550D" w:rsidRDefault="001B028B" w:rsidP="001B028B">
      <w:pPr>
        <w:spacing w:line="360" w:lineRule="auto"/>
        <w:ind w:firstLine="1440"/>
      </w:pPr>
      <w:r w:rsidRPr="0040550D">
        <w:t xml:space="preserve">A Telephonic Hearing Notice, dated April 2, 2013, </w:t>
      </w:r>
      <w:r w:rsidR="00177D3C">
        <w:t xml:space="preserve">was issued that </w:t>
      </w:r>
      <w:r w:rsidRPr="0040550D">
        <w:t>notified the parties that an Initial Telephonic Hearing was scheduled for Wednesday, May 8, 2013, at 10:00 a.m.  Th</w:t>
      </w:r>
      <w:r w:rsidR="0023076A">
        <w:t>e</w:t>
      </w:r>
      <w:r w:rsidRPr="0040550D">
        <w:t xml:space="preserve"> </w:t>
      </w:r>
      <w:r w:rsidR="0023076A">
        <w:t>matter</w:t>
      </w:r>
      <w:r w:rsidRPr="0040550D">
        <w:t xml:space="preserve"> was assigned to </w:t>
      </w:r>
      <w:r w:rsidR="001B7F85">
        <w:t xml:space="preserve">ALJ Hoyer </w:t>
      </w:r>
      <w:r w:rsidRPr="0040550D">
        <w:t>for hearing and a decision.</w:t>
      </w:r>
    </w:p>
    <w:p w:rsidR="001B028B" w:rsidRPr="0040550D" w:rsidRDefault="001B028B" w:rsidP="001B028B">
      <w:pPr>
        <w:spacing w:line="360" w:lineRule="auto"/>
        <w:ind w:firstLine="1440"/>
      </w:pPr>
    </w:p>
    <w:p w:rsidR="001B028B" w:rsidRPr="0040550D" w:rsidRDefault="001B028B" w:rsidP="001B028B">
      <w:pPr>
        <w:spacing w:line="360" w:lineRule="auto"/>
        <w:ind w:firstLine="1440"/>
      </w:pPr>
      <w:r w:rsidRPr="0040550D">
        <w:lastRenderedPageBreak/>
        <w:t>On April 3, 2013, a Prehearing Order</w:t>
      </w:r>
      <w:r w:rsidR="001B7F85">
        <w:t xml:space="preserve"> was issued</w:t>
      </w:r>
      <w:r w:rsidR="0023076A">
        <w:t xml:space="preserve"> which set </w:t>
      </w:r>
      <w:r w:rsidRPr="0040550D">
        <w:t>forth applicable procedures for th</w:t>
      </w:r>
      <w:r w:rsidR="00177D3C">
        <w:t>e</w:t>
      </w:r>
      <w:r w:rsidRPr="0040550D">
        <w:t xml:space="preserve"> </w:t>
      </w:r>
      <w:r w:rsidR="0023076A">
        <w:t xml:space="preserve">conduct of the </w:t>
      </w:r>
      <w:r w:rsidRPr="0040550D">
        <w:t xml:space="preserve">proceeding, including requirements for the submission of proposed exhibits and an explanation </w:t>
      </w:r>
      <w:r w:rsidR="00177D3C">
        <w:t xml:space="preserve">of </w:t>
      </w:r>
      <w:r w:rsidRPr="0040550D">
        <w:t>the burden of proof.</w:t>
      </w:r>
      <w:r w:rsidR="001B7F85">
        <w:t xml:space="preserve">  I.D. at</w:t>
      </w:r>
      <w:r w:rsidR="00611981">
        <w:t xml:space="preserve"> 2</w:t>
      </w:r>
      <w:r w:rsidR="001B7F85">
        <w:t>.</w:t>
      </w:r>
    </w:p>
    <w:p w:rsidR="001B028B" w:rsidRPr="0040550D" w:rsidRDefault="001B028B" w:rsidP="001B028B">
      <w:pPr>
        <w:spacing w:line="360" w:lineRule="auto"/>
        <w:ind w:firstLine="1440"/>
      </w:pPr>
    </w:p>
    <w:p w:rsidR="001B028B" w:rsidRPr="0040550D" w:rsidRDefault="001B028B" w:rsidP="001B028B">
      <w:pPr>
        <w:spacing w:line="360" w:lineRule="auto"/>
        <w:ind w:firstLine="1440"/>
      </w:pPr>
      <w:r w:rsidRPr="0040550D">
        <w:t xml:space="preserve">On June 21, 2013, Edward G. Lanza, Esquire, entered </w:t>
      </w:r>
      <w:r w:rsidR="0023076A">
        <w:t>an</w:t>
      </w:r>
      <w:r w:rsidRPr="0040550D">
        <w:t xml:space="preserve"> appearance on behalf of </w:t>
      </w:r>
      <w:r w:rsidR="001B7F85">
        <w:t>GTL</w:t>
      </w:r>
      <w:r w:rsidRPr="0040550D">
        <w:t xml:space="preserve">.  </w:t>
      </w:r>
      <w:r w:rsidR="001B7F85">
        <w:t>GTL</w:t>
      </w:r>
      <w:r w:rsidRPr="0040550D">
        <w:t xml:space="preserve"> also filed a Motion for Admission </w:t>
      </w:r>
      <w:r w:rsidRPr="0040550D">
        <w:rPr>
          <w:i/>
        </w:rPr>
        <w:t>Pro Hac Vice</w:t>
      </w:r>
      <w:r w:rsidRPr="0040550D">
        <w:t xml:space="preserve"> of Kevin B. Lefton, Esquire, to appear and represent </w:t>
      </w:r>
      <w:r w:rsidR="002B3564">
        <w:t>GTL</w:t>
      </w:r>
      <w:r w:rsidRPr="0040550D">
        <w:t xml:space="preserve"> in this matter.</w:t>
      </w:r>
      <w:r w:rsidR="001B7F85">
        <w:t xml:space="preserve">  I.D. at</w:t>
      </w:r>
      <w:r w:rsidR="00611981">
        <w:t xml:space="preserve"> 3</w:t>
      </w:r>
      <w:r w:rsidR="001B7F85">
        <w:t>.</w:t>
      </w:r>
    </w:p>
    <w:p w:rsidR="001B028B" w:rsidRPr="0040550D" w:rsidRDefault="001B028B" w:rsidP="001B028B">
      <w:pPr>
        <w:spacing w:line="360" w:lineRule="auto"/>
        <w:ind w:firstLine="1440"/>
      </w:pPr>
    </w:p>
    <w:p w:rsidR="001B028B" w:rsidRPr="0040550D" w:rsidRDefault="001B028B" w:rsidP="001B028B">
      <w:pPr>
        <w:spacing w:line="360" w:lineRule="auto"/>
        <w:ind w:firstLine="1440"/>
      </w:pPr>
      <w:r w:rsidRPr="0040550D">
        <w:t>On June 26, 2013</w:t>
      </w:r>
      <w:r w:rsidR="00611981">
        <w:t>,</w:t>
      </w:r>
      <w:r w:rsidRPr="0040550D">
        <w:t xml:space="preserve"> the initial telephonic hearing </w:t>
      </w:r>
      <w:r w:rsidR="00611981">
        <w:t xml:space="preserve">was </w:t>
      </w:r>
      <w:r w:rsidRPr="0040550D">
        <w:t xml:space="preserve">convened as scheduled.  </w:t>
      </w:r>
      <w:r w:rsidR="003576CD">
        <w:t xml:space="preserve">The </w:t>
      </w:r>
      <w:r w:rsidRPr="0040550D">
        <w:t xml:space="preserve">Complainant did not object to the Motion for Admission </w:t>
      </w:r>
      <w:r w:rsidRPr="0040550D">
        <w:rPr>
          <w:i/>
        </w:rPr>
        <w:t>Pro Hac Vice</w:t>
      </w:r>
      <w:r w:rsidRPr="0040550D">
        <w:t xml:space="preserve"> and the </w:t>
      </w:r>
      <w:r w:rsidR="002B3564">
        <w:t>motion</w:t>
      </w:r>
      <w:r w:rsidRPr="0040550D">
        <w:t xml:space="preserve"> was granted orally on the record.</w:t>
      </w:r>
      <w:r w:rsidR="00B365D8">
        <w:t xml:space="preserve">  I.D. at 3.</w:t>
      </w:r>
    </w:p>
    <w:p w:rsidR="001B028B" w:rsidRPr="0040550D" w:rsidRDefault="001B028B" w:rsidP="001B028B">
      <w:pPr>
        <w:spacing w:line="360" w:lineRule="auto"/>
        <w:ind w:firstLine="1440"/>
      </w:pPr>
    </w:p>
    <w:p w:rsidR="001B028B" w:rsidRDefault="001B028B" w:rsidP="003C10D3">
      <w:pPr>
        <w:pStyle w:val="FootnoteText"/>
        <w:spacing w:line="360" w:lineRule="auto"/>
        <w:ind w:firstLine="1440"/>
        <w:rPr>
          <w:rFonts w:ascii="Times New Roman" w:hAnsi="Times New Roman" w:cs="Times New Roman"/>
          <w:sz w:val="26"/>
          <w:szCs w:val="26"/>
        </w:rPr>
      </w:pPr>
      <w:r w:rsidRPr="00627796">
        <w:rPr>
          <w:rFonts w:ascii="Times New Roman" w:hAnsi="Times New Roman" w:cs="Times New Roman"/>
          <w:sz w:val="26"/>
          <w:szCs w:val="26"/>
        </w:rPr>
        <w:t xml:space="preserve">At the initial hearing, </w:t>
      </w:r>
      <w:r w:rsidR="003576CD">
        <w:rPr>
          <w:rFonts w:ascii="Times New Roman" w:hAnsi="Times New Roman" w:cs="Times New Roman"/>
          <w:sz w:val="26"/>
          <w:szCs w:val="26"/>
        </w:rPr>
        <w:t xml:space="preserve">the </w:t>
      </w:r>
      <w:r w:rsidRPr="00627796">
        <w:rPr>
          <w:rFonts w:ascii="Times New Roman" w:hAnsi="Times New Roman" w:cs="Times New Roman"/>
          <w:sz w:val="26"/>
          <w:szCs w:val="26"/>
        </w:rPr>
        <w:t xml:space="preserve">Complainant sought to compel the production of an unredacted version of the contract between </w:t>
      </w:r>
      <w:r w:rsidR="002B3564">
        <w:rPr>
          <w:rFonts w:ascii="Times New Roman" w:hAnsi="Times New Roman" w:cs="Times New Roman"/>
          <w:sz w:val="26"/>
          <w:szCs w:val="26"/>
        </w:rPr>
        <w:t>GTL</w:t>
      </w:r>
      <w:r w:rsidRPr="00627796">
        <w:rPr>
          <w:rFonts w:ascii="Times New Roman" w:hAnsi="Times New Roman" w:cs="Times New Roman"/>
          <w:sz w:val="26"/>
          <w:szCs w:val="26"/>
        </w:rPr>
        <w:t xml:space="preserve"> and the D</w:t>
      </w:r>
      <w:r w:rsidR="00611981">
        <w:rPr>
          <w:rFonts w:ascii="Times New Roman" w:hAnsi="Times New Roman" w:cs="Times New Roman"/>
          <w:sz w:val="26"/>
          <w:szCs w:val="26"/>
        </w:rPr>
        <w:t>O</w:t>
      </w:r>
      <w:r w:rsidRPr="00627796">
        <w:rPr>
          <w:rFonts w:ascii="Times New Roman" w:hAnsi="Times New Roman" w:cs="Times New Roman"/>
          <w:sz w:val="26"/>
          <w:szCs w:val="26"/>
        </w:rPr>
        <w:t>C.</w:t>
      </w:r>
      <w:r w:rsidR="00627796" w:rsidRPr="00627796">
        <w:rPr>
          <w:rFonts w:ascii="Times New Roman" w:hAnsi="Times New Roman" w:cs="Times New Roman"/>
          <w:sz w:val="26"/>
          <w:szCs w:val="26"/>
        </w:rPr>
        <w:t xml:space="preserve">  </w:t>
      </w:r>
      <w:r w:rsidR="003576CD">
        <w:rPr>
          <w:rFonts w:ascii="Times New Roman" w:hAnsi="Times New Roman" w:cs="Times New Roman"/>
          <w:sz w:val="26"/>
          <w:szCs w:val="26"/>
        </w:rPr>
        <w:t xml:space="preserve">The </w:t>
      </w:r>
      <w:r w:rsidR="00627796" w:rsidRPr="00627796">
        <w:rPr>
          <w:rFonts w:ascii="Times New Roman" w:hAnsi="Times New Roman" w:cs="Times New Roman"/>
          <w:sz w:val="26"/>
          <w:szCs w:val="26"/>
        </w:rPr>
        <w:t xml:space="preserve">Complainant acknowledged that </w:t>
      </w:r>
      <w:r w:rsidR="001B7F85">
        <w:rPr>
          <w:rFonts w:ascii="Times New Roman" w:hAnsi="Times New Roman" w:cs="Times New Roman"/>
          <w:sz w:val="26"/>
          <w:szCs w:val="26"/>
        </w:rPr>
        <w:t>GTL</w:t>
      </w:r>
      <w:r w:rsidR="00627796" w:rsidRPr="00627796">
        <w:rPr>
          <w:rFonts w:ascii="Times New Roman" w:hAnsi="Times New Roman" w:cs="Times New Roman"/>
          <w:sz w:val="26"/>
          <w:szCs w:val="26"/>
        </w:rPr>
        <w:t xml:space="preserve"> </w:t>
      </w:r>
      <w:r w:rsidR="00611981">
        <w:rPr>
          <w:rFonts w:ascii="Times New Roman" w:hAnsi="Times New Roman" w:cs="Times New Roman"/>
          <w:sz w:val="26"/>
          <w:szCs w:val="26"/>
        </w:rPr>
        <w:t xml:space="preserve">did </w:t>
      </w:r>
      <w:r w:rsidR="00627796" w:rsidRPr="00627796">
        <w:rPr>
          <w:rFonts w:ascii="Times New Roman" w:hAnsi="Times New Roman" w:cs="Times New Roman"/>
          <w:sz w:val="26"/>
          <w:szCs w:val="26"/>
        </w:rPr>
        <w:t>provide a redacted copy of the contract.</w:t>
      </w:r>
      <w:r w:rsidR="001B7F85">
        <w:rPr>
          <w:rFonts w:ascii="Times New Roman" w:hAnsi="Times New Roman" w:cs="Times New Roman"/>
          <w:sz w:val="26"/>
          <w:szCs w:val="26"/>
        </w:rPr>
        <w:t xml:space="preserve">  </w:t>
      </w:r>
      <w:r w:rsidR="001B7F85">
        <w:rPr>
          <w:rFonts w:ascii="Times New Roman" w:hAnsi="Times New Roman" w:cs="Times New Roman"/>
          <w:i/>
          <w:sz w:val="26"/>
          <w:szCs w:val="26"/>
        </w:rPr>
        <w:t xml:space="preserve">See </w:t>
      </w:r>
      <w:r w:rsidR="001B7F85">
        <w:rPr>
          <w:rFonts w:ascii="Times New Roman" w:hAnsi="Times New Roman" w:cs="Times New Roman"/>
          <w:sz w:val="26"/>
          <w:szCs w:val="26"/>
        </w:rPr>
        <w:t xml:space="preserve">I.D. at </w:t>
      </w:r>
      <w:r w:rsidR="00611981">
        <w:rPr>
          <w:rFonts w:ascii="Times New Roman" w:hAnsi="Times New Roman" w:cs="Times New Roman"/>
          <w:sz w:val="26"/>
          <w:szCs w:val="26"/>
        </w:rPr>
        <w:t>3, n.1</w:t>
      </w:r>
      <w:r w:rsidR="00627796" w:rsidRPr="001B7F85">
        <w:rPr>
          <w:rFonts w:ascii="Times New Roman" w:hAnsi="Times New Roman" w:cs="Times New Roman"/>
          <w:sz w:val="26"/>
          <w:szCs w:val="26"/>
        </w:rPr>
        <w:t xml:space="preserve">.  </w:t>
      </w:r>
      <w:r w:rsidR="00CA3B6F">
        <w:rPr>
          <w:rFonts w:ascii="Times New Roman" w:hAnsi="Times New Roman" w:cs="Times New Roman"/>
          <w:sz w:val="26"/>
          <w:szCs w:val="26"/>
        </w:rPr>
        <w:t xml:space="preserve">The </w:t>
      </w:r>
      <w:r w:rsidRPr="001B7F85">
        <w:rPr>
          <w:rFonts w:ascii="Times New Roman" w:hAnsi="Times New Roman" w:cs="Times New Roman"/>
          <w:sz w:val="26"/>
          <w:szCs w:val="26"/>
        </w:rPr>
        <w:t xml:space="preserve">Complainant’s request </w:t>
      </w:r>
      <w:r w:rsidR="001B7F85">
        <w:rPr>
          <w:rFonts w:ascii="Times New Roman" w:hAnsi="Times New Roman" w:cs="Times New Roman"/>
          <w:sz w:val="26"/>
          <w:szCs w:val="26"/>
        </w:rPr>
        <w:t xml:space="preserve">was treated </w:t>
      </w:r>
      <w:r w:rsidRPr="001B7F85">
        <w:rPr>
          <w:rFonts w:ascii="Times New Roman" w:hAnsi="Times New Roman" w:cs="Times New Roman"/>
          <w:sz w:val="26"/>
          <w:szCs w:val="26"/>
        </w:rPr>
        <w:t>as an oral motion to compel</w:t>
      </w:r>
      <w:r w:rsidR="00E9290C">
        <w:rPr>
          <w:rFonts w:ascii="Times New Roman" w:hAnsi="Times New Roman" w:cs="Times New Roman"/>
          <w:sz w:val="26"/>
          <w:szCs w:val="26"/>
        </w:rPr>
        <w:t xml:space="preserve">.  As a result, </w:t>
      </w:r>
      <w:r w:rsidR="002B3564">
        <w:rPr>
          <w:rFonts w:ascii="Times New Roman" w:hAnsi="Times New Roman" w:cs="Times New Roman"/>
          <w:sz w:val="26"/>
          <w:szCs w:val="26"/>
        </w:rPr>
        <w:t>ALJ Hoyer</w:t>
      </w:r>
      <w:r w:rsidRPr="001B7F85">
        <w:rPr>
          <w:rFonts w:ascii="Times New Roman" w:hAnsi="Times New Roman" w:cs="Times New Roman"/>
          <w:sz w:val="26"/>
          <w:szCs w:val="26"/>
        </w:rPr>
        <w:t xml:space="preserve"> directed counsel for Respondent to file a written response to the motion within 20 days.  No testimony or evidence was entered into the record on June 26, 2013</w:t>
      </w:r>
      <w:r w:rsidR="002B3564">
        <w:rPr>
          <w:rFonts w:ascii="Times New Roman" w:hAnsi="Times New Roman" w:cs="Times New Roman"/>
          <w:sz w:val="26"/>
          <w:szCs w:val="26"/>
        </w:rPr>
        <w:t>,</w:t>
      </w:r>
      <w:r w:rsidRPr="001B7F85">
        <w:rPr>
          <w:rFonts w:ascii="Times New Roman" w:hAnsi="Times New Roman" w:cs="Times New Roman"/>
          <w:sz w:val="26"/>
          <w:szCs w:val="26"/>
        </w:rPr>
        <w:t xml:space="preserve"> </w:t>
      </w:r>
      <w:r w:rsidR="002B3564">
        <w:rPr>
          <w:rFonts w:ascii="Times New Roman" w:hAnsi="Times New Roman" w:cs="Times New Roman"/>
          <w:sz w:val="26"/>
          <w:szCs w:val="26"/>
        </w:rPr>
        <w:t>and t</w:t>
      </w:r>
      <w:r w:rsidRPr="001B7F85">
        <w:rPr>
          <w:rFonts w:ascii="Times New Roman" w:hAnsi="Times New Roman" w:cs="Times New Roman"/>
          <w:sz w:val="26"/>
          <w:szCs w:val="26"/>
        </w:rPr>
        <w:t xml:space="preserve">he matter was continued.  On or about July 16, 2013, </w:t>
      </w:r>
      <w:r w:rsidR="001B7F85">
        <w:rPr>
          <w:rFonts w:ascii="Times New Roman" w:hAnsi="Times New Roman" w:cs="Times New Roman"/>
          <w:sz w:val="26"/>
          <w:szCs w:val="26"/>
        </w:rPr>
        <w:t>GTL</w:t>
      </w:r>
      <w:r w:rsidRPr="001B7F85">
        <w:rPr>
          <w:rFonts w:ascii="Times New Roman" w:hAnsi="Times New Roman" w:cs="Times New Roman"/>
          <w:sz w:val="26"/>
          <w:szCs w:val="26"/>
        </w:rPr>
        <w:t xml:space="preserve"> filed an answer </w:t>
      </w:r>
      <w:r w:rsidR="001B7F85">
        <w:rPr>
          <w:rFonts w:ascii="Times New Roman" w:hAnsi="Times New Roman" w:cs="Times New Roman"/>
          <w:sz w:val="26"/>
          <w:szCs w:val="26"/>
        </w:rPr>
        <w:t xml:space="preserve">in opposition </w:t>
      </w:r>
      <w:r w:rsidRPr="001B7F85">
        <w:rPr>
          <w:rFonts w:ascii="Times New Roman" w:hAnsi="Times New Roman" w:cs="Times New Roman"/>
          <w:sz w:val="26"/>
          <w:szCs w:val="26"/>
        </w:rPr>
        <w:t xml:space="preserve">to </w:t>
      </w:r>
      <w:r w:rsidR="00662BD8">
        <w:rPr>
          <w:rFonts w:ascii="Times New Roman" w:hAnsi="Times New Roman" w:cs="Times New Roman"/>
          <w:sz w:val="26"/>
          <w:szCs w:val="26"/>
        </w:rPr>
        <w:t xml:space="preserve">the </w:t>
      </w:r>
      <w:r w:rsidRPr="001B7F85">
        <w:rPr>
          <w:rFonts w:ascii="Times New Roman" w:hAnsi="Times New Roman" w:cs="Times New Roman"/>
          <w:sz w:val="26"/>
          <w:szCs w:val="26"/>
        </w:rPr>
        <w:t>Complainant’s motion to compel.</w:t>
      </w:r>
      <w:r w:rsidR="003163E0">
        <w:rPr>
          <w:rFonts w:ascii="Times New Roman" w:hAnsi="Times New Roman" w:cs="Times New Roman"/>
          <w:sz w:val="26"/>
          <w:szCs w:val="26"/>
        </w:rPr>
        <w:t xml:space="preserve">  </w:t>
      </w:r>
      <w:r w:rsidR="003163E0">
        <w:rPr>
          <w:rFonts w:ascii="Times New Roman" w:hAnsi="Times New Roman" w:cs="Times New Roman"/>
          <w:i/>
          <w:sz w:val="26"/>
          <w:szCs w:val="26"/>
        </w:rPr>
        <w:t>Id</w:t>
      </w:r>
      <w:r w:rsidR="003163E0">
        <w:rPr>
          <w:rFonts w:ascii="Times New Roman" w:hAnsi="Times New Roman" w:cs="Times New Roman"/>
          <w:sz w:val="26"/>
          <w:szCs w:val="26"/>
        </w:rPr>
        <w:t>.</w:t>
      </w:r>
    </w:p>
    <w:p w:rsidR="003576CD" w:rsidRPr="003163E0" w:rsidRDefault="003576CD" w:rsidP="003C10D3">
      <w:pPr>
        <w:pStyle w:val="FootnoteText"/>
        <w:spacing w:line="360" w:lineRule="auto"/>
        <w:ind w:firstLine="1440"/>
        <w:rPr>
          <w:rFonts w:ascii="Times New Roman" w:hAnsi="Times New Roman" w:cs="Times New Roman"/>
          <w:sz w:val="26"/>
          <w:szCs w:val="26"/>
        </w:rPr>
      </w:pPr>
    </w:p>
    <w:p w:rsidR="001B028B" w:rsidRPr="0040550D" w:rsidRDefault="001B028B" w:rsidP="001B028B">
      <w:pPr>
        <w:spacing w:line="360" w:lineRule="auto"/>
        <w:ind w:firstLine="1440"/>
      </w:pPr>
      <w:r w:rsidRPr="0040550D">
        <w:t>On October 11, 2013,</w:t>
      </w:r>
      <w:r w:rsidR="001B7F85">
        <w:t xml:space="preserve"> ALJ Hoyer</w:t>
      </w:r>
      <w:r w:rsidRPr="0040550D">
        <w:t xml:space="preserve"> issued an interim order denying </w:t>
      </w:r>
      <w:r w:rsidR="00662BD8">
        <w:t xml:space="preserve"> the </w:t>
      </w:r>
      <w:r w:rsidRPr="0040550D">
        <w:t xml:space="preserve">Complainant’s motion to compel, granting </w:t>
      </w:r>
      <w:r w:rsidR="001B7F85">
        <w:t>the</w:t>
      </w:r>
      <w:r w:rsidRPr="0040550D">
        <w:t xml:space="preserve"> Motion for Admission </w:t>
      </w:r>
      <w:r w:rsidRPr="0040550D">
        <w:rPr>
          <w:i/>
        </w:rPr>
        <w:t>Pro Hac Vice</w:t>
      </w:r>
      <w:r w:rsidRPr="0040550D">
        <w:t xml:space="preserve"> and directing that th</w:t>
      </w:r>
      <w:r w:rsidR="001B7F85">
        <w:t>e</w:t>
      </w:r>
      <w:r w:rsidRPr="0040550D">
        <w:t xml:space="preserve"> matter be set for further hearing.</w:t>
      </w:r>
      <w:r w:rsidR="003163E0">
        <w:t xml:space="preserve">  I.D. at 3.</w:t>
      </w:r>
    </w:p>
    <w:p w:rsidR="001B028B" w:rsidRPr="0040550D" w:rsidRDefault="001B028B" w:rsidP="001B028B">
      <w:pPr>
        <w:spacing w:line="360" w:lineRule="auto"/>
        <w:ind w:firstLine="1440"/>
      </w:pPr>
    </w:p>
    <w:p w:rsidR="001B028B" w:rsidRPr="0040550D" w:rsidRDefault="001B028B" w:rsidP="001B028B">
      <w:pPr>
        <w:spacing w:line="360" w:lineRule="auto"/>
        <w:ind w:firstLine="1440"/>
      </w:pPr>
      <w:r w:rsidRPr="0040550D">
        <w:t>On May 7, 2014, a Further Prehearing Order was issued.</w:t>
      </w:r>
    </w:p>
    <w:p w:rsidR="001B028B" w:rsidRPr="0040550D" w:rsidRDefault="001B028B" w:rsidP="001B028B">
      <w:pPr>
        <w:spacing w:line="360" w:lineRule="auto"/>
        <w:ind w:firstLine="1440"/>
      </w:pPr>
    </w:p>
    <w:p w:rsidR="001B028B" w:rsidRPr="0040550D" w:rsidRDefault="001B028B" w:rsidP="001B028B">
      <w:pPr>
        <w:spacing w:line="360" w:lineRule="auto"/>
        <w:ind w:firstLine="1440"/>
      </w:pPr>
      <w:r w:rsidRPr="0040550D">
        <w:t xml:space="preserve">Further telephonic hearings were held on June 11, 2014, January 15, 2015 and February 25, 2015.  At each hearing, </w:t>
      </w:r>
      <w:r w:rsidR="00CA3B6F">
        <w:t xml:space="preserve">the </w:t>
      </w:r>
      <w:r w:rsidRPr="0040550D">
        <w:t xml:space="preserve">Complainant appeared </w:t>
      </w:r>
      <w:r w:rsidRPr="0040550D">
        <w:rPr>
          <w:i/>
        </w:rPr>
        <w:t>pro se</w:t>
      </w:r>
      <w:r w:rsidRPr="0040550D">
        <w:t xml:space="preserve">.  </w:t>
      </w:r>
      <w:r w:rsidR="00CA3B6F">
        <w:t xml:space="preserve">The </w:t>
      </w:r>
      <w:r w:rsidRPr="0040550D">
        <w:lastRenderedPageBreak/>
        <w:t>Complainant testified on his own behalf and offered two exhibits that were marked and admitted as Complainant’s Exhibit 1 (Inmate’s Request to Staff Member) and Complainant’s Exhibit 2 (Telephone System Discrepancy Form).</w:t>
      </w:r>
      <w:r w:rsidR="008168C3">
        <w:t xml:space="preserve">  I.D. at 4.</w:t>
      </w:r>
    </w:p>
    <w:p w:rsidR="00DC47FA" w:rsidRDefault="00DC47FA" w:rsidP="001B028B">
      <w:pPr>
        <w:spacing w:line="360" w:lineRule="auto"/>
        <w:ind w:firstLine="1440"/>
      </w:pPr>
    </w:p>
    <w:p w:rsidR="001B028B" w:rsidRPr="0040550D" w:rsidRDefault="001B7F85" w:rsidP="001B028B">
      <w:pPr>
        <w:spacing w:line="360" w:lineRule="auto"/>
        <w:ind w:firstLine="1440"/>
      </w:pPr>
      <w:r>
        <w:t>GTL</w:t>
      </w:r>
      <w:r w:rsidR="001B028B" w:rsidRPr="0040550D">
        <w:t xml:space="preserve"> was represented by Edward G. Lanza, Esquire.  </w:t>
      </w:r>
      <w:r w:rsidR="001B73B3">
        <w:t>GTL</w:t>
      </w:r>
      <w:r w:rsidR="001B028B" w:rsidRPr="0040550D">
        <w:t xml:space="preserve"> presented two witnesses:  Thomas Fulton, Field Service Manager for GTL; and Kathleen Tarkir, Complaint Analyst for GTL.  </w:t>
      </w:r>
      <w:r>
        <w:t>GTL</w:t>
      </w:r>
      <w:r w:rsidR="001B028B" w:rsidRPr="0040550D">
        <w:t xml:space="preserve"> offered two exhibits that were marked and admitted as GTL Exhibit A (Policy DOC-ADM-818) and GTL Exhibit B (Complainant’s inmate call log for 2012-2014).</w:t>
      </w:r>
      <w:r w:rsidR="008168C3">
        <w:t xml:space="preserve">  I.D. at 4.</w:t>
      </w:r>
    </w:p>
    <w:p w:rsidR="001B028B" w:rsidRPr="0040550D" w:rsidRDefault="001B028B" w:rsidP="001B028B">
      <w:pPr>
        <w:spacing w:line="360" w:lineRule="auto"/>
        <w:ind w:firstLine="1440"/>
      </w:pPr>
    </w:p>
    <w:p w:rsidR="001B028B" w:rsidRPr="0040550D" w:rsidRDefault="001B028B" w:rsidP="001B028B">
      <w:pPr>
        <w:spacing w:line="360" w:lineRule="auto"/>
        <w:ind w:firstLine="1440"/>
      </w:pPr>
      <w:r w:rsidRPr="0040550D">
        <w:t xml:space="preserve">On March 25, 2015, </w:t>
      </w:r>
      <w:r w:rsidR="001B7F85">
        <w:t xml:space="preserve">a </w:t>
      </w:r>
      <w:r w:rsidRPr="0040550D">
        <w:t xml:space="preserve">Briefing Order </w:t>
      </w:r>
      <w:r w:rsidR="001B7F85">
        <w:t>was issued.  Bo</w:t>
      </w:r>
      <w:r w:rsidRPr="0040550D">
        <w:t>th parties filed main briefs and reply briefs.</w:t>
      </w:r>
      <w:r w:rsidR="001B7F85">
        <w:t xml:space="preserve">  I.D. at </w:t>
      </w:r>
      <w:r w:rsidR="00737C48">
        <w:t>4</w:t>
      </w:r>
      <w:r w:rsidR="001B7F85">
        <w:t>.</w:t>
      </w:r>
    </w:p>
    <w:p w:rsidR="001B028B" w:rsidRPr="0040550D" w:rsidRDefault="001B028B" w:rsidP="001B028B">
      <w:pPr>
        <w:spacing w:line="360" w:lineRule="auto"/>
        <w:ind w:firstLine="1440"/>
      </w:pPr>
    </w:p>
    <w:p w:rsidR="001B028B" w:rsidRPr="0040550D" w:rsidRDefault="001B028B" w:rsidP="001B028B">
      <w:pPr>
        <w:spacing w:line="360" w:lineRule="auto"/>
        <w:ind w:firstLine="1440"/>
      </w:pPr>
      <w:r w:rsidRPr="0040550D">
        <w:t xml:space="preserve">On April 14, 2015, </w:t>
      </w:r>
      <w:r w:rsidR="00CA3B6F">
        <w:t xml:space="preserve">the </w:t>
      </w:r>
      <w:r w:rsidRPr="0040550D">
        <w:t>Complainant filed a Motion for Amendment of Record seeking to amend his main brief.  On April 23, 2015, Respondent filed a letter in answer to the motion requesting that the motion be denied.</w:t>
      </w:r>
      <w:r w:rsidR="003163E0">
        <w:t xml:space="preserve">  I.D. at 4.</w:t>
      </w:r>
    </w:p>
    <w:p w:rsidR="001B028B" w:rsidRPr="0040550D" w:rsidRDefault="001B028B" w:rsidP="001B028B">
      <w:pPr>
        <w:spacing w:line="360" w:lineRule="auto"/>
        <w:ind w:firstLine="1440"/>
      </w:pPr>
    </w:p>
    <w:p w:rsidR="001B2488" w:rsidRDefault="001B028B" w:rsidP="00607E62">
      <w:pPr>
        <w:spacing w:line="360" w:lineRule="auto"/>
        <w:ind w:firstLine="1440"/>
      </w:pPr>
      <w:r w:rsidRPr="0040550D">
        <w:t>On June 1, 2015, an Interim Order Denying Motion for Amendment of Record and Closing the Hearing Record was issued.  The record consists of transcripts of the hearing held on June 26, 2013, June 11, 2014, January 15, 2015, and February 25, 2015; the aforementioned four hearing exhibits; and the main briefs and reply briefs of both parties.</w:t>
      </w:r>
      <w:r w:rsidR="00C32501">
        <w:t xml:space="preserve">  I.D. at </w:t>
      </w:r>
      <w:r w:rsidR="00737C48">
        <w:t>4</w:t>
      </w:r>
      <w:r w:rsidR="00C32501">
        <w:t>.</w:t>
      </w:r>
    </w:p>
    <w:p w:rsidR="00607E62" w:rsidRPr="0040550D" w:rsidRDefault="00607E62" w:rsidP="0034764A">
      <w:pPr>
        <w:spacing w:line="360" w:lineRule="auto"/>
      </w:pPr>
    </w:p>
    <w:p w:rsidR="001B2488" w:rsidRDefault="00DC47FA" w:rsidP="00B029C0">
      <w:pPr>
        <w:keepNext/>
        <w:keepLines/>
        <w:spacing w:line="360" w:lineRule="auto"/>
        <w:jc w:val="center"/>
        <w:rPr>
          <w:b/>
        </w:rPr>
      </w:pPr>
      <w:r>
        <w:rPr>
          <w:b/>
        </w:rPr>
        <w:t>Discussion</w:t>
      </w:r>
    </w:p>
    <w:p w:rsidR="001B028B" w:rsidRDefault="001B028B" w:rsidP="00B029C0">
      <w:pPr>
        <w:keepNext/>
        <w:keepLines/>
        <w:spacing w:line="360" w:lineRule="auto"/>
      </w:pPr>
    </w:p>
    <w:p w:rsidR="00C32501" w:rsidRDefault="00C32501" w:rsidP="00C32501">
      <w:pPr>
        <w:spacing w:line="360" w:lineRule="auto"/>
        <w:ind w:firstLine="1440"/>
      </w:pPr>
      <w:r w:rsidRPr="00022EA2">
        <w:t xml:space="preserve">As a preliminary matter, we </w:t>
      </w:r>
      <w:r>
        <w:t>advise the Parties</w:t>
      </w:r>
      <w:r w:rsidRPr="00022EA2">
        <w:t xml:space="preserve"> that any issue that we do not specifically address has been considered and </w:t>
      </w:r>
      <w:r>
        <w:t>should be</w:t>
      </w:r>
      <w:r w:rsidRPr="00022EA2">
        <w:t xml:space="preserve"> </w:t>
      </w:r>
      <w:r>
        <w:t xml:space="preserve">deemed </w:t>
      </w:r>
      <w:r w:rsidRPr="00022EA2">
        <w:t xml:space="preserve">denied without further discussion.  </w:t>
      </w:r>
      <w:r>
        <w:t>The Commission is n</w:t>
      </w:r>
      <w:r w:rsidRPr="00022EA2">
        <w:t xml:space="preserve">ot required to consider, expressly or at length, each contention or argument raised by the parties.  </w:t>
      </w:r>
      <w:r w:rsidRPr="00022EA2">
        <w:rPr>
          <w:i/>
        </w:rPr>
        <w:t>Consolidated Rail Corporation v. P</w:t>
      </w:r>
      <w:r>
        <w:rPr>
          <w:i/>
        </w:rPr>
        <w:t xml:space="preserve">a. </w:t>
      </w:r>
      <w:r w:rsidRPr="00022EA2">
        <w:rPr>
          <w:i/>
        </w:rPr>
        <w:t>PUC</w:t>
      </w:r>
      <w:r w:rsidRPr="00022EA2">
        <w:t xml:space="preserve">, </w:t>
      </w:r>
      <w:r w:rsidRPr="00022EA2">
        <w:lastRenderedPageBreak/>
        <w:t xml:space="preserve">625 A.2d 741 (Pa. Cmwlth. 1993); </w:t>
      </w:r>
      <w:r w:rsidRPr="00022EA2">
        <w:rPr>
          <w:i/>
        </w:rPr>
        <w:t>also</w:t>
      </w:r>
      <w:r w:rsidRPr="00022EA2">
        <w:t xml:space="preserve">, </w:t>
      </w:r>
      <w:r w:rsidRPr="00022EA2">
        <w:rPr>
          <w:i/>
        </w:rPr>
        <w:t>generally</w:t>
      </w:r>
      <w:r w:rsidRPr="00022EA2">
        <w:t xml:space="preserve">, </w:t>
      </w:r>
      <w:r w:rsidRPr="00022EA2">
        <w:rPr>
          <w:i/>
        </w:rPr>
        <w:t>Univ</w:t>
      </w:r>
      <w:r>
        <w:rPr>
          <w:i/>
        </w:rPr>
        <w:t xml:space="preserve">. </w:t>
      </w:r>
      <w:r w:rsidRPr="00022EA2">
        <w:rPr>
          <w:i/>
        </w:rPr>
        <w:t>of P</w:t>
      </w:r>
      <w:r>
        <w:rPr>
          <w:i/>
        </w:rPr>
        <w:t>a.</w:t>
      </w:r>
      <w:r w:rsidRPr="00022EA2">
        <w:rPr>
          <w:i/>
        </w:rPr>
        <w:t> v. P</w:t>
      </w:r>
      <w:r>
        <w:rPr>
          <w:i/>
        </w:rPr>
        <w:t xml:space="preserve">a. </w:t>
      </w:r>
      <w:r w:rsidRPr="00022EA2">
        <w:rPr>
          <w:i/>
        </w:rPr>
        <w:t>PUC</w:t>
      </w:r>
      <w:r>
        <w:t xml:space="preserve">, 485 A.2d 1217 </w:t>
      </w:r>
      <w:r w:rsidRPr="00022EA2">
        <w:t>(Pa. Cmwlth. 1984)</w:t>
      </w:r>
      <w:r>
        <w:t>.</w:t>
      </w:r>
    </w:p>
    <w:p w:rsidR="00C32501" w:rsidRDefault="00C32501" w:rsidP="00DC47FA">
      <w:pPr>
        <w:spacing w:line="360" w:lineRule="auto"/>
      </w:pPr>
    </w:p>
    <w:p w:rsidR="003A176D" w:rsidRDefault="00C70FDD" w:rsidP="00B029C0">
      <w:pPr>
        <w:keepNext/>
        <w:keepLines/>
        <w:spacing w:line="360" w:lineRule="auto"/>
        <w:ind w:firstLine="1440"/>
      </w:pPr>
      <w:r>
        <w:rPr>
          <w:b/>
        </w:rPr>
        <w:t>Legal Standards</w:t>
      </w:r>
    </w:p>
    <w:p w:rsidR="003A176D" w:rsidRDefault="003A176D" w:rsidP="00B029C0">
      <w:pPr>
        <w:keepNext/>
        <w:keepLines/>
        <w:spacing w:line="360" w:lineRule="auto"/>
        <w:ind w:firstLine="1440"/>
      </w:pPr>
    </w:p>
    <w:p w:rsidR="00AE1409" w:rsidRDefault="00D07016" w:rsidP="003A176D">
      <w:pPr>
        <w:tabs>
          <w:tab w:val="left" w:pos="-1440"/>
          <w:tab w:val="left" w:pos="-720"/>
        </w:tabs>
        <w:suppressAutoHyphens/>
        <w:spacing w:line="360" w:lineRule="auto"/>
        <w:ind w:firstLine="1440"/>
        <w:rPr>
          <w:spacing w:val="-3"/>
        </w:rPr>
      </w:pPr>
      <w:r>
        <w:t>Mr. Robinson, as the party who is s</w:t>
      </w:r>
      <w:r w:rsidR="003A176D" w:rsidRPr="00D07016">
        <w:t xml:space="preserve">eeking affirmative relief from the Commission, </w:t>
      </w:r>
      <w:r>
        <w:t>has t</w:t>
      </w:r>
      <w:r w:rsidR="003A176D" w:rsidRPr="00D07016">
        <w:t xml:space="preserve">he burden of proof </w:t>
      </w:r>
      <w:r>
        <w:t>in this matter</w:t>
      </w:r>
      <w:r w:rsidR="003A176D" w:rsidRPr="00D07016">
        <w:t>.  66 Pa.</w:t>
      </w:r>
      <w:r>
        <w:t xml:space="preserve"> </w:t>
      </w:r>
      <w:r w:rsidR="003A176D" w:rsidRPr="00D07016">
        <w:t>C.S. § 332(a).  T</w:t>
      </w:r>
      <w:r w:rsidR="003A176D" w:rsidRPr="00D07016">
        <w:rPr>
          <w:spacing w:val="-3"/>
        </w:rPr>
        <w:t xml:space="preserve">o satisfy the burden of proof, </w:t>
      </w:r>
      <w:r>
        <w:rPr>
          <w:spacing w:val="-3"/>
        </w:rPr>
        <w:t>Mr. Robinson</w:t>
      </w:r>
      <w:r w:rsidR="003A176D" w:rsidRPr="00D07016">
        <w:rPr>
          <w:spacing w:val="-3"/>
        </w:rPr>
        <w:t xml:space="preserve"> must establish that </w:t>
      </w:r>
      <w:r>
        <w:rPr>
          <w:spacing w:val="-3"/>
        </w:rPr>
        <w:t>GTL</w:t>
      </w:r>
      <w:r w:rsidR="003A176D" w:rsidRPr="00D07016">
        <w:rPr>
          <w:spacing w:val="-3"/>
        </w:rPr>
        <w:t xml:space="preserve"> was responsible for the problem alleged in his Complaint through a violation of the Public Utility Code, </w:t>
      </w:r>
      <w:r w:rsidR="00EA1718">
        <w:rPr>
          <w:spacing w:val="-3"/>
        </w:rPr>
        <w:t>66 Pa. C.S. §§ 101</w:t>
      </w:r>
      <w:r w:rsidR="00AE1409">
        <w:rPr>
          <w:spacing w:val="-3"/>
        </w:rPr>
        <w:t>-3316</w:t>
      </w:r>
      <w:r w:rsidR="00EA1718">
        <w:rPr>
          <w:spacing w:val="-3"/>
        </w:rPr>
        <w:t xml:space="preserve">, </w:t>
      </w:r>
      <w:r w:rsidR="00EA1718">
        <w:rPr>
          <w:i/>
          <w:spacing w:val="-3"/>
        </w:rPr>
        <w:t>et seq.</w:t>
      </w:r>
      <w:r w:rsidR="00EA1718">
        <w:rPr>
          <w:spacing w:val="-3"/>
        </w:rPr>
        <w:t xml:space="preserve">, (Code), </w:t>
      </w:r>
      <w:r w:rsidR="003A176D" w:rsidRPr="00D07016">
        <w:rPr>
          <w:spacing w:val="-3"/>
        </w:rPr>
        <w:t xml:space="preserve">or a </w:t>
      </w:r>
      <w:r>
        <w:rPr>
          <w:spacing w:val="-3"/>
        </w:rPr>
        <w:t>R</w:t>
      </w:r>
      <w:r w:rsidR="003A176D" w:rsidRPr="00D07016">
        <w:rPr>
          <w:spacing w:val="-3"/>
        </w:rPr>
        <w:t xml:space="preserve">egulation or Order of the Commission.  </w:t>
      </w:r>
      <w:r w:rsidR="00EA1718">
        <w:rPr>
          <w:spacing w:val="-3"/>
        </w:rPr>
        <w:t xml:space="preserve">A complainant has the burden of </w:t>
      </w:r>
      <w:r w:rsidR="00AE1409">
        <w:rPr>
          <w:spacing w:val="-3"/>
        </w:rPr>
        <w:t xml:space="preserve">establishing </w:t>
      </w:r>
      <w:r w:rsidR="00EA1718">
        <w:rPr>
          <w:spacing w:val="-3"/>
        </w:rPr>
        <w:t>proof by a</w:t>
      </w:r>
      <w:r w:rsidR="00FE0E93">
        <w:rPr>
          <w:spacing w:val="-3"/>
        </w:rPr>
        <w:t>n</w:t>
      </w:r>
      <w:r w:rsidR="00EA1718">
        <w:rPr>
          <w:spacing w:val="-3"/>
        </w:rPr>
        <w:t xml:space="preserve"> evidentiary standard referred to as a</w:t>
      </w:r>
      <w:r w:rsidR="003A176D" w:rsidRPr="00D07016">
        <w:rPr>
          <w:spacing w:val="-3"/>
        </w:rPr>
        <w:t xml:space="preserve"> </w:t>
      </w:r>
      <w:r w:rsidR="00EA1718">
        <w:rPr>
          <w:spacing w:val="-3"/>
        </w:rPr>
        <w:t>“</w:t>
      </w:r>
      <w:r w:rsidR="003A176D" w:rsidRPr="00D07016">
        <w:rPr>
          <w:spacing w:val="-3"/>
        </w:rPr>
        <w:t>preponderance of the evidence.</w:t>
      </w:r>
      <w:r w:rsidR="00EA1718">
        <w:rPr>
          <w:spacing w:val="-3"/>
        </w:rPr>
        <w:t xml:space="preserve">” </w:t>
      </w:r>
      <w:r w:rsidR="00EA1718">
        <w:rPr>
          <w:i/>
          <w:spacing w:val="-3"/>
        </w:rPr>
        <w:t>See</w:t>
      </w:r>
      <w:r w:rsidR="003A176D" w:rsidRPr="00D07016">
        <w:rPr>
          <w:spacing w:val="-3"/>
        </w:rPr>
        <w:t xml:space="preserve"> 66 Pa.</w:t>
      </w:r>
      <w:r w:rsidR="00EA1718">
        <w:rPr>
          <w:spacing w:val="-3"/>
        </w:rPr>
        <w:t xml:space="preserve"> </w:t>
      </w:r>
      <w:r w:rsidR="003A176D" w:rsidRPr="00D07016">
        <w:rPr>
          <w:spacing w:val="-3"/>
        </w:rPr>
        <w:t xml:space="preserve">C.S. § 701; </w:t>
      </w:r>
      <w:r w:rsidR="003A176D" w:rsidRPr="00EA1718">
        <w:rPr>
          <w:i/>
          <w:spacing w:val="-3"/>
        </w:rPr>
        <w:t>Patterson v. Bell Telephone Company of Pennsylvania</w:t>
      </w:r>
      <w:r w:rsidR="003A176D" w:rsidRPr="00D07016">
        <w:rPr>
          <w:spacing w:val="-3"/>
        </w:rPr>
        <w:t>, 72 Pa. PUC 196 (1990).  Preponderance of the evidence means that the party with the burden of proof has presented evidence that is more convincing</w:t>
      </w:r>
      <w:r w:rsidR="00DB2B17">
        <w:rPr>
          <w:spacing w:val="-3"/>
        </w:rPr>
        <w:t>,</w:t>
      </w:r>
      <w:r w:rsidR="00DB2B17" w:rsidRPr="00496592">
        <w:rPr>
          <w:rFonts w:ascii="Times New (W1)" w:hAnsi="Times New (W1)"/>
        </w:rPr>
        <w:t xml:space="preserve"> by even the smallest amount, than that presented by</w:t>
      </w:r>
      <w:r w:rsidR="00DB2B17">
        <w:rPr>
          <w:rFonts w:ascii="Times New (W1)" w:hAnsi="Times New (W1)"/>
        </w:rPr>
        <w:t xml:space="preserve"> t</w:t>
      </w:r>
      <w:r w:rsidR="003A176D" w:rsidRPr="00D07016">
        <w:rPr>
          <w:spacing w:val="-3"/>
        </w:rPr>
        <w:t xml:space="preserve">he other party.  </w:t>
      </w:r>
      <w:r w:rsidR="003A176D" w:rsidRPr="00EA1718">
        <w:rPr>
          <w:i/>
          <w:spacing w:val="-3"/>
        </w:rPr>
        <w:t>Samuel J. Lansberry, Inc. v. Pa. PUC</w:t>
      </w:r>
      <w:r w:rsidR="003A176D" w:rsidRPr="00D07016">
        <w:rPr>
          <w:spacing w:val="-3"/>
        </w:rPr>
        <w:t>, 578 A.2d 600; 602 (</w:t>
      </w:r>
      <w:r w:rsidR="00EA1718">
        <w:rPr>
          <w:spacing w:val="-3"/>
        </w:rPr>
        <w:t xml:space="preserve">Pa. Cmwlth. </w:t>
      </w:r>
      <w:r w:rsidR="003A176D" w:rsidRPr="00D07016">
        <w:rPr>
          <w:spacing w:val="-3"/>
        </w:rPr>
        <w:t xml:space="preserve">1990), </w:t>
      </w:r>
      <w:r w:rsidR="003A176D" w:rsidRPr="00EA1718">
        <w:rPr>
          <w:i/>
          <w:iCs/>
          <w:spacing w:val="-3"/>
        </w:rPr>
        <w:t>alloc. denied</w:t>
      </w:r>
      <w:r w:rsidR="003A176D" w:rsidRPr="00D07016">
        <w:rPr>
          <w:iCs/>
          <w:spacing w:val="-3"/>
        </w:rPr>
        <w:t>,</w:t>
      </w:r>
      <w:r w:rsidR="003A176D" w:rsidRPr="00D07016">
        <w:rPr>
          <w:spacing w:val="-3"/>
        </w:rPr>
        <w:t xml:space="preserve"> 529 Pa. 654, 602 A.2d 863 (1992)</w:t>
      </w:r>
      <w:r w:rsidR="00A34C30">
        <w:rPr>
          <w:spacing w:val="-3"/>
        </w:rPr>
        <w:t xml:space="preserve">; </w:t>
      </w:r>
      <w:r w:rsidR="00A34C30" w:rsidRPr="00496592">
        <w:rPr>
          <w:rFonts w:ascii="Times New (W1)" w:hAnsi="Times New (W1)"/>
          <w:i/>
        </w:rPr>
        <w:t>Se-Ling Hosiery, Inc. v. Margulies</w:t>
      </w:r>
      <w:r w:rsidR="00A34C30" w:rsidRPr="00496592">
        <w:rPr>
          <w:rFonts w:ascii="Times New (W1)" w:hAnsi="Times New (W1)"/>
        </w:rPr>
        <w:t>, 364 Pa. 45, 70 A.2d 854 (1950).</w:t>
      </w:r>
      <w:r w:rsidR="00607E62">
        <w:rPr>
          <w:spacing w:val="-3"/>
        </w:rPr>
        <w:t xml:space="preserve">  </w:t>
      </w:r>
      <w:r w:rsidR="00607E62">
        <w:rPr>
          <w:i/>
          <w:spacing w:val="-3"/>
        </w:rPr>
        <w:t xml:space="preserve">See </w:t>
      </w:r>
      <w:r w:rsidR="00607E62">
        <w:rPr>
          <w:spacing w:val="-3"/>
        </w:rPr>
        <w:t>I.D. at</w:t>
      </w:r>
      <w:r w:rsidR="00B029C0">
        <w:rPr>
          <w:spacing w:val="-3"/>
        </w:rPr>
        <w:t> </w:t>
      </w:r>
      <w:r w:rsidR="00607E62">
        <w:rPr>
          <w:spacing w:val="-3"/>
        </w:rPr>
        <w:t>11.</w:t>
      </w:r>
    </w:p>
    <w:p w:rsidR="00AE1409" w:rsidRDefault="00AE1409" w:rsidP="003A176D">
      <w:pPr>
        <w:tabs>
          <w:tab w:val="left" w:pos="-1440"/>
          <w:tab w:val="left" w:pos="-720"/>
        </w:tabs>
        <w:suppressAutoHyphens/>
        <w:spacing w:line="360" w:lineRule="auto"/>
        <w:ind w:firstLine="1440"/>
        <w:rPr>
          <w:spacing w:val="-3"/>
        </w:rPr>
      </w:pPr>
    </w:p>
    <w:p w:rsidR="003A176D" w:rsidRPr="00D07016" w:rsidRDefault="003A176D" w:rsidP="003A176D">
      <w:pPr>
        <w:tabs>
          <w:tab w:val="left" w:pos="-1440"/>
          <w:tab w:val="left" w:pos="-720"/>
        </w:tabs>
        <w:suppressAutoHyphens/>
        <w:spacing w:line="360" w:lineRule="auto"/>
        <w:ind w:firstLine="1440"/>
        <w:rPr>
          <w:spacing w:val="-3"/>
        </w:rPr>
      </w:pPr>
      <w:r w:rsidRPr="00D07016">
        <w:rPr>
          <w:spacing w:val="-3"/>
        </w:rPr>
        <w:t>In addition</w:t>
      </w:r>
      <w:r w:rsidR="00AE1409">
        <w:rPr>
          <w:spacing w:val="-3"/>
        </w:rPr>
        <w:t xml:space="preserve"> to proof by a preponderance of the evidence</w:t>
      </w:r>
      <w:r w:rsidRPr="00D07016">
        <w:rPr>
          <w:spacing w:val="-3"/>
        </w:rPr>
        <w:t xml:space="preserve">, the Commission’s findings of fact must be supported by “substantial evidence,” which consists of evidence that a reasonable mind might accept as adequate to support a conclusion.  A mere “trace of evidence or a suspicion of the existence of a fact” is insufficient.  </w:t>
      </w:r>
      <w:r w:rsidRPr="00EA1718">
        <w:rPr>
          <w:i/>
          <w:spacing w:val="-3"/>
        </w:rPr>
        <w:t>Norfolk and Western Railway v. Pa. PUC</w:t>
      </w:r>
      <w:r w:rsidRPr="00D07016">
        <w:rPr>
          <w:spacing w:val="-3"/>
        </w:rPr>
        <w:t>, 489 Pa. 109, 413 A.2d 1037 (1980).</w:t>
      </w:r>
      <w:r w:rsidR="00861817">
        <w:rPr>
          <w:spacing w:val="-3"/>
        </w:rPr>
        <w:t xml:space="preserve">  I.D. at 11.</w:t>
      </w:r>
    </w:p>
    <w:p w:rsidR="003A176D" w:rsidRPr="0040550D" w:rsidRDefault="003A176D" w:rsidP="003A176D">
      <w:pPr>
        <w:tabs>
          <w:tab w:val="left" w:pos="-1440"/>
          <w:tab w:val="left" w:pos="-720"/>
        </w:tabs>
        <w:suppressAutoHyphens/>
        <w:spacing w:line="360" w:lineRule="auto"/>
        <w:ind w:firstLine="1440"/>
        <w:rPr>
          <w:spacing w:val="-3"/>
        </w:rPr>
      </w:pPr>
    </w:p>
    <w:p w:rsidR="003A176D" w:rsidRPr="00AE487E" w:rsidRDefault="00AE1409" w:rsidP="003A176D">
      <w:pPr>
        <w:tabs>
          <w:tab w:val="left" w:pos="-1440"/>
          <w:tab w:val="left" w:pos="-720"/>
        </w:tabs>
        <w:suppressAutoHyphens/>
        <w:spacing w:line="360" w:lineRule="auto"/>
        <w:ind w:firstLine="1440"/>
      </w:pPr>
      <w:r>
        <w:rPr>
          <w:spacing w:val="-3"/>
        </w:rPr>
        <w:t xml:space="preserve">Also, </w:t>
      </w:r>
      <w:r w:rsidR="00662BD8">
        <w:rPr>
          <w:spacing w:val="-3"/>
        </w:rPr>
        <w:t xml:space="preserve">the </w:t>
      </w:r>
      <w:r w:rsidR="003A176D" w:rsidRPr="0040550D">
        <w:rPr>
          <w:spacing w:val="-3"/>
        </w:rPr>
        <w:t xml:space="preserve">Complainant must initially produce sufficient credible evidence to establish a </w:t>
      </w:r>
      <w:r w:rsidR="003A176D" w:rsidRPr="0040550D">
        <w:rPr>
          <w:i/>
          <w:spacing w:val="-3"/>
        </w:rPr>
        <w:t>prima facie</w:t>
      </w:r>
      <w:r w:rsidR="003A176D" w:rsidRPr="0040550D">
        <w:rPr>
          <w:spacing w:val="-3"/>
        </w:rPr>
        <w:t xml:space="preserve"> case.  </w:t>
      </w:r>
      <w:r w:rsidR="003A176D" w:rsidRPr="00EA1718">
        <w:rPr>
          <w:i/>
          <w:spacing w:val="-3"/>
        </w:rPr>
        <w:t>Morrissey v. Dep’t of Highways</w:t>
      </w:r>
      <w:r w:rsidR="003A176D" w:rsidRPr="0040550D">
        <w:rPr>
          <w:spacing w:val="-3"/>
        </w:rPr>
        <w:t xml:space="preserve">, 424 Pa. 87, 225 A.2d 895 (1967).  If </w:t>
      </w:r>
      <w:r w:rsidR="00662BD8">
        <w:rPr>
          <w:spacing w:val="-3"/>
        </w:rPr>
        <w:t xml:space="preserve">the </w:t>
      </w:r>
      <w:r w:rsidR="003A176D" w:rsidRPr="0040550D">
        <w:rPr>
          <w:spacing w:val="-3"/>
        </w:rPr>
        <w:t xml:space="preserve">Complainant does so, the burden of going forward with </w:t>
      </w:r>
      <w:r w:rsidR="00EA6280">
        <w:rPr>
          <w:spacing w:val="-3"/>
        </w:rPr>
        <w:t xml:space="preserve">the </w:t>
      </w:r>
      <w:r w:rsidR="003A176D" w:rsidRPr="0040550D">
        <w:rPr>
          <w:spacing w:val="-3"/>
        </w:rPr>
        <w:t xml:space="preserve">evidence shifts to </w:t>
      </w:r>
      <w:r w:rsidR="00EA1718">
        <w:rPr>
          <w:spacing w:val="-3"/>
        </w:rPr>
        <w:t xml:space="preserve">GTL, as </w:t>
      </w:r>
      <w:r w:rsidR="003A176D" w:rsidRPr="0040550D">
        <w:rPr>
          <w:spacing w:val="-3"/>
        </w:rPr>
        <w:t>Respondent</w:t>
      </w:r>
      <w:r w:rsidR="00EA1718">
        <w:rPr>
          <w:spacing w:val="-3"/>
        </w:rPr>
        <w:t>,</w:t>
      </w:r>
      <w:r w:rsidR="003A176D" w:rsidRPr="0040550D">
        <w:rPr>
          <w:spacing w:val="-3"/>
        </w:rPr>
        <w:t xml:space="preserve"> to produce credible evidence of at least co-equal weight.  This burden </w:t>
      </w:r>
      <w:r w:rsidR="003A176D" w:rsidRPr="0040550D">
        <w:rPr>
          <w:spacing w:val="-3"/>
        </w:rPr>
        <w:lastRenderedPageBreak/>
        <w:t xml:space="preserve">of going forward with </w:t>
      </w:r>
      <w:r w:rsidR="00EA6280">
        <w:rPr>
          <w:spacing w:val="-3"/>
        </w:rPr>
        <w:t xml:space="preserve">the </w:t>
      </w:r>
      <w:r w:rsidR="003A176D" w:rsidRPr="0040550D">
        <w:rPr>
          <w:spacing w:val="-3"/>
        </w:rPr>
        <w:t>evidence may shift back and forth between the parties</w:t>
      </w:r>
      <w:r w:rsidR="00EA1718">
        <w:rPr>
          <w:spacing w:val="-3"/>
        </w:rPr>
        <w:t xml:space="preserve">.  However, </w:t>
      </w:r>
      <w:r w:rsidR="003A176D" w:rsidRPr="0040550D">
        <w:rPr>
          <w:spacing w:val="-3"/>
        </w:rPr>
        <w:t xml:space="preserve">the ultimate burden of persuasion remains with </w:t>
      </w:r>
      <w:r w:rsidR="00662BD8">
        <w:rPr>
          <w:spacing w:val="-3"/>
        </w:rPr>
        <w:t xml:space="preserve">the </w:t>
      </w:r>
      <w:r w:rsidR="003A176D" w:rsidRPr="0040550D">
        <w:rPr>
          <w:spacing w:val="-3"/>
        </w:rPr>
        <w:t xml:space="preserve">Complainant. </w:t>
      </w:r>
      <w:r w:rsidR="00EA1718">
        <w:rPr>
          <w:spacing w:val="-3"/>
        </w:rPr>
        <w:t xml:space="preserve"> </w:t>
      </w:r>
      <w:r w:rsidR="003A176D" w:rsidRPr="00EA1718">
        <w:rPr>
          <w:i/>
          <w:spacing w:val="-3"/>
        </w:rPr>
        <w:t>Milkie v. Pa. PUC</w:t>
      </w:r>
      <w:r w:rsidR="003A176D" w:rsidRPr="0040550D">
        <w:rPr>
          <w:spacing w:val="-3"/>
        </w:rPr>
        <w:t>, 768 A.2d 1217 (Pa.</w:t>
      </w:r>
      <w:r w:rsidR="00EA1718">
        <w:rPr>
          <w:spacing w:val="-3"/>
        </w:rPr>
        <w:t xml:space="preserve"> </w:t>
      </w:r>
      <w:r w:rsidR="003A176D" w:rsidRPr="0040550D">
        <w:rPr>
          <w:spacing w:val="-3"/>
        </w:rPr>
        <w:t>Cmwlth. 2001).</w:t>
      </w:r>
      <w:r w:rsidR="00AE487E">
        <w:rPr>
          <w:spacing w:val="-3"/>
        </w:rPr>
        <w:t xml:space="preserve">  </w:t>
      </w:r>
      <w:r w:rsidR="00AE487E">
        <w:rPr>
          <w:i/>
          <w:spacing w:val="-3"/>
        </w:rPr>
        <w:t xml:space="preserve">See </w:t>
      </w:r>
      <w:r w:rsidR="00AE487E">
        <w:rPr>
          <w:spacing w:val="-3"/>
        </w:rPr>
        <w:t>I.D. at 11.</w:t>
      </w:r>
    </w:p>
    <w:p w:rsidR="00AE1409" w:rsidRDefault="00AE1409" w:rsidP="00AE1409">
      <w:pPr>
        <w:spacing w:line="360" w:lineRule="auto"/>
      </w:pPr>
    </w:p>
    <w:p w:rsidR="00AE1409" w:rsidRPr="003A176D" w:rsidRDefault="00AE1409" w:rsidP="00AE1409">
      <w:pPr>
        <w:spacing w:line="360" w:lineRule="auto"/>
        <w:rPr>
          <w:b/>
        </w:rPr>
      </w:pPr>
      <w:r w:rsidRPr="003A176D">
        <w:rPr>
          <w:b/>
        </w:rPr>
        <w:t>ALJ’s Recommendation</w:t>
      </w:r>
    </w:p>
    <w:p w:rsidR="00AE1409" w:rsidRDefault="00AE1409" w:rsidP="00AE1409">
      <w:pPr>
        <w:spacing w:line="360" w:lineRule="auto"/>
      </w:pPr>
    </w:p>
    <w:p w:rsidR="009B62A3" w:rsidRDefault="00AE1409" w:rsidP="0034764A">
      <w:pPr>
        <w:spacing w:line="360" w:lineRule="auto"/>
        <w:ind w:firstLine="1440"/>
      </w:pPr>
      <w:r>
        <w:t xml:space="preserve">The presiding ALJ reached forty-four Findings of Fact and drew </w:t>
      </w:r>
      <w:r w:rsidR="00345146">
        <w:t xml:space="preserve">twelve </w:t>
      </w:r>
      <w:r>
        <w:t xml:space="preserve">Conclusions of Law.  We shall adopt </w:t>
      </w:r>
      <w:r w:rsidR="00E325B9">
        <w:t xml:space="preserve">the </w:t>
      </w:r>
      <w:r>
        <w:t xml:space="preserve">said Findings of Fact and Conclusions of Law </w:t>
      </w:r>
      <w:r w:rsidR="009B62A3">
        <w:t xml:space="preserve">of ALJ Hoyer </w:t>
      </w:r>
      <w:r>
        <w:t xml:space="preserve">and expressly incorporate them into our disposition unless </w:t>
      </w:r>
      <w:r w:rsidR="00E325B9">
        <w:t xml:space="preserve">they are </w:t>
      </w:r>
      <w:r>
        <w:t>expressly rejected by our discussion or rejected by necessary implication from our disposition.</w:t>
      </w:r>
      <w:r w:rsidR="00332FCA">
        <w:t xml:space="preserve">  The pertinent Conclusions of Law are reprinted below:</w:t>
      </w:r>
    </w:p>
    <w:p w:rsidR="009B62A3" w:rsidRDefault="009B62A3" w:rsidP="00AE1409">
      <w:pPr>
        <w:spacing w:line="360" w:lineRule="auto"/>
        <w:ind w:firstLine="1440"/>
      </w:pPr>
    </w:p>
    <w:p w:rsidR="00332FCA" w:rsidRPr="00332FCA" w:rsidRDefault="00332FCA" w:rsidP="00332FCA">
      <w:pPr>
        <w:pStyle w:val="ParaTab1"/>
        <w:ind w:left="1440" w:right="1440" w:firstLine="0"/>
        <w:rPr>
          <w:rFonts w:ascii="Times New Roman" w:hAnsi="Times New Roman" w:cs="Times New Roman"/>
          <w:spacing w:val="-3"/>
          <w:sz w:val="26"/>
          <w:szCs w:val="26"/>
        </w:rPr>
      </w:pPr>
      <w:r>
        <w:rPr>
          <w:rFonts w:ascii="Times New Roman" w:hAnsi="Times New Roman" w:cs="Times New Roman"/>
          <w:spacing w:val="-3"/>
          <w:sz w:val="26"/>
          <w:szCs w:val="26"/>
        </w:rPr>
        <w:tab/>
      </w:r>
      <w:r w:rsidRPr="00332FCA">
        <w:rPr>
          <w:rFonts w:ascii="Times New Roman" w:hAnsi="Times New Roman" w:cs="Times New Roman"/>
          <w:spacing w:val="-3"/>
          <w:sz w:val="26"/>
          <w:szCs w:val="26"/>
        </w:rPr>
        <w:t>7.</w:t>
      </w:r>
      <w:r w:rsidRPr="00332FCA">
        <w:rPr>
          <w:rFonts w:ascii="Times New Roman" w:hAnsi="Times New Roman" w:cs="Times New Roman"/>
          <w:spacing w:val="-3"/>
          <w:sz w:val="26"/>
          <w:szCs w:val="26"/>
        </w:rPr>
        <w:tab/>
        <w:t xml:space="preserve">In </w:t>
      </w:r>
      <w:r w:rsidRPr="00332FCA">
        <w:rPr>
          <w:rFonts w:ascii="Times New Roman" w:hAnsi="Times New Roman" w:cs="Times New Roman"/>
          <w:i/>
          <w:spacing w:val="-3"/>
          <w:sz w:val="26"/>
          <w:szCs w:val="26"/>
        </w:rPr>
        <w:t>Tyrone Gibbs, FS-7093 v. Global Tel Link Corp.</w:t>
      </w:r>
      <w:r w:rsidRPr="00332FCA">
        <w:rPr>
          <w:rFonts w:ascii="Times New Roman" w:hAnsi="Times New Roman" w:cs="Times New Roman"/>
          <w:spacing w:val="-3"/>
          <w:sz w:val="26"/>
          <w:szCs w:val="26"/>
        </w:rPr>
        <w:t xml:space="preserve">, Docket No. C-2013-2358084 (Opinion and Order entered July 10, 2015), the Commission clarified and modified the third prong of </w:t>
      </w:r>
      <w:r w:rsidRPr="00332FCA">
        <w:rPr>
          <w:rFonts w:ascii="Times New Roman" w:hAnsi="Times New Roman" w:cs="Times New Roman"/>
          <w:i/>
          <w:spacing w:val="-3"/>
          <w:sz w:val="26"/>
          <w:szCs w:val="26"/>
        </w:rPr>
        <w:t>Feigley</w:t>
      </w:r>
      <w:r w:rsidRPr="00332FCA">
        <w:rPr>
          <w:rFonts w:ascii="Times New Roman" w:hAnsi="Times New Roman" w:cs="Times New Roman"/>
          <w:spacing w:val="-3"/>
          <w:sz w:val="26"/>
          <w:szCs w:val="26"/>
        </w:rPr>
        <w:t xml:space="preserve"> with respect to dropped calls made to cell phones and concluded that Gibbs had established a </w:t>
      </w:r>
      <w:r w:rsidRPr="00332FCA">
        <w:rPr>
          <w:rFonts w:ascii="Times New Roman" w:hAnsi="Times New Roman" w:cs="Times New Roman"/>
          <w:i/>
          <w:spacing w:val="-3"/>
          <w:sz w:val="26"/>
          <w:szCs w:val="26"/>
        </w:rPr>
        <w:t>prima facie</w:t>
      </w:r>
      <w:r w:rsidRPr="00332FCA">
        <w:rPr>
          <w:rFonts w:ascii="Times New Roman" w:hAnsi="Times New Roman" w:cs="Times New Roman"/>
          <w:spacing w:val="-3"/>
          <w:sz w:val="26"/>
          <w:szCs w:val="26"/>
        </w:rPr>
        <w:t xml:space="preserve"> case that he was entitled to refunds for dropped calls made to cellular phones based upon the unique facts and circumstances of the case.</w:t>
      </w:r>
    </w:p>
    <w:p w:rsidR="00332FCA" w:rsidRPr="00332FCA" w:rsidRDefault="00332FCA" w:rsidP="00332FCA">
      <w:pPr>
        <w:pStyle w:val="ParaTab1"/>
        <w:ind w:left="1440" w:right="1440" w:firstLine="0"/>
        <w:rPr>
          <w:rFonts w:ascii="Times New Roman" w:hAnsi="Times New Roman" w:cs="Times New Roman"/>
          <w:spacing w:val="-3"/>
          <w:sz w:val="26"/>
          <w:szCs w:val="26"/>
        </w:rPr>
      </w:pPr>
    </w:p>
    <w:p w:rsidR="00332FCA" w:rsidRDefault="00332FCA" w:rsidP="00332FCA">
      <w:pPr>
        <w:pStyle w:val="ParaTab1"/>
        <w:ind w:left="1440" w:right="1440" w:firstLine="0"/>
        <w:rPr>
          <w:rFonts w:ascii="Times New Roman" w:hAnsi="Times New Roman" w:cs="Times New Roman"/>
          <w:spacing w:val="-3"/>
          <w:sz w:val="26"/>
          <w:szCs w:val="26"/>
        </w:rPr>
      </w:pPr>
      <w:r>
        <w:rPr>
          <w:rFonts w:ascii="Times New Roman" w:hAnsi="Times New Roman" w:cs="Times New Roman"/>
          <w:spacing w:val="-3"/>
          <w:sz w:val="26"/>
          <w:szCs w:val="26"/>
        </w:rPr>
        <w:tab/>
      </w:r>
      <w:r w:rsidRPr="00332FCA">
        <w:rPr>
          <w:rFonts w:ascii="Times New Roman" w:hAnsi="Times New Roman" w:cs="Times New Roman"/>
          <w:spacing w:val="-3"/>
          <w:sz w:val="26"/>
          <w:szCs w:val="26"/>
        </w:rPr>
        <w:t>8.</w:t>
      </w:r>
      <w:r w:rsidRPr="00332FCA">
        <w:rPr>
          <w:rFonts w:ascii="Times New Roman" w:hAnsi="Times New Roman" w:cs="Times New Roman"/>
          <w:spacing w:val="-3"/>
          <w:sz w:val="26"/>
          <w:szCs w:val="26"/>
        </w:rPr>
        <w:tab/>
        <w:t xml:space="preserve">Complainant here, like in </w:t>
      </w:r>
      <w:r w:rsidRPr="00332FCA">
        <w:rPr>
          <w:rFonts w:ascii="Times New Roman" w:hAnsi="Times New Roman" w:cs="Times New Roman"/>
          <w:i/>
          <w:spacing w:val="-3"/>
          <w:sz w:val="26"/>
          <w:szCs w:val="26"/>
        </w:rPr>
        <w:t>Gibbs</w:t>
      </w:r>
      <w:r w:rsidRPr="00332FCA">
        <w:rPr>
          <w:rFonts w:ascii="Times New Roman" w:hAnsi="Times New Roman" w:cs="Times New Roman"/>
          <w:spacing w:val="-3"/>
          <w:sz w:val="26"/>
          <w:szCs w:val="26"/>
        </w:rPr>
        <w:t xml:space="preserve">, established a </w:t>
      </w:r>
      <w:r w:rsidRPr="00332FCA">
        <w:rPr>
          <w:rFonts w:ascii="Times New Roman" w:hAnsi="Times New Roman" w:cs="Times New Roman"/>
          <w:i/>
          <w:spacing w:val="-3"/>
          <w:sz w:val="26"/>
          <w:szCs w:val="26"/>
        </w:rPr>
        <w:t>prima facie</w:t>
      </w:r>
      <w:r w:rsidRPr="00332FCA">
        <w:rPr>
          <w:rFonts w:ascii="Times New Roman" w:hAnsi="Times New Roman" w:cs="Times New Roman"/>
          <w:spacing w:val="-3"/>
          <w:sz w:val="26"/>
          <w:szCs w:val="26"/>
        </w:rPr>
        <w:t xml:space="preserve"> case regarding refund requests for dropped calls made to cellular phones and has therefore met his burden of proof for calls made on the following days: </w:t>
      </w:r>
      <w:r w:rsidRPr="00332FCA">
        <w:rPr>
          <w:rFonts w:ascii="Times New Roman" w:hAnsi="Times New Roman" w:cs="Times New Roman"/>
          <w:sz w:val="26"/>
          <w:szCs w:val="26"/>
        </w:rPr>
        <w:t>August 13, 2013, August 20, 2013, August 29, 2013, October 8, 2013, January</w:t>
      </w:r>
      <w:r w:rsidR="00865A5B">
        <w:rPr>
          <w:rFonts w:ascii="Times New Roman" w:hAnsi="Times New Roman" w:cs="Times New Roman"/>
          <w:sz w:val="26"/>
          <w:szCs w:val="26"/>
        </w:rPr>
        <w:t> </w:t>
      </w:r>
      <w:r w:rsidRPr="00332FCA">
        <w:rPr>
          <w:rFonts w:ascii="Times New Roman" w:hAnsi="Times New Roman" w:cs="Times New Roman"/>
          <w:sz w:val="26"/>
          <w:szCs w:val="26"/>
        </w:rPr>
        <w:t>14, 2014, Mar</w:t>
      </w:r>
      <w:r w:rsidR="00865A5B">
        <w:rPr>
          <w:rFonts w:ascii="Times New Roman" w:hAnsi="Times New Roman" w:cs="Times New Roman"/>
          <w:sz w:val="26"/>
          <w:szCs w:val="26"/>
        </w:rPr>
        <w:t>ch 26, 2014 and May 7, 2014.</w:t>
      </w:r>
    </w:p>
    <w:p w:rsidR="00332FCA" w:rsidRPr="00332FCA" w:rsidRDefault="00332FCA" w:rsidP="00332FCA">
      <w:pPr>
        <w:pStyle w:val="ParaTab1"/>
        <w:ind w:left="1440" w:right="1440" w:firstLine="0"/>
        <w:rPr>
          <w:rFonts w:ascii="Times New Roman" w:hAnsi="Times New Roman" w:cs="Times New Roman"/>
          <w:spacing w:val="-3"/>
          <w:sz w:val="26"/>
          <w:szCs w:val="26"/>
        </w:rPr>
      </w:pPr>
    </w:p>
    <w:p w:rsidR="00332FCA" w:rsidRPr="00332FCA" w:rsidRDefault="00332FCA" w:rsidP="00332FCA">
      <w:pPr>
        <w:ind w:left="1440" w:right="1440"/>
      </w:pPr>
    </w:p>
    <w:p w:rsidR="00332FCA" w:rsidRDefault="00332FCA" w:rsidP="00332FCA">
      <w:pPr>
        <w:spacing w:line="360" w:lineRule="auto"/>
        <w:jc w:val="center"/>
      </w:pPr>
      <w:r>
        <w:t>*          *          *</w:t>
      </w:r>
    </w:p>
    <w:p w:rsidR="00332FCA" w:rsidRPr="00332FCA" w:rsidRDefault="00332FCA" w:rsidP="00332FCA">
      <w:pPr>
        <w:ind w:left="1440" w:right="1440"/>
      </w:pPr>
    </w:p>
    <w:p w:rsidR="00332FCA" w:rsidRPr="00332FCA" w:rsidRDefault="00332FCA" w:rsidP="00332FCA">
      <w:pPr>
        <w:pStyle w:val="ParaTab1"/>
        <w:ind w:left="1440" w:right="1440" w:firstLine="0"/>
        <w:rPr>
          <w:rFonts w:ascii="Times New Roman" w:hAnsi="Times New Roman" w:cs="Times New Roman"/>
          <w:spacing w:val="-3"/>
          <w:sz w:val="26"/>
          <w:szCs w:val="26"/>
        </w:rPr>
      </w:pPr>
      <w:r w:rsidRPr="00332FCA">
        <w:rPr>
          <w:rFonts w:ascii="Times New Roman" w:hAnsi="Times New Roman" w:cs="Times New Roman"/>
          <w:sz w:val="26"/>
          <w:szCs w:val="26"/>
        </w:rPr>
        <w:tab/>
        <w:t>12.</w:t>
      </w:r>
      <w:r w:rsidRPr="00332FCA">
        <w:rPr>
          <w:rFonts w:ascii="Times New Roman" w:hAnsi="Times New Roman" w:cs="Times New Roman"/>
          <w:sz w:val="26"/>
          <w:szCs w:val="26"/>
        </w:rPr>
        <w:tab/>
        <w:t xml:space="preserve">A telecommunications provider can be penalized for providing inadequate and/or unreasonable service.  </w:t>
      </w:r>
      <w:r w:rsidRPr="00332FCA">
        <w:rPr>
          <w:rFonts w:ascii="Times New Roman" w:hAnsi="Times New Roman" w:cs="Times New Roman"/>
          <w:i/>
          <w:spacing w:val="-3"/>
          <w:sz w:val="26"/>
          <w:szCs w:val="26"/>
        </w:rPr>
        <w:t>Yount et al v. T-Netix, Inc. and T-Netix Telecommunications, Inc.,</w:t>
      </w:r>
      <w:r w:rsidRPr="00332FCA">
        <w:rPr>
          <w:rFonts w:ascii="Times New Roman" w:hAnsi="Times New Roman" w:cs="Times New Roman"/>
          <w:spacing w:val="-3"/>
          <w:sz w:val="26"/>
          <w:szCs w:val="26"/>
        </w:rPr>
        <w:t xml:space="preserve"> Docket No. C</w:t>
      </w:r>
      <w:r w:rsidRPr="00332FCA">
        <w:rPr>
          <w:rFonts w:ascii="Times New Roman" w:hAnsi="Times New Roman" w:cs="Times New Roman"/>
          <w:spacing w:val="-3"/>
          <w:sz w:val="26"/>
          <w:szCs w:val="26"/>
        </w:rPr>
        <w:noBreakHyphen/>
        <w:t xml:space="preserve">20042655 (Order, entered May 2, 2008); and </w:t>
      </w:r>
      <w:r w:rsidRPr="00332FCA">
        <w:rPr>
          <w:rFonts w:ascii="Times New Roman" w:hAnsi="Times New Roman" w:cs="Times New Roman"/>
          <w:i/>
          <w:spacing w:val="-3"/>
          <w:sz w:val="26"/>
          <w:szCs w:val="26"/>
        </w:rPr>
        <w:t xml:space="preserve">Franks v. T-Netix, Inc. and T-Netix </w:t>
      </w:r>
      <w:r w:rsidRPr="00332FCA">
        <w:rPr>
          <w:rFonts w:ascii="Times New Roman" w:hAnsi="Times New Roman" w:cs="Times New Roman"/>
          <w:i/>
          <w:spacing w:val="-3"/>
          <w:sz w:val="26"/>
          <w:szCs w:val="26"/>
        </w:rPr>
        <w:lastRenderedPageBreak/>
        <w:t xml:space="preserve">Telecommunications, Inc., </w:t>
      </w:r>
      <w:r w:rsidRPr="00332FCA">
        <w:rPr>
          <w:rFonts w:ascii="Times New Roman" w:hAnsi="Times New Roman" w:cs="Times New Roman"/>
          <w:spacing w:val="-3"/>
          <w:sz w:val="26"/>
          <w:szCs w:val="26"/>
        </w:rPr>
        <w:t>Docket No. C</w:t>
      </w:r>
      <w:r w:rsidRPr="00332FCA">
        <w:rPr>
          <w:rFonts w:ascii="Times New Roman" w:hAnsi="Times New Roman" w:cs="Times New Roman"/>
          <w:spacing w:val="-3"/>
          <w:sz w:val="26"/>
          <w:szCs w:val="26"/>
        </w:rPr>
        <w:noBreakHyphen/>
        <w:t xml:space="preserve">20030123 (Order, entered April 25, 2006).  </w:t>
      </w:r>
    </w:p>
    <w:p w:rsidR="00332FCA" w:rsidRDefault="00332FCA" w:rsidP="00332FCA"/>
    <w:p w:rsidR="00C12354" w:rsidRDefault="00C12354" w:rsidP="00332FCA">
      <w:pPr>
        <w:spacing w:line="360" w:lineRule="auto"/>
      </w:pPr>
    </w:p>
    <w:p w:rsidR="00AE1409" w:rsidRDefault="00332FCA" w:rsidP="00332FCA">
      <w:pPr>
        <w:spacing w:line="360" w:lineRule="auto"/>
      </w:pPr>
      <w:r>
        <w:t>I.D. at 18-20.</w:t>
      </w:r>
    </w:p>
    <w:p w:rsidR="00AE1409" w:rsidRPr="0040550D" w:rsidRDefault="00AE1409" w:rsidP="00086BA2">
      <w:pPr>
        <w:spacing w:line="360" w:lineRule="auto"/>
      </w:pPr>
    </w:p>
    <w:p w:rsidR="00AE1409" w:rsidRDefault="0082124B" w:rsidP="0082124B">
      <w:pPr>
        <w:spacing w:line="360" w:lineRule="auto"/>
      </w:pPr>
      <w:r w:rsidRPr="0040550D">
        <w:tab/>
      </w:r>
      <w:r w:rsidRPr="0040550D">
        <w:tab/>
      </w:r>
      <w:r w:rsidR="00AE1409">
        <w:t>Mr. Robinson ra</w:t>
      </w:r>
      <w:r w:rsidRPr="0040550D">
        <w:t xml:space="preserve">ised three issues in his </w:t>
      </w:r>
      <w:r w:rsidR="00AE1409">
        <w:t>C</w:t>
      </w:r>
      <w:r w:rsidRPr="0040550D">
        <w:t xml:space="preserve">omplaint.  </w:t>
      </w:r>
      <w:r w:rsidR="00AE1409">
        <w:t>First, Mr. Robinson</w:t>
      </w:r>
      <w:r w:rsidRPr="0040550D">
        <w:t xml:space="preserve"> complain</w:t>
      </w:r>
      <w:r w:rsidR="00AE1409">
        <w:t>ed</w:t>
      </w:r>
      <w:r w:rsidRPr="0040550D">
        <w:t xml:space="preserve"> about GTL’s billing methods and request</w:t>
      </w:r>
      <w:r w:rsidR="00AE1409">
        <w:t>ed</w:t>
      </w:r>
      <w:r w:rsidRPr="0040550D">
        <w:t xml:space="preserve"> a Commission investigation.  </w:t>
      </w:r>
      <w:r w:rsidR="00AE1409">
        <w:t xml:space="preserve">Second, </w:t>
      </w:r>
      <w:r w:rsidR="009A1B76">
        <w:t xml:space="preserve">the </w:t>
      </w:r>
      <w:r w:rsidR="00AE1409">
        <w:t>Complainant</w:t>
      </w:r>
      <w:r w:rsidRPr="0040550D">
        <w:t xml:space="preserve"> s</w:t>
      </w:r>
      <w:r w:rsidR="00AE1409">
        <w:t>ought</w:t>
      </w:r>
      <w:r w:rsidRPr="0040550D">
        <w:t xml:space="preserve"> refunds for telephone calls he made that were disrupted and e</w:t>
      </w:r>
      <w:r w:rsidR="00C70FDD">
        <w:t>n</w:t>
      </w:r>
      <w:r w:rsidRPr="0040550D">
        <w:t xml:space="preserve">ded prematurely.  </w:t>
      </w:r>
      <w:r w:rsidR="00AE1409">
        <w:t xml:space="preserve">Third, </w:t>
      </w:r>
      <w:r w:rsidR="004114D7">
        <w:t xml:space="preserve">the </w:t>
      </w:r>
      <w:r w:rsidRPr="0040550D">
        <w:t xml:space="preserve">Complainant alleged that the telephone service provided by GTL at </w:t>
      </w:r>
      <w:r w:rsidR="00AE1409">
        <w:t xml:space="preserve">SCI </w:t>
      </w:r>
      <w:r w:rsidRPr="0040550D">
        <w:t>Graterford was not adequate</w:t>
      </w:r>
      <w:r w:rsidR="00AE1409">
        <w:t xml:space="preserve"> and in violation of the Code</w:t>
      </w:r>
      <w:r w:rsidRPr="0040550D">
        <w:t>.</w:t>
      </w:r>
      <w:r w:rsidR="00345146">
        <w:t xml:space="preserve">  </w:t>
      </w:r>
      <w:r w:rsidR="00345146">
        <w:rPr>
          <w:i/>
        </w:rPr>
        <w:t xml:space="preserve">See </w:t>
      </w:r>
      <w:r w:rsidR="00345146">
        <w:t>I.D. at 10.</w:t>
      </w:r>
      <w:r w:rsidR="00E325B9">
        <w:t xml:space="preserve">  As a separate matter arising from the Complaint, ALJ Hoyer additionally considered the propriety of a civil penalty </w:t>
      </w:r>
      <w:r w:rsidR="00F354BE">
        <w:t>against</w:t>
      </w:r>
      <w:r w:rsidR="00E325B9">
        <w:t xml:space="preserve"> GTL </w:t>
      </w:r>
      <w:r w:rsidR="00F354BE">
        <w:t>were he</w:t>
      </w:r>
      <w:r w:rsidR="00E325B9">
        <w:t xml:space="preserve"> </w:t>
      </w:r>
      <w:r w:rsidR="00F354BE">
        <w:t xml:space="preserve">to </w:t>
      </w:r>
      <w:r w:rsidR="00E325B9">
        <w:t>f</w:t>
      </w:r>
      <w:r w:rsidR="00F354BE">
        <w:t>i</w:t>
      </w:r>
      <w:r w:rsidR="00E325B9">
        <w:t>nd t</w:t>
      </w:r>
      <w:r w:rsidR="00F354BE">
        <w:t>hat the utility</w:t>
      </w:r>
      <w:r w:rsidR="00E325B9">
        <w:t xml:space="preserve"> violated a provision of the Code or Commission Regulation.  I.D. at 16-18.</w:t>
      </w:r>
    </w:p>
    <w:p w:rsidR="008550FF" w:rsidRDefault="008550FF" w:rsidP="00086BA2">
      <w:pPr>
        <w:spacing w:line="360" w:lineRule="auto"/>
      </w:pPr>
    </w:p>
    <w:p w:rsidR="0082124B" w:rsidRDefault="0021407C" w:rsidP="00B029C0">
      <w:pPr>
        <w:keepNext/>
        <w:keepLines/>
        <w:spacing w:line="360" w:lineRule="auto"/>
        <w:ind w:left="720" w:firstLine="720"/>
        <w:rPr>
          <w:b/>
        </w:rPr>
      </w:pPr>
      <w:r>
        <w:rPr>
          <w:b/>
        </w:rPr>
        <w:t>1.</w:t>
      </w:r>
      <w:r>
        <w:rPr>
          <w:b/>
        </w:rPr>
        <w:tab/>
      </w:r>
      <w:r w:rsidR="00AE1409" w:rsidRPr="00AE1409">
        <w:rPr>
          <w:b/>
        </w:rPr>
        <w:t>GTL Billing</w:t>
      </w:r>
    </w:p>
    <w:p w:rsidR="00C70FDD" w:rsidRPr="00AE1409" w:rsidRDefault="00C70FDD" w:rsidP="00B029C0">
      <w:pPr>
        <w:keepNext/>
        <w:keepLines/>
        <w:spacing w:line="360" w:lineRule="auto"/>
        <w:ind w:left="720" w:firstLine="720"/>
        <w:rPr>
          <w:b/>
        </w:rPr>
      </w:pPr>
    </w:p>
    <w:p w:rsidR="0082124B" w:rsidRPr="00C04C32" w:rsidRDefault="0082124B" w:rsidP="004114D7">
      <w:pPr>
        <w:keepNext/>
        <w:keepLines/>
        <w:spacing w:line="360" w:lineRule="auto"/>
        <w:ind w:firstLine="720"/>
      </w:pPr>
      <w:r w:rsidRPr="0040550D">
        <w:tab/>
      </w:r>
      <w:r w:rsidR="004114D7">
        <w:t>A</w:t>
      </w:r>
      <w:r w:rsidR="0021407C">
        <w:t xml:space="preserve">LJ </w:t>
      </w:r>
      <w:r w:rsidR="00BD55D1">
        <w:t xml:space="preserve">Hoyer </w:t>
      </w:r>
      <w:r w:rsidR="0021407C">
        <w:t xml:space="preserve">concluded that </w:t>
      </w:r>
      <w:r w:rsidR="004C2A09">
        <w:t xml:space="preserve">the </w:t>
      </w:r>
      <w:r w:rsidRPr="0040550D">
        <w:t xml:space="preserve">Complainant failed to meet his burden of proof regarding the issue of whether GTL’s billing methods or practices for telephone service provided at </w:t>
      </w:r>
      <w:r w:rsidR="0021407C">
        <w:t xml:space="preserve">SCI </w:t>
      </w:r>
      <w:r w:rsidRPr="0040550D">
        <w:t>Graterford were incorrect, improper</w:t>
      </w:r>
      <w:r w:rsidR="001E2882">
        <w:t>,</w:t>
      </w:r>
      <w:r w:rsidRPr="0040550D">
        <w:t xml:space="preserve"> or in any way violated the </w:t>
      </w:r>
      <w:r w:rsidR="0021407C">
        <w:t>Code.</w:t>
      </w:r>
      <w:r w:rsidRPr="0040550D">
        <w:t xml:space="preserve">  This claim </w:t>
      </w:r>
      <w:r w:rsidR="00BD55D1">
        <w:t>wa</w:t>
      </w:r>
      <w:r w:rsidRPr="0040550D">
        <w:t>s</w:t>
      </w:r>
      <w:r w:rsidR="00BD55D1">
        <w:t>,</w:t>
      </w:r>
      <w:r w:rsidRPr="0040550D">
        <w:t xml:space="preserve"> therefore</w:t>
      </w:r>
      <w:r w:rsidR="00BD55D1">
        <w:t>,</w:t>
      </w:r>
      <w:r w:rsidRPr="0040550D">
        <w:t xml:space="preserve"> denied.</w:t>
      </w:r>
      <w:r w:rsidR="0021407C">
        <w:t xml:space="preserve">  I.D. at</w:t>
      </w:r>
      <w:r w:rsidR="00BD55D1">
        <w:t xml:space="preserve"> 11</w:t>
      </w:r>
      <w:r w:rsidR="0021407C">
        <w:t>.</w:t>
      </w:r>
    </w:p>
    <w:p w:rsidR="0082124B" w:rsidRPr="0040550D" w:rsidRDefault="0082124B" w:rsidP="00BD55D1">
      <w:pPr>
        <w:spacing w:line="360" w:lineRule="auto"/>
      </w:pPr>
    </w:p>
    <w:p w:rsidR="0082124B" w:rsidRPr="00862704" w:rsidRDefault="00862704" w:rsidP="00862704">
      <w:pPr>
        <w:spacing w:line="360" w:lineRule="auto"/>
        <w:ind w:left="720" w:firstLine="720"/>
        <w:rPr>
          <w:b/>
        </w:rPr>
      </w:pPr>
      <w:r w:rsidRPr="00862704">
        <w:rPr>
          <w:b/>
        </w:rPr>
        <w:t>2</w:t>
      </w:r>
      <w:r>
        <w:rPr>
          <w:b/>
        </w:rPr>
        <w:t>.</w:t>
      </w:r>
      <w:r w:rsidR="0082124B" w:rsidRPr="00862704">
        <w:rPr>
          <w:b/>
        </w:rPr>
        <w:tab/>
        <w:t xml:space="preserve">Refunds </w:t>
      </w:r>
    </w:p>
    <w:p w:rsidR="0082124B" w:rsidRPr="0040550D" w:rsidRDefault="0082124B" w:rsidP="006444FA">
      <w:pPr>
        <w:spacing w:line="360" w:lineRule="auto"/>
        <w:rPr>
          <w:spacing w:val="-3"/>
        </w:rPr>
      </w:pPr>
    </w:p>
    <w:p w:rsidR="00882A7B" w:rsidRDefault="006444FA" w:rsidP="0096253A">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ALJ Hoyer concluded that </w:t>
      </w:r>
      <w:r w:rsidR="0082124B" w:rsidRPr="0040550D">
        <w:rPr>
          <w:rFonts w:ascii="Times New Roman" w:hAnsi="Times New Roman" w:cs="Times New Roman"/>
          <w:spacing w:val="-3"/>
          <w:sz w:val="26"/>
          <w:szCs w:val="26"/>
        </w:rPr>
        <w:t xml:space="preserve">Mr. Robinson </w:t>
      </w:r>
      <w:r>
        <w:rPr>
          <w:rFonts w:ascii="Times New Roman" w:hAnsi="Times New Roman" w:cs="Times New Roman"/>
          <w:spacing w:val="-3"/>
          <w:sz w:val="26"/>
          <w:szCs w:val="26"/>
        </w:rPr>
        <w:t>met his burden of proof that he was entitled to refund</w:t>
      </w:r>
      <w:r w:rsidR="00882A7B">
        <w:rPr>
          <w:rFonts w:ascii="Times New Roman" w:hAnsi="Times New Roman" w:cs="Times New Roman"/>
          <w:spacing w:val="-3"/>
          <w:sz w:val="26"/>
          <w:szCs w:val="26"/>
        </w:rPr>
        <w:t>s</w:t>
      </w:r>
      <w:r>
        <w:rPr>
          <w:rFonts w:ascii="Times New Roman" w:hAnsi="Times New Roman" w:cs="Times New Roman"/>
          <w:spacing w:val="-3"/>
          <w:sz w:val="26"/>
          <w:szCs w:val="26"/>
        </w:rPr>
        <w:t xml:space="preserve"> </w:t>
      </w:r>
      <w:r w:rsidR="00882A7B">
        <w:rPr>
          <w:rFonts w:ascii="Times New Roman" w:hAnsi="Times New Roman" w:cs="Times New Roman"/>
          <w:spacing w:val="-3"/>
          <w:sz w:val="26"/>
          <w:szCs w:val="26"/>
        </w:rPr>
        <w:t xml:space="preserve">involving </w:t>
      </w:r>
      <w:r w:rsidR="004114D7">
        <w:rPr>
          <w:rFonts w:ascii="Times New Roman" w:hAnsi="Times New Roman" w:cs="Times New Roman"/>
          <w:spacing w:val="-3"/>
          <w:sz w:val="26"/>
          <w:szCs w:val="26"/>
        </w:rPr>
        <w:t>seven</w:t>
      </w:r>
      <w:r>
        <w:rPr>
          <w:rFonts w:ascii="Times New Roman" w:hAnsi="Times New Roman" w:cs="Times New Roman"/>
          <w:spacing w:val="-3"/>
          <w:sz w:val="26"/>
          <w:szCs w:val="26"/>
        </w:rPr>
        <w:t xml:space="preserve"> calls made to cell phones and </w:t>
      </w:r>
      <w:r w:rsidR="0096253A">
        <w:rPr>
          <w:rFonts w:ascii="Times New Roman" w:hAnsi="Times New Roman" w:cs="Times New Roman"/>
          <w:spacing w:val="-3"/>
          <w:sz w:val="26"/>
          <w:szCs w:val="26"/>
        </w:rPr>
        <w:t xml:space="preserve">calls </w:t>
      </w:r>
      <w:r w:rsidR="00882A7B">
        <w:rPr>
          <w:rFonts w:ascii="Times New Roman" w:hAnsi="Times New Roman" w:cs="Times New Roman"/>
          <w:spacing w:val="-3"/>
          <w:sz w:val="26"/>
          <w:szCs w:val="26"/>
        </w:rPr>
        <w:t xml:space="preserve">for which </w:t>
      </w:r>
      <w:r>
        <w:rPr>
          <w:rFonts w:ascii="Times New Roman" w:hAnsi="Times New Roman" w:cs="Times New Roman"/>
          <w:spacing w:val="-3"/>
          <w:sz w:val="26"/>
          <w:szCs w:val="26"/>
        </w:rPr>
        <w:t>GTL failed to issue refunds.</w:t>
      </w:r>
      <w:r w:rsidR="00093546">
        <w:rPr>
          <w:rFonts w:ascii="Times New Roman" w:hAnsi="Times New Roman" w:cs="Times New Roman"/>
          <w:spacing w:val="-3"/>
          <w:sz w:val="26"/>
          <w:szCs w:val="26"/>
        </w:rPr>
        <w:t xml:space="preserve">  I.D. at 15.</w:t>
      </w:r>
      <w:r>
        <w:rPr>
          <w:rFonts w:ascii="Times New Roman" w:hAnsi="Times New Roman" w:cs="Times New Roman"/>
          <w:spacing w:val="-3"/>
          <w:sz w:val="26"/>
          <w:szCs w:val="26"/>
        </w:rPr>
        <w:t xml:space="preserve">  ALJ Hoyer concluded that Mr. Robinson followed DOC policy in filing a discrepancy form </w:t>
      </w:r>
      <w:r w:rsidR="007A3BFE">
        <w:rPr>
          <w:rFonts w:ascii="Times New Roman" w:hAnsi="Times New Roman" w:cs="Times New Roman"/>
          <w:spacing w:val="-3"/>
          <w:sz w:val="26"/>
          <w:szCs w:val="26"/>
        </w:rPr>
        <w:t xml:space="preserve">with the proper officials </w:t>
      </w:r>
      <w:r w:rsidR="00882A7B">
        <w:rPr>
          <w:rFonts w:ascii="Times New Roman" w:hAnsi="Times New Roman" w:cs="Times New Roman"/>
          <w:spacing w:val="-3"/>
          <w:sz w:val="26"/>
          <w:szCs w:val="26"/>
        </w:rPr>
        <w:t xml:space="preserve">seeking a refund </w:t>
      </w:r>
      <w:r>
        <w:rPr>
          <w:rFonts w:ascii="Times New Roman" w:hAnsi="Times New Roman" w:cs="Times New Roman"/>
          <w:spacing w:val="-3"/>
          <w:sz w:val="26"/>
          <w:szCs w:val="26"/>
        </w:rPr>
        <w:t xml:space="preserve">for the </w:t>
      </w:r>
      <w:r w:rsidR="004114D7">
        <w:rPr>
          <w:rFonts w:ascii="Times New Roman" w:hAnsi="Times New Roman" w:cs="Times New Roman"/>
          <w:spacing w:val="-3"/>
          <w:sz w:val="26"/>
          <w:szCs w:val="26"/>
        </w:rPr>
        <w:t>seven</w:t>
      </w:r>
      <w:r>
        <w:rPr>
          <w:rFonts w:ascii="Times New Roman" w:hAnsi="Times New Roman" w:cs="Times New Roman"/>
          <w:spacing w:val="-3"/>
          <w:sz w:val="26"/>
          <w:szCs w:val="26"/>
        </w:rPr>
        <w:t xml:space="preserve"> calls</w:t>
      </w:r>
      <w:r w:rsidR="00882A7B">
        <w:rPr>
          <w:rFonts w:ascii="Times New Roman" w:hAnsi="Times New Roman" w:cs="Times New Roman"/>
          <w:spacing w:val="-3"/>
          <w:sz w:val="26"/>
          <w:szCs w:val="26"/>
        </w:rPr>
        <w:t>, that the calls were</w:t>
      </w:r>
      <w:r>
        <w:rPr>
          <w:rFonts w:ascii="Times New Roman" w:hAnsi="Times New Roman" w:cs="Times New Roman"/>
          <w:spacing w:val="-3"/>
          <w:sz w:val="26"/>
          <w:szCs w:val="26"/>
        </w:rPr>
        <w:t xml:space="preserve"> made to </w:t>
      </w:r>
      <w:r w:rsidR="00882A7B">
        <w:rPr>
          <w:rFonts w:ascii="Times New Roman" w:hAnsi="Times New Roman" w:cs="Times New Roman"/>
          <w:spacing w:val="-3"/>
          <w:sz w:val="26"/>
          <w:szCs w:val="26"/>
        </w:rPr>
        <w:t xml:space="preserve">DOC- </w:t>
      </w:r>
      <w:r>
        <w:rPr>
          <w:rFonts w:ascii="Times New Roman" w:hAnsi="Times New Roman" w:cs="Times New Roman"/>
          <w:spacing w:val="-3"/>
          <w:sz w:val="26"/>
          <w:szCs w:val="26"/>
        </w:rPr>
        <w:t>approved numbers</w:t>
      </w:r>
      <w:r w:rsidR="00882A7B">
        <w:rPr>
          <w:rFonts w:ascii="Times New Roman" w:hAnsi="Times New Roman" w:cs="Times New Roman"/>
          <w:spacing w:val="-3"/>
          <w:sz w:val="26"/>
          <w:szCs w:val="26"/>
        </w:rPr>
        <w:t>,</w:t>
      </w:r>
      <w:r>
        <w:rPr>
          <w:rFonts w:ascii="Times New Roman" w:hAnsi="Times New Roman" w:cs="Times New Roman"/>
          <w:spacing w:val="-3"/>
          <w:sz w:val="26"/>
          <w:szCs w:val="26"/>
        </w:rPr>
        <w:t xml:space="preserve"> and </w:t>
      </w:r>
      <w:r w:rsidR="00882A7B">
        <w:rPr>
          <w:rFonts w:ascii="Times New Roman" w:hAnsi="Times New Roman" w:cs="Times New Roman"/>
          <w:spacing w:val="-3"/>
          <w:sz w:val="26"/>
          <w:szCs w:val="26"/>
        </w:rPr>
        <w:t xml:space="preserve">that Mr. Robinson </w:t>
      </w:r>
      <w:r w:rsidR="0082124B" w:rsidRPr="0040550D">
        <w:rPr>
          <w:rFonts w:ascii="Times New Roman" w:hAnsi="Times New Roman" w:cs="Times New Roman"/>
          <w:spacing w:val="-3"/>
          <w:sz w:val="26"/>
          <w:szCs w:val="26"/>
        </w:rPr>
        <w:t xml:space="preserve">was not </w:t>
      </w:r>
      <w:r w:rsidR="0082124B" w:rsidRPr="0040550D">
        <w:rPr>
          <w:rFonts w:ascii="Times New Roman" w:hAnsi="Times New Roman" w:cs="Times New Roman"/>
          <w:spacing w:val="-3"/>
          <w:sz w:val="26"/>
          <w:szCs w:val="26"/>
        </w:rPr>
        <w:lastRenderedPageBreak/>
        <w:t xml:space="preserve">responsible for the disruption </w:t>
      </w:r>
      <w:r w:rsidR="0096253A">
        <w:rPr>
          <w:rFonts w:ascii="Times New Roman" w:hAnsi="Times New Roman" w:cs="Times New Roman"/>
          <w:spacing w:val="-3"/>
          <w:sz w:val="26"/>
          <w:szCs w:val="26"/>
        </w:rPr>
        <w:t xml:space="preserve">or premature disconnection </w:t>
      </w:r>
      <w:r w:rsidR="0082124B" w:rsidRPr="0040550D">
        <w:rPr>
          <w:rFonts w:ascii="Times New Roman" w:hAnsi="Times New Roman" w:cs="Times New Roman"/>
          <w:spacing w:val="-3"/>
          <w:sz w:val="26"/>
          <w:szCs w:val="26"/>
        </w:rPr>
        <w:t xml:space="preserve">of any of the aforementioned </w:t>
      </w:r>
      <w:r w:rsidR="004114D7">
        <w:rPr>
          <w:rFonts w:ascii="Times New Roman" w:hAnsi="Times New Roman" w:cs="Times New Roman"/>
          <w:spacing w:val="-3"/>
          <w:sz w:val="26"/>
          <w:szCs w:val="26"/>
        </w:rPr>
        <w:t>seven</w:t>
      </w:r>
      <w:r w:rsidR="0082124B" w:rsidRPr="0040550D">
        <w:rPr>
          <w:rFonts w:ascii="Times New Roman" w:hAnsi="Times New Roman" w:cs="Times New Roman"/>
          <w:spacing w:val="-3"/>
          <w:sz w:val="26"/>
          <w:szCs w:val="26"/>
        </w:rPr>
        <w:t xml:space="preserve"> calls </w:t>
      </w:r>
      <w:r w:rsidR="00F65DE2">
        <w:rPr>
          <w:rFonts w:ascii="Times New Roman" w:hAnsi="Times New Roman" w:cs="Times New Roman"/>
          <w:spacing w:val="-3"/>
          <w:sz w:val="26"/>
          <w:szCs w:val="26"/>
        </w:rPr>
        <w:t xml:space="preserve">made </w:t>
      </w:r>
      <w:r w:rsidR="0082124B" w:rsidRPr="0040550D">
        <w:rPr>
          <w:rFonts w:ascii="Times New Roman" w:hAnsi="Times New Roman" w:cs="Times New Roman"/>
          <w:spacing w:val="-3"/>
          <w:sz w:val="26"/>
          <w:szCs w:val="26"/>
        </w:rPr>
        <w:t>to cell phones</w:t>
      </w:r>
      <w:r w:rsidR="00882A7B">
        <w:rPr>
          <w:rFonts w:ascii="Times New Roman" w:hAnsi="Times New Roman" w:cs="Times New Roman"/>
          <w:spacing w:val="-3"/>
          <w:sz w:val="26"/>
          <w:szCs w:val="26"/>
        </w:rPr>
        <w:t>:</w:t>
      </w:r>
    </w:p>
    <w:p w:rsidR="00882A7B" w:rsidRDefault="00882A7B" w:rsidP="0082124B">
      <w:pPr>
        <w:pStyle w:val="ParaTab1"/>
        <w:spacing w:line="360" w:lineRule="auto"/>
        <w:rPr>
          <w:rFonts w:ascii="Times New Roman" w:hAnsi="Times New Roman" w:cs="Times New Roman"/>
          <w:spacing w:val="-3"/>
          <w:sz w:val="26"/>
          <w:szCs w:val="26"/>
        </w:rPr>
      </w:pPr>
    </w:p>
    <w:p w:rsidR="00882A7B" w:rsidRDefault="0069573C" w:rsidP="00E042C8">
      <w:pPr>
        <w:ind w:left="1440" w:right="1440"/>
      </w:pPr>
      <w:r>
        <w:tab/>
      </w:r>
      <w:r w:rsidR="00882A7B" w:rsidRPr="00735721">
        <w:t>First of all, I conclude that in order for an inmate such as Complainant to be entitled to a refund for a disrupted cell phone call he must first have filed a discrepancy and cooperated with any investigation into the call.  An inmate cannot bypass the refund procedure in place and then claim entitlement to a refund.</w:t>
      </w:r>
    </w:p>
    <w:p w:rsidR="004114D7" w:rsidRPr="00735721" w:rsidRDefault="004114D7" w:rsidP="00E042C8">
      <w:pPr>
        <w:ind w:left="1440" w:right="1440"/>
      </w:pPr>
    </w:p>
    <w:p w:rsidR="00882A7B" w:rsidRPr="00735721" w:rsidRDefault="0069573C" w:rsidP="00E042C8">
      <w:pPr>
        <w:ind w:left="1440" w:right="1440"/>
      </w:pPr>
      <w:r>
        <w:tab/>
      </w:r>
      <w:r w:rsidR="00882A7B" w:rsidRPr="00735721">
        <w:t xml:space="preserve">In the instant case, Complainant filed 9 discrepancies for cell phone calls that were disrupted prior to the expiration of the allotted 15 minutes (Tr. 220-240; GTL Ex, B).  Of those 9 cell phone calls, Complainant received reimbursement from GTL for only 2 calls. </w:t>
      </w:r>
      <w:r w:rsidR="00882A7B">
        <w:t xml:space="preserve"> </w:t>
      </w:r>
      <w:r w:rsidR="00882A7B" w:rsidRPr="00735721">
        <w:t>Complainant did not receive refunds, despite filing a discrepancy, for 7 calls made to cell phones</w:t>
      </w:r>
      <w:r w:rsidR="00170FC9">
        <w:t> </w:t>
      </w:r>
      <w:r w:rsidR="00B029C0">
        <w:t>.</w:t>
      </w:r>
      <w:r w:rsidR="00170FC9">
        <w:t> </w:t>
      </w:r>
      <w:r w:rsidR="00B029C0">
        <w:t>.</w:t>
      </w:r>
      <w:r w:rsidR="00170FC9">
        <w:t> </w:t>
      </w:r>
      <w:r w:rsidR="00B029C0">
        <w:t>.</w:t>
      </w:r>
      <w:r w:rsidR="00170FC9">
        <w:t> </w:t>
      </w:r>
      <w:r w:rsidR="00882A7B" w:rsidRPr="00735721">
        <w:t>This refund discussion will be confined to whether Complainant proved he is entitled to a refund for the afore</w:t>
      </w:r>
      <w:r w:rsidR="00865A5B">
        <w:t>mentioned 7 cell phone calls.</w:t>
      </w:r>
    </w:p>
    <w:p w:rsidR="00882A7B" w:rsidRPr="00735721" w:rsidRDefault="00882A7B" w:rsidP="00882A7B">
      <w:pPr>
        <w:ind w:left="1440" w:right="1440"/>
      </w:pPr>
    </w:p>
    <w:p w:rsidR="00882A7B" w:rsidRPr="00735721" w:rsidRDefault="0069573C" w:rsidP="00882A7B">
      <w:pPr>
        <w:pStyle w:val="ParaTab1"/>
        <w:ind w:left="1440" w:right="1440" w:firstLine="0"/>
        <w:rPr>
          <w:rFonts w:ascii="Times New Roman" w:hAnsi="Times New Roman"/>
          <w:spacing w:val="-3"/>
          <w:sz w:val="26"/>
          <w:szCs w:val="26"/>
        </w:rPr>
      </w:pPr>
      <w:r>
        <w:rPr>
          <w:rFonts w:ascii="Times New Roman" w:hAnsi="Times New Roman"/>
          <w:spacing w:val="-3"/>
          <w:sz w:val="26"/>
          <w:szCs w:val="26"/>
        </w:rPr>
        <w:tab/>
      </w:r>
      <w:r w:rsidR="00882A7B" w:rsidRPr="00735721">
        <w:rPr>
          <w:rFonts w:ascii="Times New Roman" w:hAnsi="Times New Roman"/>
          <w:spacing w:val="-3"/>
          <w:sz w:val="26"/>
          <w:szCs w:val="26"/>
        </w:rPr>
        <w:t xml:space="preserve">In </w:t>
      </w:r>
      <w:r w:rsidR="00882A7B" w:rsidRPr="00735721">
        <w:rPr>
          <w:rFonts w:ascii="Times New Roman" w:hAnsi="Times New Roman" w:cs="Times New Roman"/>
          <w:i/>
          <w:sz w:val="26"/>
          <w:szCs w:val="26"/>
        </w:rPr>
        <w:t>Feigley v. Verizon Select Services, Inc.,</w:t>
      </w:r>
      <w:r w:rsidR="00882A7B" w:rsidRPr="00735721">
        <w:rPr>
          <w:rFonts w:ascii="Times New Roman" w:hAnsi="Times New Roman" w:cs="Times New Roman"/>
          <w:sz w:val="26"/>
          <w:szCs w:val="26"/>
        </w:rPr>
        <w:t xml:space="preserve"> Docket No. C</w:t>
      </w:r>
      <w:r w:rsidR="004114D7">
        <w:rPr>
          <w:rFonts w:ascii="Times New Roman" w:hAnsi="Times New Roman" w:cs="Times New Roman"/>
          <w:sz w:val="26"/>
          <w:szCs w:val="26"/>
        </w:rPr>
        <w:noBreakHyphen/>
      </w:r>
      <w:r w:rsidR="00882A7B" w:rsidRPr="00735721">
        <w:rPr>
          <w:rFonts w:ascii="Times New Roman" w:hAnsi="Times New Roman" w:cs="Times New Roman"/>
          <w:sz w:val="26"/>
          <w:szCs w:val="26"/>
        </w:rPr>
        <w:t>20043621 (Order entered April 24, 2006) (</w:t>
      </w:r>
      <w:r w:rsidR="00882A7B" w:rsidRPr="00735721">
        <w:rPr>
          <w:rFonts w:ascii="Times New Roman" w:hAnsi="Times New Roman" w:cs="Times New Roman"/>
          <w:i/>
          <w:sz w:val="26"/>
          <w:szCs w:val="26"/>
        </w:rPr>
        <w:t>Feigley)</w:t>
      </w:r>
      <w:r w:rsidR="00882A7B" w:rsidRPr="00735721">
        <w:rPr>
          <w:rFonts w:ascii="Times New Roman" w:hAnsi="Times New Roman" w:cs="Times New Roman"/>
          <w:sz w:val="26"/>
          <w:szCs w:val="26"/>
        </w:rPr>
        <w:t xml:space="preserve">, </w:t>
      </w:r>
      <w:r w:rsidR="00882A7B" w:rsidRPr="00735721">
        <w:rPr>
          <w:rFonts w:ascii="Times New Roman" w:hAnsi="Times New Roman"/>
          <w:spacing w:val="-3"/>
          <w:sz w:val="26"/>
          <w:szCs w:val="26"/>
        </w:rPr>
        <w:t xml:space="preserve">the Commission determined that a complainant alleging that the telecommunications carrier wrongly terminated a telephone call between an inmate and an outside party must present evidence regarding three elements in order to establish a </w:t>
      </w:r>
      <w:r w:rsidR="00882A7B" w:rsidRPr="00735721">
        <w:rPr>
          <w:rFonts w:ascii="Times New Roman" w:hAnsi="Times New Roman"/>
          <w:i/>
          <w:spacing w:val="-3"/>
          <w:sz w:val="26"/>
          <w:szCs w:val="26"/>
        </w:rPr>
        <w:t>prima facie</w:t>
      </w:r>
      <w:r w:rsidR="00882A7B" w:rsidRPr="00735721">
        <w:rPr>
          <w:rFonts w:ascii="Times New Roman" w:hAnsi="Times New Roman"/>
          <w:spacing w:val="-3"/>
          <w:sz w:val="26"/>
          <w:szCs w:val="26"/>
        </w:rPr>
        <w:t xml:space="preserve"> case.  First, a complainant must present evidence that the inmate connected a call between the prison and a pre</w:t>
      </w:r>
      <w:r w:rsidR="00882A7B" w:rsidRPr="00735721">
        <w:rPr>
          <w:rFonts w:ascii="Times New Roman" w:hAnsi="Times New Roman"/>
          <w:spacing w:val="-3"/>
          <w:sz w:val="26"/>
          <w:szCs w:val="26"/>
        </w:rPr>
        <w:noBreakHyphen/>
        <w:t>approved number.  Second, a complainant must present evidence that the call was disconnected for no reason that was caused by the inmate’s use of the telephone.  Third, a complainant must show that the recipient of the telephone call had no custom calling features, such as three-way calling or call waiting and that the recipient’s telephone is not a portable or cellular one.</w:t>
      </w:r>
    </w:p>
    <w:p w:rsidR="00882A7B" w:rsidRPr="00735721" w:rsidRDefault="00882A7B" w:rsidP="00882A7B">
      <w:pPr>
        <w:pStyle w:val="ParaTab1"/>
        <w:ind w:left="1440" w:right="1440" w:firstLine="0"/>
        <w:rPr>
          <w:rFonts w:ascii="Times New Roman" w:hAnsi="Times New Roman"/>
          <w:spacing w:val="-3"/>
          <w:sz w:val="26"/>
          <w:szCs w:val="26"/>
        </w:rPr>
      </w:pPr>
    </w:p>
    <w:p w:rsidR="00882A7B" w:rsidRDefault="0069573C" w:rsidP="00882A7B">
      <w:pPr>
        <w:pStyle w:val="ParaTab1"/>
        <w:ind w:left="1440" w:right="1440" w:firstLine="0"/>
        <w:rPr>
          <w:rFonts w:ascii="Times New Roman" w:hAnsi="Times New Roman"/>
          <w:spacing w:val="-3"/>
          <w:sz w:val="26"/>
          <w:szCs w:val="26"/>
        </w:rPr>
      </w:pPr>
      <w:r>
        <w:rPr>
          <w:rFonts w:ascii="Times New Roman" w:hAnsi="Times New Roman"/>
          <w:spacing w:val="-3"/>
          <w:sz w:val="26"/>
          <w:szCs w:val="26"/>
        </w:rPr>
        <w:tab/>
      </w:r>
      <w:r w:rsidR="00882A7B" w:rsidRPr="00735721">
        <w:rPr>
          <w:rFonts w:ascii="Times New Roman" w:hAnsi="Times New Roman"/>
          <w:spacing w:val="-3"/>
          <w:sz w:val="26"/>
          <w:szCs w:val="26"/>
        </w:rPr>
        <w:t xml:space="preserve">Mr. Robinson testified credibly regarding the calls for which he filed discrepancies.  (Tr. 220-240).  He made calls to approved numbers and he was not responsible for the disruption of any of the aforementioned 7 calls to cell phones.  I conclude that GTL denied reimbursement for the aforementioned 7 cell phone calls based upon the third element set forth in </w:t>
      </w:r>
      <w:r w:rsidR="00882A7B" w:rsidRPr="00735721">
        <w:rPr>
          <w:rFonts w:ascii="Times New Roman" w:hAnsi="Times New Roman"/>
          <w:i/>
          <w:spacing w:val="-3"/>
          <w:sz w:val="26"/>
          <w:szCs w:val="26"/>
        </w:rPr>
        <w:t>Feigley</w:t>
      </w:r>
      <w:r w:rsidR="00882A7B">
        <w:rPr>
          <w:rFonts w:ascii="Times New Roman" w:hAnsi="Times New Roman"/>
          <w:spacing w:val="-3"/>
          <w:sz w:val="26"/>
          <w:szCs w:val="26"/>
        </w:rPr>
        <w:t>.</w:t>
      </w:r>
      <w:r w:rsidR="00882A7B" w:rsidRPr="00735721">
        <w:rPr>
          <w:rFonts w:ascii="Times New Roman" w:hAnsi="Times New Roman"/>
          <w:spacing w:val="-3"/>
          <w:sz w:val="26"/>
          <w:szCs w:val="26"/>
        </w:rPr>
        <w:t xml:space="preserve">  </w:t>
      </w:r>
      <w:r w:rsidR="00882A7B" w:rsidRPr="00735721">
        <w:rPr>
          <w:rFonts w:ascii="Times New Roman" w:hAnsi="Times New Roman"/>
          <w:spacing w:val="-3"/>
          <w:sz w:val="26"/>
          <w:szCs w:val="26"/>
        </w:rPr>
        <w:lastRenderedPageBreak/>
        <w:t xml:space="preserve">Refunds were denied because the calls were made to cell phones.  GTL argues in its main brief that the refund requests were properly denied because the disrupted calls in question were made to cell phones.  </w:t>
      </w:r>
      <w:r w:rsidR="00882A7B" w:rsidRPr="00735721">
        <w:rPr>
          <w:rFonts w:ascii="Times New Roman" w:hAnsi="Times New Roman"/>
          <w:i/>
          <w:spacing w:val="-3"/>
          <w:sz w:val="26"/>
          <w:szCs w:val="26"/>
        </w:rPr>
        <w:t xml:space="preserve">See </w:t>
      </w:r>
      <w:r w:rsidR="00882A7B" w:rsidRPr="00735721">
        <w:rPr>
          <w:rFonts w:ascii="Times New Roman" w:hAnsi="Times New Roman"/>
          <w:spacing w:val="-3"/>
          <w:sz w:val="26"/>
          <w:szCs w:val="26"/>
        </w:rPr>
        <w:t>GTL Main Brief, pp. 9-12.</w:t>
      </w:r>
    </w:p>
    <w:p w:rsidR="00170FC9" w:rsidRDefault="00170FC9" w:rsidP="00882A7B">
      <w:pPr>
        <w:pStyle w:val="ParaTab1"/>
        <w:ind w:left="1440" w:right="1440" w:firstLine="0"/>
        <w:rPr>
          <w:rFonts w:ascii="Times New Roman" w:hAnsi="Times New Roman"/>
          <w:spacing w:val="-3"/>
          <w:sz w:val="26"/>
          <w:szCs w:val="26"/>
        </w:rPr>
      </w:pPr>
    </w:p>
    <w:p w:rsidR="00170FC9" w:rsidRPr="00735721" w:rsidRDefault="00170FC9" w:rsidP="00882A7B">
      <w:pPr>
        <w:pStyle w:val="ParaTab1"/>
        <w:ind w:left="1440" w:right="1440" w:firstLine="0"/>
        <w:rPr>
          <w:rFonts w:ascii="Times New Roman" w:hAnsi="Times New Roman"/>
          <w:spacing w:val="-3"/>
          <w:sz w:val="26"/>
          <w:szCs w:val="26"/>
        </w:rPr>
      </w:pPr>
    </w:p>
    <w:p w:rsidR="00882A7B" w:rsidRDefault="00882A7B" w:rsidP="00170FC9">
      <w:pPr>
        <w:spacing w:line="360" w:lineRule="auto"/>
      </w:pPr>
      <w:r>
        <w:t>I.D. at 1</w:t>
      </w:r>
      <w:r w:rsidR="00367563">
        <w:t>2</w:t>
      </w:r>
      <w:r>
        <w:t>-13.</w:t>
      </w:r>
    </w:p>
    <w:p w:rsidR="00882A7B" w:rsidRDefault="00882A7B" w:rsidP="00170FC9">
      <w:pPr>
        <w:pStyle w:val="ParaTab1"/>
        <w:spacing w:line="360" w:lineRule="auto"/>
        <w:ind w:firstLine="0"/>
        <w:rPr>
          <w:rFonts w:ascii="Times New Roman" w:hAnsi="Times New Roman" w:cs="Times New Roman"/>
          <w:spacing w:val="-3"/>
          <w:sz w:val="26"/>
          <w:szCs w:val="26"/>
        </w:rPr>
      </w:pPr>
    </w:p>
    <w:p w:rsidR="00367563" w:rsidRDefault="00882A7B" w:rsidP="0082124B">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 xml:space="preserve">In </w:t>
      </w:r>
      <w:r w:rsidR="00727AAA">
        <w:rPr>
          <w:rFonts w:ascii="Times New Roman" w:hAnsi="Times New Roman" w:cs="Times New Roman"/>
          <w:spacing w:val="-3"/>
          <w:sz w:val="26"/>
          <w:szCs w:val="26"/>
        </w:rPr>
        <w:t>further discussion concerning</w:t>
      </w:r>
      <w:r>
        <w:rPr>
          <w:rFonts w:ascii="Times New Roman" w:hAnsi="Times New Roman" w:cs="Times New Roman"/>
          <w:spacing w:val="-3"/>
          <w:sz w:val="26"/>
          <w:szCs w:val="26"/>
        </w:rPr>
        <w:t xml:space="preserve"> the propriety of refunds, ALJ Hoyer </w:t>
      </w:r>
      <w:r w:rsidR="00727AAA">
        <w:rPr>
          <w:rFonts w:ascii="Times New Roman" w:hAnsi="Times New Roman" w:cs="Times New Roman"/>
          <w:spacing w:val="-3"/>
          <w:sz w:val="26"/>
          <w:szCs w:val="26"/>
        </w:rPr>
        <w:t>addressed</w:t>
      </w:r>
      <w:r>
        <w:rPr>
          <w:rFonts w:ascii="Times New Roman" w:hAnsi="Times New Roman" w:cs="Times New Roman"/>
          <w:spacing w:val="-3"/>
          <w:sz w:val="26"/>
          <w:szCs w:val="26"/>
        </w:rPr>
        <w:t xml:space="preserve"> the Commission’s </w:t>
      </w:r>
      <w:r w:rsidR="008A00B7">
        <w:rPr>
          <w:rFonts w:ascii="Times New Roman" w:hAnsi="Times New Roman" w:cs="Times New Roman"/>
          <w:spacing w:val="-3"/>
          <w:sz w:val="26"/>
          <w:szCs w:val="26"/>
        </w:rPr>
        <w:t>holding</w:t>
      </w:r>
      <w:r>
        <w:rPr>
          <w:rFonts w:ascii="Times New Roman" w:hAnsi="Times New Roman" w:cs="Times New Roman"/>
          <w:spacing w:val="-3"/>
          <w:sz w:val="26"/>
          <w:szCs w:val="26"/>
        </w:rPr>
        <w:t xml:space="preserve"> in </w:t>
      </w:r>
      <w:r>
        <w:rPr>
          <w:rFonts w:ascii="Times New Roman" w:hAnsi="Times New Roman" w:cs="Times New Roman"/>
          <w:i/>
          <w:spacing w:val="-3"/>
          <w:sz w:val="26"/>
          <w:szCs w:val="26"/>
        </w:rPr>
        <w:t>Gibbs</w:t>
      </w:r>
      <w:r w:rsidR="008A00B7">
        <w:rPr>
          <w:rFonts w:ascii="Times New Roman" w:hAnsi="Times New Roman" w:cs="Times New Roman"/>
          <w:i/>
          <w:spacing w:val="-3"/>
          <w:sz w:val="26"/>
          <w:szCs w:val="26"/>
        </w:rPr>
        <w:t xml:space="preserve"> </w:t>
      </w:r>
      <w:r w:rsidR="008A00B7">
        <w:rPr>
          <w:rFonts w:ascii="Times New Roman" w:hAnsi="Times New Roman" w:cs="Times New Roman"/>
          <w:spacing w:val="-3"/>
          <w:sz w:val="26"/>
          <w:szCs w:val="26"/>
        </w:rPr>
        <w:t>which modified</w:t>
      </w:r>
      <w:r w:rsidR="00093546">
        <w:rPr>
          <w:rFonts w:ascii="Times New Roman" w:hAnsi="Times New Roman" w:cs="Times New Roman"/>
          <w:spacing w:val="-3"/>
          <w:sz w:val="26"/>
          <w:szCs w:val="26"/>
        </w:rPr>
        <w:t xml:space="preserve"> the holding in</w:t>
      </w:r>
      <w:r w:rsidR="008A00B7">
        <w:rPr>
          <w:rFonts w:ascii="Times New Roman" w:hAnsi="Times New Roman" w:cs="Times New Roman"/>
          <w:spacing w:val="-3"/>
          <w:sz w:val="26"/>
          <w:szCs w:val="26"/>
        </w:rPr>
        <w:t xml:space="preserve"> </w:t>
      </w:r>
      <w:r w:rsidR="008A00B7">
        <w:rPr>
          <w:rFonts w:ascii="Times New Roman" w:hAnsi="Times New Roman" w:cs="Times New Roman"/>
          <w:i/>
          <w:spacing w:val="-3"/>
          <w:sz w:val="26"/>
          <w:szCs w:val="26"/>
        </w:rPr>
        <w:t>Feigley</w:t>
      </w:r>
      <w:r>
        <w:rPr>
          <w:rFonts w:ascii="Times New Roman" w:hAnsi="Times New Roman" w:cs="Times New Roman"/>
          <w:spacing w:val="-3"/>
          <w:sz w:val="26"/>
          <w:szCs w:val="26"/>
        </w:rPr>
        <w:t>.  I.D. at</w:t>
      </w:r>
      <w:r w:rsidR="0072521A">
        <w:rPr>
          <w:rFonts w:ascii="Times New Roman" w:hAnsi="Times New Roman" w:cs="Times New Roman"/>
          <w:spacing w:val="-3"/>
          <w:sz w:val="26"/>
          <w:szCs w:val="26"/>
        </w:rPr>
        <w:t> </w:t>
      </w:r>
      <w:r w:rsidR="00367563">
        <w:rPr>
          <w:rFonts w:ascii="Times New Roman" w:hAnsi="Times New Roman" w:cs="Times New Roman"/>
          <w:spacing w:val="-3"/>
          <w:sz w:val="26"/>
          <w:szCs w:val="26"/>
        </w:rPr>
        <w:t>13-15.</w:t>
      </w:r>
    </w:p>
    <w:p w:rsidR="0082124B" w:rsidRPr="0040550D" w:rsidRDefault="0082124B" w:rsidP="0082124B">
      <w:pPr>
        <w:pStyle w:val="ParaTab1"/>
        <w:spacing w:line="360" w:lineRule="auto"/>
        <w:rPr>
          <w:rFonts w:ascii="Times New Roman" w:hAnsi="Times New Roman" w:cs="Times New Roman"/>
          <w:spacing w:val="-3"/>
          <w:sz w:val="26"/>
          <w:szCs w:val="26"/>
        </w:rPr>
      </w:pPr>
    </w:p>
    <w:p w:rsidR="0082124B" w:rsidRPr="0040550D" w:rsidRDefault="0082124B" w:rsidP="00582FEC">
      <w:pPr>
        <w:pStyle w:val="ParaTab1"/>
        <w:spacing w:line="360" w:lineRule="auto"/>
        <w:rPr>
          <w:rFonts w:ascii="Times New Roman" w:hAnsi="Times New Roman" w:cs="Times New Roman"/>
          <w:spacing w:val="-3"/>
          <w:sz w:val="26"/>
          <w:szCs w:val="26"/>
        </w:rPr>
      </w:pPr>
      <w:r w:rsidRPr="0040550D">
        <w:rPr>
          <w:rFonts w:ascii="Times New Roman" w:hAnsi="Times New Roman" w:cs="Times New Roman"/>
          <w:spacing w:val="-3"/>
          <w:sz w:val="26"/>
          <w:szCs w:val="26"/>
        </w:rPr>
        <w:t xml:space="preserve">In </w:t>
      </w:r>
      <w:r w:rsidR="0096253A">
        <w:rPr>
          <w:rFonts w:ascii="Times New Roman" w:hAnsi="Times New Roman" w:cs="Times New Roman"/>
          <w:i/>
          <w:spacing w:val="-3"/>
          <w:sz w:val="26"/>
          <w:szCs w:val="26"/>
        </w:rPr>
        <w:t>Gibbs</w:t>
      </w:r>
      <w:r w:rsidR="0096253A">
        <w:rPr>
          <w:rFonts w:ascii="Times New Roman" w:hAnsi="Times New Roman" w:cs="Times New Roman"/>
          <w:spacing w:val="-3"/>
          <w:sz w:val="26"/>
          <w:szCs w:val="26"/>
        </w:rPr>
        <w:t>,</w:t>
      </w:r>
      <w:r w:rsidR="0096253A">
        <w:rPr>
          <w:rFonts w:ascii="Times New Roman" w:hAnsi="Times New Roman" w:cs="Times New Roman"/>
          <w:i/>
          <w:spacing w:val="-3"/>
          <w:sz w:val="26"/>
          <w:szCs w:val="26"/>
        </w:rPr>
        <w:t xml:space="preserve"> </w:t>
      </w:r>
      <w:r w:rsidRPr="0040550D">
        <w:rPr>
          <w:rFonts w:ascii="Times New Roman" w:hAnsi="Times New Roman" w:cs="Times New Roman"/>
          <w:spacing w:val="-3"/>
          <w:sz w:val="26"/>
          <w:szCs w:val="26"/>
        </w:rPr>
        <w:t xml:space="preserve">the Commission clarified and modified the third prong of </w:t>
      </w:r>
      <w:r w:rsidR="00B0405A">
        <w:rPr>
          <w:rFonts w:ascii="Times New Roman" w:hAnsi="Times New Roman" w:cs="Times New Roman"/>
          <w:spacing w:val="-3"/>
          <w:sz w:val="26"/>
          <w:szCs w:val="26"/>
        </w:rPr>
        <w:t xml:space="preserve">the </w:t>
      </w:r>
      <w:r w:rsidRPr="0096253A">
        <w:rPr>
          <w:rFonts w:ascii="Times New Roman" w:hAnsi="Times New Roman" w:cs="Times New Roman"/>
          <w:i/>
          <w:spacing w:val="-3"/>
          <w:sz w:val="26"/>
          <w:szCs w:val="26"/>
        </w:rPr>
        <w:t>Feigley</w:t>
      </w:r>
      <w:r w:rsidRPr="0040550D">
        <w:rPr>
          <w:rFonts w:ascii="Times New Roman" w:hAnsi="Times New Roman" w:cs="Times New Roman"/>
          <w:spacing w:val="-3"/>
          <w:sz w:val="26"/>
          <w:szCs w:val="26"/>
        </w:rPr>
        <w:t xml:space="preserve"> </w:t>
      </w:r>
      <w:r w:rsidR="0096253A">
        <w:rPr>
          <w:rFonts w:ascii="Times New Roman" w:hAnsi="Times New Roman" w:cs="Times New Roman"/>
          <w:spacing w:val="-3"/>
          <w:sz w:val="26"/>
          <w:szCs w:val="26"/>
        </w:rPr>
        <w:t>standard</w:t>
      </w:r>
      <w:r w:rsidR="00727AAA">
        <w:rPr>
          <w:rFonts w:ascii="Times New Roman" w:hAnsi="Times New Roman" w:cs="Times New Roman"/>
          <w:spacing w:val="-3"/>
          <w:sz w:val="26"/>
          <w:szCs w:val="26"/>
        </w:rPr>
        <w:t>s</w:t>
      </w:r>
      <w:r w:rsidR="0096253A">
        <w:rPr>
          <w:rFonts w:ascii="Times New Roman" w:hAnsi="Times New Roman" w:cs="Times New Roman"/>
          <w:spacing w:val="-3"/>
          <w:sz w:val="26"/>
          <w:szCs w:val="26"/>
        </w:rPr>
        <w:t xml:space="preserve"> for establishing a </w:t>
      </w:r>
      <w:r w:rsidR="0096253A">
        <w:rPr>
          <w:rFonts w:ascii="Times New Roman" w:hAnsi="Times New Roman" w:cs="Times New Roman"/>
          <w:i/>
          <w:spacing w:val="-3"/>
          <w:sz w:val="26"/>
          <w:szCs w:val="26"/>
        </w:rPr>
        <w:t xml:space="preserve">prima facie </w:t>
      </w:r>
      <w:r w:rsidR="0096253A">
        <w:rPr>
          <w:rFonts w:ascii="Times New Roman" w:hAnsi="Times New Roman" w:cs="Times New Roman"/>
          <w:spacing w:val="-3"/>
          <w:sz w:val="26"/>
          <w:szCs w:val="26"/>
        </w:rPr>
        <w:t xml:space="preserve">case </w:t>
      </w:r>
      <w:r w:rsidRPr="0040550D">
        <w:rPr>
          <w:rFonts w:ascii="Times New Roman" w:hAnsi="Times New Roman" w:cs="Times New Roman"/>
          <w:spacing w:val="-3"/>
          <w:sz w:val="26"/>
          <w:szCs w:val="26"/>
        </w:rPr>
        <w:t>with respect to dropped calls made to cell phones</w:t>
      </w:r>
      <w:r w:rsidR="0096253A">
        <w:rPr>
          <w:rFonts w:ascii="Times New Roman" w:hAnsi="Times New Roman" w:cs="Times New Roman"/>
          <w:spacing w:val="-3"/>
          <w:sz w:val="26"/>
          <w:szCs w:val="26"/>
        </w:rPr>
        <w:t xml:space="preserve"> at a State Correctional institution</w:t>
      </w:r>
      <w:r w:rsidRPr="0040550D">
        <w:rPr>
          <w:rFonts w:ascii="Times New Roman" w:hAnsi="Times New Roman" w:cs="Times New Roman"/>
          <w:spacing w:val="-3"/>
          <w:sz w:val="26"/>
          <w:szCs w:val="26"/>
        </w:rPr>
        <w:t>.</w:t>
      </w:r>
      <w:r w:rsidR="0096253A">
        <w:rPr>
          <w:rFonts w:ascii="Times New Roman" w:hAnsi="Times New Roman" w:cs="Times New Roman"/>
          <w:spacing w:val="-3"/>
          <w:sz w:val="26"/>
          <w:szCs w:val="26"/>
        </w:rPr>
        <w:t xml:space="preserve">  </w:t>
      </w:r>
      <w:r w:rsidR="00727AAA">
        <w:rPr>
          <w:rFonts w:ascii="Times New Roman" w:hAnsi="Times New Roman" w:cs="Times New Roman"/>
          <w:i/>
          <w:spacing w:val="-3"/>
          <w:sz w:val="26"/>
          <w:szCs w:val="26"/>
        </w:rPr>
        <w:t xml:space="preserve">See </w:t>
      </w:r>
      <w:r w:rsidR="0096253A">
        <w:rPr>
          <w:rFonts w:ascii="Times New Roman" w:hAnsi="Times New Roman" w:cs="Times New Roman"/>
          <w:spacing w:val="-3"/>
          <w:sz w:val="26"/>
          <w:szCs w:val="26"/>
        </w:rPr>
        <w:t>I.D. at</w:t>
      </w:r>
      <w:r w:rsidR="00727AAA">
        <w:rPr>
          <w:rFonts w:ascii="Times New Roman" w:hAnsi="Times New Roman" w:cs="Times New Roman"/>
          <w:spacing w:val="-3"/>
          <w:sz w:val="26"/>
          <w:szCs w:val="26"/>
        </w:rPr>
        <w:t xml:space="preserve"> 13-15</w:t>
      </w:r>
      <w:r w:rsidR="0096253A">
        <w:rPr>
          <w:rFonts w:ascii="Times New Roman" w:hAnsi="Times New Roman" w:cs="Times New Roman"/>
          <w:spacing w:val="-3"/>
          <w:sz w:val="26"/>
          <w:szCs w:val="26"/>
        </w:rPr>
        <w:t xml:space="preserve">. </w:t>
      </w:r>
      <w:r w:rsidR="00582FEC">
        <w:rPr>
          <w:rFonts w:ascii="Times New Roman" w:hAnsi="Times New Roman" w:cs="Times New Roman"/>
          <w:spacing w:val="-3"/>
          <w:sz w:val="26"/>
          <w:szCs w:val="26"/>
        </w:rPr>
        <w:t xml:space="preserve"> ALJ Hoyer concluded that</w:t>
      </w:r>
      <w:r w:rsidRPr="0040550D">
        <w:rPr>
          <w:rFonts w:ascii="Times New Roman" w:hAnsi="Times New Roman" w:cs="Times New Roman"/>
          <w:spacing w:val="-3"/>
          <w:sz w:val="26"/>
          <w:szCs w:val="26"/>
        </w:rPr>
        <w:t xml:space="preserve"> </w:t>
      </w:r>
      <w:r w:rsidRPr="00582FEC">
        <w:rPr>
          <w:rFonts w:ascii="Times New Roman" w:hAnsi="Times New Roman" w:cs="Times New Roman"/>
          <w:i/>
          <w:spacing w:val="-3"/>
          <w:sz w:val="26"/>
          <w:szCs w:val="26"/>
        </w:rPr>
        <w:t xml:space="preserve">Gibbs </w:t>
      </w:r>
      <w:r w:rsidRPr="0040550D">
        <w:rPr>
          <w:rFonts w:ascii="Times New Roman" w:hAnsi="Times New Roman" w:cs="Times New Roman"/>
          <w:spacing w:val="-3"/>
          <w:sz w:val="26"/>
          <w:szCs w:val="26"/>
        </w:rPr>
        <w:t>controll</w:t>
      </w:r>
      <w:r w:rsidR="00582FEC">
        <w:rPr>
          <w:rFonts w:ascii="Times New Roman" w:hAnsi="Times New Roman" w:cs="Times New Roman"/>
          <w:spacing w:val="-3"/>
          <w:sz w:val="26"/>
          <w:szCs w:val="26"/>
        </w:rPr>
        <w:t>ed</w:t>
      </w:r>
      <w:r w:rsidRPr="0040550D">
        <w:rPr>
          <w:rFonts w:ascii="Times New Roman" w:hAnsi="Times New Roman" w:cs="Times New Roman"/>
          <w:spacing w:val="-3"/>
          <w:sz w:val="26"/>
          <w:szCs w:val="26"/>
        </w:rPr>
        <w:t xml:space="preserve"> </w:t>
      </w:r>
      <w:r w:rsidR="00582FEC">
        <w:rPr>
          <w:rFonts w:ascii="Times New Roman" w:hAnsi="Times New Roman" w:cs="Times New Roman"/>
          <w:spacing w:val="-3"/>
          <w:sz w:val="26"/>
          <w:szCs w:val="26"/>
        </w:rPr>
        <w:t>in the present complaint</w:t>
      </w:r>
      <w:r w:rsidRPr="0040550D">
        <w:rPr>
          <w:rFonts w:ascii="Times New Roman" w:hAnsi="Times New Roman" w:cs="Times New Roman"/>
          <w:spacing w:val="-3"/>
          <w:sz w:val="26"/>
          <w:szCs w:val="26"/>
        </w:rPr>
        <w:t>.</w:t>
      </w:r>
      <w:r w:rsidR="00727AAA">
        <w:rPr>
          <w:rFonts w:ascii="Times New Roman" w:hAnsi="Times New Roman" w:cs="Times New Roman"/>
          <w:spacing w:val="-3"/>
          <w:sz w:val="26"/>
          <w:szCs w:val="26"/>
        </w:rPr>
        <w:t xml:space="preserve">  I.D. at </w:t>
      </w:r>
      <w:r w:rsidR="00250CED">
        <w:rPr>
          <w:rFonts w:ascii="Times New Roman" w:hAnsi="Times New Roman" w:cs="Times New Roman"/>
          <w:spacing w:val="-3"/>
          <w:sz w:val="26"/>
          <w:szCs w:val="26"/>
        </w:rPr>
        <w:t>13.</w:t>
      </w:r>
    </w:p>
    <w:p w:rsidR="0082124B" w:rsidRPr="0040550D" w:rsidRDefault="0082124B" w:rsidP="0082124B">
      <w:pPr>
        <w:pStyle w:val="ParaTab1"/>
        <w:spacing w:line="360" w:lineRule="auto"/>
        <w:ind w:firstLine="0"/>
        <w:rPr>
          <w:rFonts w:ascii="Times New Roman" w:hAnsi="Times New Roman" w:cs="Times New Roman"/>
          <w:spacing w:val="-3"/>
          <w:sz w:val="26"/>
          <w:szCs w:val="26"/>
        </w:rPr>
      </w:pPr>
    </w:p>
    <w:p w:rsidR="00093546" w:rsidRDefault="00B0405A" w:rsidP="00B0405A">
      <w:pPr>
        <w:spacing w:line="360" w:lineRule="auto"/>
        <w:ind w:firstLine="1440"/>
      </w:pPr>
      <w:r>
        <w:rPr>
          <w:bCs/>
        </w:rPr>
        <w:t xml:space="preserve">In </w:t>
      </w:r>
      <w:r>
        <w:rPr>
          <w:bCs/>
          <w:i/>
        </w:rPr>
        <w:t>Gibbs</w:t>
      </w:r>
      <w:r>
        <w:rPr>
          <w:bCs/>
        </w:rPr>
        <w:t xml:space="preserve">, </w:t>
      </w:r>
      <w:r w:rsidR="007F6E35">
        <w:rPr>
          <w:bCs/>
        </w:rPr>
        <w:t>the Commission</w:t>
      </w:r>
      <w:r>
        <w:rPr>
          <w:bCs/>
        </w:rPr>
        <w:t xml:space="preserve"> noted</w:t>
      </w:r>
      <w:r w:rsidR="00F65DE2">
        <w:rPr>
          <w:bCs/>
        </w:rPr>
        <w:t xml:space="preserve">, </w:t>
      </w:r>
      <w:r w:rsidR="00F65DE2">
        <w:rPr>
          <w:bCs/>
          <w:i/>
        </w:rPr>
        <w:t>inter alia</w:t>
      </w:r>
      <w:r w:rsidR="00F65DE2">
        <w:rPr>
          <w:bCs/>
        </w:rPr>
        <w:t>, various federal rulemaking initiatives and</w:t>
      </w:r>
      <w:r>
        <w:rPr>
          <w:bCs/>
        </w:rPr>
        <w:t xml:space="preserve"> </w:t>
      </w:r>
      <w:r w:rsidRPr="00EA115B">
        <w:rPr>
          <w:bCs/>
        </w:rPr>
        <w:t xml:space="preserve">the increased </w:t>
      </w:r>
      <w:r w:rsidR="007305A0">
        <w:rPr>
          <w:bCs/>
        </w:rPr>
        <w:t>presence</w:t>
      </w:r>
      <w:r w:rsidRPr="00EA115B">
        <w:rPr>
          <w:bCs/>
        </w:rPr>
        <w:t xml:space="preserve"> of wireless service in residential households </w:t>
      </w:r>
      <w:r>
        <w:rPr>
          <w:bCs/>
        </w:rPr>
        <w:t xml:space="preserve">supported </w:t>
      </w:r>
      <w:r w:rsidRPr="00EA115B">
        <w:rPr>
          <w:bCs/>
        </w:rPr>
        <w:t xml:space="preserve">clarifying and modifying the third </w:t>
      </w:r>
      <w:r>
        <w:rPr>
          <w:bCs/>
        </w:rPr>
        <w:t>prong</w:t>
      </w:r>
      <w:r w:rsidRPr="00EA115B">
        <w:rPr>
          <w:bCs/>
        </w:rPr>
        <w:t xml:space="preserve"> of the evidentiary standard</w:t>
      </w:r>
      <w:r>
        <w:rPr>
          <w:bCs/>
        </w:rPr>
        <w:t xml:space="preserve"> originally established in </w:t>
      </w:r>
      <w:r w:rsidRPr="00EA115B">
        <w:rPr>
          <w:bCs/>
          <w:i/>
        </w:rPr>
        <w:t>Feigley</w:t>
      </w:r>
      <w:r>
        <w:rPr>
          <w:bCs/>
        </w:rPr>
        <w:t xml:space="preserve">.  The mere fact that a disrupted call was made to a cell phone was, </w:t>
      </w:r>
      <w:r w:rsidRPr="00EA115B">
        <w:rPr>
          <w:bCs/>
        </w:rPr>
        <w:t>historically</w:t>
      </w:r>
      <w:r>
        <w:rPr>
          <w:bCs/>
        </w:rPr>
        <w:t>,</w:t>
      </w:r>
      <w:r w:rsidRPr="00EA115B">
        <w:rPr>
          <w:bCs/>
        </w:rPr>
        <w:t xml:space="preserve"> interpreted as an absolute bar to considering, </w:t>
      </w:r>
      <w:r w:rsidRPr="00EA115B">
        <w:t>in a formal complaint under Section 701 of the Code, 66 Pa. C. S. § 701</w:t>
      </w:r>
      <w:r w:rsidRPr="00EA115B">
        <w:rPr>
          <w:bCs/>
        </w:rPr>
        <w:t xml:space="preserve">, a request for a refund for inmate wireline calls </w:t>
      </w:r>
      <w:r w:rsidR="00F65DE2">
        <w:rPr>
          <w:bCs/>
        </w:rPr>
        <w:t xml:space="preserve">made </w:t>
      </w:r>
      <w:r w:rsidRPr="00EA115B">
        <w:rPr>
          <w:bCs/>
        </w:rPr>
        <w:t xml:space="preserve">to </w:t>
      </w:r>
      <w:r w:rsidR="00F65DE2">
        <w:rPr>
          <w:bCs/>
        </w:rPr>
        <w:t xml:space="preserve">a </w:t>
      </w:r>
      <w:r w:rsidRPr="00EA115B">
        <w:rPr>
          <w:bCs/>
        </w:rPr>
        <w:t>cell phone.</w:t>
      </w:r>
      <w:r>
        <w:rPr>
          <w:bCs/>
        </w:rPr>
        <w:t xml:space="preserve">  </w:t>
      </w:r>
      <w:r w:rsidR="00093546">
        <w:rPr>
          <w:bCs/>
        </w:rPr>
        <w:t>The Commission</w:t>
      </w:r>
      <w:r w:rsidRPr="00EA115B">
        <w:t xml:space="preserve"> clarif</w:t>
      </w:r>
      <w:r>
        <w:t>ied</w:t>
      </w:r>
      <w:r w:rsidRPr="00EA115B">
        <w:t xml:space="preserve"> that </w:t>
      </w:r>
      <w:r w:rsidR="0030112C">
        <w:t>element</w:t>
      </w:r>
      <w:r w:rsidRPr="00EA115B">
        <w:t xml:space="preserve"> </w:t>
      </w:r>
      <w:r w:rsidR="007305A0">
        <w:t>regarding</w:t>
      </w:r>
      <w:r w:rsidRPr="00EA115B">
        <w:t xml:space="preserve"> the burden of going forward with the evidence </w:t>
      </w:r>
      <w:r w:rsidR="00093546">
        <w:t xml:space="preserve">established </w:t>
      </w:r>
      <w:r w:rsidRPr="00EA115B">
        <w:t xml:space="preserve">under </w:t>
      </w:r>
      <w:r w:rsidRPr="00EA115B">
        <w:rPr>
          <w:i/>
        </w:rPr>
        <w:t>Feigley</w:t>
      </w:r>
      <w:r w:rsidR="008A00B7">
        <w:rPr>
          <w:i/>
        </w:rPr>
        <w:t xml:space="preserve"> </w:t>
      </w:r>
      <w:r w:rsidR="008A00B7">
        <w:t>and modified</w:t>
      </w:r>
      <w:r>
        <w:t xml:space="preserve"> th</w:t>
      </w:r>
      <w:r w:rsidR="0030112C">
        <w:t>e</w:t>
      </w:r>
      <w:r w:rsidR="008A00B7">
        <w:t xml:space="preserve"> </w:t>
      </w:r>
      <w:r w:rsidR="0030112C">
        <w:t>criterion</w:t>
      </w:r>
      <w:r w:rsidR="008A00B7">
        <w:t xml:space="preserve"> so as to conclude</w:t>
      </w:r>
      <w:r>
        <w:t xml:space="preserve"> </w:t>
      </w:r>
      <w:r w:rsidR="008A00B7">
        <w:t xml:space="preserve">that </w:t>
      </w:r>
      <w:r>
        <w:t>a call made to a cell phone</w:t>
      </w:r>
      <w:r w:rsidRPr="00EA115B">
        <w:t xml:space="preserve"> </w:t>
      </w:r>
      <w:r w:rsidR="00F65DE2">
        <w:t xml:space="preserve">would </w:t>
      </w:r>
      <w:r w:rsidRPr="00EA115B">
        <w:t xml:space="preserve">not </w:t>
      </w:r>
      <w:r w:rsidR="00F65DE2">
        <w:t xml:space="preserve">be held as </w:t>
      </w:r>
      <w:r w:rsidRPr="00EA115B">
        <w:t xml:space="preserve">an absolute bar to considering, as part of a claim of inadequate service, a request for a refund of the charges for an inmate wireline call </w:t>
      </w:r>
      <w:r w:rsidR="0030112C">
        <w:t xml:space="preserve">made </w:t>
      </w:r>
      <w:r w:rsidRPr="00EA115B">
        <w:t xml:space="preserve">to a cell phone that </w:t>
      </w:r>
      <w:r>
        <w:t>h</w:t>
      </w:r>
      <w:r w:rsidRPr="00EA115B">
        <w:t xml:space="preserve">as </w:t>
      </w:r>
      <w:r>
        <w:t xml:space="preserve">been </w:t>
      </w:r>
      <w:r w:rsidR="00F65DE2">
        <w:t xml:space="preserve">prematurely </w:t>
      </w:r>
      <w:r w:rsidRPr="00EA115B">
        <w:t>terminated</w:t>
      </w:r>
      <w:r w:rsidR="0030112C">
        <w:t>.</w:t>
      </w:r>
      <w:r w:rsidRPr="00EA115B">
        <w:t xml:space="preserve"> </w:t>
      </w:r>
      <w:r w:rsidR="00093546">
        <w:t xml:space="preserve"> </w:t>
      </w:r>
      <w:r w:rsidR="00093546">
        <w:rPr>
          <w:i/>
        </w:rPr>
        <w:t>See Gibbs</w:t>
      </w:r>
      <w:r w:rsidR="00093546">
        <w:t>, 14; and 45:</w:t>
      </w:r>
    </w:p>
    <w:p w:rsidR="00093546" w:rsidRDefault="00093546" w:rsidP="00B0405A">
      <w:pPr>
        <w:spacing w:line="360" w:lineRule="auto"/>
        <w:ind w:firstLine="1440"/>
      </w:pPr>
    </w:p>
    <w:p w:rsidR="00093546" w:rsidRDefault="00093546" w:rsidP="00093546">
      <w:pPr>
        <w:ind w:left="1440" w:right="1440" w:firstLine="720"/>
        <w:rPr>
          <w:i/>
        </w:rPr>
      </w:pPr>
      <w:r w:rsidRPr="002978D2">
        <w:lastRenderedPageBreak/>
        <w:t xml:space="preserve">In light of the foregoing discussion, we hereby </w:t>
      </w:r>
      <w:r>
        <w:t xml:space="preserve">clarify that the </w:t>
      </w:r>
      <w:r w:rsidRPr="002978D2">
        <w:t>third element of the</w:t>
      </w:r>
      <w:r>
        <w:t xml:space="preserve"> burden of going forward with the evidence under </w:t>
      </w:r>
      <w:r>
        <w:rPr>
          <w:i/>
        </w:rPr>
        <w:t>Feigley</w:t>
      </w:r>
      <w:r>
        <w:t xml:space="preserve"> is not an absolute bar to considering, as part of a claim of inadequate service, a request for a </w:t>
      </w:r>
      <w:r w:rsidRPr="002978D2">
        <w:t xml:space="preserve">refund of the charges </w:t>
      </w:r>
      <w:r>
        <w:t xml:space="preserve">for an inmate wireline call to a cell phone that was terminated prematurely.  This means that we will now consider refund requests for inmate calls to cell phones in accordance with our clarification of </w:t>
      </w:r>
      <w:r>
        <w:rPr>
          <w:i/>
        </w:rPr>
        <w:t xml:space="preserve">Feigley </w:t>
      </w:r>
      <w:r>
        <w:t>made in this Opinion and Order.</w:t>
      </w:r>
      <w:r>
        <w:rPr>
          <w:i/>
        </w:rPr>
        <w:t xml:space="preserve"> </w:t>
      </w:r>
    </w:p>
    <w:p w:rsidR="00170FC9" w:rsidRDefault="00170FC9" w:rsidP="00093546">
      <w:pPr>
        <w:ind w:left="1440" w:right="1440" w:firstLine="720"/>
        <w:rPr>
          <w:i/>
        </w:rPr>
      </w:pPr>
    </w:p>
    <w:p w:rsidR="00170FC9" w:rsidRPr="00105E99" w:rsidRDefault="00170FC9" w:rsidP="00093546">
      <w:pPr>
        <w:ind w:left="1440" w:right="1440" w:firstLine="720"/>
      </w:pPr>
    </w:p>
    <w:p w:rsidR="00B0405A" w:rsidRPr="00093546" w:rsidRDefault="00093546" w:rsidP="00170FC9">
      <w:pPr>
        <w:spacing w:line="360" w:lineRule="auto"/>
      </w:pPr>
      <w:r w:rsidRPr="00093546">
        <w:rPr>
          <w:i/>
        </w:rPr>
        <w:t>Gibbs</w:t>
      </w:r>
      <w:r>
        <w:t>, at 45.</w:t>
      </w:r>
    </w:p>
    <w:p w:rsidR="00093546" w:rsidRPr="00EA115B" w:rsidRDefault="00093546" w:rsidP="00170FC9">
      <w:pPr>
        <w:spacing w:line="360" w:lineRule="auto"/>
      </w:pPr>
    </w:p>
    <w:p w:rsidR="008A00B7" w:rsidRDefault="00B0405A" w:rsidP="00B0405A">
      <w:pPr>
        <w:spacing w:line="360" w:lineRule="auto"/>
        <w:ind w:firstLine="1440"/>
        <w:rPr>
          <w:spacing w:val="-3"/>
        </w:rPr>
      </w:pPr>
      <w:r>
        <w:t xml:space="preserve">Under the unique facts in </w:t>
      </w:r>
      <w:r>
        <w:rPr>
          <w:i/>
        </w:rPr>
        <w:t>Gibbs</w:t>
      </w:r>
      <w:r>
        <w:t>, this Commission</w:t>
      </w:r>
      <w:r w:rsidRPr="00EA115B">
        <w:t xml:space="preserve"> acknowledge</w:t>
      </w:r>
      <w:r>
        <w:t xml:space="preserve">d </w:t>
      </w:r>
      <w:r w:rsidRPr="00EA115B">
        <w:rPr>
          <w:spacing w:val="-3"/>
        </w:rPr>
        <w:t xml:space="preserve">that refunds </w:t>
      </w:r>
      <w:r>
        <w:rPr>
          <w:spacing w:val="-3"/>
        </w:rPr>
        <w:t>we</w:t>
      </w:r>
      <w:r w:rsidRPr="00EA115B">
        <w:rPr>
          <w:spacing w:val="-3"/>
        </w:rPr>
        <w:t xml:space="preserve">re appropriate for the </w:t>
      </w:r>
      <w:r>
        <w:rPr>
          <w:spacing w:val="-3"/>
        </w:rPr>
        <w:t>c</w:t>
      </w:r>
      <w:r w:rsidRPr="00EA115B">
        <w:rPr>
          <w:spacing w:val="-3"/>
        </w:rPr>
        <w:t>omplainant</w:t>
      </w:r>
      <w:r>
        <w:rPr>
          <w:spacing w:val="-3"/>
        </w:rPr>
        <w:t>’s</w:t>
      </w:r>
      <w:r w:rsidRPr="00EA115B">
        <w:rPr>
          <w:spacing w:val="-3"/>
        </w:rPr>
        <w:t xml:space="preserve"> calls </w:t>
      </w:r>
      <w:r w:rsidR="007F6E35">
        <w:rPr>
          <w:spacing w:val="-3"/>
        </w:rPr>
        <w:t xml:space="preserve">made </w:t>
      </w:r>
      <w:r w:rsidRPr="00EA115B">
        <w:rPr>
          <w:spacing w:val="-3"/>
        </w:rPr>
        <w:t>to cellular telephones that were terminated prematurely</w:t>
      </w:r>
      <w:r>
        <w:rPr>
          <w:spacing w:val="-3"/>
        </w:rPr>
        <w:t xml:space="preserve"> b</w:t>
      </w:r>
      <w:r w:rsidR="007F6E35">
        <w:rPr>
          <w:spacing w:val="-3"/>
        </w:rPr>
        <w:t>ased</w:t>
      </w:r>
      <w:r>
        <w:rPr>
          <w:spacing w:val="-3"/>
        </w:rPr>
        <w:t xml:space="preserve"> o</w:t>
      </w:r>
      <w:r w:rsidR="007F6E35">
        <w:rPr>
          <w:spacing w:val="-3"/>
        </w:rPr>
        <w:t>n</w:t>
      </w:r>
      <w:r>
        <w:rPr>
          <w:spacing w:val="-3"/>
        </w:rPr>
        <w:t xml:space="preserve"> evidence which included,</w:t>
      </w:r>
      <w:r w:rsidR="007305A0">
        <w:rPr>
          <w:spacing w:val="-3"/>
        </w:rPr>
        <w:t xml:space="preserve"> </w:t>
      </w:r>
      <w:r w:rsidR="007305A0">
        <w:rPr>
          <w:i/>
          <w:spacing w:val="-3"/>
        </w:rPr>
        <w:t>inter alia</w:t>
      </w:r>
      <w:r w:rsidR="007305A0">
        <w:rPr>
          <w:spacing w:val="-3"/>
        </w:rPr>
        <w:t>,</w:t>
      </w:r>
      <w:r>
        <w:rPr>
          <w:spacing w:val="-3"/>
        </w:rPr>
        <w:t xml:space="preserve"> </w:t>
      </w:r>
      <w:r w:rsidR="007F6E35">
        <w:rPr>
          <w:spacing w:val="-3"/>
        </w:rPr>
        <w:t>admitted,</w:t>
      </w:r>
      <w:r w:rsidRPr="00EA115B">
        <w:rPr>
          <w:spacing w:val="-3"/>
        </w:rPr>
        <w:t xml:space="preserve"> systemic </w:t>
      </w:r>
      <w:r w:rsidR="007305A0">
        <w:rPr>
          <w:spacing w:val="-3"/>
        </w:rPr>
        <w:t xml:space="preserve">service </w:t>
      </w:r>
      <w:r w:rsidR="0030112C">
        <w:rPr>
          <w:spacing w:val="-3"/>
        </w:rPr>
        <w:t xml:space="preserve">quality </w:t>
      </w:r>
      <w:r w:rsidRPr="00EA115B">
        <w:rPr>
          <w:spacing w:val="-3"/>
        </w:rPr>
        <w:t>problems affecting inmate calls terminating at both wireline and cellular telephones</w:t>
      </w:r>
      <w:r>
        <w:rPr>
          <w:spacing w:val="-3"/>
        </w:rPr>
        <w:t xml:space="preserve">.  </w:t>
      </w:r>
      <w:r w:rsidR="007F6E35">
        <w:rPr>
          <w:spacing w:val="-3"/>
        </w:rPr>
        <w:t>The system-wide problems were attributable to the service provider.  Also, w</w:t>
      </w:r>
      <w:r>
        <w:rPr>
          <w:spacing w:val="-3"/>
        </w:rPr>
        <w:t xml:space="preserve">e noted that </w:t>
      </w:r>
      <w:r w:rsidRPr="00EA115B">
        <w:rPr>
          <w:spacing w:val="-3"/>
        </w:rPr>
        <w:t xml:space="preserve">GTL had the discretion to depart from the DOC policy </w:t>
      </w:r>
      <w:r w:rsidR="0030112C">
        <w:rPr>
          <w:spacing w:val="-3"/>
        </w:rPr>
        <w:t>addressing</w:t>
      </w:r>
      <w:r w:rsidRPr="00EA115B">
        <w:rPr>
          <w:spacing w:val="-3"/>
        </w:rPr>
        <w:t xml:space="preserve"> refunds for dropped calls to cellular telephones.</w:t>
      </w:r>
      <w:r w:rsidR="008A00B7">
        <w:rPr>
          <w:spacing w:val="-3"/>
        </w:rPr>
        <w:t xml:space="preserve">  In </w:t>
      </w:r>
      <w:r w:rsidR="008A00B7">
        <w:rPr>
          <w:i/>
          <w:spacing w:val="-3"/>
        </w:rPr>
        <w:t>Gibbs</w:t>
      </w:r>
      <w:r w:rsidR="008A00B7">
        <w:rPr>
          <w:spacing w:val="-3"/>
        </w:rPr>
        <w:t>, as discussed by ALJ Hoyer</w:t>
      </w:r>
      <w:r w:rsidR="0030112C">
        <w:rPr>
          <w:spacing w:val="-3"/>
        </w:rPr>
        <w:t xml:space="preserve"> in the present complaint, the reasoning was as follows</w:t>
      </w:r>
      <w:r w:rsidR="008A00B7">
        <w:rPr>
          <w:spacing w:val="-3"/>
        </w:rPr>
        <w:t>:</w:t>
      </w:r>
    </w:p>
    <w:p w:rsidR="008A00B7" w:rsidRDefault="008A00B7" w:rsidP="00B0405A">
      <w:pPr>
        <w:spacing w:line="360" w:lineRule="auto"/>
        <w:ind w:firstLine="1440"/>
        <w:rPr>
          <w:spacing w:val="-3"/>
        </w:rPr>
      </w:pPr>
    </w:p>
    <w:p w:rsidR="008A00B7" w:rsidRPr="008A00B7" w:rsidRDefault="008A00B7" w:rsidP="008A00B7">
      <w:pPr>
        <w:pStyle w:val="ParaTab1"/>
        <w:ind w:left="1440" w:right="1440" w:firstLine="0"/>
        <w:rPr>
          <w:rFonts w:ascii="Times New Roman" w:hAnsi="Times New Roman"/>
          <w:spacing w:val="-3"/>
          <w:sz w:val="26"/>
          <w:szCs w:val="26"/>
        </w:rPr>
      </w:pPr>
      <w:r w:rsidRPr="008A00B7">
        <w:rPr>
          <w:rFonts w:ascii="Times New Roman" w:hAnsi="Times New Roman"/>
          <w:spacing w:val="-3"/>
          <w:sz w:val="26"/>
          <w:szCs w:val="26"/>
        </w:rPr>
        <w:t xml:space="preserve">In </w:t>
      </w:r>
      <w:r w:rsidRPr="008A00B7">
        <w:rPr>
          <w:rFonts w:ascii="Times New Roman" w:hAnsi="Times New Roman"/>
          <w:i/>
          <w:spacing w:val="-3"/>
          <w:sz w:val="26"/>
          <w:szCs w:val="26"/>
        </w:rPr>
        <w:t>Gibbs</w:t>
      </w:r>
      <w:r w:rsidRPr="008A00B7">
        <w:rPr>
          <w:rFonts w:ascii="Times New Roman" w:hAnsi="Times New Roman"/>
          <w:spacing w:val="-3"/>
          <w:sz w:val="26"/>
          <w:szCs w:val="26"/>
        </w:rPr>
        <w:t>, the Commission ruled as follows:</w:t>
      </w:r>
    </w:p>
    <w:p w:rsidR="008A00B7" w:rsidRDefault="008A00B7" w:rsidP="008A00B7">
      <w:pPr>
        <w:pStyle w:val="ParaTab1"/>
        <w:rPr>
          <w:rFonts w:ascii="Times New Roman" w:hAnsi="Times New Roman"/>
          <w:spacing w:val="-3"/>
        </w:rPr>
      </w:pPr>
    </w:p>
    <w:p w:rsidR="008A00B7" w:rsidRDefault="008A00B7" w:rsidP="008A00B7">
      <w:pPr>
        <w:ind w:left="2160" w:right="2160"/>
      </w:pPr>
      <w:r w:rsidRPr="00AA72AE">
        <w:rPr>
          <w:bCs/>
        </w:rPr>
        <w:t xml:space="preserve">The significance of the increased use of wireless service within residential households favors clarifying and modifying the third element of the </w:t>
      </w:r>
      <w:r w:rsidRPr="007F6E35">
        <w:rPr>
          <w:bCs/>
          <w:i/>
        </w:rPr>
        <w:t>Feigley</w:t>
      </w:r>
      <w:r w:rsidRPr="00AA72AE">
        <w:rPr>
          <w:bCs/>
          <w:i/>
        </w:rPr>
        <w:t xml:space="preserve"> </w:t>
      </w:r>
      <w:r w:rsidRPr="00AA72AE">
        <w:rPr>
          <w:bCs/>
        </w:rPr>
        <w:t xml:space="preserve">evidentiary standard, which historically has been interpreted as an absolute bar to considering, </w:t>
      </w:r>
      <w:r w:rsidRPr="00AA72AE">
        <w:t>in a formal complaint under Section 701 of the Code, 66 Pa. C. S. § 701</w:t>
      </w:r>
      <w:r w:rsidRPr="00AA72AE">
        <w:rPr>
          <w:bCs/>
        </w:rPr>
        <w:t xml:space="preserve">, a request for a refund for inmate wireline calls to cell phones.  </w:t>
      </w:r>
      <w:r w:rsidRPr="00AA72AE">
        <w:t xml:space="preserve">In light of the foregoing discussion, we hereby clarify that the third element of the burden of going forward with the evidence under </w:t>
      </w:r>
      <w:r w:rsidRPr="007F6E35">
        <w:rPr>
          <w:i/>
        </w:rPr>
        <w:t>Feigley</w:t>
      </w:r>
      <w:r w:rsidRPr="00AA72AE">
        <w:t xml:space="preserve"> is not an absolute bar to considering, as part of a claim of </w:t>
      </w:r>
      <w:r w:rsidRPr="00AA72AE">
        <w:lastRenderedPageBreak/>
        <w:t xml:space="preserve">inadequate service, a request for a refund of the charges for an inmate wireline call to a cell phone that was terminated prematurely.  This means that we will now consider refund requests for inmate calls to cell phones in accordance with our clarification of </w:t>
      </w:r>
      <w:r w:rsidRPr="007F6E35">
        <w:rPr>
          <w:i/>
        </w:rPr>
        <w:t>Feigley</w:t>
      </w:r>
      <w:r w:rsidRPr="00AA72AE">
        <w:rPr>
          <w:i/>
        </w:rPr>
        <w:t xml:space="preserve"> </w:t>
      </w:r>
      <w:r w:rsidRPr="00AA72AE">
        <w:t>made in this Opinion and Order.</w:t>
      </w:r>
      <w:r w:rsidRPr="00AA72AE">
        <w:rPr>
          <w:i/>
        </w:rPr>
        <w:t xml:space="preserve"> </w:t>
      </w:r>
    </w:p>
    <w:p w:rsidR="008A00B7" w:rsidRDefault="008A00B7" w:rsidP="008A00B7">
      <w:pPr>
        <w:ind w:left="2160" w:right="2160"/>
      </w:pPr>
    </w:p>
    <w:p w:rsidR="00170FC9" w:rsidRDefault="00D4157C" w:rsidP="008A00B7">
      <w:pPr>
        <w:ind w:left="2160" w:right="2160"/>
        <w:rPr>
          <w:spacing w:val="-3"/>
        </w:rPr>
      </w:pPr>
      <w:r>
        <w:rPr>
          <w:spacing w:val="-3"/>
        </w:rPr>
        <w:t>.  .  .</w:t>
      </w:r>
      <w:r w:rsidR="008A00B7" w:rsidRPr="00AA72AE">
        <w:rPr>
          <w:spacing w:val="-3"/>
        </w:rPr>
        <w:t xml:space="preserve">  The unique facts and circumstances in this case include substantial, credible record evidence that: (1) the “dropped” calls were made to cellular telephones of preapproved personal contacts; (2) GTL affirmatively diagnosed systemic problems affecting inmate calls terminating at both wireline and cellular telephones and remediated those constraints; and (3) GTL had the discretion to depart from the</w:t>
      </w:r>
    </w:p>
    <w:p w:rsidR="008A00B7" w:rsidRDefault="008A00B7" w:rsidP="00170FC9">
      <w:pPr>
        <w:keepNext/>
        <w:keepLines/>
        <w:ind w:left="2160" w:right="2160"/>
        <w:rPr>
          <w:spacing w:val="-3"/>
        </w:rPr>
      </w:pPr>
      <w:r w:rsidRPr="00AA72AE">
        <w:rPr>
          <w:spacing w:val="-3"/>
        </w:rPr>
        <w:t>DOC policy against refunds for dropped calls to cellular telephones, in this case, giving the Complainant calling credits.</w:t>
      </w:r>
      <w:r>
        <w:rPr>
          <w:spacing w:val="-3"/>
        </w:rPr>
        <w:t xml:space="preserve">  </w:t>
      </w:r>
    </w:p>
    <w:p w:rsidR="00D4157C" w:rsidRDefault="00D4157C" w:rsidP="00170FC9">
      <w:pPr>
        <w:keepNext/>
        <w:keepLines/>
        <w:ind w:left="2160" w:right="2160"/>
        <w:rPr>
          <w:spacing w:val="-3"/>
        </w:rPr>
      </w:pPr>
    </w:p>
    <w:p w:rsidR="008A00B7" w:rsidRDefault="00D4157C" w:rsidP="00713301">
      <w:pPr>
        <w:keepNext/>
        <w:keepLines/>
        <w:ind w:left="2160" w:right="2160"/>
        <w:jc w:val="center"/>
        <w:rPr>
          <w:spacing w:val="-3"/>
        </w:rPr>
      </w:pPr>
      <w:r>
        <w:rPr>
          <w:spacing w:val="-3"/>
        </w:rPr>
        <w:t>*       *       *</w:t>
      </w:r>
    </w:p>
    <w:p w:rsidR="00D4157C" w:rsidRDefault="00D4157C" w:rsidP="00170FC9">
      <w:pPr>
        <w:keepNext/>
        <w:keepLines/>
        <w:ind w:left="2160" w:right="2160"/>
        <w:rPr>
          <w:spacing w:val="-3"/>
        </w:rPr>
      </w:pPr>
    </w:p>
    <w:p w:rsidR="008A00B7" w:rsidRPr="008A00B7" w:rsidRDefault="008A00B7" w:rsidP="008A00B7">
      <w:pPr>
        <w:pStyle w:val="ParaTab1"/>
        <w:ind w:left="1440" w:right="1440" w:firstLine="0"/>
        <w:rPr>
          <w:rFonts w:ascii="Times New Roman" w:hAnsi="Times New Roman"/>
          <w:spacing w:val="-3"/>
          <w:sz w:val="26"/>
          <w:szCs w:val="26"/>
        </w:rPr>
      </w:pPr>
      <w:r w:rsidRPr="007F6E35">
        <w:rPr>
          <w:rFonts w:ascii="Times New Roman" w:hAnsi="Times New Roman"/>
          <w:i/>
          <w:spacing w:val="-3"/>
          <w:sz w:val="26"/>
          <w:szCs w:val="26"/>
        </w:rPr>
        <w:t>Gibbs,</w:t>
      </w:r>
      <w:r w:rsidRPr="008A00B7">
        <w:rPr>
          <w:rFonts w:ascii="Times New Roman" w:hAnsi="Times New Roman"/>
          <w:spacing w:val="-3"/>
          <w:sz w:val="26"/>
          <w:szCs w:val="26"/>
        </w:rPr>
        <w:t xml:space="preserve"> pp. 45-46 (emphasis added). </w:t>
      </w:r>
    </w:p>
    <w:p w:rsidR="008A00B7" w:rsidRDefault="008A00B7" w:rsidP="008A00B7">
      <w:pPr>
        <w:pStyle w:val="ParaTab1"/>
        <w:spacing w:line="360" w:lineRule="auto"/>
        <w:ind w:firstLine="0"/>
        <w:rPr>
          <w:rFonts w:ascii="Times New Roman" w:hAnsi="Times New Roman"/>
          <w:spacing w:val="-3"/>
          <w:sz w:val="26"/>
          <w:szCs w:val="26"/>
        </w:rPr>
      </w:pPr>
    </w:p>
    <w:p w:rsidR="008A00B7" w:rsidRDefault="008A00B7" w:rsidP="008A00B7">
      <w:pPr>
        <w:pStyle w:val="ParaTab1"/>
        <w:ind w:left="1440" w:right="1440" w:firstLine="0"/>
        <w:rPr>
          <w:rFonts w:ascii="Times New Roman" w:hAnsi="Times New Roman"/>
          <w:spacing w:val="-3"/>
          <w:sz w:val="26"/>
          <w:szCs w:val="26"/>
        </w:rPr>
      </w:pPr>
      <w:r w:rsidRPr="008A00B7">
        <w:rPr>
          <w:rFonts w:ascii="Times New Roman" w:hAnsi="Times New Roman"/>
          <w:spacing w:val="-3"/>
          <w:sz w:val="26"/>
          <w:szCs w:val="26"/>
        </w:rPr>
        <w:tab/>
        <w:t xml:space="preserve">Applying the </w:t>
      </w:r>
      <w:r w:rsidRPr="007F6E35">
        <w:rPr>
          <w:rFonts w:ascii="Times New Roman" w:hAnsi="Times New Roman"/>
          <w:i/>
          <w:spacing w:val="-3"/>
          <w:sz w:val="26"/>
          <w:szCs w:val="26"/>
        </w:rPr>
        <w:t xml:space="preserve">Gibbs </w:t>
      </w:r>
      <w:r w:rsidRPr="008A00B7">
        <w:rPr>
          <w:rFonts w:ascii="Times New Roman" w:hAnsi="Times New Roman"/>
          <w:spacing w:val="-3"/>
          <w:sz w:val="26"/>
          <w:szCs w:val="26"/>
        </w:rPr>
        <w:t xml:space="preserve">case here, I conclude that Complainant is entitled to a refund for the 7 cell phone calls for which he filed discrepancies.  This case is based upon essentially the same unique facts and circumstances as the </w:t>
      </w:r>
      <w:r w:rsidRPr="007F6E35">
        <w:rPr>
          <w:rFonts w:ascii="Times New Roman" w:hAnsi="Times New Roman"/>
          <w:i/>
          <w:spacing w:val="-3"/>
          <w:sz w:val="26"/>
          <w:szCs w:val="26"/>
        </w:rPr>
        <w:t>Gibbs</w:t>
      </w:r>
      <w:r w:rsidRPr="008A00B7">
        <w:rPr>
          <w:rFonts w:ascii="Times New Roman" w:hAnsi="Times New Roman"/>
          <w:spacing w:val="-3"/>
          <w:sz w:val="26"/>
          <w:szCs w:val="26"/>
        </w:rPr>
        <w:t xml:space="preserve"> case.  Complainant demonstrated that GTL dropped each of the calls before the expiration of the allotted 15 minutes.  As the Commission found in </w:t>
      </w:r>
      <w:r w:rsidRPr="007F6E35">
        <w:rPr>
          <w:rFonts w:ascii="Times New Roman" w:hAnsi="Times New Roman"/>
          <w:i/>
          <w:spacing w:val="-3"/>
          <w:sz w:val="26"/>
          <w:szCs w:val="26"/>
        </w:rPr>
        <w:t>Gibbs</w:t>
      </w:r>
      <w:r w:rsidRPr="008A00B7">
        <w:rPr>
          <w:rFonts w:ascii="Times New Roman" w:hAnsi="Times New Roman"/>
          <w:spacing w:val="-3"/>
          <w:sz w:val="26"/>
          <w:szCs w:val="26"/>
        </w:rPr>
        <w:t xml:space="preserve">, GTL affirmatively diagnosed systemic problems affecting inmate calls terminating at both wireline and cellular telephones and remediated those constraints.  </w:t>
      </w:r>
      <w:r w:rsidRPr="008A00B7">
        <w:rPr>
          <w:rFonts w:ascii="Times New Roman" w:hAnsi="Times New Roman"/>
          <w:i/>
          <w:spacing w:val="-3"/>
          <w:sz w:val="26"/>
          <w:szCs w:val="26"/>
        </w:rPr>
        <w:t>See</w:t>
      </w:r>
      <w:r w:rsidRPr="008A00B7">
        <w:rPr>
          <w:rFonts w:ascii="Times New Roman" w:hAnsi="Times New Roman"/>
          <w:spacing w:val="-3"/>
          <w:sz w:val="26"/>
          <w:szCs w:val="26"/>
        </w:rPr>
        <w:t xml:space="preserve"> Findings of Fact no. 36-40.  GTL had the discretion in this case to depart from the DOC policy against refunds for dropped calls to cellular telephones and refunds are appropriate.  </w:t>
      </w:r>
    </w:p>
    <w:p w:rsidR="00170FC9" w:rsidRDefault="00170FC9" w:rsidP="008A00B7">
      <w:pPr>
        <w:pStyle w:val="ParaTab1"/>
        <w:ind w:left="1440" w:right="1440" w:firstLine="0"/>
        <w:rPr>
          <w:rFonts w:ascii="Times New Roman" w:hAnsi="Times New Roman"/>
          <w:spacing w:val="-3"/>
          <w:sz w:val="26"/>
          <w:szCs w:val="26"/>
        </w:rPr>
      </w:pPr>
    </w:p>
    <w:p w:rsidR="00170FC9" w:rsidRPr="008A00B7" w:rsidRDefault="00170FC9" w:rsidP="008A00B7">
      <w:pPr>
        <w:pStyle w:val="ParaTab1"/>
        <w:ind w:left="1440" w:right="1440" w:firstLine="0"/>
        <w:rPr>
          <w:rFonts w:ascii="Times New Roman" w:hAnsi="Times New Roman"/>
          <w:spacing w:val="-3"/>
          <w:sz w:val="26"/>
          <w:szCs w:val="26"/>
        </w:rPr>
      </w:pPr>
    </w:p>
    <w:p w:rsidR="00B36E08" w:rsidRDefault="008A00B7" w:rsidP="00582FEC">
      <w:pPr>
        <w:pStyle w:val="ParaTab1"/>
        <w:spacing w:line="360" w:lineRule="auto"/>
        <w:ind w:firstLine="0"/>
        <w:rPr>
          <w:rFonts w:ascii="Times New Roman" w:hAnsi="Times New Roman"/>
          <w:spacing w:val="-3"/>
          <w:sz w:val="26"/>
          <w:szCs w:val="26"/>
        </w:rPr>
      </w:pPr>
      <w:r w:rsidRPr="008A00B7">
        <w:rPr>
          <w:rFonts w:ascii="Times New Roman" w:hAnsi="Times New Roman"/>
          <w:spacing w:val="-3"/>
          <w:sz w:val="26"/>
          <w:szCs w:val="26"/>
        </w:rPr>
        <w:t xml:space="preserve">I.D. at </w:t>
      </w:r>
      <w:r>
        <w:rPr>
          <w:rFonts w:ascii="Times New Roman" w:hAnsi="Times New Roman"/>
          <w:spacing w:val="-3"/>
          <w:sz w:val="26"/>
          <w:szCs w:val="26"/>
        </w:rPr>
        <w:t>14-15</w:t>
      </w:r>
      <w:r w:rsidR="007F6E35">
        <w:rPr>
          <w:rFonts w:ascii="Times New Roman" w:hAnsi="Times New Roman"/>
          <w:spacing w:val="-3"/>
          <w:sz w:val="26"/>
          <w:szCs w:val="26"/>
        </w:rPr>
        <w:t>.</w:t>
      </w:r>
    </w:p>
    <w:p w:rsidR="008A00B7" w:rsidRPr="008A00B7" w:rsidRDefault="008A00B7" w:rsidP="00582FEC">
      <w:pPr>
        <w:pStyle w:val="ParaTab1"/>
        <w:spacing w:line="360" w:lineRule="auto"/>
        <w:ind w:firstLine="0"/>
        <w:rPr>
          <w:rFonts w:ascii="Times New Roman" w:hAnsi="Times New Roman"/>
          <w:spacing w:val="-3"/>
          <w:sz w:val="26"/>
          <w:szCs w:val="26"/>
        </w:rPr>
      </w:pPr>
    </w:p>
    <w:p w:rsidR="00582FEC" w:rsidRPr="0040550D" w:rsidRDefault="00582FEC" w:rsidP="00B36E08">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lastRenderedPageBreak/>
        <w:t xml:space="preserve">Based on the foregoing, ALJ Hoyer concluded that </w:t>
      </w:r>
      <w:r w:rsidR="0030112C">
        <w:rPr>
          <w:rFonts w:ascii="Times New Roman" w:hAnsi="Times New Roman" w:cs="Times New Roman"/>
          <w:spacing w:val="-3"/>
          <w:sz w:val="26"/>
          <w:szCs w:val="26"/>
        </w:rPr>
        <w:t xml:space="preserve">Mr. Robinson’s </w:t>
      </w:r>
      <w:r w:rsidR="00B36E08">
        <w:rPr>
          <w:rFonts w:ascii="Times New Roman" w:hAnsi="Times New Roman" w:cs="Times New Roman"/>
          <w:spacing w:val="-3"/>
          <w:sz w:val="26"/>
          <w:szCs w:val="26"/>
        </w:rPr>
        <w:t xml:space="preserve">matter fell within the holding of </w:t>
      </w:r>
      <w:r w:rsidR="00B36E08">
        <w:rPr>
          <w:rFonts w:ascii="Times New Roman" w:hAnsi="Times New Roman" w:cs="Times New Roman"/>
          <w:i/>
          <w:spacing w:val="-3"/>
          <w:sz w:val="26"/>
          <w:szCs w:val="26"/>
        </w:rPr>
        <w:t>Gibbs</w:t>
      </w:r>
      <w:r w:rsidR="0030112C">
        <w:rPr>
          <w:rFonts w:ascii="Times New Roman" w:hAnsi="Times New Roman" w:cs="Times New Roman"/>
          <w:spacing w:val="-3"/>
          <w:sz w:val="26"/>
          <w:szCs w:val="26"/>
        </w:rPr>
        <w:t>.  A</w:t>
      </w:r>
      <w:r w:rsidR="00B36E08">
        <w:rPr>
          <w:rFonts w:ascii="Times New Roman" w:hAnsi="Times New Roman" w:cs="Times New Roman"/>
          <w:spacing w:val="-3"/>
          <w:sz w:val="26"/>
          <w:szCs w:val="26"/>
        </w:rPr>
        <w:t>nd</w:t>
      </w:r>
      <w:r w:rsidR="0030112C">
        <w:rPr>
          <w:rFonts w:ascii="Times New Roman" w:hAnsi="Times New Roman" w:cs="Times New Roman"/>
          <w:spacing w:val="-3"/>
          <w:sz w:val="26"/>
          <w:szCs w:val="26"/>
        </w:rPr>
        <w:t>,</w:t>
      </w:r>
      <w:r w:rsidR="00B36E08">
        <w:rPr>
          <w:rFonts w:ascii="Times New Roman" w:hAnsi="Times New Roman" w:cs="Times New Roman"/>
          <w:spacing w:val="-3"/>
          <w:sz w:val="26"/>
          <w:szCs w:val="26"/>
        </w:rPr>
        <w:t xml:space="preserve"> </w:t>
      </w:r>
      <w:r w:rsidR="00681E3B">
        <w:rPr>
          <w:rFonts w:ascii="Times New Roman" w:hAnsi="Times New Roman" w:cs="Times New Roman"/>
          <w:spacing w:val="-3"/>
          <w:sz w:val="26"/>
          <w:szCs w:val="26"/>
        </w:rPr>
        <w:t xml:space="preserve">on application of the considerations in </w:t>
      </w:r>
      <w:r w:rsidR="00681E3B" w:rsidRPr="00681E3B">
        <w:rPr>
          <w:rFonts w:ascii="Times New Roman" w:hAnsi="Times New Roman" w:cs="Times New Roman"/>
          <w:i/>
          <w:spacing w:val="-3"/>
          <w:sz w:val="26"/>
          <w:szCs w:val="26"/>
        </w:rPr>
        <w:t>Gibbs</w:t>
      </w:r>
      <w:r w:rsidR="00681E3B">
        <w:rPr>
          <w:rFonts w:ascii="Times New Roman" w:hAnsi="Times New Roman" w:cs="Times New Roman"/>
          <w:spacing w:val="-3"/>
          <w:sz w:val="26"/>
          <w:szCs w:val="26"/>
        </w:rPr>
        <w:t xml:space="preserve">, Mr. Robinson </w:t>
      </w:r>
      <w:r w:rsidR="0082124B" w:rsidRPr="0040550D">
        <w:rPr>
          <w:rFonts w:ascii="Times New Roman" w:hAnsi="Times New Roman" w:cs="Times New Roman"/>
          <w:spacing w:val="-3"/>
          <w:sz w:val="26"/>
          <w:szCs w:val="26"/>
        </w:rPr>
        <w:t xml:space="preserve">met his burden of </w:t>
      </w:r>
      <w:r w:rsidR="00681E3B">
        <w:rPr>
          <w:rFonts w:ascii="Times New Roman" w:hAnsi="Times New Roman" w:cs="Times New Roman"/>
          <w:spacing w:val="-3"/>
          <w:sz w:val="26"/>
          <w:szCs w:val="26"/>
        </w:rPr>
        <w:t xml:space="preserve">going forward with </w:t>
      </w:r>
      <w:r w:rsidR="0030112C">
        <w:rPr>
          <w:rFonts w:ascii="Times New Roman" w:hAnsi="Times New Roman" w:cs="Times New Roman"/>
          <w:spacing w:val="-3"/>
          <w:sz w:val="26"/>
          <w:szCs w:val="26"/>
        </w:rPr>
        <w:t xml:space="preserve">the </w:t>
      </w:r>
      <w:r w:rsidR="00681E3B">
        <w:rPr>
          <w:rFonts w:ascii="Times New Roman" w:hAnsi="Times New Roman" w:cs="Times New Roman"/>
          <w:spacing w:val="-3"/>
          <w:sz w:val="26"/>
          <w:szCs w:val="26"/>
        </w:rPr>
        <w:t xml:space="preserve">evidence and his ultimate burden of </w:t>
      </w:r>
      <w:r w:rsidR="0082124B" w:rsidRPr="0040550D">
        <w:rPr>
          <w:rFonts w:ascii="Times New Roman" w:hAnsi="Times New Roman" w:cs="Times New Roman"/>
          <w:spacing w:val="-3"/>
          <w:sz w:val="26"/>
          <w:szCs w:val="26"/>
        </w:rPr>
        <w:t>proof regarding his entitlement to reimbursement for the 7 cell phone calls</w:t>
      </w:r>
      <w:r w:rsidR="00B36E08">
        <w:rPr>
          <w:rFonts w:ascii="Times New Roman" w:hAnsi="Times New Roman" w:cs="Times New Roman"/>
          <w:spacing w:val="-3"/>
          <w:sz w:val="26"/>
          <w:szCs w:val="26"/>
        </w:rPr>
        <w:t xml:space="preserve">.  </w:t>
      </w:r>
      <w:r w:rsidR="009F1DCA">
        <w:rPr>
          <w:rFonts w:ascii="Times New Roman" w:hAnsi="Times New Roman" w:cs="Times New Roman"/>
          <w:spacing w:val="-3"/>
          <w:sz w:val="26"/>
          <w:szCs w:val="26"/>
        </w:rPr>
        <w:t xml:space="preserve"> </w:t>
      </w:r>
      <w:r w:rsidR="00B36E08">
        <w:rPr>
          <w:rFonts w:ascii="Times New Roman" w:hAnsi="Times New Roman" w:cs="Times New Roman"/>
          <w:spacing w:val="-3"/>
          <w:sz w:val="26"/>
          <w:szCs w:val="26"/>
        </w:rPr>
        <w:t>ALJ Hoyer found that Mr. Robinson was</w:t>
      </w:r>
      <w:r w:rsidR="00681E3B">
        <w:rPr>
          <w:rFonts w:ascii="Times New Roman" w:hAnsi="Times New Roman" w:cs="Times New Roman"/>
          <w:spacing w:val="-3"/>
          <w:sz w:val="26"/>
          <w:szCs w:val="26"/>
        </w:rPr>
        <w:t>, therefore,</w:t>
      </w:r>
      <w:r w:rsidR="00B36E08">
        <w:rPr>
          <w:rFonts w:ascii="Times New Roman" w:hAnsi="Times New Roman" w:cs="Times New Roman"/>
          <w:spacing w:val="-3"/>
          <w:sz w:val="26"/>
          <w:szCs w:val="26"/>
        </w:rPr>
        <w:t xml:space="preserve"> entitled </w:t>
      </w:r>
      <w:r w:rsidR="0082124B" w:rsidRPr="0040550D">
        <w:rPr>
          <w:rFonts w:ascii="Times New Roman" w:hAnsi="Times New Roman" w:cs="Times New Roman"/>
          <w:spacing w:val="-3"/>
          <w:sz w:val="26"/>
          <w:szCs w:val="26"/>
        </w:rPr>
        <w:t>to a $1.60 refund for each of the 7 disrupted telephone calls for a total of $11.20.</w:t>
      </w:r>
      <w:r w:rsidR="00B36E08">
        <w:rPr>
          <w:rFonts w:ascii="Times New Roman" w:hAnsi="Times New Roman" w:cs="Times New Roman"/>
          <w:spacing w:val="-3"/>
          <w:sz w:val="26"/>
          <w:szCs w:val="26"/>
        </w:rPr>
        <w:t xml:space="preserve">  I.D. at </w:t>
      </w:r>
      <w:r w:rsidR="00F10951">
        <w:rPr>
          <w:rFonts w:ascii="Times New Roman" w:hAnsi="Times New Roman" w:cs="Times New Roman"/>
          <w:spacing w:val="-3"/>
          <w:sz w:val="26"/>
          <w:szCs w:val="26"/>
        </w:rPr>
        <w:t>15</w:t>
      </w:r>
      <w:r w:rsidR="00B36E08">
        <w:rPr>
          <w:rFonts w:ascii="Times New Roman" w:hAnsi="Times New Roman" w:cs="Times New Roman"/>
          <w:spacing w:val="-3"/>
          <w:sz w:val="26"/>
          <w:szCs w:val="26"/>
        </w:rPr>
        <w:t>.</w:t>
      </w:r>
      <w:r>
        <w:rPr>
          <w:rFonts w:ascii="Times New Roman" w:hAnsi="Times New Roman" w:cs="Times New Roman"/>
          <w:spacing w:val="-3"/>
          <w:sz w:val="26"/>
          <w:szCs w:val="26"/>
        </w:rPr>
        <w:t xml:space="preserve">  Significantly, ALJ </w:t>
      </w:r>
      <w:r w:rsidR="00B36E08">
        <w:rPr>
          <w:rFonts w:ascii="Times New Roman" w:hAnsi="Times New Roman" w:cs="Times New Roman"/>
          <w:spacing w:val="-3"/>
          <w:sz w:val="26"/>
          <w:szCs w:val="26"/>
        </w:rPr>
        <w:t xml:space="preserve">Hoyer, as in </w:t>
      </w:r>
      <w:r w:rsidR="00B36E08">
        <w:rPr>
          <w:rFonts w:ascii="Times New Roman" w:hAnsi="Times New Roman" w:cs="Times New Roman"/>
          <w:i/>
          <w:spacing w:val="-3"/>
          <w:sz w:val="26"/>
          <w:szCs w:val="26"/>
        </w:rPr>
        <w:t>Gibbs</w:t>
      </w:r>
      <w:r w:rsidR="00B36E08">
        <w:rPr>
          <w:rFonts w:ascii="Times New Roman" w:hAnsi="Times New Roman" w:cs="Times New Roman"/>
          <w:spacing w:val="-3"/>
          <w:sz w:val="26"/>
          <w:szCs w:val="26"/>
        </w:rPr>
        <w:t>,</w:t>
      </w:r>
      <w:r w:rsidR="00B36E08">
        <w:rPr>
          <w:rFonts w:ascii="Times New Roman" w:hAnsi="Times New Roman" w:cs="Times New Roman"/>
          <w:i/>
          <w:spacing w:val="-3"/>
          <w:sz w:val="26"/>
          <w:szCs w:val="26"/>
        </w:rPr>
        <w:t xml:space="preserve"> </w:t>
      </w:r>
      <w:r>
        <w:rPr>
          <w:rFonts w:ascii="Times New Roman" w:hAnsi="Times New Roman" w:cs="Times New Roman"/>
          <w:spacing w:val="-3"/>
          <w:sz w:val="26"/>
          <w:szCs w:val="26"/>
        </w:rPr>
        <w:t xml:space="preserve">found that </w:t>
      </w:r>
      <w:r w:rsidRPr="0040550D">
        <w:rPr>
          <w:rFonts w:ascii="Times New Roman" w:hAnsi="Times New Roman" w:cs="Times New Roman"/>
          <w:spacing w:val="-3"/>
          <w:sz w:val="26"/>
          <w:szCs w:val="26"/>
        </w:rPr>
        <w:t xml:space="preserve">GTL had the discretion to depart from the DOC policy against refunds for dropped calls to cellular telephones and refunds </w:t>
      </w:r>
      <w:r>
        <w:rPr>
          <w:rFonts w:ascii="Times New Roman" w:hAnsi="Times New Roman" w:cs="Times New Roman"/>
          <w:spacing w:val="-3"/>
          <w:sz w:val="26"/>
          <w:szCs w:val="26"/>
        </w:rPr>
        <w:t>we</w:t>
      </w:r>
      <w:r w:rsidRPr="0040550D">
        <w:rPr>
          <w:rFonts w:ascii="Times New Roman" w:hAnsi="Times New Roman" w:cs="Times New Roman"/>
          <w:spacing w:val="-3"/>
          <w:sz w:val="26"/>
          <w:szCs w:val="26"/>
        </w:rPr>
        <w:t>re appropriate.</w:t>
      </w:r>
      <w:r>
        <w:rPr>
          <w:rFonts w:ascii="Times New Roman" w:hAnsi="Times New Roman" w:cs="Times New Roman"/>
          <w:spacing w:val="-3"/>
          <w:sz w:val="26"/>
          <w:szCs w:val="26"/>
        </w:rPr>
        <w:t xml:space="preserve">  I.D. at</w:t>
      </w:r>
      <w:r w:rsidR="00AE3D64">
        <w:rPr>
          <w:rFonts w:ascii="Times New Roman" w:hAnsi="Times New Roman" w:cs="Times New Roman"/>
          <w:spacing w:val="-3"/>
          <w:sz w:val="26"/>
          <w:szCs w:val="26"/>
        </w:rPr>
        <w:t xml:space="preserve"> 15</w:t>
      </w:r>
      <w:r>
        <w:rPr>
          <w:rFonts w:ascii="Times New Roman" w:hAnsi="Times New Roman" w:cs="Times New Roman"/>
          <w:spacing w:val="-3"/>
          <w:sz w:val="26"/>
          <w:szCs w:val="26"/>
        </w:rPr>
        <w:t>.</w:t>
      </w:r>
      <w:r w:rsidRPr="0040550D">
        <w:rPr>
          <w:rFonts w:ascii="Times New Roman" w:hAnsi="Times New Roman" w:cs="Times New Roman"/>
          <w:spacing w:val="-3"/>
          <w:sz w:val="26"/>
          <w:szCs w:val="26"/>
        </w:rPr>
        <w:t xml:space="preserve">  </w:t>
      </w:r>
    </w:p>
    <w:p w:rsidR="006444FA" w:rsidRDefault="006444FA" w:rsidP="006444FA">
      <w:pPr>
        <w:spacing w:line="360" w:lineRule="auto"/>
        <w:ind w:firstLine="720"/>
      </w:pPr>
    </w:p>
    <w:p w:rsidR="00F10951" w:rsidRPr="0040550D" w:rsidRDefault="00F10951" w:rsidP="006444FA">
      <w:pPr>
        <w:spacing w:line="360" w:lineRule="auto"/>
        <w:ind w:firstLine="720"/>
      </w:pPr>
    </w:p>
    <w:p w:rsidR="0082124B" w:rsidRPr="00582FEC" w:rsidRDefault="00582FEC" w:rsidP="00170FC9">
      <w:pPr>
        <w:pStyle w:val="ParaTab1"/>
        <w:keepNext/>
        <w:keepLines/>
        <w:spacing w:line="360" w:lineRule="auto"/>
        <w:ind w:firstLine="0"/>
        <w:rPr>
          <w:rFonts w:ascii="Times New Roman" w:hAnsi="Times New Roman" w:cs="Times New Roman"/>
          <w:b/>
          <w:spacing w:val="-3"/>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r>
      <w:r w:rsidRPr="00582FEC">
        <w:rPr>
          <w:rFonts w:ascii="Times New Roman" w:hAnsi="Times New Roman" w:cs="Times New Roman"/>
          <w:b/>
          <w:spacing w:val="-3"/>
          <w:sz w:val="26"/>
          <w:szCs w:val="26"/>
        </w:rPr>
        <w:t>3</w:t>
      </w:r>
      <w:r w:rsidR="0082124B" w:rsidRPr="0040550D">
        <w:rPr>
          <w:rFonts w:ascii="Times New Roman" w:hAnsi="Times New Roman" w:cs="Times New Roman"/>
          <w:spacing w:val="-3"/>
          <w:sz w:val="26"/>
          <w:szCs w:val="26"/>
        </w:rPr>
        <w:t>.</w:t>
      </w:r>
      <w:r w:rsidR="0082124B" w:rsidRPr="0040550D">
        <w:rPr>
          <w:rFonts w:ascii="Times New Roman" w:hAnsi="Times New Roman" w:cs="Times New Roman"/>
          <w:spacing w:val="-3"/>
          <w:sz w:val="26"/>
          <w:szCs w:val="26"/>
        </w:rPr>
        <w:tab/>
      </w:r>
      <w:r w:rsidR="0082124B" w:rsidRPr="00582FEC">
        <w:rPr>
          <w:rFonts w:ascii="Times New Roman" w:hAnsi="Times New Roman" w:cs="Times New Roman"/>
          <w:b/>
          <w:spacing w:val="-3"/>
          <w:sz w:val="26"/>
          <w:szCs w:val="26"/>
        </w:rPr>
        <w:t>Adequacy of Service</w:t>
      </w:r>
    </w:p>
    <w:p w:rsidR="0082124B" w:rsidRPr="0040550D" w:rsidRDefault="0082124B" w:rsidP="00170FC9">
      <w:pPr>
        <w:pStyle w:val="ParaTab1"/>
        <w:keepNext/>
        <w:keepLines/>
        <w:spacing w:line="360" w:lineRule="auto"/>
        <w:rPr>
          <w:rFonts w:ascii="Times New Roman" w:hAnsi="Times New Roman" w:cs="Times New Roman"/>
          <w:spacing w:val="-3"/>
          <w:sz w:val="26"/>
          <w:szCs w:val="26"/>
        </w:rPr>
      </w:pPr>
    </w:p>
    <w:p w:rsidR="00907BA1" w:rsidRDefault="00907BA1" w:rsidP="00D5171C">
      <w:pPr>
        <w:spacing w:line="360" w:lineRule="auto"/>
        <w:ind w:firstLine="1440"/>
        <w:rPr>
          <w:spacing w:val="-3"/>
        </w:rPr>
      </w:pPr>
      <w:r>
        <w:t xml:space="preserve">ALJ Hoyer concluded that </w:t>
      </w:r>
      <w:r w:rsidR="00AD66E2">
        <w:t xml:space="preserve">the </w:t>
      </w:r>
      <w:r w:rsidR="0082124B" w:rsidRPr="0040550D">
        <w:t xml:space="preserve">Complainant met his burden of proof that </w:t>
      </w:r>
      <w:r>
        <w:t>GTL’s</w:t>
      </w:r>
      <w:r w:rsidR="0082124B" w:rsidRPr="0040550D">
        <w:t xml:space="preserve"> service was in violation of Section 1501 of the Code because the service was not reasonably continuous and without unreasonable interruptions or delay.</w:t>
      </w:r>
      <w:r>
        <w:t xml:space="preserve">  I.D. at</w:t>
      </w:r>
      <w:r w:rsidR="008074F3">
        <w:t xml:space="preserve"> </w:t>
      </w:r>
      <w:r w:rsidR="00D5171C">
        <w:t>16</w:t>
      </w:r>
      <w:r>
        <w:t>.  Mr. Robinson’s</w:t>
      </w:r>
      <w:r w:rsidRPr="0040550D">
        <w:rPr>
          <w:spacing w:val="-3"/>
        </w:rPr>
        <w:t xml:space="preserve"> </w:t>
      </w:r>
      <w:r>
        <w:rPr>
          <w:spacing w:val="-3"/>
        </w:rPr>
        <w:t>C</w:t>
      </w:r>
      <w:r w:rsidRPr="0040550D">
        <w:rPr>
          <w:spacing w:val="-3"/>
        </w:rPr>
        <w:t xml:space="preserve">omplaint as to adequacy of service/system failures </w:t>
      </w:r>
      <w:r>
        <w:rPr>
          <w:spacing w:val="-3"/>
        </w:rPr>
        <w:t>wa</w:t>
      </w:r>
      <w:r w:rsidRPr="0040550D">
        <w:rPr>
          <w:spacing w:val="-3"/>
        </w:rPr>
        <w:t>s</w:t>
      </w:r>
      <w:r>
        <w:rPr>
          <w:spacing w:val="-3"/>
        </w:rPr>
        <w:t xml:space="preserve">, therefore, </w:t>
      </w:r>
      <w:r w:rsidRPr="0040550D">
        <w:rPr>
          <w:spacing w:val="-3"/>
        </w:rPr>
        <w:t>sustained</w:t>
      </w:r>
      <w:r>
        <w:rPr>
          <w:spacing w:val="-3"/>
        </w:rPr>
        <w:t>.</w:t>
      </w:r>
      <w:r w:rsidR="00D5171C">
        <w:rPr>
          <w:spacing w:val="-3"/>
        </w:rPr>
        <w:t xml:space="preserve">  </w:t>
      </w:r>
      <w:r w:rsidR="00D5171C">
        <w:rPr>
          <w:i/>
          <w:spacing w:val="-3"/>
        </w:rPr>
        <w:t>Id</w:t>
      </w:r>
      <w:r w:rsidR="00D5171C">
        <w:rPr>
          <w:spacing w:val="-3"/>
        </w:rPr>
        <w:t>.</w:t>
      </w:r>
    </w:p>
    <w:p w:rsidR="00907BA1" w:rsidRDefault="00907BA1" w:rsidP="0082124B">
      <w:pPr>
        <w:spacing w:line="360" w:lineRule="auto"/>
        <w:ind w:firstLine="1440"/>
        <w:rPr>
          <w:spacing w:val="-3"/>
        </w:rPr>
      </w:pPr>
    </w:p>
    <w:p w:rsidR="00D5171C" w:rsidRPr="00582FEC" w:rsidRDefault="00D5171C" w:rsidP="00170FC9">
      <w:pPr>
        <w:pStyle w:val="ParaTab1"/>
        <w:keepNext/>
        <w:keepLines/>
        <w:spacing w:line="360" w:lineRule="auto"/>
        <w:ind w:firstLine="0"/>
        <w:rPr>
          <w:rFonts w:ascii="Times New Roman" w:hAnsi="Times New Roman" w:cs="Times New Roman"/>
          <w:b/>
          <w:spacing w:val="-3"/>
          <w:sz w:val="26"/>
          <w:szCs w:val="26"/>
        </w:rPr>
      </w:pPr>
      <w:r>
        <w:rPr>
          <w:rFonts w:ascii="Times New Roman" w:hAnsi="Times New Roman" w:cs="Times New Roman"/>
          <w:b/>
          <w:spacing w:val="-3"/>
          <w:sz w:val="26"/>
          <w:szCs w:val="26"/>
        </w:rPr>
        <w:tab/>
      </w:r>
      <w:r>
        <w:rPr>
          <w:rFonts w:ascii="Times New Roman" w:hAnsi="Times New Roman" w:cs="Times New Roman"/>
          <w:b/>
          <w:spacing w:val="-3"/>
          <w:sz w:val="26"/>
          <w:szCs w:val="26"/>
        </w:rPr>
        <w:tab/>
        <w:t>4</w:t>
      </w:r>
      <w:r w:rsidRPr="0040550D">
        <w:rPr>
          <w:rFonts w:ascii="Times New Roman" w:hAnsi="Times New Roman" w:cs="Times New Roman"/>
          <w:spacing w:val="-3"/>
          <w:sz w:val="26"/>
          <w:szCs w:val="26"/>
        </w:rPr>
        <w:t>.</w:t>
      </w:r>
      <w:r w:rsidRPr="0040550D">
        <w:rPr>
          <w:rFonts w:ascii="Times New Roman" w:hAnsi="Times New Roman" w:cs="Times New Roman"/>
          <w:spacing w:val="-3"/>
          <w:sz w:val="26"/>
          <w:szCs w:val="26"/>
        </w:rPr>
        <w:tab/>
      </w:r>
      <w:r w:rsidRPr="00D5171C">
        <w:rPr>
          <w:rFonts w:ascii="Times New Roman" w:hAnsi="Times New Roman" w:cs="Times New Roman"/>
          <w:b/>
          <w:spacing w:val="-3"/>
          <w:sz w:val="26"/>
          <w:szCs w:val="26"/>
        </w:rPr>
        <w:t>Civil Penalty</w:t>
      </w:r>
    </w:p>
    <w:p w:rsidR="0082124B" w:rsidRPr="0040550D" w:rsidRDefault="00170FC9" w:rsidP="00170FC9">
      <w:pPr>
        <w:keepNext/>
        <w:keepLines/>
        <w:spacing w:line="360" w:lineRule="auto"/>
      </w:pPr>
      <w:r>
        <w:t xml:space="preserve"> </w:t>
      </w:r>
    </w:p>
    <w:p w:rsidR="002C58CF" w:rsidRDefault="004B6705" w:rsidP="0082124B">
      <w:pPr>
        <w:pStyle w:val="ParaTab1"/>
        <w:spacing w:line="360" w:lineRule="auto"/>
        <w:rPr>
          <w:rFonts w:ascii="Times New Roman" w:hAnsi="Times New Roman" w:cs="Times New Roman"/>
          <w:spacing w:val="-3"/>
          <w:sz w:val="26"/>
          <w:szCs w:val="26"/>
        </w:rPr>
      </w:pPr>
      <w:r>
        <w:rPr>
          <w:rFonts w:ascii="Times New Roman" w:hAnsi="Times New Roman" w:cs="Times New Roman"/>
          <w:spacing w:val="-3"/>
          <w:sz w:val="26"/>
          <w:szCs w:val="26"/>
        </w:rPr>
        <w:t>After finding a violation of the Code, ALJ Hoyer discussed the a</w:t>
      </w:r>
      <w:r w:rsidR="002C58CF">
        <w:rPr>
          <w:rFonts w:ascii="Times New Roman" w:hAnsi="Times New Roman" w:cs="Times New Roman"/>
          <w:spacing w:val="-3"/>
          <w:sz w:val="26"/>
          <w:szCs w:val="26"/>
        </w:rPr>
        <w:t xml:space="preserve">pplicability of a civil penalty </w:t>
      </w:r>
      <w:r w:rsidR="0030112C">
        <w:rPr>
          <w:rFonts w:ascii="Times New Roman" w:hAnsi="Times New Roman" w:cs="Times New Roman"/>
          <w:spacing w:val="-3"/>
          <w:sz w:val="26"/>
          <w:szCs w:val="26"/>
        </w:rPr>
        <w:t xml:space="preserve">against GTL </w:t>
      </w:r>
      <w:r w:rsidR="002C58CF">
        <w:rPr>
          <w:rFonts w:ascii="Times New Roman" w:hAnsi="Times New Roman" w:cs="Times New Roman"/>
          <w:spacing w:val="-3"/>
          <w:sz w:val="26"/>
          <w:szCs w:val="26"/>
        </w:rPr>
        <w:t>at page</w:t>
      </w:r>
      <w:r>
        <w:rPr>
          <w:rFonts w:ascii="Times New Roman" w:hAnsi="Times New Roman" w:cs="Times New Roman"/>
          <w:spacing w:val="-3"/>
          <w:sz w:val="26"/>
          <w:szCs w:val="26"/>
        </w:rPr>
        <w:t>s</w:t>
      </w:r>
      <w:r w:rsidR="0030112C">
        <w:rPr>
          <w:rFonts w:ascii="Times New Roman" w:hAnsi="Times New Roman" w:cs="Times New Roman"/>
          <w:spacing w:val="-3"/>
          <w:sz w:val="26"/>
          <w:szCs w:val="26"/>
        </w:rPr>
        <w:t xml:space="preserve"> </w:t>
      </w:r>
      <w:r w:rsidR="00557AAA">
        <w:rPr>
          <w:rFonts w:ascii="Times New Roman" w:hAnsi="Times New Roman" w:cs="Times New Roman"/>
          <w:spacing w:val="-3"/>
          <w:sz w:val="26"/>
          <w:szCs w:val="26"/>
        </w:rPr>
        <w:t>17-18</w:t>
      </w:r>
      <w:r w:rsidR="002C58CF">
        <w:rPr>
          <w:rFonts w:ascii="Times New Roman" w:hAnsi="Times New Roman" w:cs="Times New Roman"/>
          <w:spacing w:val="-3"/>
          <w:sz w:val="26"/>
          <w:szCs w:val="26"/>
        </w:rPr>
        <w:t xml:space="preserve">  of the Initial Decisions.  </w:t>
      </w:r>
      <w:r w:rsidR="002C58CF">
        <w:rPr>
          <w:rFonts w:ascii="Times New Roman" w:hAnsi="Times New Roman" w:cs="Times New Roman"/>
          <w:i/>
          <w:spacing w:val="-3"/>
          <w:sz w:val="26"/>
          <w:szCs w:val="26"/>
        </w:rPr>
        <w:t xml:space="preserve">See </w:t>
      </w:r>
      <w:r w:rsidR="002C58CF">
        <w:rPr>
          <w:rFonts w:ascii="Times New Roman" w:hAnsi="Times New Roman" w:cs="Times New Roman"/>
          <w:spacing w:val="-3"/>
          <w:sz w:val="26"/>
          <w:szCs w:val="26"/>
        </w:rPr>
        <w:t xml:space="preserve">Section 3301 of the Code, </w:t>
      </w:r>
      <w:r w:rsidR="0082124B" w:rsidRPr="0040550D">
        <w:rPr>
          <w:rFonts w:ascii="Times New Roman" w:hAnsi="Times New Roman" w:cs="Times New Roman"/>
          <w:spacing w:val="-3"/>
          <w:sz w:val="26"/>
          <w:szCs w:val="26"/>
        </w:rPr>
        <w:t>66 Pa.</w:t>
      </w:r>
      <w:r w:rsidR="002C58CF">
        <w:rPr>
          <w:rFonts w:ascii="Times New Roman" w:hAnsi="Times New Roman" w:cs="Times New Roman"/>
          <w:spacing w:val="-3"/>
          <w:sz w:val="26"/>
          <w:szCs w:val="26"/>
        </w:rPr>
        <w:t xml:space="preserve"> </w:t>
      </w:r>
      <w:r w:rsidR="0082124B" w:rsidRPr="0040550D">
        <w:rPr>
          <w:rFonts w:ascii="Times New Roman" w:hAnsi="Times New Roman" w:cs="Times New Roman"/>
          <w:spacing w:val="-3"/>
          <w:sz w:val="26"/>
          <w:szCs w:val="26"/>
        </w:rPr>
        <w:t xml:space="preserve">C.S. § 3301.  </w:t>
      </w:r>
    </w:p>
    <w:p w:rsidR="00FD22CF" w:rsidRDefault="0082124B" w:rsidP="0082124B">
      <w:pPr>
        <w:spacing w:line="360" w:lineRule="auto"/>
      </w:pPr>
      <w:r w:rsidRPr="0040550D">
        <w:t xml:space="preserve"> </w:t>
      </w:r>
    </w:p>
    <w:p w:rsidR="0082124B" w:rsidRPr="0040550D" w:rsidRDefault="00A349E5" w:rsidP="00FD22CF">
      <w:pPr>
        <w:spacing w:line="360" w:lineRule="auto"/>
        <w:ind w:firstLine="1440"/>
      </w:pPr>
      <w:r>
        <w:t xml:space="preserve">ALJ Hoyer </w:t>
      </w:r>
      <w:r w:rsidR="00557AAA" w:rsidRPr="0040550D">
        <w:t>conclude</w:t>
      </w:r>
      <w:r w:rsidR="00557AAA">
        <w:t>d</w:t>
      </w:r>
      <w:r w:rsidR="00557AAA" w:rsidRPr="0040550D">
        <w:t xml:space="preserve"> that a civil penalty </w:t>
      </w:r>
      <w:r w:rsidR="00557AAA">
        <w:t>wa</w:t>
      </w:r>
      <w:r w:rsidR="00557AAA" w:rsidRPr="0040550D">
        <w:t xml:space="preserve">s not appropriate </w:t>
      </w:r>
      <w:r w:rsidR="00557AAA">
        <w:t>in this Complaint</w:t>
      </w:r>
      <w:r w:rsidR="00557AAA" w:rsidRPr="0040550D">
        <w:t>.</w:t>
      </w:r>
      <w:r w:rsidR="00557AAA">
        <w:t xml:space="preserve">  I.D. at 18.</w:t>
      </w:r>
      <w:r w:rsidR="00557AAA" w:rsidRPr="0040550D">
        <w:t xml:space="preserve">  </w:t>
      </w:r>
      <w:r w:rsidR="00557AAA">
        <w:t xml:space="preserve">The ALJ </w:t>
      </w:r>
      <w:r>
        <w:t xml:space="preserve">reasoned that </w:t>
      </w:r>
      <w:r w:rsidR="0082124B" w:rsidRPr="0040550D">
        <w:t xml:space="preserve">ALJ </w:t>
      </w:r>
      <w:r w:rsidR="00557AAA">
        <w:t xml:space="preserve">Kandace </w:t>
      </w:r>
      <w:r w:rsidR="0082124B" w:rsidRPr="0040550D">
        <w:t>Melillo</w:t>
      </w:r>
      <w:r w:rsidR="00557AAA">
        <w:t xml:space="preserve">, who authored the Initial Decision in </w:t>
      </w:r>
      <w:r w:rsidR="00557AAA">
        <w:rPr>
          <w:i/>
        </w:rPr>
        <w:t>Gibbs</w:t>
      </w:r>
      <w:r w:rsidR="00557AAA">
        <w:t>,</w:t>
      </w:r>
      <w:r w:rsidR="0082124B" w:rsidRPr="0040550D">
        <w:t xml:space="preserve"> </w:t>
      </w:r>
      <w:r>
        <w:t>previously recommended the imposition of</w:t>
      </w:r>
      <w:r w:rsidR="0082124B" w:rsidRPr="0040550D">
        <w:t xml:space="preserve"> a $300 civil penalty</w:t>
      </w:r>
      <w:r w:rsidR="00557AAA">
        <w:t xml:space="preserve"> on GT</w:t>
      </w:r>
      <w:r w:rsidR="00C03536">
        <w:t>L</w:t>
      </w:r>
      <w:r w:rsidR="0082124B" w:rsidRPr="0040550D">
        <w:t xml:space="preserve"> based upon the same system failures and similar facts</w:t>
      </w:r>
      <w:r w:rsidR="00557AAA">
        <w:t>.  Therefore, it was the recommendation that a second civil penalty</w:t>
      </w:r>
      <w:r w:rsidR="0082124B" w:rsidRPr="0040550D">
        <w:t xml:space="preserve"> would be duplicative.  </w:t>
      </w:r>
      <w:r>
        <w:t xml:space="preserve">I.D. at 18.  </w:t>
      </w:r>
      <w:r w:rsidR="00932F2E">
        <w:t xml:space="preserve">It was </w:t>
      </w:r>
      <w:r w:rsidR="00932F2E">
        <w:lastRenderedPageBreak/>
        <w:t xml:space="preserve">noted that </w:t>
      </w:r>
      <w:r w:rsidR="0082124B" w:rsidRPr="0040550D">
        <w:t xml:space="preserve">ALJ Melillo </w:t>
      </w:r>
      <w:r w:rsidR="00932F2E">
        <w:t>advised</w:t>
      </w:r>
      <w:r w:rsidR="0082124B" w:rsidRPr="0040550D">
        <w:t xml:space="preserve"> the Commission that </w:t>
      </w:r>
      <w:r w:rsidR="00932F2E">
        <w:t>ALJ Hoyer</w:t>
      </w:r>
      <w:r w:rsidR="0082124B" w:rsidRPr="0040550D">
        <w:t xml:space="preserve"> was presiding over a </w:t>
      </w:r>
      <w:r w:rsidR="00696A9A">
        <w:t>the instant Complaint</w:t>
      </w:r>
      <w:r w:rsidR="0082124B" w:rsidRPr="0040550D">
        <w:t xml:space="preserve"> case in her civil penalty discussion in her Initial Decision</w:t>
      </w:r>
      <w:r w:rsidR="00696A9A">
        <w:t xml:space="preserve">  in </w:t>
      </w:r>
      <w:r w:rsidR="00696A9A">
        <w:rPr>
          <w:i/>
        </w:rPr>
        <w:t>Gibbs</w:t>
      </w:r>
      <w:r w:rsidR="0082124B" w:rsidRPr="0040550D">
        <w:t>.</w:t>
      </w:r>
      <w:r w:rsidR="00932F2E">
        <w:t xml:space="preserve">  </w:t>
      </w:r>
      <w:r w:rsidR="00932F2E">
        <w:rPr>
          <w:i/>
        </w:rPr>
        <w:t>Id</w:t>
      </w:r>
      <w:r w:rsidR="00932F2E">
        <w:t>.</w:t>
      </w:r>
    </w:p>
    <w:p w:rsidR="00AE35B6" w:rsidRDefault="00AE35B6" w:rsidP="00716339">
      <w:pPr>
        <w:spacing w:line="360" w:lineRule="auto"/>
      </w:pPr>
    </w:p>
    <w:p w:rsidR="003A176D" w:rsidRPr="00157FB6" w:rsidRDefault="003A176D" w:rsidP="00AD2826">
      <w:pPr>
        <w:keepNext/>
        <w:keepLines/>
        <w:spacing w:line="360" w:lineRule="auto"/>
        <w:rPr>
          <w:b/>
        </w:rPr>
      </w:pPr>
      <w:r w:rsidRPr="00157FB6">
        <w:rPr>
          <w:b/>
        </w:rPr>
        <w:t>Exceptions</w:t>
      </w:r>
      <w:r w:rsidR="00716339">
        <w:rPr>
          <w:b/>
        </w:rPr>
        <w:t xml:space="preserve"> and Replies</w:t>
      </w:r>
    </w:p>
    <w:p w:rsidR="003A176D" w:rsidRDefault="003A176D" w:rsidP="00AD2826">
      <w:pPr>
        <w:keepNext/>
        <w:keepLines/>
        <w:spacing w:line="360" w:lineRule="auto"/>
      </w:pPr>
    </w:p>
    <w:p w:rsidR="00833359" w:rsidRDefault="00833359" w:rsidP="003A176D">
      <w:pPr>
        <w:spacing w:line="360" w:lineRule="auto"/>
        <w:ind w:firstLine="1440"/>
      </w:pPr>
      <w:r>
        <w:t xml:space="preserve">Mr. Robinson filed three Exceptions to the Initial Decision.  We discuss and dispose of each Exception </w:t>
      </w:r>
      <w:r w:rsidR="00495BF9">
        <w:t xml:space="preserve">and Replies of GTL </w:t>
      </w:r>
      <w:r>
        <w:t>as raised.</w:t>
      </w:r>
      <w:r w:rsidR="0034764A">
        <w:rPr>
          <w:rStyle w:val="FootnoteReference"/>
        </w:rPr>
        <w:footnoteReference w:id="3"/>
      </w:r>
    </w:p>
    <w:p w:rsidR="00833359" w:rsidRDefault="00833359" w:rsidP="003A176D">
      <w:pPr>
        <w:spacing w:line="360" w:lineRule="auto"/>
        <w:ind w:firstLine="1440"/>
      </w:pPr>
    </w:p>
    <w:p w:rsidR="00833359" w:rsidRPr="00105CF6" w:rsidRDefault="00105CF6" w:rsidP="00105CF6">
      <w:pPr>
        <w:keepNext/>
        <w:keepLines/>
        <w:ind w:left="2160" w:hanging="720"/>
        <w:rPr>
          <w:b/>
        </w:rPr>
      </w:pPr>
      <w:r>
        <w:rPr>
          <w:b/>
        </w:rPr>
        <w:t>(1)</w:t>
      </w:r>
      <w:r>
        <w:rPr>
          <w:b/>
        </w:rPr>
        <w:tab/>
      </w:r>
      <w:r w:rsidR="00833359" w:rsidRPr="00105CF6">
        <w:rPr>
          <w:b/>
        </w:rPr>
        <w:t xml:space="preserve">Exception </w:t>
      </w:r>
      <w:r w:rsidR="00D03766" w:rsidRPr="00105CF6">
        <w:rPr>
          <w:b/>
        </w:rPr>
        <w:t>No. 1</w:t>
      </w:r>
      <w:r w:rsidR="000B7D4F">
        <w:rPr>
          <w:b/>
        </w:rPr>
        <w:t xml:space="preserve"> – the ALJ Erred in his I</w:t>
      </w:r>
      <w:r w:rsidR="00833359" w:rsidRPr="00105CF6">
        <w:rPr>
          <w:b/>
        </w:rPr>
        <w:t>nterpretation of DOC Policy</w:t>
      </w:r>
    </w:p>
    <w:p w:rsidR="00833359" w:rsidRPr="00833359" w:rsidRDefault="00833359" w:rsidP="00170FC9">
      <w:pPr>
        <w:keepNext/>
        <w:keepLines/>
        <w:spacing w:line="360" w:lineRule="auto"/>
        <w:ind w:firstLine="1440"/>
        <w:rPr>
          <w:b/>
        </w:rPr>
      </w:pPr>
    </w:p>
    <w:p w:rsidR="00495BF9" w:rsidRDefault="003A176D" w:rsidP="003A176D">
      <w:pPr>
        <w:spacing w:line="360" w:lineRule="auto"/>
        <w:ind w:firstLine="1440"/>
      </w:pPr>
      <w:r>
        <w:t xml:space="preserve">In Exception </w:t>
      </w:r>
      <w:r w:rsidR="00D03766">
        <w:t xml:space="preserve">No. </w:t>
      </w:r>
      <w:r>
        <w:t xml:space="preserve">1, Mr. Robinson argues that the ALJ erred in his interpretation of DOC Policy, DC-ADM-818.  </w:t>
      </w:r>
      <w:r>
        <w:rPr>
          <w:i/>
        </w:rPr>
        <w:t xml:space="preserve">See </w:t>
      </w:r>
      <w:r>
        <w:t xml:space="preserve">Exc. at 1, referencing FOF </w:t>
      </w:r>
      <w:r w:rsidR="00170FC9">
        <w:t xml:space="preserve">No. </w:t>
      </w:r>
      <w:r>
        <w:t>25.</w:t>
      </w:r>
      <w:r w:rsidR="00495BF9">
        <w:t xml:space="preserve">  FOF </w:t>
      </w:r>
      <w:r w:rsidR="00170FC9">
        <w:t xml:space="preserve">No. </w:t>
      </w:r>
      <w:r w:rsidR="00495BF9">
        <w:t>25 is reprinted below:</w:t>
      </w:r>
    </w:p>
    <w:p w:rsidR="00495BF9" w:rsidRDefault="00495BF9" w:rsidP="003A176D">
      <w:pPr>
        <w:spacing w:line="360" w:lineRule="auto"/>
        <w:ind w:firstLine="1440"/>
      </w:pPr>
    </w:p>
    <w:p w:rsidR="00495BF9" w:rsidRDefault="00495BF9" w:rsidP="004003BE">
      <w:pPr>
        <w:ind w:left="1440" w:right="1440"/>
      </w:pPr>
      <w:r>
        <w:t>25.</w:t>
      </w:r>
      <w:r>
        <w:tab/>
        <w:t>The DOC policy (DC-ADM 818) is that there will be no refunds provided for dropped calls made to cell phones, or for calls automatically terminated when three-way calling, call forwarding, or calls picked up at an exten</w:t>
      </w:r>
      <w:r w:rsidR="004003BE">
        <w:t>sion are detected (GTL Ex. A).</w:t>
      </w:r>
    </w:p>
    <w:p w:rsidR="004003BE" w:rsidRDefault="004003BE" w:rsidP="004003BE">
      <w:pPr>
        <w:ind w:left="1440" w:right="1440"/>
      </w:pPr>
    </w:p>
    <w:p w:rsidR="004003BE" w:rsidRDefault="004003BE" w:rsidP="004003BE">
      <w:pPr>
        <w:ind w:left="1440" w:right="1440"/>
      </w:pPr>
    </w:p>
    <w:p w:rsidR="001A1B94" w:rsidRDefault="007C2D4A" w:rsidP="001A1B94">
      <w:pPr>
        <w:spacing w:line="360" w:lineRule="auto"/>
        <w:ind w:firstLine="1440"/>
      </w:pPr>
      <w:r>
        <w:t>At page 12 of the Initial Decision, the ALJ stated the following: “</w:t>
      </w:r>
      <w:r w:rsidRPr="007C2D4A">
        <w:t>The DOC policy (DC-ADM 818) is that there will be no refunds provided for dropped calls made to cell phones, or for calls automatically terminated when three-way calling, call forwarding, or calls picked up at an extension are detected (GTL Ex. A).</w:t>
      </w:r>
      <w:r>
        <w:t>”</w:t>
      </w:r>
      <w:r w:rsidRPr="007C2D4A">
        <w:t xml:space="preserve"> </w:t>
      </w:r>
      <w:r w:rsidR="001A1B94">
        <w:t xml:space="preserve"> However, ALJ Hoyer further noted at page 12:</w:t>
      </w:r>
    </w:p>
    <w:p w:rsidR="001A1B94" w:rsidRDefault="001A1B94" w:rsidP="001A1B94">
      <w:pPr>
        <w:spacing w:line="360" w:lineRule="auto"/>
        <w:ind w:firstLine="1440"/>
      </w:pPr>
    </w:p>
    <w:p w:rsidR="001A1B94" w:rsidRDefault="001A1B94" w:rsidP="001A1B94">
      <w:pPr>
        <w:ind w:left="1440" w:right="1440"/>
      </w:pPr>
      <w:r>
        <w:lastRenderedPageBreak/>
        <w:tab/>
        <w:t>T</w:t>
      </w:r>
      <w:r w:rsidRPr="00F10E54">
        <w:t xml:space="preserve">homas Fulton would typically investigate tickets received from the site administrator at Graterford by reviewing the telephone records, listening to the telephone call and, on some occasions, listening to a follow up call between the inmate and the previously called party to glean any information regarding the previous disrupted call between the parties (Tr. 35-36, 84, 127-128).  Thomas Fulton, acting for GTL, had granted refunds to inmates for dropped cell phone calls, despite DOC policy, if after his investigation he determined a refund was warranted (Tr. 84-85).  Granting refunds for disrupted cell phone calls was within his discretion.  </w:t>
      </w:r>
      <w:r w:rsidRPr="00F10E54">
        <w:rPr>
          <w:i/>
        </w:rPr>
        <w:t>Id</w:t>
      </w:r>
      <w:r w:rsidRPr="00F10E54">
        <w:t xml:space="preserve">.  Thomas Fulton oftentimes authorized refunds to inmates for disrupted cell phone calls when “it’s unexplained why a disconnect happens” (Tr. 35). </w:t>
      </w:r>
    </w:p>
    <w:p w:rsidR="00170FC9" w:rsidRDefault="00170FC9" w:rsidP="001A1B94">
      <w:pPr>
        <w:ind w:left="1440" w:right="1440"/>
      </w:pPr>
    </w:p>
    <w:p w:rsidR="00170FC9" w:rsidRPr="00F10E54" w:rsidRDefault="00170FC9" w:rsidP="001A1B94">
      <w:pPr>
        <w:ind w:left="1440" w:right="1440"/>
      </w:pPr>
    </w:p>
    <w:p w:rsidR="00647D37" w:rsidRDefault="00647D37" w:rsidP="00647D37">
      <w:pPr>
        <w:spacing w:line="360" w:lineRule="auto"/>
      </w:pPr>
      <w:r>
        <w:t>I.D. at 12.</w:t>
      </w:r>
    </w:p>
    <w:p w:rsidR="00495BF9" w:rsidRDefault="00495BF9" w:rsidP="007C2D4A">
      <w:pPr>
        <w:spacing w:line="360" w:lineRule="auto"/>
      </w:pPr>
    </w:p>
    <w:p w:rsidR="003A176D" w:rsidRDefault="003A176D" w:rsidP="003A176D">
      <w:pPr>
        <w:spacing w:line="360" w:lineRule="auto"/>
        <w:ind w:firstLine="1440"/>
      </w:pPr>
      <w:r>
        <w:t xml:space="preserve">Mr. Robinson asserts that the </w:t>
      </w:r>
      <w:r w:rsidR="007C2D4A">
        <w:t>DO</w:t>
      </w:r>
      <w:r>
        <w:t>C Policy does not act as an absolute bar to the possible recovery of refunds for calls made to cell phones</w:t>
      </w:r>
      <w:r w:rsidR="007C2D4A">
        <w:t xml:space="preserve"> and the presiding ALJ did not accurately cite the pertinent GTL exhibit in reaching this conclusion</w:t>
      </w:r>
      <w:r>
        <w:t>.</w:t>
      </w:r>
      <w:r w:rsidR="00177259">
        <w:t xml:space="preserve">  Mr. Robinson makes the argument that a call to a cell phone is a condition that relates to one of four contingencies that must be present before a call to a cell phone will not be reimbursed.  </w:t>
      </w:r>
      <w:r>
        <w:t xml:space="preserve">Mr. Robinson specifically cites the language of GTL Ex. A, which he argues expressly provides that reimbursement for dropped calls will not be made unless one of four contingencies is present regarding the call.  The pertinent text of the GTL exhibit is </w:t>
      </w:r>
      <w:r w:rsidR="00E541BC">
        <w:t>reprinted below</w:t>
      </w:r>
      <w:r>
        <w:t>:</w:t>
      </w:r>
    </w:p>
    <w:p w:rsidR="003A176D" w:rsidRDefault="003A176D" w:rsidP="003A176D">
      <w:pPr>
        <w:spacing w:line="360" w:lineRule="auto"/>
        <w:ind w:firstLine="1440"/>
      </w:pPr>
    </w:p>
    <w:p w:rsidR="003A176D" w:rsidRPr="00157FB6" w:rsidRDefault="003A176D" w:rsidP="003A176D">
      <w:pPr>
        <w:autoSpaceDE w:val="0"/>
        <w:autoSpaceDN w:val="0"/>
        <w:adjustRightInd w:val="0"/>
        <w:ind w:left="1440" w:right="1440"/>
        <w:rPr>
          <w:rFonts w:eastAsiaTheme="minorHAnsi"/>
        </w:rPr>
      </w:pPr>
      <w:r>
        <w:rPr>
          <w:rFonts w:eastAsiaTheme="minorHAnsi"/>
        </w:rPr>
        <w:t>“</w:t>
      </w:r>
      <w:r w:rsidRPr="00157FB6">
        <w:rPr>
          <w:rFonts w:eastAsiaTheme="minorHAnsi"/>
        </w:rPr>
        <w:t>Warning: calls placed to cell phones, or phones of inferior quality may be</w:t>
      </w:r>
      <w:r>
        <w:rPr>
          <w:rFonts w:eastAsiaTheme="minorHAnsi"/>
        </w:rPr>
        <w:t xml:space="preserve"> </w:t>
      </w:r>
      <w:r w:rsidRPr="00157FB6">
        <w:rPr>
          <w:rFonts w:eastAsiaTheme="minorHAnsi"/>
        </w:rPr>
        <w:t>automatically terminated due to static, adverse we</w:t>
      </w:r>
      <w:r>
        <w:rPr>
          <w:rFonts w:eastAsiaTheme="minorHAnsi"/>
        </w:rPr>
        <w:t xml:space="preserve">ather conditions, weak signals, </w:t>
      </w:r>
      <w:r w:rsidRPr="00157FB6">
        <w:rPr>
          <w:rFonts w:eastAsiaTheme="minorHAnsi"/>
        </w:rPr>
        <w:t xml:space="preserve">or activation of the call waiting feature. </w:t>
      </w:r>
      <w:r>
        <w:rPr>
          <w:rFonts w:eastAsiaTheme="minorHAnsi"/>
        </w:rPr>
        <w:t xml:space="preserve"> </w:t>
      </w:r>
      <w:r w:rsidRPr="00157FB6">
        <w:rPr>
          <w:rFonts w:eastAsiaTheme="minorHAnsi"/>
          <w:b/>
        </w:rPr>
        <w:t>If this occurs</w:t>
      </w:r>
      <w:r w:rsidRPr="00157FB6">
        <w:rPr>
          <w:rFonts w:eastAsiaTheme="minorHAnsi"/>
        </w:rPr>
        <w:t xml:space="preserve"> [emphasis added] there will</w:t>
      </w:r>
    </w:p>
    <w:p w:rsidR="003A176D" w:rsidRDefault="003A176D" w:rsidP="009F04DC">
      <w:pPr>
        <w:keepNext/>
        <w:keepLines/>
        <w:autoSpaceDE w:val="0"/>
        <w:autoSpaceDN w:val="0"/>
        <w:adjustRightInd w:val="0"/>
        <w:ind w:left="1440" w:right="1440"/>
        <w:rPr>
          <w:rFonts w:eastAsiaTheme="minorHAnsi"/>
        </w:rPr>
      </w:pPr>
      <w:r w:rsidRPr="00157FB6">
        <w:rPr>
          <w:rFonts w:eastAsiaTheme="minorHAnsi"/>
        </w:rPr>
        <w:t xml:space="preserve">be no reimbursement for the call set-up fee </w:t>
      </w:r>
      <w:r>
        <w:rPr>
          <w:rFonts w:eastAsiaTheme="minorHAnsi"/>
        </w:rPr>
        <w:t>t</w:t>
      </w:r>
      <w:r w:rsidRPr="00157FB6">
        <w:rPr>
          <w:rFonts w:eastAsiaTheme="minorHAnsi"/>
        </w:rPr>
        <w:t>hat</w:t>
      </w:r>
      <w:r>
        <w:rPr>
          <w:rFonts w:eastAsiaTheme="minorHAnsi"/>
        </w:rPr>
        <w:t xml:space="preserve"> is incurred when the number is </w:t>
      </w:r>
      <w:r w:rsidRPr="00157FB6">
        <w:rPr>
          <w:rFonts w:eastAsiaTheme="minorHAnsi"/>
        </w:rPr>
        <w:t>redialed.</w:t>
      </w:r>
      <w:r>
        <w:rPr>
          <w:rFonts w:eastAsiaTheme="minorHAnsi"/>
        </w:rPr>
        <w:t>”</w:t>
      </w:r>
    </w:p>
    <w:p w:rsidR="00170FC9" w:rsidRDefault="00170FC9" w:rsidP="009F04DC">
      <w:pPr>
        <w:keepNext/>
        <w:keepLines/>
        <w:autoSpaceDE w:val="0"/>
        <w:autoSpaceDN w:val="0"/>
        <w:adjustRightInd w:val="0"/>
        <w:ind w:left="1440" w:right="1440"/>
        <w:rPr>
          <w:rFonts w:eastAsiaTheme="minorHAnsi"/>
        </w:rPr>
      </w:pPr>
    </w:p>
    <w:p w:rsidR="003A176D" w:rsidRDefault="003A176D" w:rsidP="009F04DC">
      <w:pPr>
        <w:keepNext/>
        <w:keepLines/>
        <w:autoSpaceDE w:val="0"/>
        <w:autoSpaceDN w:val="0"/>
        <w:adjustRightInd w:val="0"/>
        <w:ind w:left="1440" w:right="1440"/>
        <w:rPr>
          <w:rFonts w:eastAsiaTheme="minorHAnsi"/>
        </w:rPr>
      </w:pPr>
    </w:p>
    <w:p w:rsidR="003A176D" w:rsidRPr="00157FB6" w:rsidRDefault="003A176D" w:rsidP="003A176D">
      <w:pPr>
        <w:autoSpaceDE w:val="0"/>
        <w:autoSpaceDN w:val="0"/>
        <w:adjustRightInd w:val="0"/>
        <w:spacing w:line="360" w:lineRule="auto"/>
        <w:rPr>
          <w:rFonts w:eastAsiaTheme="minorHAnsi"/>
        </w:rPr>
      </w:pPr>
      <w:r>
        <w:rPr>
          <w:rFonts w:eastAsiaTheme="minorHAnsi"/>
        </w:rPr>
        <w:t>Exc. at 2</w:t>
      </w:r>
      <w:r w:rsidR="00332FCA">
        <w:rPr>
          <w:rFonts w:eastAsiaTheme="minorHAnsi"/>
        </w:rPr>
        <w:t xml:space="preserve"> (emphasis </w:t>
      </w:r>
      <w:r w:rsidR="00B34CBC">
        <w:rPr>
          <w:rFonts w:eastAsiaTheme="minorHAnsi"/>
        </w:rPr>
        <w:t>Complainant</w:t>
      </w:r>
      <w:r w:rsidR="00332FCA">
        <w:rPr>
          <w:rFonts w:eastAsiaTheme="minorHAnsi"/>
        </w:rPr>
        <w:t>)</w:t>
      </w:r>
      <w:r>
        <w:rPr>
          <w:rFonts w:eastAsiaTheme="minorHAnsi"/>
        </w:rPr>
        <w:t>.</w:t>
      </w:r>
      <w:r w:rsidRPr="00157FB6">
        <w:t xml:space="preserve"> </w:t>
      </w:r>
    </w:p>
    <w:p w:rsidR="00332FCA" w:rsidRDefault="00332FCA" w:rsidP="001B028B">
      <w:pPr>
        <w:spacing w:line="360" w:lineRule="auto"/>
        <w:ind w:firstLine="1440"/>
      </w:pPr>
    </w:p>
    <w:p w:rsidR="00177259" w:rsidRDefault="00177259" w:rsidP="001B028B">
      <w:pPr>
        <w:spacing w:line="360" w:lineRule="auto"/>
        <w:ind w:firstLine="1440"/>
      </w:pPr>
      <w:r>
        <w:t xml:space="preserve">In concluding his argument in Exception </w:t>
      </w:r>
      <w:r w:rsidR="00D03766">
        <w:t xml:space="preserve">No. </w:t>
      </w:r>
      <w:r>
        <w:t xml:space="preserve">1, </w:t>
      </w:r>
      <w:r w:rsidR="000B32C3">
        <w:t xml:space="preserve">the </w:t>
      </w:r>
      <w:r>
        <w:t>Complainant points out that Ms. Dawn Allen, who is the site administrator and a subcontractor of GTL, made the decision whether to forward the issue</w:t>
      </w:r>
      <w:r w:rsidR="001501EF">
        <w:t>s</w:t>
      </w:r>
      <w:r>
        <w:t xml:space="preserve"> raised in a discrepancy to GTL.  Exc. at 2.</w:t>
      </w:r>
    </w:p>
    <w:p w:rsidR="00177259" w:rsidRDefault="00177259" w:rsidP="001B028B">
      <w:pPr>
        <w:spacing w:line="360" w:lineRule="auto"/>
        <w:ind w:firstLine="1440"/>
      </w:pPr>
    </w:p>
    <w:p w:rsidR="001501EF" w:rsidRDefault="001501EF" w:rsidP="001B028B">
      <w:pPr>
        <w:spacing w:line="360" w:lineRule="auto"/>
        <w:ind w:firstLine="1440"/>
      </w:pPr>
      <w:r>
        <w:t>In its Replies, GTL stresses three propositions.  First, GTL finds that Mr.</w:t>
      </w:r>
      <w:r w:rsidR="000B32C3">
        <w:t> </w:t>
      </w:r>
      <w:r>
        <w:t xml:space="preserve">Robinson’s interpretation of the applicable DOC policy, DC-ADM 818, </w:t>
      </w:r>
      <w:r w:rsidR="00F337FC">
        <w:t xml:space="preserve">is not accurate and the policy </w:t>
      </w:r>
      <w:r>
        <w:t>was correctly interpreted by the presiding ALJ</w:t>
      </w:r>
      <w:r w:rsidR="00F337FC">
        <w:t>.  Citing the Initial Decision at 7, GTL states that</w:t>
      </w:r>
      <w:r>
        <w:t xml:space="preserve"> the </w:t>
      </w:r>
      <w:r w:rsidR="00F337FC">
        <w:t xml:space="preserve">applicable DOC </w:t>
      </w:r>
      <w:r>
        <w:t>policy provides an absolute mandate to deny reimbursement for prematurely disconnected calls made to a cell phone.  R.Exc. at</w:t>
      </w:r>
      <w:r w:rsidR="0034774F">
        <w:t> </w:t>
      </w:r>
      <w:r>
        <w:t>2.</w:t>
      </w:r>
    </w:p>
    <w:p w:rsidR="001501EF" w:rsidRDefault="001501EF" w:rsidP="001B028B">
      <w:pPr>
        <w:spacing w:line="360" w:lineRule="auto"/>
        <w:ind w:firstLine="1440"/>
      </w:pPr>
    </w:p>
    <w:p w:rsidR="001A1B94" w:rsidRDefault="00E541BC" w:rsidP="001B028B">
      <w:pPr>
        <w:spacing w:line="360" w:lineRule="auto"/>
        <w:ind w:firstLine="1440"/>
      </w:pPr>
      <w:r>
        <w:t>Second, c</w:t>
      </w:r>
      <w:r w:rsidR="00F337FC">
        <w:t>oncerning the proper interpretation of the DOC policy, GTL argues that the language in its Exhibit A, with the ph</w:t>
      </w:r>
      <w:r w:rsidR="00623FED">
        <w:t>r</w:t>
      </w:r>
      <w:r w:rsidR="00F337FC">
        <w:t>ase, “if this occurs,” refers to the call being terminated – not the four stipulations.  Thus, GTL replies that under the DOC policy, reimbursement will be denied under the policy if the call to a cell phone is termi</w:t>
      </w:r>
      <w:r w:rsidR="0034774F">
        <w:t>nated prematurely.  R.Exc. at 2</w:t>
      </w:r>
    </w:p>
    <w:p w:rsidR="00FC0273" w:rsidRDefault="00FC0273" w:rsidP="001B028B">
      <w:pPr>
        <w:spacing w:line="360" w:lineRule="auto"/>
        <w:ind w:firstLine="1440"/>
      </w:pPr>
    </w:p>
    <w:p w:rsidR="00E541BC" w:rsidRPr="0040550D" w:rsidRDefault="00E541BC" w:rsidP="001B028B">
      <w:pPr>
        <w:spacing w:line="360" w:lineRule="auto"/>
        <w:ind w:firstLine="1440"/>
      </w:pPr>
      <w:r>
        <w:t xml:space="preserve">Third, GTL disputes </w:t>
      </w:r>
      <w:r w:rsidR="00365525">
        <w:t xml:space="preserve">the </w:t>
      </w:r>
      <w:r>
        <w:t>Complainant’s understanding of who was responsible for making a decision to deny refunds and who is responsible for the ultimate decision to issue refunds.  R.Exc. at 3.  GTL states that the authority and discretion to issue refunds rests with GTL – not its subcontractors.</w:t>
      </w:r>
      <w:r w:rsidR="00880465">
        <w:rPr>
          <w:rStyle w:val="FootnoteReference"/>
        </w:rPr>
        <w:footnoteReference w:id="4"/>
      </w:r>
    </w:p>
    <w:p w:rsidR="001B028B" w:rsidRPr="0040550D" w:rsidRDefault="001B028B" w:rsidP="001B028B">
      <w:pPr>
        <w:spacing w:line="360" w:lineRule="auto"/>
        <w:ind w:firstLine="1440"/>
      </w:pPr>
    </w:p>
    <w:p w:rsidR="001B028B" w:rsidRPr="008455EF" w:rsidRDefault="00265A08" w:rsidP="00AD2826">
      <w:pPr>
        <w:keepNext/>
        <w:keepLines/>
        <w:spacing w:line="360" w:lineRule="auto"/>
        <w:ind w:firstLine="1440"/>
        <w:rPr>
          <w:b/>
        </w:rPr>
      </w:pPr>
      <w:r w:rsidRPr="008455EF">
        <w:rPr>
          <w:b/>
        </w:rPr>
        <w:lastRenderedPageBreak/>
        <w:t>Disposition</w:t>
      </w:r>
    </w:p>
    <w:p w:rsidR="00265A08" w:rsidRDefault="00265A08" w:rsidP="00AD2826">
      <w:pPr>
        <w:keepNext/>
        <w:keepLines/>
        <w:spacing w:line="360" w:lineRule="auto"/>
        <w:ind w:firstLine="1440"/>
      </w:pPr>
    </w:p>
    <w:p w:rsidR="00F337FC" w:rsidRDefault="00F337FC" w:rsidP="008455EF">
      <w:pPr>
        <w:autoSpaceDE w:val="0"/>
        <w:autoSpaceDN w:val="0"/>
        <w:adjustRightInd w:val="0"/>
        <w:spacing w:line="360" w:lineRule="auto"/>
        <w:ind w:firstLine="1440"/>
      </w:pPr>
      <w:r>
        <w:t xml:space="preserve">On consideration of the positions of the Parties regarding Complainant Exception </w:t>
      </w:r>
      <w:r w:rsidR="00D03766">
        <w:t xml:space="preserve">No. </w:t>
      </w:r>
      <w:r>
        <w:t xml:space="preserve">1, we shall </w:t>
      </w:r>
      <w:r w:rsidR="0069238B">
        <w:t>deny</w:t>
      </w:r>
      <w:r>
        <w:t xml:space="preserve"> the Exception consistent with the </w:t>
      </w:r>
      <w:r w:rsidR="0069238B">
        <w:t xml:space="preserve">below clarifying </w:t>
      </w:r>
      <w:r>
        <w:t>discussion</w:t>
      </w:r>
      <w:r w:rsidR="00245702">
        <w:t xml:space="preserve"> </w:t>
      </w:r>
      <w:r>
        <w:t xml:space="preserve">in this </w:t>
      </w:r>
      <w:r w:rsidR="00245702">
        <w:t>O</w:t>
      </w:r>
      <w:r>
        <w:t xml:space="preserve">pinion and </w:t>
      </w:r>
      <w:r w:rsidR="00245702">
        <w:t>O</w:t>
      </w:r>
      <w:r>
        <w:t>rder.</w:t>
      </w:r>
    </w:p>
    <w:p w:rsidR="00F337FC" w:rsidRDefault="00F337FC" w:rsidP="008455EF">
      <w:pPr>
        <w:autoSpaceDE w:val="0"/>
        <w:autoSpaceDN w:val="0"/>
        <w:adjustRightInd w:val="0"/>
        <w:spacing w:line="360" w:lineRule="auto"/>
        <w:ind w:firstLine="1440"/>
      </w:pPr>
    </w:p>
    <w:p w:rsidR="008455EF" w:rsidRDefault="00265A08" w:rsidP="00245702">
      <w:pPr>
        <w:autoSpaceDE w:val="0"/>
        <w:autoSpaceDN w:val="0"/>
        <w:adjustRightInd w:val="0"/>
        <w:spacing w:line="360" w:lineRule="auto"/>
        <w:ind w:firstLine="1440"/>
        <w:rPr>
          <w:rFonts w:eastAsiaTheme="minorHAnsi"/>
        </w:rPr>
      </w:pPr>
      <w:r w:rsidRPr="008455EF">
        <w:t xml:space="preserve">The argument of Mr. Robinson in his Exception </w:t>
      </w:r>
      <w:r w:rsidR="00D03766">
        <w:t xml:space="preserve">No. </w:t>
      </w:r>
      <w:r w:rsidR="009131AE">
        <w:t>1 is</w:t>
      </w:r>
      <w:r w:rsidRPr="008455EF">
        <w:t xml:space="preserve"> intrinsically related to his overall </w:t>
      </w:r>
      <w:r w:rsidR="008455EF" w:rsidRPr="008455EF">
        <w:t xml:space="preserve">theory of </w:t>
      </w:r>
      <w:r w:rsidR="00A27C91">
        <w:t xml:space="preserve">the </w:t>
      </w:r>
      <w:r w:rsidR="00245702">
        <w:t>harm to be redressed in his</w:t>
      </w:r>
      <w:r w:rsidR="008455EF" w:rsidRPr="008455EF">
        <w:t xml:space="preserve"> Complaint against GTL.  That position is summarized as follows:  </w:t>
      </w:r>
      <w:r w:rsidR="008455EF">
        <w:t>“</w:t>
      </w:r>
      <w:r w:rsidR="008455EF" w:rsidRPr="008455EF">
        <w:rPr>
          <w:rFonts w:eastAsiaTheme="minorHAnsi"/>
        </w:rPr>
        <w:t xml:space="preserve">Mr. Thomas </w:t>
      </w:r>
      <w:r w:rsidR="008455EF">
        <w:rPr>
          <w:rFonts w:eastAsiaTheme="minorHAnsi"/>
        </w:rPr>
        <w:t xml:space="preserve">[GTL employee Thomas Fulton] </w:t>
      </w:r>
      <w:r w:rsidR="008455EF" w:rsidRPr="008455EF">
        <w:rPr>
          <w:rFonts w:eastAsiaTheme="minorHAnsi"/>
        </w:rPr>
        <w:t>also explained tha</w:t>
      </w:r>
      <w:r w:rsidR="008455EF">
        <w:rPr>
          <w:rFonts w:eastAsiaTheme="minorHAnsi"/>
        </w:rPr>
        <w:t>t</w:t>
      </w:r>
      <w:r w:rsidR="008455EF" w:rsidRPr="008455EF">
        <w:rPr>
          <w:rFonts w:eastAsiaTheme="minorHAnsi"/>
        </w:rPr>
        <w:t xml:space="preserve"> he has</w:t>
      </w:r>
      <w:r w:rsidR="00245702">
        <w:rPr>
          <w:rFonts w:eastAsiaTheme="minorHAnsi"/>
        </w:rPr>
        <w:t xml:space="preserve"> </w:t>
      </w:r>
      <w:r w:rsidR="008455EF" w:rsidRPr="008455EF">
        <w:rPr>
          <w:rFonts w:eastAsiaTheme="minorHAnsi"/>
        </w:rPr>
        <w:t>the power to trump PA D.O.C.</w:t>
      </w:r>
      <w:r w:rsidR="00F337FC">
        <w:rPr>
          <w:rFonts w:eastAsiaTheme="minorHAnsi"/>
        </w:rPr>
        <w:t>’</w:t>
      </w:r>
      <w:r w:rsidR="008455EF" w:rsidRPr="008455EF">
        <w:rPr>
          <w:rFonts w:eastAsiaTheme="minorHAnsi"/>
        </w:rPr>
        <w:t>s policy against cell phones, and he had, in fact, done so before.</w:t>
      </w:r>
      <w:r w:rsidR="008455EF">
        <w:rPr>
          <w:rFonts w:eastAsiaTheme="minorHAnsi"/>
        </w:rPr>
        <w:t xml:space="preserve">  </w:t>
      </w:r>
      <w:r w:rsidR="008455EF" w:rsidRPr="008455EF">
        <w:rPr>
          <w:rFonts w:eastAsiaTheme="minorHAnsi"/>
        </w:rPr>
        <w:t xml:space="preserve">This indicates </w:t>
      </w:r>
      <w:r w:rsidR="008455EF">
        <w:rPr>
          <w:rFonts w:eastAsiaTheme="minorHAnsi"/>
        </w:rPr>
        <w:t>t</w:t>
      </w:r>
      <w:r w:rsidR="008455EF" w:rsidRPr="008455EF">
        <w:rPr>
          <w:rFonts w:eastAsiaTheme="minorHAnsi"/>
        </w:rPr>
        <w:t>hat Thomas Fulton, a GTL employee, has the last word on whether a refund is</w:t>
      </w:r>
      <w:r w:rsidR="008455EF">
        <w:rPr>
          <w:rFonts w:eastAsiaTheme="minorHAnsi"/>
        </w:rPr>
        <w:t xml:space="preserve"> </w:t>
      </w:r>
      <w:r w:rsidR="008455EF" w:rsidRPr="008455EF">
        <w:rPr>
          <w:rFonts w:eastAsiaTheme="minorHAnsi"/>
        </w:rPr>
        <w:t xml:space="preserve">given. </w:t>
      </w:r>
      <w:r w:rsidR="008455EF">
        <w:rPr>
          <w:rFonts w:eastAsiaTheme="minorHAnsi"/>
        </w:rPr>
        <w:t xml:space="preserve"> </w:t>
      </w:r>
      <w:r w:rsidR="008455EF" w:rsidRPr="008455EF">
        <w:rPr>
          <w:rFonts w:eastAsiaTheme="minorHAnsi"/>
        </w:rPr>
        <w:t>So while PA D.O.C.</w:t>
      </w:r>
      <w:r w:rsidR="00F337FC">
        <w:rPr>
          <w:rFonts w:eastAsiaTheme="minorHAnsi"/>
        </w:rPr>
        <w:t>’</w:t>
      </w:r>
      <w:r w:rsidR="008455EF" w:rsidRPr="008455EF">
        <w:rPr>
          <w:rFonts w:eastAsiaTheme="minorHAnsi"/>
        </w:rPr>
        <w:t>s policy could be a guide, i</w:t>
      </w:r>
      <w:r w:rsidR="008455EF">
        <w:rPr>
          <w:rFonts w:eastAsiaTheme="minorHAnsi"/>
        </w:rPr>
        <w:t>t</w:t>
      </w:r>
      <w:r w:rsidR="008455EF" w:rsidRPr="008455EF">
        <w:rPr>
          <w:rFonts w:eastAsiaTheme="minorHAnsi"/>
        </w:rPr>
        <w:t xml:space="preserve"> is not the governing authority when it</w:t>
      </w:r>
      <w:r w:rsidR="008455EF">
        <w:rPr>
          <w:rFonts w:eastAsiaTheme="minorHAnsi"/>
        </w:rPr>
        <w:t xml:space="preserve"> </w:t>
      </w:r>
      <w:r w:rsidR="008455EF" w:rsidRPr="008455EF">
        <w:rPr>
          <w:rFonts w:eastAsiaTheme="minorHAnsi"/>
        </w:rPr>
        <w:t xml:space="preserve">applies to refunds. </w:t>
      </w:r>
      <w:r w:rsidR="008455EF">
        <w:rPr>
          <w:rFonts w:eastAsiaTheme="minorHAnsi"/>
        </w:rPr>
        <w:t xml:space="preserve"> </w:t>
      </w:r>
      <w:r w:rsidR="008455EF" w:rsidRPr="008455EF">
        <w:rPr>
          <w:rFonts w:eastAsiaTheme="minorHAnsi"/>
        </w:rPr>
        <w:t xml:space="preserve">Actually, Mr. Fulton testified </w:t>
      </w:r>
      <w:r w:rsidR="00F337FC">
        <w:rPr>
          <w:rFonts w:eastAsiaTheme="minorHAnsi"/>
        </w:rPr>
        <w:t>t</w:t>
      </w:r>
      <w:r w:rsidR="008455EF" w:rsidRPr="008455EF">
        <w:rPr>
          <w:rFonts w:eastAsiaTheme="minorHAnsi"/>
        </w:rPr>
        <w:t>o this fact himself.</w:t>
      </w:r>
      <w:r w:rsidR="008455EF">
        <w:rPr>
          <w:rFonts w:eastAsiaTheme="minorHAnsi"/>
        </w:rPr>
        <w:t xml:space="preserve">”  </w:t>
      </w:r>
      <w:r w:rsidR="008455EF">
        <w:rPr>
          <w:rFonts w:eastAsiaTheme="minorHAnsi"/>
          <w:i/>
        </w:rPr>
        <w:t xml:space="preserve">See </w:t>
      </w:r>
      <w:r w:rsidR="008455EF">
        <w:rPr>
          <w:rFonts w:eastAsiaTheme="minorHAnsi"/>
        </w:rPr>
        <w:t>Complainant, Post-Hearing Brief in Support of Complaint, at 4.</w:t>
      </w:r>
    </w:p>
    <w:p w:rsidR="008455EF" w:rsidRDefault="008455EF" w:rsidP="008455EF">
      <w:pPr>
        <w:autoSpaceDE w:val="0"/>
        <w:autoSpaceDN w:val="0"/>
        <w:adjustRightInd w:val="0"/>
        <w:spacing w:line="360" w:lineRule="auto"/>
        <w:rPr>
          <w:rFonts w:eastAsiaTheme="minorHAnsi"/>
        </w:rPr>
      </w:pPr>
    </w:p>
    <w:p w:rsidR="00BD29D6" w:rsidRDefault="00BD29D6" w:rsidP="00A541D1">
      <w:pPr>
        <w:pStyle w:val="Default"/>
        <w:spacing w:line="360" w:lineRule="auto"/>
        <w:ind w:firstLine="1440"/>
        <w:rPr>
          <w:rFonts w:eastAsiaTheme="minorHAnsi"/>
          <w:color w:val="auto"/>
          <w:sz w:val="26"/>
          <w:szCs w:val="26"/>
        </w:rPr>
      </w:pPr>
      <w:r w:rsidRPr="00A541D1">
        <w:rPr>
          <w:rFonts w:eastAsiaTheme="minorHAnsi"/>
          <w:color w:val="auto"/>
          <w:sz w:val="26"/>
          <w:szCs w:val="26"/>
        </w:rPr>
        <w:t>The position of GTL is not inconsistent with the argument of Mr. Robinson</w:t>
      </w:r>
      <w:r w:rsidR="00A27C91">
        <w:rPr>
          <w:rFonts w:eastAsiaTheme="minorHAnsi"/>
          <w:color w:val="auto"/>
          <w:sz w:val="26"/>
          <w:szCs w:val="26"/>
        </w:rPr>
        <w:t xml:space="preserve"> in his Exceptions and overall theory of the Complaint</w:t>
      </w:r>
      <w:r w:rsidR="00F337FC">
        <w:rPr>
          <w:rFonts w:eastAsiaTheme="minorHAnsi"/>
          <w:color w:val="auto"/>
          <w:sz w:val="26"/>
          <w:szCs w:val="26"/>
        </w:rPr>
        <w:t xml:space="preserve"> concerning the propriety of refunds for calls made to cell phones</w:t>
      </w:r>
      <w:r w:rsidRPr="00A541D1">
        <w:rPr>
          <w:rFonts w:eastAsiaTheme="minorHAnsi"/>
          <w:color w:val="auto"/>
          <w:sz w:val="26"/>
          <w:szCs w:val="26"/>
        </w:rPr>
        <w:t xml:space="preserve">.  </w:t>
      </w:r>
      <w:r w:rsidRPr="00A541D1">
        <w:rPr>
          <w:rFonts w:eastAsiaTheme="minorHAnsi"/>
          <w:i/>
          <w:color w:val="auto"/>
          <w:sz w:val="26"/>
          <w:szCs w:val="26"/>
        </w:rPr>
        <w:t xml:space="preserve">See </w:t>
      </w:r>
      <w:r w:rsidRPr="00A541D1">
        <w:rPr>
          <w:rFonts w:eastAsiaTheme="minorHAnsi"/>
          <w:color w:val="auto"/>
          <w:sz w:val="26"/>
          <w:szCs w:val="26"/>
        </w:rPr>
        <w:t>GTL Reply Brief at 2</w:t>
      </w:r>
      <w:r w:rsidR="00F337FC">
        <w:rPr>
          <w:rFonts w:eastAsiaTheme="minorHAnsi"/>
          <w:color w:val="auto"/>
          <w:sz w:val="26"/>
          <w:szCs w:val="26"/>
        </w:rPr>
        <w:t>:</w:t>
      </w:r>
      <w:r w:rsidRPr="00A541D1">
        <w:rPr>
          <w:rFonts w:eastAsiaTheme="minorHAnsi"/>
          <w:color w:val="auto"/>
          <w:sz w:val="26"/>
          <w:szCs w:val="26"/>
        </w:rPr>
        <w:t xml:space="preserve"> “</w:t>
      </w:r>
      <w:r w:rsidRPr="00A541D1">
        <w:rPr>
          <w:color w:val="auto"/>
          <w:sz w:val="26"/>
          <w:szCs w:val="26"/>
        </w:rPr>
        <w:t>The actual testimony of GTL’s witness is that although GTL relies on the DOC policy to determine whether an allegedly disconnected call requires a refund, GTL has the discretion to issue refunds, and it has done so in the case of Mr. Robinson. TR 92, 129.”</w:t>
      </w:r>
      <w:r w:rsidR="00A541D1" w:rsidRPr="00A541D1">
        <w:rPr>
          <w:color w:val="auto"/>
          <w:sz w:val="26"/>
          <w:szCs w:val="26"/>
        </w:rPr>
        <w:t xml:space="preserve"> </w:t>
      </w:r>
      <w:r w:rsidR="00F337FC">
        <w:rPr>
          <w:color w:val="auto"/>
          <w:sz w:val="26"/>
          <w:szCs w:val="26"/>
        </w:rPr>
        <w:t xml:space="preserve"> </w:t>
      </w:r>
      <w:r w:rsidR="00F337FC">
        <w:rPr>
          <w:i/>
          <w:color w:val="auto"/>
          <w:sz w:val="26"/>
          <w:szCs w:val="26"/>
        </w:rPr>
        <w:t>See</w:t>
      </w:r>
      <w:r w:rsidR="00A541D1" w:rsidRPr="00A541D1">
        <w:rPr>
          <w:color w:val="auto"/>
          <w:sz w:val="26"/>
          <w:szCs w:val="26"/>
        </w:rPr>
        <w:t xml:space="preserve"> </w:t>
      </w:r>
      <w:r w:rsidR="00A541D1" w:rsidRPr="00A541D1">
        <w:rPr>
          <w:i/>
          <w:color w:val="auto"/>
          <w:sz w:val="26"/>
          <w:szCs w:val="26"/>
        </w:rPr>
        <w:t xml:space="preserve">also </w:t>
      </w:r>
      <w:r w:rsidR="00F337FC">
        <w:rPr>
          <w:color w:val="auto"/>
          <w:sz w:val="26"/>
          <w:szCs w:val="26"/>
        </w:rPr>
        <w:t xml:space="preserve">GTL Reply Brief at </w:t>
      </w:r>
      <w:r w:rsidR="00A541D1" w:rsidRPr="00A541D1">
        <w:rPr>
          <w:color w:val="auto"/>
          <w:sz w:val="26"/>
          <w:szCs w:val="26"/>
        </w:rPr>
        <w:t xml:space="preserve"> 2-3</w:t>
      </w:r>
      <w:r w:rsidR="00F337FC">
        <w:rPr>
          <w:color w:val="auto"/>
          <w:sz w:val="26"/>
          <w:szCs w:val="26"/>
        </w:rPr>
        <w:t>:</w:t>
      </w:r>
      <w:r w:rsidR="00A541D1" w:rsidRPr="00A541D1">
        <w:rPr>
          <w:color w:val="auto"/>
          <w:sz w:val="26"/>
          <w:szCs w:val="26"/>
        </w:rPr>
        <w:t xml:space="preserve"> “</w:t>
      </w:r>
      <w:r w:rsidR="00A541D1" w:rsidRPr="00A541D1">
        <w:rPr>
          <w:rFonts w:eastAsiaTheme="minorHAnsi"/>
          <w:color w:val="auto"/>
          <w:sz w:val="26"/>
          <w:szCs w:val="26"/>
        </w:rPr>
        <w:t>Both the Complainant and GTL agree that the DOC policy denies refunds for dropped calls to cell phones under certain circumstances, but GTL has the discretion to issue credits or refunds, even for disconnected calls to mobile phones.</w:t>
      </w:r>
      <w:r w:rsidR="00A541D1">
        <w:rPr>
          <w:rFonts w:eastAsiaTheme="minorHAnsi"/>
          <w:color w:val="auto"/>
          <w:sz w:val="26"/>
          <w:szCs w:val="26"/>
        </w:rPr>
        <w:t>”</w:t>
      </w:r>
    </w:p>
    <w:p w:rsidR="00A541D1" w:rsidRDefault="00A541D1" w:rsidP="00A541D1">
      <w:pPr>
        <w:pStyle w:val="Default"/>
        <w:spacing w:line="360" w:lineRule="auto"/>
        <w:ind w:firstLine="1440"/>
        <w:rPr>
          <w:rFonts w:eastAsiaTheme="minorHAnsi"/>
          <w:color w:val="auto"/>
          <w:sz w:val="26"/>
          <w:szCs w:val="26"/>
        </w:rPr>
      </w:pPr>
    </w:p>
    <w:p w:rsidR="00A27C91" w:rsidRDefault="00A27C91" w:rsidP="00A541D1">
      <w:pPr>
        <w:pStyle w:val="Default"/>
        <w:spacing w:line="360" w:lineRule="auto"/>
        <w:ind w:firstLine="1440"/>
        <w:rPr>
          <w:rFonts w:eastAsiaTheme="minorHAnsi"/>
          <w:color w:val="auto"/>
          <w:sz w:val="26"/>
          <w:szCs w:val="26"/>
        </w:rPr>
      </w:pPr>
      <w:r>
        <w:rPr>
          <w:rFonts w:eastAsiaTheme="minorHAnsi"/>
          <w:color w:val="auto"/>
          <w:sz w:val="26"/>
          <w:szCs w:val="26"/>
        </w:rPr>
        <w:t xml:space="preserve">However, GTL and </w:t>
      </w:r>
      <w:r w:rsidR="009131AE">
        <w:rPr>
          <w:rFonts w:eastAsiaTheme="minorHAnsi"/>
          <w:color w:val="auto"/>
          <w:sz w:val="26"/>
          <w:szCs w:val="26"/>
        </w:rPr>
        <w:t xml:space="preserve">the </w:t>
      </w:r>
      <w:r>
        <w:rPr>
          <w:rFonts w:eastAsiaTheme="minorHAnsi"/>
          <w:color w:val="auto"/>
          <w:sz w:val="26"/>
          <w:szCs w:val="26"/>
        </w:rPr>
        <w:t xml:space="preserve">Complainant are clearly in disagreement </w:t>
      </w:r>
      <w:r w:rsidR="00801693">
        <w:rPr>
          <w:rFonts w:eastAsiaTheme="minorHAnsi"/>
          <w:color w:val="auto"/>
          <w:sz w:val="26"/>
          <w:szCs w:val="26"/>
        </w:rPr>
        <w:t xml:space="preserve">over </w:t>
      </w:r>
      <w:r>
        <w:rPr>
          <w:rFonts w:eastAsiaTheme="minorHAnsi"/>
          <w:color w:val="auto"/>
          <w:sz w:val="26"/>
          <w:szCs w:val="26"/>
        </w:rPr>
        <w:t xml:space="preserve">whether the DOC policy concerning calls to cell phones is, </w:t>
      </w:r>
      <w:r w:rsidR="00801693">
        <w:rPr>
          <w:rFonts w:eastAsiaTheme="minorHAnsi"/>
          <w:color w:val="auto"/>
          <w:sz w:val="26"/>
          <w:szCs w:val="26"/>
        </w:rPr>
        <w:t xml:space="preserve">as written, </w:t>
      </w:r>
      <w:r>
        <w:rPr>
          <w:rFonts w:eastAsiaTheme="minorHAnsi"/>
          <w:color w:val="auto"/>
          <w:sz w:val="26"/>
          <w:szCs w:val="26"/>
        </w:rPr>
        <w:t>i</w:t>
      </w:r>
      <w:r w:rsidR="00E06CE7">
        <w:rPr>
          <w:rFonts w:eastAsiaTheme="minorHAnsi"/>
          <w:color w:val="auto"/>
          <w:sz w:val="26"/>
          <w:szCs w:val="26"/>
        </w:rPr>
        <w:t>nherently</w:t>
      </w:r>
      <w:r>
        <w:rPr>
          <w:rFonts w:eastAsiaTheme="minorHAnsi"/>
          <w:color w:val="auto"/>
          <w:sz w:val="26"/>
          <w:szCs w:val="26"/>
        </w:rPr>
        <w:t xml:space="preserve"> preclusive.  </w:t>
      </w:r>
      <w:r>
        <w:rPr>
          <w:rFonts w:eastAsiaTheme="minorHAnsi"/>
          <w:i/>
          <w:color w:val="auto"/>
          <w:sz w:val="26"/>
          <w:szCs w:val="26"/>
        </w:rPr>
        <w:t xml:space="preserve">See </w:t>
      </w:r>
      <w:r>
        <w:rPr>
          <w:rFonts w:eastAsiaTheme="minorHAnsi"/>
          <w:color w:val="auto"/>
          <w:sz w:val="26"/>
          <w:szCs w:val="26"/>
        </w:rPr>
        <w:t xml:space="preserve">GTL R.Exc. at 3, “Thus, even though DOC policy provides that inmates </w:t>
      </w:r>
      <w:r>
        <w:rPr>
          <w:rFonts w:eastAsiaTheme="minorHAnsi"/>
          <w:color w:val="auto"/>
          <w:sz w:val="26"/>
          <w:szCs w:val="26"/>
        </w:rPr>
        <w:lastRenderedPageBreak/>
        <w:t>are not entitled to refunds for dropped calls to cell phones, GTL investigated and made its own d</w:t>
      </w:r>
      <w:r w:rsidR="00801693">
        <w:rPr>
          <w:rFonts w:eastAsiaTheme="minorHAnsi"/>
          <w:color w:val="auto"/>
          <w:sz w:val="26"/>
          <w:szCs w:val="26"/>
        </w:rPr>
        <w:t>e</w:t>
      </w:r>
      <w:r>
        <w:rPr>
          <w:rFonts w:eastAsiaTheme="minorHAnsi"/>
          <w:color w:val="auto"/>
          <w:sz w:val="26"/>
          <w:szCs w:val="26"/>
        </w:rPr>
        <w:t>terminations regarding calls to cellphones and landlines.”</w:t>
      </w:r>
    </w:p>
    <w:p w:rsidR="00A27C91" w:rsidRDefault="00A27C91" w:rsidP="00A27C91">
      <w:pPr>
        <w:pStyle w:val="Default"/>
        <w:spacing w:line="360" w:lineRule="auto"/>
        <w:rPr>
          <w:rFonts w:eastAsiaTheme="minorHAnsi"/>
          <w:color w:val="auto"/>
          <w:sz w:val="26"/>
          <w:szCs w:val="26"/>
        </w:rPr>
      </w:pPr>
    </w:p>
    <w:p w:rsidR="00245702" w:rsidRDefault="00245702" w:rsidP="003E1567">
      <w:pPr>
        <w:pStyle w:val="Default"/>
        <w:spacing w:line="360" w:lineRule="auto"/>
        <w:ind w:firstLine="1440"/>
        <w:rPr>
          <w:rFonts w:eastAsiaTheme="minorHAnsi"/>
          <w:color w:val="auto"/>
          <w:sz w:val="26"/>
          <w:szCs w:val="26"/>
        </w:rPr>
      </w:pPr>
      <w:r>
        <w:rPr>
          <w:rFonts w:eastAsiaTheme="minorHAnsi"/>
          <w:color w:val="auto"/>
          <w:sz w:val="26"/>
          <w:szCs w:val="26"/>
        </w:rPr>
        <w:t>The relationship between DOC policy and the obligations of the service provider to furnish adequate service under the Code ha</w:t>
      </w:r>
      <w:r w:rsidR="00BE7B90">
        <w:rPr>
          <w:rFonts w:eastAsiaTheme="minorHAnsi"/>
          <w:color w:val="auto"/>
          <w:sz w:val="26"/>
          <w:szCs w:val="26"/>
        </w:rPr>
        <w:t>s</w:t>
      </w:r>
      <w:r>
        <w:rPr>
          <w:rFonts w:eastAsiaTheme="minorHAnsi"/>
          <w:color w:val="auto"/>
          <w:sz w:val="26"/>
          <w:szCs w:val="26"/>
        </w:rPr>
        <w:t xml:space="preserve"> been addressed in </w:t>
      </w:r>
      <w:r w:rsidRPr="00245702">
        <w:rPr>
          <w:rFonts w:eastAsiaTheme="minorHAnsi"/>
          <w:i/>
          <w:color w:val="auto"/>
          <w:sz w:val="26"/>
          <w:szCs w:val="26"/>
        </w:rPr>
        <w:t>Feigley</w:t>
      </w:r>
      <w:r>
        <w:rPr>
          <w:rFonts w:eastAsiaTheme="minorHAnsi"/>
          <w:color w:val="auto"/>
          <w:sz w:val="26"/>
          <w:szCs w:val="26"/>
        </w:rPr>
        <w:t>, 794 A.2d 428, 432.</w:t>
      </w:r>
      <w:r>
        <w:rPr>
          <w:rStyle w:val="FootnoteReference"/>
          <w:rFonts w:eastAsiaTheme="minorHAnsi"/>
          <w:color w:val="auto"/>
          <w:sz w:val="26"/>
          <w:szCs w:val="26"/>
        </w:rPr>
        <w:footnoteReference w:id="5"/>
      </w:r>
      <w:r>
        <w:rPr>
          <w:rFonts w:eastAsiaTheme="minorHAnsi"/>
          <w:color w:val="auto"/>
          <w:sz w:val="26"/>
          <w:szCs w:val="26"/>
        </w:rPr>
        <w:t xml:space="preserve">  A prisoner’s right to telephone access is </w:t>
      </w:r>
      <w:r w:rsidR="003E1567">
        <w:rPr>
          <w:rFonts w:eastAsiaTheme="minorHAnsi"/>
          <w:color w:val="auto"/>
          <w:sz w:val="26"/>
          <w:szCs w:val="26"/>
        </w:rPr>
        <w:t xml:space="preserve">subject </w:t>
      </w:r>
      <w:r>
        <w:rPr>
          <w:rFonts w:eastAsiaTheme="minorHAnsi"/>
          <w:color w:val="auto"/>
          <w:sz w:val="26"/>
          <w:szCs w:val="26"/>
        </w:rPr>
        <w:t xml:space="preserve">to rational limitations in the face of security interests of the penal institution.  </w:t>
      </w:r>
      <w:r>
        <w:rPr>
          <w:rFonts w:eastAsiaTheme="minorHAnsi"/>
          <w:i/>
          <w:color w:val="auto"/>
          <w:sz w:val="26"/>
          <w:szCs w:val="26"/>
        </w:rPr>
        <w:t>Feigley</w:t>
      </w:r>
      <w:r>
        <w:rPr>
          <w:rFonts w:eastAsiaTheme="minorHAnsi"/>
          <w:color w:val="auto"/>
          <w:sz w:val="26"/>
          <w:szCs w:val="26"/>
        </w:rPr>
        <w:t xml:space="preserve">, 794 A.2d at 432, citing </w:t>
      </w:r>
      <w:r>
        <w:rPr>
          <w:rFonts w:eastAsiaTheme="minorHAnsi"/>
          <w:i/>
          <w:color w:val="auto"/>
          <w:sz w:val="26"/>
          <w:szCs w:val="26"/>
        </w:rPr>
        <w:t>Strandberg v. City of Helena</w:t>
      </w:r>
      <w:r>
        <w:rPr>
          <w:rFonts w:eastAsiaTheme="minorHAnsi"/>
          <w:color w:val="auto"/>
          <w:sz w:val="26"/>
          <w:szCs w:val="26"/>
        </w:rPr>
        <w:t>, 791 F2d, 744, 747 (9</w:t>
      </w:r>
      <w:r w:rsidRPr="00245702">
        <w:rPr>
          <w:rFonts w:eastAsiaTheme="minorHAnsi"/>
          <w:color w:val="auto"/>
          <w:sz w:val="26"/>
          <w:szCs w:val="26"/>
          <w:vertAlign w:val="superscript"/>
        </w:rPr>
        <w:t>th</w:t>
      </w:r>
      <w:r>
        <w:rPr>
          <w:rFonts w:eastAsiaTheme="minorHAnsi"/>
          <w:color w:val="auto"/>
          <w:sz w:val="26"/>
          <w:szCs w:val="26"/>
        </w:rPr>
        <w:t xml:space="preserve"> Cir. 1986).</w:t>
      </w:r>
      <w:r w:rsidR="003E1567">
        <w:rPr>
          <w:rFonts w:eastAsiaTheme="minorHAnsi"/>
          <w:color w:val="auto"/>
          <w:sz w:val="26"/>
          <w:szCs w:val="26"/>
        </w:rPr>
        <w:t xml:space="preserve">  Also, t</w:t>
      </w:r>
      <w:r w:rsidR="003E1567" w:rsidRPr="003E1567">
        <w:rPr>
          <w:color w:val="auto"/>
          <w:sz w:val="26"/>
          <w:szCs w:val="26"/>
        </w:rPr>
        <w:t>he exact nature of telephone service to be provided to inmates is generally to be determined by prison administrators, subject to court scrutiny for unreasonable restrictions.</w:t>
      </w:r>
      <w:r w:rsidR="003E1567">
        <w:rPr>
          <w:color w:val="auto"/>
          <w:sz w:val="26"/>
          <w:szCs w:val="26"/>
        </w:rPr>
        <w:t xml:space="preserve">  </w:t>
      </w:r>
      <w:r w:rsidR="003E1567">
        <w:rPr>
          <w:i/>
          <w:color w:val="auto"/>
          <w:sz w:val="26"/>
          <w:szCs w:val="26"/>
        </w:rPr>
        <w:t xml:space="preserve">Id., citing </w:t>
      </w:r>
      <w:r w:rsidR="003E1567" w:rsidRPr="003E1567">
        <w:rPr>
          <w:color w:val="auto"/>
          <w:sz w:val="26"/>
          <w:szCs w:val="26"/>
        </w:rPr>
        <w:t xml:space="preserve"> </w:t>
      </w:r>
      <w:hyperlink r:id="rId11" w:history="1">
        <w:r w:rsidR="003E1567" w:rsidRPr="003E1567">
          <w:rPr>
            <w:rStyle w:val="Hyperlink"/>
            <w:i/>
            <w:color w:val="auto"/>
            <w:sz w:val="26"/>
            <w:szCs w:val="26"/>
          </w:rPr>
          <w:t>Fillmore v. Ordonez</w:t>
        </w:r>
        <w:r w:rsidR="003E1567" w:rsidRPr="003E1567">
          <w:rPr>
            <w:rStyle w:val="Hyperlink"/>
            <w:color w:val="auto"/>
            <w:sz w:val="26"/>
            <w:szCs w:val="26"/>
          </w:rPr>
          <w:t>, 829 F. Supp. 1544, 1563-64 (D.Kan.1993)</w:t>
        </w:r>
      </w:hyperlink>
      <w:r w:rsidR="003E1567" w:rsidRPr="003E1567">
        <w:rPr>
          <w:color w:val="auto"/>
          <w:sz w:val="26"/>
          <w:szCs w:val="26"/>
        </w:rPr>
        <w:t xml:space="preserve">, </w:t>
      </w:r>
      <w:r w:rsidR="003E1567" w:rsidRPr="003E1567">
        <w:rPr>
          <w:i/>
          <w:color w:val="auto"/>
          <w:sz w:val="26"/>
          <w:szCs w:val="26"/>
        </w:rPr>
        <w:t>aff'd</w:t>
      </w:r>
      <w:r w:rsidR="003E1567" w:rsidRPr="003E1567">
        <w:rPr>
          <w:color w:val="auto"/>
          <w:sz w:val="26"/>
          <w:szCs w:val="26"/>
        </w:rPr>
        <w:t xml:space="preserve">, </w:t>
      </w:r>
      <w:hyperlink r:id="rId12" w:history="1">
        <w:r w:rsidR="003E1567" w:rsidRPr="003E1567">
          <w:rPr>
            <w:rStyle w:val="Hyperlink"/>
            <w:color w:val="auto"/>
            <w:sz w:val="26"/>
            <w:szCs w:val="26"/>
          </w:rPr>
          <w:t>17 F.3d 1436 (10th Cir.1994)</w:t>
        </w:r>
      </w:hyperlink>
      <w:r w:rsidR="003E1567" w:rsidRPr="003E1567">
        <w:rPr>
          <w:color w:val="auto"/>
          <w:sz w:val="26"/>
          <w:szCs w:val="26"/>
        </w:rPr>
        <w:t xml:space="preserve">, and citing </w:t>
      </w:r>
      <w:hyperlink r:id="rId13" w:history="1">
        <w:r w:rsidR="003E1567" w:rsidRPr="003E1567">
          <w:rPr>
            <w:rStyle w:val="Hyperlink"/>
            <w:i/>
            <w:color w:val="auto"/>
            <w:sz w:val="26"/>
            <w:szCs w:val="26"/>
          </w:rPr>
          <w:t>Feeley v. Sampson</w:t>
        </w:r>
        <w:r w:rsidR="003E1567" w:rsidRPr="003E1567">
          <w:rPr>
            <w:rStyle w:val="Hyperlink"/>
            <w:color w:val="auto"/>
            <w:sz w:val="26"/>
            <w:szCs w:val="26"/>
          </w:rPr>
          <w:t>, 570 F.2d 364, 374 (1st Cir.1978)</w:t>
        </w:r>
      </w:hyperlink>
      <w:r w:rsidR="003E1567" w:rsidRPr="003E1567">
        <w:rPr>
          <w:color w:val="auto"/>
          <w:sz w:val="26"/>
          <w:szCs w:val="26"/>
        </w:rPr>
        <w:t xml:space="preserve">, and </w:t>
      </w:r>
      <w:hyperlink r:id="rId14" w:history="1">
        <w:r w:rsidR="003E1567" w:rsidRPr="003E1567">
          <w:rPr>
            <w:rStyle w:val="Hyperlink"/>
            <w:color w:val="auto"/>
            <w:sz w:val="26"/>
            <w:szCs w:val="26"/>
          </w:rPr>
          <w:t>J</w:t>
        </w:r>
        <w:r w:rsidR="003E1567" w:rsidRPr="003E1567">
          <w:rPr>
            <w:rStyle w:val="Hyperlink"/>
            <w:i/>
            <w:color w:val="auto"/>
            <w:sz w:val="26"/>
            <w:szCs w:val="26"/>
          </w:rPr>
          <w:t>effries v. Reed</w:t>
        </w:r>
        <w:r w:rsidR="003E1567" w:rsidRPr="003E1567">
          <w:rPr>
            <w:rStyle w:val="Hyperlink"/>
            <w:color w:val="auto"/>
            <w:sz w:val="26"/>
            <w:szCs w:val="26"/>
          </w:rPr>
          <w:t>, 631 F. Supp. 1212, 1219 (E.D.Wash. 1986)</w:t>
        </w:r>
      </w:hyperlink>
      <w:r w:rsidR="009131AE">
        <w:rPr>
          <w:rFonts w:ascii="Verdana" w:hAnsi="Verdana"/>
          <w:color w:val="333333"/>
          <w:sz w:val="20"/>
          <w:szCs w:val="20"/>
        </w:rPr>
        <w:t>.</w:t>
      </w:r>
    </w:p>
    <w:p w:rsidR="00245702" w:rsidRDefault="00245702" w:rsidP="00A541D1">
      <w:pPr>
        <w:pStyle w:val="Default"/>
        <w:spacing w:line="360" w:lineRule="auto"/>
        <w:ind w:firstLine="1440"/>
        <w:rPr>
          <w:rFonts w:eastAsiaTheme="minorHAnsi"/>
          <w:color w:val="auto"/>
          <w:sz w:val="26"/>
          <w:szCs w:val="26"/>
        </w:rPr>
      </w:pPr>
    </w:p>
    <w:p w:rsidR="00E06CE7" w:rsidRDefault="00801693" w:rsidP="00B03E55">
      <w:pPr>
        <w:spacing w:line="360" w:lineRule="auto"/>
        <w:ind w:firstLine="1440"/>
        <w:rPr>
          <w:rFonts w:eastAsiaTheme="minorHAnsi"/>
        </w:rPr>
      </w:pPr>
      <w:r>
        <w:rPr>
          <w:rFonts w:eastAsiaTheme="minorHAnsi"/>
        </w:rPr>
        <w:t>In the present Complaint, we f</w:t>
      </w:r>
      <w:r w:rsidR="003E1567">
        <w:rPr>
          <w:rFonts w:eastAsiaTheme="minorHAnsi"/>
        </w:rPr>
        <w:t xml:space="preserve">ind that ALJ Hoyer </w:t>
      </w:r>
      <w:r>
        <w:rPr>
          <w:rFonts w:eastAsiaTheme="minorHAnsi"/>
        </w:rPr>
        <w:t xml:space="preserve">has </w:t>
      </w:r>
      <w:r w:rsidR="003E1567">
        <w:rPr>
          <w:rFonts w:eastAsiaTheme="minorHAnsi"/>
        </w:rPr>
        <w:t xml:space="preserve">properly applied </w:t>
      </w:r>
      <w:r>
        <w:rPr>
          <w:rFonts w:eastAsiaTheme="minorHAnsi"/>
        </w:rPr>
        <w:t>our</w:t>
      </w:r>
      <w:r w:rsidR="003E1567">
        <w:rPr>
          <w:rFonts w:eastAsiaTheme="minorHAnsi"/>
        </w:rPr>
        <w:t xml:space="preserve"> holding in </w:t>
      </w:r>
      <w:r w:rsidR="003E1567">
        <w:rPr>
          <w:rFonts w:eastAsiaTheme="minorHAnsi"/>
          <w:i/>
        </w:rPr>
        <w:t xml:space="preserve">Gibbs </w:t>
      </w:r>
      <w:r w:rsidR="003E1567">
        <w:rPr>
          <w:rFonts w:eastAsiaTheme="minorHAnsi"/>
        </w:rPr>
        <w:t xml:space="preserve">so as to </w:t>
      </w:r>
      <w:r>
        <w:rPr>
          <w:rFonts w:eastAsiaTheme="minorHAnsi"/>
        </w:rPr>
        <w:t xml:space="preserve">give </w:t>
      </w:r>
      <w:r w:rsidR="00540E48">
        <w:rPr>
          <w:rFonts w:eastAsiaTheme="minorHAnsi"/>
        </w:rPr>
        <w:t xml:space="preserve">the </w:t>
      </w:r>
      <w:r>
        <w:rPr>
          <w:rFonts w:eastAsiaTheme="minorHAnsi"/>
        </w:rPr>
        <w:t xml:space="preserve">Complainant </w:t>
      </w:r>
      <w:r w:rsidR="003E1567">
        <w:rPr>
          <w:rFonts w:eastAsiaTheme="minorHAnsi"/>
        </w:rPr>
        <w:t xml:space="preserve">the </w:t>
      </w:r>
      <w:r>
        <w:rPr>
          <w:rFonts w:eastAsiaTheme="minorHAnsi"/>
        </w:rPr>
        <w:t xml:space="preserve">requisite evidentiary consideration concerning the </w:t>
      </w:r>
      <w:r w:rsidR="00E87C16">
        <w:rPr>
          <w:rFonts w:eastAsiaTheme="minorHAnsi"/>
        </w:rPr>
        <w:t xml:space="preserve">establishment of a </w:t>
      </w:r>
      <w:r w:rsidR="00E87C16" w:rsidRPr="00E87C16">
        <w:rPr>
          <w:rFonts w:eastAsiaTheme="minorHAnsi"/>
          <w:i/>
        </w:rPr>
        <w:t>prima facie</w:t>
      </w:r>
      <w:r w:rsidR="00E87C16">
        <w:rPr>
          <w:rFonts w:eastAsiaTheme="minorHAnsi"/>
        </w:rPr>
        <w:t xml:space="preserve"> case and the </w:t>
      </w:r>
      <w:r w:rsidR="003E1567">
        <w:rPr>
          <w:rFonts w:eastAsiaTheme="minorHAnsi"/>
        </w:rPr>
        <w:t xml:space="preserve">burden of going forward with the evidence under </w:t>
      </w:r>
      <w:r>
        <w:rPr>
          <w:rFonts w:eastAsiaTheme="minorHAnsi"/>
        </w:rPr>
        <w:t xml:space="preserve">the </w:t>
      </w:r>
      <w:r w:rsidR="003E1567">
        <w:rPr>
          <w:rFonts w:eastAsiaTheme="minorHAnsi"/>
        </w:rPr>
        <w:t xml:space="preserve">circumstances </w:t>
      </w:r>
      <w:r>
        <w:rPr>
          <w:rFonts w:eastAsiaTheme="minorHAnsi"/>
        </w:rPr>
        <w:t>presented.  However, we</w:t>
      </w:r>
      <w:r w:rsidR="003E1567">
        <w:rPr>
          <w:rFonts w:eastAsiaTheme="minorHAnsi"/>
        </w:rPr>
        <w:t xml:space="preserve"> </w:t>
      </w:r>
      <w:r w:rsidR="00245702">
        <w:rPr>
          <w:rFonts w:eastAsiaTheme="minorHAnsi"/>
        </w:rPr>
        <w:t>will clarify the</w:t>
      </w:r>
      <w:r>
        <w:rPr>
          <w:rFonts w:eastAsiaTheme="minorHAnsi"/>
        </w:rPr>
        <w:t xml:space="preserve"> </w:t>
      </w:r>
      <w:r w:rsidR="00B03E55">
        <w:rPr>
          <w:rFonts w:eastAsiaTheme="minorHAnsi"/>
        </w:rPr>
        <w:t xml:space="preserve">references to GTL Exhibit A and the DOC policy to reiterate what has been addressed in </w:t>
      </w:r>
      <w:r w:rsidR="00B03E55" w:rsidRPr="00B03E55">
        <w:rPr>
          <w:rFonts w:eastAsiaTheme="minorHAnsi"/>
          <w:i/>
        </w:rPr>
        <w:t>Feigley</w:t>
      </w:r>
      <w:r w:rsidR="00540E48">
        <w:rPr>
          <w:rFonts w:eastAsiaTheme="minorHAnsi"/>
        </w:rPr>
        <w:t>.</w:t>
      </w:r>
    </w:p>
    <w:p w:rsidR="00E06CE7" w:rsidRDefault="00E06CE7" w:rsidP="00B03E55">
      <w:pPr>
        <w:spacing w:line="360" w:lineRule="auto"/>
        <w:ind w:firstLine="1440"/>
        <w:rPr>
          <w:rFonts w:eastAsiaTheme="minorHAnsi"/>
        </w:rPr>
      </w:pPr>
    </w:p>
    <w:p w:rsidR="00B03E55" w:rsidRDefault="00B03E55" w:rsidP="00B03E55">
      <w:pPr>
        <w:spacing w:line="360" w:lineRule="auto"/>
        <w:ind w:firstLine="1440"/>
      </w:pPr>
      <w:r>
        <w:rPr>
          <w:rFonts w:eastAsiaTheme="minorHAnsi"/>
        </w:rPr>
        <w:t xml:space="preserve">In </w:t>
      </w:r>
      <w:r>
        <w:rPr>
          <w:rFonts w:eastAsiaTheme="minorHAnsi"/>
          <w:i/>
        </w:rPr>
        <w:t>Gibbs</w:t>
      </w:r>
      <w:r>
        <w:rPr>
          <w:rFonts w:eastAsiaTheme="minorHAnsi"/>
        </w:rPr>
        <w:t xml:space="preserve">, we cited to </w:t>
      </w:r>
      <w:r>
        <w:rPr>
          <w:rFonts w:eastAsiaTheme="minorHAnsi"/>
          <w:i/>
        </w:rPr>
        <w:t xml:space="preserve">Feigley </w:t>
      </w:r>
      <w:r>
        <w:rPr>
          <w:rFonts w:eastAsiaTheme="minorHAnsi"/>
        </w:rPr>
        <w:t>and reasoned, “[t]</w:t>
      </w:r>
      <w:r>
        <w:t xml:space="preserve">he </w:t>
      </w:r>
      <w:r w:rsidRPr="002978D2">
        <w:rPr>
          <w:i/>
        </w:rPr>
        <w:t>Feigley</w:t>
      </w:r>
      <w:r>
        <w:rPr>
          <w:i/>
        </w:rPr>
        <w:t xml:space="preserve"> </w:t>
      </w:r>
      <w:r>
        <w:t>line of cases also recognized</w:t>
      </w:r>
      <w:r w:rsidRPr="002978D2">
        <w:t xml:space="preserve"> that a service provider could not merely rely on the requirements of the DOC service contract to </w:t>
      </w:r>
      <w:r>
        <w:t>avoid a</w:t>
      </w:r>
      <w:r w:rsidRPr="002978D2">
        <w:t xml:space="preserve"> Commission inquiry upon a complaint of inadequate service.</w:t>
      </w:r>
      <w:r>
        <w:t xml:space="preserve">” </w:t>
      </w:r>
      <w:r w:rsidR="00E06CE7">
        <w:rPr>
          <w:i/>
        </w:rPr>
        <w:t xml:space="preserve">Gibbs </w:t>
      </w:r>
      <w:r w:rsidR="00E06CE7">
        <w:t>at 42, citing</w:t>
      </w:r>
      <w:r>
        <w:t xml:space="preserve"> </w:t>
      </w:r>
      <w:r w:rsidR="00E06CE7">
        <w:rPr>
          <w:i/>
        </w:rPr>
        <w:t>F</w:t>
      </w:r>
      <w:r w:rsidRPr="002978D2">
        <w:rPr>
          <w:i/>
        </w:rPr>
        <w:t>eigley</w:t>
      </w:r>
      <w:r w:rsidRPr="002978D2">
        <w:t>,</w:t>
      </w:r>
      <w:r w:rsidRPr="002978D2">
        <w:rPr>
          <w:i/>
        </w:rPr>
        <w:t xml:space="preserve"> </w:t>
      </w:r>
      <w:r w:rsidRPr="002978D2">
        <w:t xml:space="preserve">Docket No. C-20043621 (Order entered April 24, 2006), </w:t>
      </w:r>
      <w:r w:rsidRPr="002978D2">
        <w:rPr>
          <w:i/>
        </w:rPr>
        <w:t>slip op.</w:t>
      </w:r>
      <w:r w:rsidRPr="002978D2">
        <w:t xml:space="preserve"> at 23</w:t>
      </w:r>
      <w:r w:rsidR="00E06CE7">
        <w:t>.</w:t>
      </w:r>
      <w:r w:rsidR="00E06CE7">
        <w:rPr>
          <w:rStyle w:val="FootnoteReference"/>
        </w:rPr>
        <w:footnoteReference w:id="6"/>
      </w:r>
      <w:r w:rsidR="00BE7B90">
        <w:t xml:space="preserve">  Thus, we find that the applicable DOC policy is somewhat ambiguous concerning whether there are any conditions under which a call made to a cell phone that </w:t>
      </w:r>
      <w:r w:rsidR="00BE7B90">
        <w:lastRenderedPageBreak/>
        <w:t>is prematurely disconnected could be subject to a refund.</w:t>
      </w:r>
      <w:r w:rsidR="00E87C16">
        <w:t xml:space="preserve">  And, GTL’s interpretation of the intent of the DOC policy is, in all likelihood, the interpretation more consistent with DOC intent.</w:t>
      </w:r>
      <w:r w:rsidR="00BE7B90">
        <w:t xml:space="preserve">  Notwithstanding the DOC policy, and in light of </w:t>
      </w:r>
      <w:r w:rsidR="00BE7B90">
        <w:rPr>
          <w:i/>
        </w:rPr>
        <w:t>Gibbs</w:t>
      </w:r>
      <w:r w:rsidR="00BE7B90">
        <w:t>, we find that the Respondent utility has not merely relied on</w:t>
      </w:r>
      <w:r w:rsidR="00E87C16">
        <w:t xml:space="preserve"> the existence of the policy to deny refunds.</w:t>
      </w:r>
    </w:p>
    <w:p w:rsidR="00E06CE7" w:rsidRDefault="00E06CE7" w:rsidP="00B03E55">
      <w:pPr>
        <w:spacing w:line="360" w:lineRule="auto"/>
        <w:ind w:firstLine="1440"/>
      </w:pPr>
    </w:p>
    <w:p w:rsidR="00245702" w:rsidRDefault="00E06CE7" w:rsidP="00E06CE7">
      <w:pPr>
        <w:spacing w:line="360" w:lineRule="auto"/>
        <w:ind w:firstLine="1440"/>
        <w:rPr>
          <w:rFonts w:eastAsiaTheme="minorHAnsi"/>
        </w:rPr>
      </w:pPr>
      <w:r>
        <w:t>We find no indication in the record of this proceeding that the DOC policy prevented this Commission from conducting a full inquiry concerning the adequacy of service</w:t>
      </w:r>
      <w:r w:rsidR="00FA6FFF">
        <w:t xml:space="preserve"> alleged in this Complaint</w:t>
      </w:r>
      <w:r>
        <w:t xml:space="preserve">.  Consequently, we clarify FOF </w:t>
      </w:r>
      <w:r w:rsidR="00D03766">
        <w:t xml:space="preserve">No. </w:t>
      </w:r>
      <w:r>
        <w:t>25</w:t>
      </w:r>
      <w:r w:rsidR="00E87C16">
        <w:t xml:space="preserve">, </w:t>
      </w:r>
      <w:r w:rsidR="00FA6FFF">
        <w:t xml:space="preserve">that, </w:t>
      </w:r>
      <w:r w:rsidR="00E87C16">
        <w:t xml:space="preserve">based on </w:t>
      </w:r>
      <w:r w:rsidR="00E87C16">
        <w:rPr>
          <w:i/>
        </w:rPr>
        <w:t>Gibbs</w:t>
      </w:r>
      <w:r w:rsidR="00E87C16">
        <w:t xml:space="preserve"> and </w:t>
      </w:r>
      <w:r w:rsidR="00E87C16">
        <w:rPr>
          <w:i/>
        </w:rPr>
        <w:t>Feigley</w:t>
      </w:r>
      <w:r w:rsidR="00E87C16">
        <w:t xml:space="preserve">, mere reliance </w:t>
      </w:r>
      <w:r w:rsidR="00FA6FFF">
        <w:t xml:space="preserve">by the utility service provider </w:t>
      </w:r>
      <w:r w:rsidR="00E87C16">
        <w:t>on the DOC policy that a call was made to a cell phone</w:t>
      </w:r>
      <w:r w:rsidR="00FA6FFF">
        <w:t>, is not sufficient when the shifting burden of going forward w</w:t>
      </w:r>
      <w:r w:rsidR="00540E48">
        <w:t>ith the evidence is applicable.</w:t>
      </w:r>
    </w:p>
    <w:p w:rsidR="00BE7B90" w:rsidRDefault="00BE7B90" w:rsidP="007448AF">
      <w:pPr>
        <w:pStyle w:val="Default"/>
        <w:spacing w:line="360" w:lineRule="auto"/>
        <w:rPr>
          <w:rFonts w:eastAsiaTheme="minorHAnsi"/>
          <w:color w:val="auto"/>
          <w:sz w:val="26"/>
          <w:szCs w:val="26"/>
        </w:rPr>
      </w:pPr>
    </w:p>
    <w:p w:rsidR="00A541D1" w:rsidRPr="00A541D1" w:rsidRDefault="00A541D1" w:rsidP="00A541D1">
      <w:pPr>
        <w:pStyle w:val="Default"/>
        <w:spacing w:line="360" w:lineRule="auto"/>
        <w:ind w:firstLine="1440"/>
        <w:rPr>
          <w:rFonts w:eastAsiaTheme="minorHAnsi"/>
          <w:color w:val="auto"/>
          <w:sz w:val="26"/>
          <w:szCs w:val="26"/>
        </w:rPr>
      </w:pPr>
    </w:p>
    <w:p w:rsidR="00184F36" w:rsidRPr="00105CF6" w:rsidRDefault="00105CF6" w:rsidP="00105CF6">
      <w:pPr>
        <w:keepNext/>
        <w:keepLines/>
        <w:ind w:left="2160" w:hanging="720"/>
        <w:rPr>
          <w:b/>
        </w:rPr>
      </w:pPr>
      <w:r>
        <w:rPr>
          <w:b/>
        </w:rPr>
        <w:t>(2)</w:t>
      </w:r>
      <w:r>
        <w:rPr>
          <w:b/>
        </w:rPr>
        <w:tab/>
      </w:r>
      <w:r w:rsidR="00184F36" w:rsidRPr="00105CF6">
        <w:rPr>
          <w:b/>
        </w:rPr>
        <w:t xml:space="preserve">Exception </w:t>
      </w:r>
      <w:r w:rsidR="00D03766" w:rsidRPr="00105CF6">
        <w:rPr>
          <w:b/>
        </w:rPr>
        <w:t xml:space="preserve">No. </w:t>
      </w:r>
      <w:r w:rsidR="00184F36" w:rsidRPr="00105CF6">
        <w:rPr>
          <w:b/>
        </w:rPr>
        <w:t>2 – the ALJ Was Incorrect in Considering GTL’s Ex. B a</w:t>
      </w:r>
      <w:r w:rsidR="000B7D4F">
        <w:rPr>
          <w:b/>
        </w:rPr>
        <w:t>s t</w:t>
      </w:r>
      <w:r w:rsidR="00184F36" w:rsidRPr="00105CF6">
        <w:rPr>
          <w:b/>
        </w:rPr>
        <w:t>he Sole Evidence of Disconnected Calls Involving Complainant</w:t>
      </w:r>
    </w:p>
    <w:p w:rsidR="00BD29D6" w:rsidRDefault="00BD29D6" w:rsidP="00170FC9">
      <w:pPr>
        <w:keepNext/>
        <w:keepLines/>
        <w:autoSpaceDE w:val="0"/>
        <w:autoSpaceDN w:val="0"/>
        <w:adjustRightInd w:val="0"/>
        <w:spacing w:line="360" w:lineRule="auto"/>
        <w:ind w:firstLine="1440"/>
        <w:rPr>
          <w:rFonts w:eastAsiaTheme="minorHAnsi"/>
        </w:rPr>
      </w:pPr>
    </w:p>
    <w:p w:rsidR="00503F0E" w:rsidRDefault="00503F0E" w:rsidP="00503F0E">
      <w:pPr>
        <w:spacing w:line="360" w:lineRule="auto"/>
        <w:ind w:firstLine="1440"/>
      </w:pPr>
      <w:r>
        <w:rPr>
          <w:rFonts w:eastAsiaTheme="minorHAnsi"/>
        </w:rPr>
        <w:t xml:space="preserve">In Exception </w:t>
      </w:r>
      <w:r w:rsidR="00D03766">
        <w:rPr>
          <w:rFonts w:eastAsiaTheme="minorHAnsi"/>
        </w:rPr>
        <w:t xml:space="preserve">No. </w:t>
      </w:r>
      <w:r>
        <w:rPr>
          <w:rFonts w:eastAsiaTheme="minorHAnsi"/>
        </w:rPr>
        <w:t xml:space="preserve">2, Mr. Robinson complains that the ALJ used a table generated by GTL to support FOF </w:t>
      </w:r>
      <w:r w:rsidR="00D03766">
        <w:rPr>
          <w:rFonts w:eastAsiaTheme="minorHAnsi"/>
        </w:rPr>
        <w:t xml:space="preserve">No. </w:t>
      </w:r>
      <w:r>
        <w:rPr>
          <w:rFonts w:eastAsiaTheme="minorHAnsi"/>
        </w:rPr>
        <w:t>27.  FOF</w:t>
      </w:r>
      <w:r w:rsidR="00D03766">
        <w:rPr>
          <w:rFonts w:eastAsiaTheme="minorHAnsi"/>
        </w:rPr>
        <w:t xml:space="preserve"> No. </w:t>
      </w:r>
      <w:r>
        <w:rPr>
          <w:rFonts w:eastAsiaTheme="minorHAnsi"/>
        </w:rPr>
        <w:t>27 is a log of telephone calls placed by Mr. Robinson that were terminated prior to the expiration of 15 minutes – the authorized allotted time for a call</w:t>
      </w:r>
      <w:r w:rsidR="00133FC3">
        <w:rPr>
          <w:rFonts w:eastAsiaTheme="minorHAnsi"/>
        </w:rPr>
        <w:t xml:space="preserve"> by an inmate.</w:t>
      </w:r>
      <w:r>
        <w:rPr>
          <w:rFonts w:eastAsiaTheme="minorHAnsi"/>
        </w:rPr>
        <w:t xml:space="preserve">  </w:t>
      </w:r>
      <w:r>
        <w:rPr>
          <w:rFonts w:eastAsiaTheme="minorHAnsi"/>
          <w:i/>
        </w:rPr>
        <w:t xml:space="preserve">See </w:t>
      </w:r>
      <w:r>
        <w:rPr>
          <w:rFonts w:eastAsiaTheme="minorHAnsi"/>
        </w:rPr>
        <w:t>I.D. at 7-8.</w:t>
      </w:r>
      <w:r w:rsidR="0014147E">
        <w:rPr>
          <w:rFonts w:eastAsiaTheme="minorHAnsi"/>
        </w:rPr>
        <w:t xml:space="preserve">  The dates of the calls extend from November 13, 2012, to</w:t>
      </w:r>
      <w:r w:rsidR="00133FC3">
        <w:rPr>
          <w:rFonts w:eastAsiaTheme="minorHAnsi"/>
        </w:rPr>
        <w:t xml:space="preserve"> May 17, 2014.</w:t>
      </w:r>
      <w:r w:rsidR="0014147E">
        <w:rPr>
          <w:rFonts w:eastAsiaTheme="minorHAnsi"/>
        </w:rPr>
        <w:t xml:space="preserve"> </w:t>
      </w:r>
      <w:r w:rsidR="00406A1A">
        <w:rPr>
          <w:rStyle w:val="FootnoteReference"/>
          <w:rFonts w:eastAsiaTheme="minorHAnsi"/>
        </w:rPr>
        <w:footnoteReference w:id="7"/>
      </w:r>
      <w:r>
        <w:rPr>
          <w:rFonts w:eastAsiaTheme="minorHAnsi"/>
        </w:rPr>
        <w:t xml:space="preserve">  This table was discussed at </w:t>
      </w:r>
      <w:r>
        <w:t xml:space="preserve">Tr. 220-240; GTL Ex. B; Respondent’s Main Brief p. 3.  </w:t>
      </w:r>
      <w:r>
        <w:rPr>
          <w:i/>
        </w:rPr>
        <w:t>Id</w:t>
      </w:r>
      <w:r>
        <w:t>.</w:t>
      </w:r>
    </w:p>
    <w:p w:rsidR="00503F0E" w:rsidRDefault="00503F0E" w:rsidP="00503F0E">
      <w:pPr>
        <w:spacing w:line="360" w:lineRule="auto"/>
        <w:ind w:firstLine="1440"/>
      </w:pPr>
    </w:p>
    <w:p w:rsidR="00133FC3" w:rsidRDefault="00257A8F" w:rsidP="00503F0E">
      <w:pPr>
        <w:spacing w:line="360" w:lineRule="auto"/>
        <w:ind w:firstLine="1440"/>
      </w:pPr>
      <w:r>
        <w:t xml:space="preserve">The </w:t>
      </w:r>
      <w:r w:rsidR="0014147E">
        <w:t>Complainant argues that the ALJ’s sole reliance on GTL Ex. B influenced his recommendation in</w:t>
      </w:r>
      <w:r w:rsidR="00133FC3">
        <w:t xml:space="preserve"> </w:t>
      </w:r>
      <w:r w:rsidR="0014147E">
        <w:t xml:space="preserve">FOF </w:t>
      </w:r>
      <w:r w:rsidR="00D03766">
        <w:t>Nos.</w:t>
      </w:r>
      <w:r w:rsidR="0014147E">
        <w:t xml:space="preserve"> 28-34 and the amount of refunds to which he should be entitled.  Ex. </w:t>
      </w:r>
      <w:r w:rsidR="00133FC3">
        <w:t>a</w:t>
      </w:r>
      <w:r w:rsidR="0014147E">
        <w:t>t 3.</w:t>
      </w:r>
      <w:r w:rsidR="00133FC3">
        <w:t xml:space="preserve">  </w:t>
      </w:r>
      <w:r>
        <w:t xml:space="preserve">The </w:t>
      </w:r>
      <w:r w:rsidR="00133FC3">
        <w:t>Complainant argues that two pieces of evidence that he prof</w:t>
      </w:r>
      <w:r w:rsidR="00B206F0">
        <w:t>f</w:t>
      </w:r>
      <w:r w:rsidR="00133FC3">
        <w:t xml:space="preserve">ered, Exhibits 1 and 2, discussed at Tr. 210, are competent evidence of the </w:t>
      </w:r>
      <w:r w:rsidR="00133FC3">
        <w:lastRenderedPageBreak/>
        <w:t xml:space="preserve">timeframe in which the alleged violations of the Code and Commission Regulations began and unfairly limits the amounts of refunds.  </w:t>
      </w:r>
      <w:r w:rsidR="00133FC3">
        <w:rPr>
          <w:i/>
        </w:rPr>
        <w:t>Id</w:t>
      </w:r>
      <w:r w:rsidR="00133FC3">
        <w:t>.</w:t>
      </w:r>
    </w:p>
    <w:p w:rsidR="00406A1A" w:rsidRDefault="00406A1A" w:rsidP="00503F0E">
      <w:pPr>
        <w:spacing w:line="360" w:lineRule="auto"/>
        <w:ind w:firstLine="1440"/>
      </w:pPr>
    </w:p>
    <w:p w:rsidR="00406A1A" w:rsidRDefault="00406A1A" w:rsidP="00503F0E">
      <w:pPr>
        <w:spacing w:line="360" w:lineRule="auto"/>
        <w:ind w:firstLine="1440"/>
      </w:pPr>
      <w:r>
        <w:t>GTL points out that its Exhibit B contains the entire list of all calls attempted by Mr. Robinson, including unanswered calls and completed calls.  R.Exc. at</w:t>
      </w:r>
      <w:r w:rsidR="00105CF6">
        <w:t> </w:t>
      </w:r>
      <w:r>
        <w:t>4-5.</w:t>
      </w:r>
      <w:r w:rsidR="0052348F">
        <w:t xml:space="preserve">  This represents a call log spanning three years.  R.Exc. at 4.  Based on the foregoing, GTL defends FOF </w:t>
      </w:r>
      <w:r w:rsidR="00D03766">
        <w:t xml:space="preserve">No. </w:t>
      </w:r>
      <w:r w:rsidR="0052348F">
        <w:t>27, which is a summary of disconnected calls, as proper</w:t>
      </w:r>
      <w:r w:rsidR="007C00F3">
        <w:t>,</w:t>
      </w:r>
      <w:r w:rsidR="0052348F">
        <w:t xml:space="preserve"> and that </w:t>
      </w:r>
      <w:r w:rsidR="007C00F3">
        <w:t xml:space="preserve">the </w:t>
      </w:r>
      <w:r w:rsidR="0052348F">
        <w:t>Complainant’s concern that such a focus on the summary of disconnected calls limits his refunds and the scope of alleged violations is improper.  R.Exc. at 4-5.</w:t>
      </w:r>
      <w:r>
        <w:t xml:space="preserve"> </w:t>
      </w:r>
    </w:p>
    <w:p w:rsidR="002920FC" w:rsidRDefault="002920FC" w:rsidP="00503F0E">
      <w:pPr>
        <w:spacing w:line="360" w:lineRule="auto"/>
        <w:ind w:firstLine="1440"/>
      </w:pPr>
    </w:p>
    <w:p w:rsidR="002920FC" w:rsidRPr="0052348F" w:rsidRDefault="007C00F3" w:rsidP="00AD2826">
      <w:pPr>
        <w:keepNext/>
        <w:keepLines/>
        <w:spacing w:line="360" w:lineRule="auto"/>
        <w:ind w:firstLine="1440"/>
        <w:rPr>
          <w:b/>
        </w:rPr>
      </w:pPr>
      <w:r>
        <w:rPr>
          <w:b/>
        </w:rPr>
        <w:t>Disposition</w:t>
      </w:r>
    </w:p>
    <w:p w:rsidR="0052348F" w:rsidRDefault="0052348F" w:rsidP="00AD2826">
      <w:pPr>
        <w:keepNext/>
        <w:keepLines/>
        <w:spacing w:line="360" w:lineRule="auto"/>
      </w:pPr>
    </w:p>
    <w:p w:rsidR="0052348F" w:rsidRDefault="0052348F" w:rsidP="0052348F">
      <w:pPr>
        <w:spacing w:line="360" w:lineRule="auto"/>
        <w:ind w:firstLine="1440"/>
      </w:pPr>
      <w:r>
        <w:t xml:space="preserve">In </w:t>
      </w:r>
      <w:r w:rsidR="002920FC">
        <w:t xml:space="preserve">Exception </w:t>
      </w:r>
      <w:r w:rsidR="00D03766">
        <w:t xml:space="preserve">No. </w:t>
      </w:r>
      <w:r w:rsidR="002920FC">
        <w:t>2</w:t>
      </w:r>
      <w:r>
        <w:t>,</w:t>
      </w:r>
      <w:r w:rsidR="002920FC">
        <w:t xml:space="preserve"> </w:t>
      </w:r>
      <w:r w:rsidR="007C00F3">
        <w:t xml:space="preserve">the </w:t>
      </w:r>
      <w:r>
        <w:t xml:space="preserve">Complainant stresses the use of the summary of prematurely disconnected calls </w:t>
      </w:r>
      <w:r w:rsidR="00CA44A6">
        <w:t xml:space="preserve">set out in FOF </w:t>
      </w:r>
      <w:r w:rsidR="00D03766">
        <w:t xml:space="preserve">No. </w:t>
      </w:r>
      <w:r w:rsidR="00CA44A6">
        <w:t xml:space="preserve">27 </w:t>
      </w:r>
      <w:r>
        <w:t xml:space="preserve">as </w:t>
      </w:r>
      <w:r w:rsidR="00CA44A6">
        <w:t xml:space="preserve">negatively </w:t>
      </w:r>
      <w:r>
        <w:t>impacting the totality of the refunds involved</w:t>
      </w:r>
      <w:r w:rsidR="00936DA2">
        <w:t>.  He argues that</w:t>
      </w:r>
      <w:r>
        <w:t xml:space="preserve"> calls made as early as March, 2010, do not appear on the summary.  Mr. Robinson also complains that the summary does not convey the timeframe in which alleged service quality problems were experienced.  Exc. at 3.</w:t>
      </w:r>
    </w:p>
    <w:p w:rsidR="0052348F" w:rsidRDefault="0052348F" w:rsidP="0052348F">
      <w:pPr>
        <w:spacing w:line="360" w:lineRule="auto"/>
        <w:ind w:firstLine="1440"/>
      </w:pPr>
    </w:p>
    <w:p w:rsidR="00CA44A6" w:rsidRDefault="0052348F" w:rsidP="0052348F">
      <w:pPr>
        <w:spacing w:line="360" w:lineRule="auto"/>
        <w:ind w:firstLine="1440"/>
      </w:pPr>
      <w:r>
        <w:t xml:space="preserve">On consideration of Exception </w:t>
      </w:r>
      <w:r w:rsidR="00D03766">
        <w:t xml:space="preserve">No. </w:t>
      </w:r>
      <w:r>
        <w:t>2, it shall be denied.  As we understand this Exception, it primarily objects to</w:t>
      </w:r>
      <w:r w:rsidR="00CA44A6">
        <w:t xml:space="preserve"> the ALJ’s focus on disconnected calls, </w:t>
      </w:r>
      <w:r w:rsidR="00CA44A6" w:rsidRPr="00936DA2">
        <w:rPr>
          <w:i/>
        </w:rPr>
        <w:t>i.e.,</w:t>
      </w:r>
      <w:r w:rsidR="00CA44A6">
        <w:t xml:space="preserve"> calls not reaching the full, 15 minute duration.  ALJ Hoyer acknowledged that his refund discussion would be addressed to calls wherein a discrepancy form was filed, consistent with DOC policy.  I.D. at 12.  As we do not find that Mr. Robinson alleges that calls for which he filed a discrepancy form were not considered, we shall deny his Exception in this instance.</w:t>
      </w:r>
    </w:p>
    <w:p w:rsidR="00CA44A6" w:rsidRDefault="00CA44A6" w:rsidP="0052348F">
      <w:pPr>
        <w:spacing w:line="360" w:lineRule="auto"/>
        <w:ind w:firstLine="1440"/>
      </w:pPr>
    </w:p>
    <w:p w:rsidR="002920FC" w:rsidRDefault="00CA44A6" w:rsidP="0052348F">
      <w:pPr>
        <w:spacing w:line="360" w:lineRule="auto"/>
        <w:ind w:firstLine="1440"/>
      </w:pPr>
      <w:r>
        <w:lastRenderedPageBreak/>
        <w:t xml:space="preserve">Exception </w:t>
      </w:r>
      <w:r w:rsidR="00D03766">
        <w:t xml:space="preserve">No. </w:t>
      </w:r>
      <w:r>
        <w:t>2 also calls into question the length of time in which GTL should have been aware of service quality problems.  This is an issue that is addressed in the civil penalty discussion</w:t>
      </w:r>
      <w:r w:rsidR="000B7D4F">
        <w:t xml:space="preserve"> below</w:t>
      </w:r>
      <w:r>
        <w:t>.</w:t>
      </w:r>
    </w:p>
    <w:p w:rsidR="00503F0E" w:rsidRPr="00503F0E" w:rsidRDefault="00503F0E" w:rsidP="00503F0E">
      <w:pPr>
        <w:spacing w:line="360" w:lineRule="auto"/>
        <w:ind w:firstLine="1440"/>
      </w:pPr>
    </w:p>
    <w:p w:rsidR="00CA44A6" w:rsidRPr="000B7D4F" w:rsidRDefault="00105CF6" w:rsidP="00105CF6">
      <w:pPr>
        <w:keepNext/>
        <w:keepLines/>
        <w:ind w:left="2160" w:hanging="720"/>
        <w:rPr>
          <w:rFonts w:eastAsiaTheme="minorHAnsi"/>
          <w:b/>
        </w:rPr>
      </w:pPr>
      <w:r>
        <w:rPr>
          <w:rFonts w:eastAsiaTheme="minorHAnsi"/>
          <w:b/>
        </w:rPr>
        <w:t>(3)</w:t>
      </w:r>
      <w:r>
        <w:rPr>
          <w:rFonts w:eastAsiaTheme="minorHAnsi"/>
          <w:b/>
        </w:rPr>
        <w:tab/>
      </w:r>
      <w:r w:rsidR="000B7D4F">
        <w:rPr>
          <w:rFonts w:eastAsiaTheme="minorHAnsi"/>
          <w:b/>
        </w:rPr>
        <w:t>Exception No. 3 – t</w:t>
      </w:r>
      <w:r w:rsidR="00CA44A6" w:rsidRPr="00105CF6">
        <w:rPr>
          <w:rFonts w:eastAsiaTheme="minorHAnsi"/>
          <w:b/>
        </w:rPr>
        <w:t xml:space="preserve">he ALJ’s Refusal to Penalize GTL is Not Supported by </w:t>
      </w:r>
      <w:r w:rsidR="000B7D4F">
        <w:rPr>
          <w:rFonts w:eastAsiaTheme="minorHAnsi"/>
          <w:b/>
        </w:rPr>
        <w:t>F</w:t>
      </w:r>
      <w:r w:rsidR="00CA44A6" w:rsidRPr="00105CF6">
        <w:rPr>
          <w:rFonts w:eastAsiaTheme="minorHAnsi"/>
          <w:b/>
        </w:rPr>
        <w:t>actors and Standards Set Forth in 52 Pa. Code § 69.1201(c ) When Couple</w:t>
      </w:r>
      <w:r w:rsidR="000B7D4F">
        <w:rPr>
          <w:rFonts w:eastAsiaTheme="minorHAnsi"/>
          <w:b/>
        </w:rPr>
        <w:t>d</w:t>
      </w:r>
      <w:r w:rsidR="00CA44A6" w:rsidRPr="00105CF6">
        <w:rPr>
          <w:rFonts w:eastAsiaTheme="minorHAnsi"/>
          <w:b/>
        </w:rPr>
        <w:t xml:space="preserve"> With the Evidence</w:t>
      </w:r>
    </w:p>
    <w:p w:rsidR="00265A08" w:rsidRPr="008455EF" w:rsidRDefault="00265A08" w:rsidP="00AD2826">
      <w:pPr>
        <w:keepNext/>
        <w:keepLines/>
        <w:autoSpaceDE w:val="0"/>
        <w:autoSpaceDN w:val="0"/>
        <w:adjustRightInd w:val="0"/>
        <w:spacing w:line="360" w:lineRule="auto"/>
        <w:ind w:firstLine="1440"/>
        <w:rPr>
          <w:rFonts w:eastAsiaTheme="minorHAnsi"/>
        </w:rPr>
      </w:pPr>
    </w:p>
    <w:p w:rsidR="00CD0EEE" w:rsidRDefault="00CD0EEE" w:rsidP="001B028B">
      <w:pPr>
        <w:spacing w:line="360" w:lineRule="auto"/>
        <w:ind w:firstLine="1440"/>
      </w:pPr>
      <w:r>
        <w:t xml:space="preserve">In his Exception </w:t>
      </w:r>
      <w:r w:rsidR="00D03766">
        <w:t xml:space="preserve">No. </w:t>
      </w:r>
      <w:r>
        <w:t xml:space="preserve">3, Mr. Robinson objects to the ALJ’s failure to impose a civil penalty upon GTL, notwithstanding a finding that GTL violated the Code and Commission Regulations.  As noted, the presiding ALJ in this proceeding relied upon </w:t>
      </w:r>
      <w:r>
        <w:rPr>
          <w:i/>
        </w:rPr>
        <w:t xml:space="preserve">Gibbs </w:t>
      </w:r>
      <w:r>
        <w:t xml:space="preserve">in concluding that a civil penalty was not warranted based on the substantially similar facts.  I.D. at </w:t>
      </w:r>
      <w:r w:rsidR="00936DA2">
        <w:t>18</w:t>
      </w:r>
      <w:r>
        <w:t>.</w:t>
      </w:r>
    </w:p>
    <w:p w:rsidR="000B7D4F" w:rsidRDefault="000B7D4F" w:rsidP="001B028B">
      <w:pPr>
        <w:spacing w:line="360" w:lineRule="auto"/>
        <w:ind w:firstLine="1440"/>
      </w:pPr>
    </w:p>
    <w:p w:rsidR="00672FDC" w:rsidRDefault="00CD0EEE" w:rsidP="001B028B">
      <w:pPr>
        <w:spacing w:line="360" w:lineRule="auto"/>
        <w:ind w:firstLine="1440"/>
      </w:pPr>
      <w:r>
        <w:t>Mr. Robinson points out that he did not file a joint complaint with the complainant, Tyrone Gibbs.  Exc. at 4.  Mr. Robinson asserts that GTL should not be afforded the lu</w:t>
      </w:r>
      <w:r w:rsidR="00672FDC">
        <w:t xml:space="preserve">xury of two cases consolidated into one for purpose of penalizing GTL – to its benefit.  </w:t>
      </w:r>
      <w:r w:rsidR="00672FDC">
        <w:rPr>
          <w:i/>
        </w:rPr>
        <w:t>Id.</w:t>
      </w:r>
      <w:r w:rsidR="00672FDC">
        <w:t xml:space="preserve">  To do so, in the opinion of Mr. Robinson, would set a “dangerous” precedent.  </w:t>
      </w:r>
      <w:r w:rsidR="00672FDC">
        <w:rPr>
          <w:i/>
        </w:rPr>
        <w:t>Id</w:t>
      </w:r>
      <w:r w:rsidR="00672FDC">
        <w:t>.</w:t>
      </w:r>
    </w:p>
    <w:p w:rsidR="00672FDC" w:rsidRDefault="00672FDC" w:rsidP="001B028B">
      <w:pPr>
        <w:spacing w:line="360" w:lineRule="auto"/>
        <w:ind w:firstLine="1440"/>
      </w:pPr>
    </w:p>
    <w:p w:rsidR="005D5D41" w:rsidRDefault="005D5D41" w:rsidP="001B028B">
      <w:pPr>
        <w:spacing w:line="360" w:lineRule="auto"/>
        <w:ind w:firstLine="1440"/>
      </w:pPr>
      <w:r>
        <w:t>Mr. Robinson then proceeds to discuss the elements of 52 Pa. Code §</w:t>
      </w:r>
      <w:r w:rsidR="00562C72">
        <w:t> </w:t>
      </w:r>
      <w:r>
        <w:t>69.1201( c) to argue for a civil penalty in this proceeding.  Exc. at 4-5.</w:t>
      </w:r>
    </w:p>
    <w:p w:rsidR="005D5D41" w:rsidRDefault="005D5D41" w:rsidP="001B028B">
      <w:pPr>
        <w:spacing w:line="360" w:lineRule="auto"/>
        <w:ind w:firstLine="1440"/>
      </w:pPr>
    </w:p>
    <w:p w:rsidR="00672FDC" w:rsidRDefault="005D5D41" w:rsidP="001B028B">
      <w:pPr>
        <w:spacing w:line="360" w:lineRule="auto"/>
        <w:ind w:firstLine="1440"/>
      </w:pPr>
      <w:r>
        <w:t>In its Replies, GTL defend</w:t>
      </w:r>
      <w:r w:rsidR="00E32E51">
        <w:t>s</w:t>
      </w:r>
      <w:r>
        <w:t xml:space="preserve"> the recommendation of ALJ Hoyer and s</w:t>
      </w:r>
      <w:r w:rsidR="00562C72">
        <w:t>t</w:t>
      </w:r>
      <w:r>
        <w:t xml:space="preserve">ates that the presiding officer was correct in noting that the violations claimed in the present Complaint were essentially the same as those found in </w:t>
      </w:r>
      <w:r>
        <w:rPr>
          <w:i/>
        </w:rPr>
        <w:t>Gibbs</w:t>
      </w:r>
      <w:r>
        <w:t xml:space="preserve">.  R.Exc. at 5.  Thus, </w:t>
      </w:r>
      <w:r w:rsidR="00562C72">
        <w:t xml:space="preserve">GTL contends that </w:t>
      </w:r>
      <w:r>
        <w:t>it was entirely appropriate for ALJ Hoyer to take into consideration the exten</w:t>
      </w:r>
      <w:r w:rsidR="00E32E51">
        <w:t>t</w:t>
      </w:r>
      <w:r>
        <w:t xml:space="preserve"> to which the utility has been penalized for the same system failure</w:t>
      </w:r>
      <w:r w:rsidR="00E32E51">
        <w:t>s</w:t>
      </w:r>
      <w:r>
        <w:t xml:space="preserve"> </w:t>
      </w:r>
      <w:r w:rsidR="00E32E51">
        <w:t xml:space="preserve">which were addressed </w:t>
      </w:r>
      <w:r>
        <w:t>at the same correctional facility identified in the Initial Decision of ALJ Melillo.   R.Exc. at 6.</w:t>
      </w:r>
    </w:p>
    <w:p w:rsidR="005D5D41" w:rsidRDefault="005D5D41" w:rsidP="001B028B">
      <w:pPr>
        <w:spacing w:line="360" w:lineRule="auto"/>
        <w:ind w:firstLine="1440"/>
      </w:pPr>
    </w:p>
    <w:p w:rsidR="005D5D41" w:rsidRPr="005D5D41" w:rsidRDefault="005D5D41" w:rsidP="001B028B">
      <w:pPr>
        <w:spacing w:line="360" w:lineRule="auto"/>
        <w:ind w:firstLine="1440"/>
        <w:rPr>
          <w:i/>
        </w:rPr>
      </w:pPr>
      <w:r>
        <w:t xml:space="preserve">Additionally, GTL relies upon </w:t>
      </w:r>
      <w:r>
        <w:rPr>
          <w:i/>
        </w:rPr>
        <w:t>Bernstein and Bernstein, P.C. v. Duquesne Light Co.</w:t>
      </w:r>
      <w:r>
        <w:t xml:space="preserve">, Docket No. C-892646 (Order entered May 21, 1992), as </w:t>
      </w:r>
      <w:r w:rsidR="00E32E51">
        <w:t xml:space="preserve">an </w:t>
      </w:r>
      <w:r>
        <w:t xml:space="preserve">example of a case involving </w:t>
      </w:r>
      <w:r w:rsidR="00E32E51">
        <w:t xml:space="preserve">Commission review of a civil penalty found to be </w:t>
      </w:r>
      <w:r>
        <w:t>excessive.  R.Exc. at 6.</w:t>
      </w:r>
    </w:p>
    <w:p w:rsidR="00672FDC" w:rsidRPr="00E32E51" w:rsidRDefault="00672FDC" w:rsidP="001B028B">
      <w:pPr>
        <w:spacing w:line="360" w:lineRule="auto"/>
        <w:ind w:firstLine="1440"/>
      </w:pPr>
    </w:p>
    <w:p w:rsidR="00672FDC" w:rsidRDefault="005D5D41" w:rsidP="00AD2826">
      <w:pPr>
        <w:keepNext/>
        <w:keepLines/>
        <w:spacing w:line="360" w:lineRule="auto"/>
        <w:ind w:firstLine="1440"/>
        <w:rPr>
          <w:b/>
        </w:rPr>
      </w:pPr>
      <w:r>
        <w:rPr>
          <w:b/>
        </w:rPr>
        <w:t xml:space="preserve">Disposition </w:t>
      </w:r>
    </w:p>
    <w:p w:rsidR="00AD2826" w:rsidRPr="005D5D41" w:rsidRDefault="00AD2826" w:rsidP="00AD2826">
      <w:pPr>
        <w:keepNext/>
        <w:keepLines/>
        <w:spacing w:line="360" w:lineRule="auto"/>
        <w:ind w:firstLine="1440"/>
      </w:pPr>
    </w:p>
    <w:p w:rsidR="00A824E2" w:rsidRDefault="005D5D41" w:rsidP="001B028B">
      <w:pPr>
        <w:spacing w:line="360" w:lineRule="auto"/>
        <w:ind w:firstLine="1440"/>
      </w:pPr>
      <w:r>
        <w:t xml:space="preserve">As noted by GTL, </w:t>
      </w:r>
      <w:r w:rsidRPr="005D5D41">
        <w:t>we are clothed with certain discretionary authority relative to the imposition of fines.</w:t>
      </w:r>
      <w:r>
        <w:t xml:space="preserve">  </w:t>
      </w:r>
      <w:r>
        <w:rPr>
          <w:i/>
        </w:rPr>
        <w:t>See Bernstein and Bernstein v. Pa. PUC</w:t>
      </w:r>
      <w:r>
        <w:t xml:space="preserve">, </w:t>
      </w:r>
      <w:r>
        <w:rPr>
          <w:i/>
        </w:rPr>
        <w:t>supra</w:t>
      </w:r>
      <w:r>
        <w:t>.</w:t>
      </w:r>
      <w:r w:rsidR="00A824E2">
        <w:t xml:space="preserve">  On consideration of the positions of the Parties, we shall </w:t>
      </w:r>
      <w:r w:rsidR="0069238B">
        <w:t>deny</w:t>
      </w:r>
      <w:r w:rsidR="00A824E2">
        <w:t xml:space="preserve"> </w:t>
      </w:r>
      <w:r w:rsidR="00562C72">
        <w:t>Mr. Robinson’s</w:t>
      </w:r>
      <w:r w:rsidR="00A824E2">
        <w:t xml:space="preserve"> Exceptions consistent with the </w:t>
      </w:r>
      <w:r w:rsidR="0069238B">
        <w:t xml:space="preserve">below clarifying </w:t>
      </w:r>
      <w:r w:rsidR="00A824E2">
        <w:t xml:space="preserve">discussion contained in this Opinion and Order.  </w:t>
      </w:r>
    </w:p>
    <w:p w:rsidR="00A824E2" w:rsidRDefault="00A824E2" w:rsidP="001B028B">
      <w:pPr>
        <w:spacing w:line="360" w:lineRule="auto"/>
        <w:ind w:firstLine="1440"/>
      </w:pPr>
    </w:p>
    <w:p w:rsidR="00A824E2" w:rsidRDefault="00A824E2" w:rsidP="001B028B">
      <w:pPr>
        <w:spacing w:line="360" w:lineRule="auto"/>
        <w:ind w:firstLine="1440"/>
      </w:pPr>
      <w:r>
        <w:t>We agree with Mr. Robinson to the extent that he points out that the complaint of Mr. Gibbs and the Complaint now before us were not joint complaints, but were individually filed and prosecuted.  The Complaint of Mr. Robinson</w:t>
      </w:r>
      <w:r w:rsidR="00E32E51">
        <w:t>, in fact,</w:t>
      </w:r>
      <w:r>
        <w:t xml:space="preserve"> pre-dates Mr. Gibbs</w:t>
      </w:r>
      <w:r w:rsidR="006414AA">
        <w:t>’ formal complaint</w:t>
      </w:r>
      <w:r>
        <w:t xml:space="preserve">.  However, we disagree with Mr. Robinson that he has not been the beneficiary of </w:t>
      </w:r>
      <w:r w:rsidR="00E32E51">
        <w:t>certain essential</w:t>
      </w:r>
      <w:r>
        <w:t xml:space="preserve"> Findings of Fact </w:t>
      </w:r>
      <w:r w:rsidR="00E32E51">
        <w:t xml:space="preserve">established </w:t>
      </w:r>
      <w:r>
        <w:t xml:space="preserve">in </w:t>
      </w:r>
      <w:r>
        <w:rPr>
          <w:i/>
        </w:rPr>
        <w:t>Gibbs</w:t>
      </w:r>
      <w:r>
        <w:t xml:space="preserve">.  </w:t>
      </w:r>
      <w:r>
        <w:rPr>
          <w:i/>
        </w:rPr>
        <w:t xml:space="preserve">See </w:t>
      </w:r>
      <w:r>
        <w:t xml:space="preserve">Exc. at 4.  Based on </w:t>
      </w:r>
      <w:r>
        <w:rPr>
          <w:i/>
        </w:rPr>
        <w:t>Gibbs</w:t>
      </w:r>
      <w:r>
        <w:t xml:space="preserve">, an extensive evidentiary record was developed that identified the systemic problems which existed at SCI Graterford based on, </w:t>
      </w:r>
      <w:r>
        <w:rPr>
          <w:i/>
        </w:rPr>
        <w:t>inter alia</w:t>
      </w:r>
      <w:r>
        <w:t xml:space="preserve">, increased trunk usage on certain days wherein monetary credits were applied to inmate accounts for purposes of making telephone calls.  </w:t>
      </w:r>
      <w:r>
        <w:rPr>
          <w:i/>
        </w:rPr>
        <w:t>See Gibbs</w:t>
      </w:r>
      <w:r>
        <w:t xml:space="preserve">, Finding of Fact </w:t>
      </w:r>
      <w:r w:rsidR="00D03766">
        <w:t xml:space="preserve">No. </w:t>
      </w:r>
      <w:r>
        <w:t>38.</w:t>
      </w:r>
    </w:p>
    <w:p w:rsidR="00A824E2" w:rsidRDefault="00A824E2" w:rsidP="001B028B">
      <w:pPr>
        <w:spacing w:line="360" w:lineRule="auto"/>
        <w:ind w:firstLine="1440"/>
      </w:pPr>
    </w:p>
    <w:p w:rsidR="0069238B" w:rsidRPr="001822BD" w:rsidRDefault="0069238B" w:rsidP="0069238B">
      <w:pPr>
        <w:spacing w:line="360" w:lineRule="auto"/>
        <w:ind w:firstLine="1440"/>
        <w:rPr>
          <w:bCs/>
          <w:spacing w:val="-3"/>
        </w:rPr>
      </w:pPr>
      <w:r w:rsidRPr="001822BD">
        <w:rPr>
          <w:bCs/>
        </w:rPr>
        <w:t xml:space="preserve">In any event, the Commission’s Policy Statement at 52 Pa. Code § 69.1201(c) sets forth ten factors that the Commission may consider in evaluating whether a civil penalty for violating a Commission Order, Regulation, or Statute is appropriate.  In applying the Policy Statement to the facts in this case, we do not believe a civil penalty is appropriate here.  Specifically, we note the following factors in support of this outcome: both </w:t>
      </w:r>
      <w:r w:rsidRPr="001822BD">
        <w:rPr>
          <w:bCs/>
          <w:spacing w:val="-3"/>
        </w:rPr>
        <w:t xml:space="preserve">the conduct at issue and the consequences of that conduct were not of a serious nature, the conduct at issue was not intentional, GTL has taken measures to </w:t>
      </w:r>
      <w:r w:rsidRPr="001822BD">
        <w:rPr>
          <w:bCs/>
          <w:spacing w:val="-3"/>
        </w:rPr>
        <w:lastRenderedPageBreak/>
        <w:t xml:space="preserve">address the problem, GTL was forthcoming and cooperative in its litigation of this case, and GTL already has been penalized for the same system failure in a prior Commission proceeding – the </w:t>
      </w:r>
      <w:r w:rsidRPr="001822BD">
        <w:rPr>
          <w:bCs/>
          <w:i/>
          <w:iCs/>
          <w:spacing w:val="-3"/>
        </w:rPr>
        <w:t xml:space="preserve">Gibbs </w:t>
      </w:r>
      <w:r w:rsidRPr="001822BD">
        <w:rPr>
          <w:bCs/>
          <w:spacing w:val="-3"/>
        </w:rPr>
        <w:t xml:space="preserve">case.  Thus, the civil penalty in </w:t>
      </w:r>
      <w:r w:rsidRPr="001822BD">
        <w:rPr>
          <w:bCs/>
          <w:i/>
          <w:iCs/>
          <w:spacing w:val="-3"/>
        </w:rPr>
        <w:t xml:space="preserve">Gibbs </w:t>
      </w:r>
      <w:r w:rsidRPr="001822BD">
        <w:rPr>
          <w:bCs/>
          <w:spacing w:val="-3"/>
        </w:rPr>
        <w:t>is a mitigating factor, which is one factor of several here that weighs against a civil penalty.  We shall affirm the presiding ALJ with these clarifications.</w:t>
      </w:r>
    </w:p>
    <w:p w:rsidR="00A824E2" w:rsidRDefault="00A824E2" w:rsidP="00A824E2">
      <w:pPr>
        <w:spacing w:line="360" w:lineRule="auto"/>
        <w:ind w:firstLine="1440"/>
      </w:pPr>
    </w:p>
    <w:p w:rsidR="00A824E2" w:rsidRDefault="00A824E2" w:rsidP="00105CF6">
      <w:pPr>
        <w:keepNext/>
        <w:keepLines/>
        <w:spacing w:line="360" w:lineRule="auto"/>
        <w:jc w:val="center"/>
      </w:pPr>
      <w:r>
        <w:rPr>
          <w:b/>
        </w:rPr>
        <w:t>C</w:t>
      </w:r>
      <w:r w:rsidR="00105CF6">
        <w:rPr>
          <w:b/>
        </w:rPr>
        <w:t>onclusion</w:t>
      </w:r>
    </w:p>
    <w:p w:rsidR="00A824E2" w:rsidRDefault="00A824E2" w:rsidP="00105CF6">
      <w:pPr>
        <w:keepNext/>
        <w:keepLines/>
        <w:spacing w:line="360" w:lineRule="auto"/>
        <w:ind w:firstLine="1440"/>
      </w:pPr>
    </w:p>
    <w:p w:rsidR="001B028B" w:rsidRPr="00A824E2" w:rsidRDefault="00A824E2" w:rsidP="00A824E2">
      <w:pPr>
        <w:spacing w:line="360" w:lineRule="auto"/>
        <w:ind w:firstLine="1440"/>
      </w:pPr>
      <w:r>
        <w:t xml:space="preserve">On consideration of the Exceptions of Mr. Robinson, the Exceptions are granted solely to the extent consistent with the discussion in this Opinion and Order; </w:t>
      </w:r>
      <w:r w:rsidR="001B028B" w:rsidRPr="00A824E2">
        <w:rPr>
          <w:b/>
          <w:spacing w:val="-3"/>
        </w:rPr>
        <w:t>THEREFORE,</w:t>
      </w:r>
    </w:p>
    <w:p w:rsidR="001B028B" w:rsidRPr="0040550D" w:rsidRDefault="001B028B" w:rsidP="001B028B">
      <w:pPr>
        <w:pStyle w:val="ParaTab1"/>
        <w:spacing w:line="360" w:lineRule="auto"/>
        <w:ind w:firstLine="0"/>
        <w:rPr>
          <w:rFonts w:ascii="Times New Roman" w:hAnsi="Times New Roman" w:cs="Times New Roman"/>
          <w:spacing w:val="-3"/>
          <w:sz w:val="26"/>
          <w:szCs w:val="26"/>
        </w:rPr>
      </w:pPr>
    </w:p>
    <w:p w:rsidR="001B028B" w:rsidRPr="0040550D" w:rsidRDefault="001B028B" w:rsidP="00AD2826">
      <w:pPr>
        <w:pStyle w:val="ParaTab1"/>
        <w:keepNext/>
        <w:keepLines/>
        <w:spacing w:line="360" w:lineRule="auto"/>
        <w:ind w:firstLine="0"/>
        <w:rPr>
          <w:rFonts w:ascii="Times New Roman" w:hAnsi="Times New Roman" w:cs="Times New Roman"/>
          <w:spacing w:val="-3"/>
          <w:sz w:val="26"/>
          <w:szCs w:val="26"/>
        </w:rPr>
      </w:pPr>
      <w:r w:rsidRPr="0040550D">
        <w:rPr>
          <w:rFonts w:ascii="Times New Roman" w:hAnsi="Times New Roman" w:cs="Times New Roman"/>
          <w:spacing w:val="-3"/>
          <w:sz w:val="26"/>
          <w:szCs w:val="26"/>
        </w:rPr>
        <w:tab/>
      </w:r>
      <w:r w:rsidRPr="0040550D">
        <w:rPr>
          <w:rFonts w:ascii="Times New Roman" w:hAnsi="Times New Roman" w:cs="Times New Roman"/>
          <w:spacing w:val="-3"/>
          <w:sz w:val="26"/>
          <w:szCs w:val="26"/>
        </w:rPr>
        <w:tab/>
      </w:r>
      <w:r w:rsidRPr="00A824E2">
        <w:rPr>
          <w:rFonts w:ascii="Times New Roman" w:hAnsi="Times New Roman" w:cs="Times New Roman"/>
          <w:b/>
          <w:spacing w:val="-3"/>
          <w:sz w:val="26"/>
          <w:szCs w:val="26"/>
        </w:rPr>
        <w:t>IT IS ORDERED</w:t>
      </w:r>
      <w:r w:rsidRPr="0040550D">
        <w:rPr>
          <w:rFonts w:ascii="Times New Roman" w:hAnsi="Times New Roman" w:cs="Times New Roman"/>
          <w:spacing w:val="-3"/>
          <w:sz w:val="26"/>
          <w:szCs w:val="26"/>
        </w:rPr>
        <w:t>:</w:t>
      </w:r>
    </w:p>
    <w:p w:rsidR="001B028B" w:rsidRDefault="001B028B" w:rsidP="00AD2826">
      <w:pPr>
        <w:pStyle w:val="ParaTab1"/>
        <w:keepNext/>
        <w:keepLines/>
        <w:spacing w:line="360" w:lineRule="auto"/>
        <w:ind w:firstLine="0"/>
        <w:rPr>
          <w:rFonts w:ascii="Times New Roman" w:hAnsi="Times New Roman" w:cs="Times New Roman"/>
          <w:spacing w:val="-3"/>
          <w:sz w:val="26"/>
          <w:szCs w:val="26"/>
        </w:rPr>
      </w:pPr>
    </w:p>
    <w:p w:rsidR="0011765E" w:rsidRPr="002978D2" w:rsidRDefault="0011765E" w:rsidP="0011765E">
      <w:pPr>
        <w:spacing w:line="360" w:lineRule="auto"/>
        <w:ind w:firstLine="1440"/>
      </w:pPr>
      <w:r w:rsidRPr="002978D2">
        <w:t>1.</w:t>
      </w:r>
      <w:r w:rsidRPr="002978D2">
        <w:tab/>
        <w:t xml:space="preserve">That the Exceptions of </w:t>
      </w:r>
      <w:r>
        <w:t xml:space="preserve">Vernon Robinson </w:t>
      </w:r>
      <w:r w:rsidRPr="00F138CB">
        <w:rPr>
          <w:spacing w:val="-3"/>
        </w:rPr>
        <w:t>CB-3895</w:t>
      </w:r>
      <w:r w:rsidRPr="002978D2">
        <w:rPr>
          <w:spacing w:val="-3"/>
        </w:rPr>
        <w:t xml:space="preserve"> filed in the matter of </w:t>
      </w:r>
      <w:r>
        <w:rPr>
          <w:i/>
          <w:spacing w:val="-3"/>
        </w:rPr>
        <w:t>Vernon Robinson, CB-3895</w:t>
      </w:r>
      <w:r w:rsidRPr="002978D2">
        <w:rPr>
          <w:i/>
          <w:spacing w:val="-3"/>
        </w:rPr>
        <w:t xml:space="preserve"> v. Global Tel* Link Corporation</w:t>
      </w:r>
      <w:r w:rsidRPr="002978D2">
        <w:rPr>
          <w:spacing w:val="-3"/>
        </w:rPr>
        <w:t>, Docket No. C-2013-</w:t>
      </w:r>
      <w:r w:rsidRPr="00F138CB">
        <w:rPr>
          <w:spacing w:val="-3"/>
        </w:rPr>
        <w:t>2343289</w:t>
      </w:r>
      <w:r w:rsidRPr="002978D2">
        <w:rPr>
          <w:spacing w:val="-3"/>
        </w:rPr>
        <w:t xml:space="preserve"> are, hereby, granted</w:t>
      </w:r>
      <w:r>
        <w:rPr>
          <w:spacing w:val="-3"/>
        </w:rPr>
        <w:t xml:space="preserve"> and denied</w:t>
      </w:r>
      <w:r w:rsidRPr="002978D2">
        <w:rPr>
          <w:spacing w:val="-3"/>
        </w:rPr>
        <w:t>, to the extent consistent with the discussion in this Opinion and Order.</w:t>
      </w:r>
    </w:p>
    <w:p w:rsidR="0011765E" w:rsidRDefault="0011765E" w:rsidP="001B028B">
      <w:pPr>
        <w:pStyle w:val="ParaTab1"/>
        <w:spacing w:line="360" w:lineRule="auto"/>
        <w:ind w:firstLine="0"/>
        <w:rPr>
          <w:rFonts w:ascii="Times New Roman" w:hAnsi="Times New Roman" w:cs="Times New Roman"/>
          <w:spacing w:val="-3"/>
          <w:sz w:val="26"/>
          <w:szCs w:val="26"/>
        </w:rPr>
      </w:pPr>
    </w:p>
    <w:p w:rsidR="0011765E" w:rsidRDefault="0011765E" w:rsidP="001B028B">
      <w:pPr>
        <w:pStyle w:val="ParaTab1"/>
        <w:spacing w:line="360" w:lineRule="auto"/>
        <w:ind w:firstLine="0"/>
        <w:rPr>
          <w:rFonts w:ascii="Times New Roman" w:hAnsi="Times New Roman" w:cs="Times New Roman"/>
          <w:spacing w:val="-3"/>
          <w:sz w:val="26"/>
          <w:szCs w:val="26"/>
        </w:rPr>
      </w:pPr>
      <w:r w:rsidRPr="0040550D">
        <w:rPr>
          <w:rFonts w:ascii="Times New Roman" w:hAnsi="Times New Roman" w:cs="Times New Roman"/>
          <w:spacing w:val="-3"/>
          <w:sz w:val="26"/>
          <w:szCs w:val="26"/>
        </w:rPr>
        <w:tab/>
      </w:r>
      <w:r>
        <w:rPr>
          <w:rFonts w:ascii="Times New Roman" w:hAnsi="Times New Roman" w:cs="Times New Roman"/>
          <w:spacing w:val="-3"/>
          <w:sz w:val="26"/>
          <w:szCs w:val="26"/>
        </w:rPr>
        <w:tab/>
        <w:t>2</w:t>
      </w:r>
      <w:r w:rsidRPr="0040550D">
        <w:rPr>
          <w:rFonts w:ascii="Times New Roman" w:hAnsi="Times New Roman" w:cs="Times New Roman"/>
          <w:spacing w:val="-3"/>
          <w:sz w:val="26"/>
          <w:szCs w:val="26"/>
        </w:rPr>
        <w:t>.</w:t>
      </w:r>
      <w:r w:rsidRPr="0040550D">
        <w:rPr>
          <w:rFonts w:ascii="Times New Roman" w:hAnsi="Times New Roman" w:cs="Times New Roman"/>
          <w:spacing w:val="-3"/>
          <w:sz w:val="26"/>
          <w:szCs w:val="26"/>
        </w:rPr>
        <w:tab/>
        <w:t xml:space="preserve">That the </w:t>
      </w:r>
      <w:r>
        <w:rPr>
          <w:rFonts w:ascii="Times New Roman" w:hAnsi="Times New Roman" w:cs="Times New Roman"/>
          <w:spacing w:val="-3"/>
          <w:sz w:val="26"/>
          <w:szCs w:val="26"/>
        </w:rPr>
        <w:t xml:space="preserve">Initial Decision of Administrative Law Judge Mark A. Hoyer at </w:t>
      </w:r>
      <w:r w:rsidRPr="0040550D">
        <w:rPr>
          <w:rFonts w:ascii="Times New Roman" w:hAnsi="Times New Roman" w:cs="Times New Roman"/>
          <w:spacing w:val="-3"/>
          <w:sz w:val="26"/>
          <w:szCs w:val="26"/>
        </w:rPr>
        <w:t>Docket No. C-2013-2343289 is</w:t>
      </w:r>
      <w:r>
        <w:rPr>
          <w:rFonts w:ascii="Times New Roman" w:hAnsi="Times New Roman" w:cs="Times New Roman"/>
          <w:spacing w:val="-3"/>
          <w:sz w:val="26"/>
          <w:szCs w:val="26"/>
        </w:rPr>
        <w:t xml:space="preserve"> adopted, consistent with this Opinion and Order.</w:t>
      </w:r>
    </w:p>
    <w:p w:rsidR="00AD2826" w:rsidRPr="0040550D" w:rsidRDefault="00AD2826" w:rsidP="001B028B">
      <w:pPr>
        <w:pStyle w:val="ParaTab1"/>
        <w:spacing w:line="360" w:lineRule="auto"/>
        <w:ind w:firstLine="0"/>
        <w:rPr>
          <w:rFonts w:ascii="Times New Roman" w:hAnsi="Times New Roman" w:cs="Times New Roman"/>
          <w:spacing w:val="-3"/>
          <w:sz w:val="26"/>
          <w:szCs w:val="26"/>
        </w:rPr>
      </w:pPr>
    </w:p>
    <w:p w:rsidR="003467D7" w:rsidRDefault="001B028B" w:rsidP="00AD2826">
      <w:pPr>
        <w:pStyle w:val="ParaTab1"/>
        <w:spacing w:line="360" w:lineRule="auto"/>
        <w:ind w:firstLine="0"/>
        <w:rPr>
          <w:rFonts w:ascii="Times New Roman" w:hAnsi="Times New Roman" w:cs="Times New Roman"/>
          <w:spacing w:val="-3"/>
          <w:sz w:val="26"/>
          <w:szCs w:val="26"/>
        </w:rPr>
      </w:pPr>
      <w:r w:rsidRPr="0040550D">
        <w:rPr>
          <w:rFonts w:ascii="Times New Roman" w:hAnsi="Times New Roman" w:cs="Times New Roman"/>
          <w:spacing w:val="-3"/>
          <w:sz w:val="26"/>
          <w:szCs w:val="26"/>
        </w:rPr>
        <w:tab/>
      </w:r>
      <w:r w:rsidRPr="0040550D">
        <w:rPr>
          <w:rFonts w:ascii="Times New Roman" w:hAnsi="Times New Roman" w:cs="Times New Roman"/>
          <w:spacing w:val="-3"/>
          <w:sz w:val="26"/>
          <w:szCs w:val="26"/>
        </w:rPr>
        <w:tab/>
      </w:r>
      <w:r w:rsidR="0011765E">
        <w:rPr>
          <w:rFonts w:ascii="Times New Roman" w:hAnsi="Times New Roman" w:cs="Times New Roman"/>
          <w:spacing w:val="-3"/>
          <w:sz w:val="26"/>
          <w:szCs w:val="26"/>
        </w:rPr>
        <w:t>3</w:t>
      </w:r>
      <w:r w:rsidRPr="0040550D">
        <w:rPr>
          <w:rFonts w:ascii="Times New Roman" w:hAnsi="Times New Roman" w:cs="Times New Roman"/>
          <w:spacing w:val="-3"/>
          <w:sz w:val="26"/>
          <w:szCs w:val="26"/>
        </w:rPr>
        <w:t>.</w:t>
      </w:r>
      <w:r w:rsidRPr="0040550D">
        <w:rPr>
          <w:rFonts w:ascii="Times New Roman" w:hAnsi="Times New Roman" w:cs="Times New Roman"/>
          <w:spacing w:val="-3"/>
          <w:sz w:val="26"/>
          <w:szCs w:val="26"/>
        </w:rPr>
        <w:tab/>
        <w:t xml:space="preserve">That the Formal Complaint of Vernon Robinson against Global Tel Link Corporation at Docket No. C-2013-2343289 is sustained, in part, </w:t>
      </w:r>
      <w:r w:rsidR="003467D7">
        <w:rPr>
          <w:rFonts w:ascii="Times New Roman" w:hAnsi="Times New Roman" w:cs="Times New Roman"/>
          <w:spacing w:val="-3"/>
          <w:sz w:val="26"/>
          <w:szCs w:val="26"/>
        </w:rPr>
        <w:t>and dismissed, in part</w:t>
      </w:r>
      <w:r w:rsidRPr="0040550D">
        <w:rPr>
          <w:rFonts w:ascii="Times New Roman" w:hAnsi="Times New Roman" w:cs="Times New Roman"/>
          <w:spacing w:val="-3"/>
          <w:sz w:val="26"/>
          <w:szCs w:val="26"/>
        </w:rPr>
        <w:t>.</w:t>
      </w:r>
    </w:p>
    <w:p w:rsidR="00AD2826" w:rsidRDefault="00AD2826" w:rsidP="00AD2826">
      <w:pPr>
        <w:pStyle w:val="ParaTab1"/>
        <w:spacing w:line="360" w:lineRule="auto"/>
        <w:ind w:firstLine="0"/>
        <w:rPr>
          <w:rFonts w:ascii="Times New Roman" w:hAnsi="Times New Roman" w:cs="Times New Roman"/>
          <w:spacing w:val="-3"/>
          <w:sz w:val="26"/>
          <w:szCs w:val="26"/>
        </w:rPr>
      </w:pPr>
    </w:p>
    <w:p w:rsidR="001B028B" w:rsidRPr="0040550D" w:rsidRDefault="003467D7" w:rsidP="001B028B">
      <w:pPr>
        <w:pStyle w:val="ParaTab1"/>
        <w:spacing w:line="360" w:lineRule="auto"/>
        <w:ind w:firstLine="0"/>
        <w:rPr>
          <w:rFonts w:ascii="Times New Roman" w:hAnsi="Times New Roman" w:cs="Times New Roman"/>
          <w:sz w:val="26"/>
          <w:szCs w:val="26"/>
        </w:rPr>
      </w:pPr>
      <w:r>
        <w:rPr>
          <w:rFonts w:ascii="Times New Roman" w:hAnsi="Times New Roman" w:cs="Times New Roman"/>
          <w:spacing w:val="-3"/>
          <w:sz w:val="26"/>
          <w:szCs w:val="26"/>
        </w:rPr>
        <w:tab/>
      </w:r>
      <w:r>
        <w:rPr>
          <w:rFonts w:ascii="Times New Roman" w:hAnsi="Times New Roman" w:cs="Times New Roman"/>
          <w:spacing w:val="-3"/>
          <w:sz w:val="26"/>
          <w:szCs w:val="26"/>
        </w:rPr>
        <w:tab/>
      </w:r>
      <w:r w:rsidR="0011765E">
        <w:rPr>
          <w:rFonts w:ascii="Times New Roman" w:hAnsi="Times New Roman" w:cs="Times New Roman"/>
          <w:spacing w:val="-3"/>
          <w:sz w:val="26"/>
          <w:szCs w:val="26"/>
        </w:rPr>
        <w:t>4</w:t>
      </w:r>
      <w:r w:rsidR="001B028B" w:rsidRPr="0040550D">
        <w:rPr>
          <w:rFonts w:ascii="Times New Roman" w:hAnsi="Times New Roman" w:cs="Times New Roman"/>
          <w:sz w:val="26"/>
          <w:szCs w:val="26"/>
        </w:rPr>
        <w:t>.</w:t>
      </w:r>
      <w:r w:rsidR="001B028B" w:rsidRPr="0040550D">
        <w:rPr>
          <w:rFonts w:ascii="Times New Roman" w:hAnsi="Times New Roman" w:cs="Times New Roman"/>
          <w:sz w:val="26"/>
          <w:szCs w:val="26"/>
        </w:rPr>
        <w:tab/>
        <w:t>That Global Tel Link Corporation shall cease and desist from failing to provide reasonably continuous service, without unreasonable interruptions or delay.</w:t>
      </w:r>
    </w:p>
    <w:p w:rsidR="001B028B" w:rsidRPr="0040550D" w:rsidRDefault="001B028B" w:rsidP="001B028B">
      <w:pPr>
        <w:suppressAutoHyphens/>
        <w:spacing w:line="360" w:lineRule="auto"/>
      </w:pPr>
    </w:p>
    <w:p w:rsidR="001B028B" w:rsidRDefault="001B028B" w:rsidP="001B028B">
      <w:pPr>
        <w:suppressAutoHyphens/>
        <w:spacing w:line="360" w:lineRule="auto"/>
      </w:pPr>
      <w:r w:rsidRPr="0040550D">
        <w:lastRenderedPageBreak/>
        <w:tab/>
      </w:r>
      <w:r w:rsidRPr="0040550D">
        <w:tab/>
      </w:r>
      <w:r w:rsidR="0011765E">
        <w:t>5</w:t>
      </w:r>
      <w:r w:rsidRPr="0040550D">
        <w:t>.</w:t>
      </w:r>
      <w:r w:rsidRPr="0040550D">
        <w:tab/>
        <w:t>That</w:t>
      </w:r>
      <w:r w:rsidR="006414AA">
        <w:t xml:space="preserve"> within thirty (30) days from the date of entry of this Opinion and Order</w:t>
      </w:r>
      <w:r w:rsidR="004D4431">
        <w:t>,</w:t>
      </w:r>
      <w:r w:rsidRPr="0040550D">
        <w:t xml:space="preserve"> Global Tel Link Corporation shall provide </w:t>
      </w:r>
      <w:r w:rsidR="000C253F">
        <w:t xml:space="preserve">the </w:t>
      </w:r>
      <w:r w:rsidRPr="0040550D">
        <w:t xml:space="preserve">Complainant, Vernon Robinson, a refund of $11.20 for </w:t>
      </w:r>
      <w:r w:rsidR="00A52A3D">
        <w:t>seven (</w:t>
      </w:r>
      <w:r w:rsidRPr="0040550D">
        <w:t>7</w:t>
      </w:r>
      <w:r w:rsidR="00A52A3D">
        <w:t>)</w:t>
      </w:r>
      <w:r w:rsidRPr="0040550D">
        <w:t xml:space="preserve"> disrupted cellular telephone calls</w:t>
      </w:r>
      <w:r w:rsidR="000C253F">
        <w:t>, consistent with this Opinion and Order</w:t>
      </w:r>
      <w:r w:rsidRPr="0040550D">
        <w:t>.</w:t>
      </w:r>
    </w:p>
    <w:p w:rsidR="006414AA" w:rsidRDefault="006414AA" w:rsidP="001B028B">
      <w:pPr>
        <w:suppressAutoHyphens/>
        <w:spacing w:line="360" w:lineRule="auto"/>
      </w:pPr>
    </w:p>
    <w:p w:rsidR="006414AA" w:rsidRPr="0040550D" w:rsidRDefault="006414AA" w:rsidP="001B028B">
      <w:pPr>
        <w:suppressAutoHyphens/>
        <w:spacing w:line="360" w:lineRule="auto"/>
      </w:pPr>
      <w:r>
        <w:tab/>
      </w:r>
      <w:r>
        <w:tab/>
        <w:t>6.</w:t>
      </w:r>
      <w:r>
        <w:tab/>
        <w:t xml:space="preserve">That </w:t>
      </w:r>
      <w:r w:rsidR="000C253F">
        <w:t>G</w:t>
      </w:r>
      <w:r>
        <w:t>lobal Tel Link Corporat</w:t>
      </w:r>
      <w:r w:rsidR="006F2124">
        <w:t xml:space="preserve">ion </w:t>
      </w:r>
      <w:r w:rsidR="000C253F">
        <w:t xml:space="preserve">shall provide written notice to the Secretary of the Commission at the time it </w:t>
      </w:r>
      <w:r w:rsidR="004D4431">
        <w:t xml:space="preserve">provides the Complainant with </w:t>
      </w:r>
      <w:r w:rsidR="00FC7306">
        <w:t xml:space="preserve">the refund directed in </w:t>
      </w:r>
      <w:r w:rsidR="00A52A3D">
        <w:t>Ordering Paragraph No. 5, above.</w:t>
      </w:r>
    </w:p>
    <w:p w:rsidR="001B028B" w:rsidRPr="0040550D" w:rsidRDefault="001B028B" w:rsidP="001B028B">
      <w:pPr>
        <w:suppressAutoHyphens/>
        <w:spacing w:line="360" w:lineRule="auto"/>
      </w:pPr>
    </w:p>
    <w:p w:rsidR="001B028B" w:rsidRPr="0040550D" w:rsidRDefault="001B028B" w:rsidP="00AD2826">
      <w:pPr>
        <w:keepNext/>
        <w:keepLines/>
        <w:suppressAutoHyphens/>
        <w:spacing w:line="360" w:lineRule="auto"/>
      </w:pPr>
      <w:r w:rsidRPr="0040550D">
        <w:tab/>
      </w:r>
      <w:r w:rsidRPr="0040550D">
        <w:tab/>
      </w:r>
      <w:r w:rsidR="00FC7306">
        <w:t>7</w:t>
      </w:r>
      <w:r w:rsidRPr="0040550D">
        <w:t>.</w:t>
      </w:r>
      <w:r w:rsidRPr="0040550D">
        <w:tab/>
        <w:t xml:space="preserve">That </w:t>
      </w:r>
      <w:r w:rsidR="00A52A3D">
        <w:t xml:space="preserve">upon notification from Global Tel Link Corporation that it has provided the Complainant with </w:t>
      </w:r>
      <w:r w:rsidR="00FC7306">
        <w:t xml:space="preserve">the </w:t>
      </w:r>
      <w:r w:rsidR="00A52A3D">
        <w:t xml:space="preserve">refund </w:t>
      </w:r>
      <w:r w:rsidR="00FC7306">
        <w:t xml:space="preserve">as directed in Ordering Paragraph No. 6, above, </w:t>
      </w:r>
      <w:r w:rsidRPr="0040550D">
        <w:t xml:space="preserve">the docket in this proceeding </w:t>
      </w:r>
      <w:r w:rsidR="00A52A3D">
        <w:t xml:space="preserve">shall </w:t>
      </w:r>
      <w:r w:rsidRPr="0040550D">
        <w:t>be marked closed.</w:t>
      </w:r>
    </w:p>
    <w:p w:rsidR="001B028B" w:rsidRDefault="001B028B" w:rsidP="00AD2826">
      <w:pPr>
        <w:keepNext/>
        <w:keepLines/>
        <w:suppressAutoHyphens/>
        <w:spacing w:line="360" w:lineRule="auto"/>
      </w:pPr>
    </w:p>
    <w:p w:rsidR="0011765E" w:rsidRPr="002978D2" w:rsidRDefault="007344BB" w:rsidP="00AD2826">
      <w:pPr>
        <w:keepNext/>
        <w:keepLines/>
        <w:spacing w:line="360" w:lineRule="auto"/>
      </w:pPr>
      <w:bookmarkStart w:id="0" w:name="_GoBack"/>
      <w:r w:rsidRPr="009F01BA">
        <w:rPr>
          <w:b/>
          <w:noProof/>
          <w:sz w:val="20"/>
          <w:szCs w:val="20"/>
        </w:rPr>
        <w:drawing>
          <wp:anchor distT="0" distB="0" distL="114300" distR="114300" simplePos="0" relativeHeight="251659264" behindDoc="1" locked="0" layoutInCell="1" allowOverlap="1" wp14:anchorId="2306E0FE" wp14:editId="59F22F49">
            <wp:simplePos x="0" y="0"/>
            <wp:positionH relativeFrom="column">
              <wp:posOffset>2500630</wp:posOffset>
            </wp:positionH>
            <wp:positionV relativeFrom="paragraph">
              <wp:posOffset>67310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1765E" w:rsidRPr="002978D2">
        <w:rPr>
          <w:b/>
        </w:rPr>
        <w:tab/>
      </w:r>
      <w:r w:rsidR="0011765E" w:rsidRPr="002978D2">
        <w:rPr>
          <w:b/>
        </w:rPr>
        <w:tab/>
      </w:r>
      <w:r w:rsidR="0011765E" w:rsidRPr="002978D2">
        <w:rPr>
          <w:b/>
        </w:rPr>
        <w:tab/>
      </w:r>
      <w:r w:rsidR="0011765E" w:rsidRPr="002978D2">
        <w:rPr>
          <w:b/>
        </w:rPr>
        <w:tab/>
      </w:r>
      <w:r w:rsidR="0011765E" w:rsidRPr="002978D2">
        <w:rPr>
          <w:b/>
        </w:rPr>
        <w:tab/>
      </w:r>
      <w:r w:rsidR="0011765E">
        <w:rPr>
          <w:b/>
        </w:rPr>
        <w:tab/>
      </w:r>
      <w:r w:rsidR="0011765E" w:rsidRPr="002978D2">
        <w:rPr>
          <w:b/>
        </w:rPr>
        <w:t>BY THE COMMISSION,</w:t>
      </w:r>
    </w:p>
    <w:p w:rsidR="0011765E" w:rsidRPr="002978D2" w:rsidRDefault="0011765E" w:rsidP="00AD2826">
      <w:pPr>
        <w:keepNext/>
        <w:keepLines/>
      </w:pPr>
    </w:p>
    <w:p w:rsidR="0011765E" w:rsidRDefault="0011765E" w:rsidP="00AD2826">
      <w:pPr>
        <w:keepNext/>
        <w:keepLines/>
      </w:pPr>
    </w:p>
    <w:p w:rsidR="0011765E" w:rsidRPr="002978D2" w:rsidRDefault="0011765E" w:rsidP="00AD2826">
      <w:pPr>
        <w:keepNext/>
        <w:keepLines/>
      </w:pPr>
    </w:p>
    <w:p w:rsidR="0011765E" w:rsidRPr="002978D2" w:rsidRDefault="0011765E" w:rsidP="00AD2826">
      <w:pPr>
        <w:keepNext/>
        <w:keepLines/>
      </w:pPr>
      <w:r w:rsidRPr="002978D2">
        <w:tab/>
      </w:r>
      <w:r w:rsidRPr="002978D2">
        <w:tab/>
      </w:r>
      <w:r w:rsidRPr="002978D2">
        <w:tab/>
      </w:r>
      <w:r w:rsidRPr="002978D2">
        <w:tab/>
      </w:r>
      <w:r w:rsidRPr="002978D2">
        <w:tab/>
      </w:r>
      <w:r w:rsidRPr="002978D2">
        <w:tab/>
        <w:t>Rosemary Chiavetta</w:t>
      </w:r>
    </w:p>
    <w:p w:rsidR="0011765E" w:rsidRPr="002978D2" w:rsidRDefault="0011765E" w:rsidP="00AD2826">
      <w:pPr>
        <w:keepNext/>
        <w:keepLines/>
      </w:pPr>
      <w:r w:rsidRPr="002978D2">
        <w:tab/>
      </w:r>
      <w:r w:rsidRPr="002978D2">
        <w:tab/>
      </w:r>
      <w:r w:rsidRPr="002978D2">
        <w:tab/>
      </w:r>
      <w:r w:rsidRPr="002978D2">
        <w:tab/>
      </w:r>
      <w:r w:rsidRPr="002978D2">
        <w:tab/>
      </w:r>
      <w:r w:rsidRPr="002978D2">
        <w:tab/>
        <w:t>Secretary</w:t>
      </w:r>
    </w:p>
    <w:p w:rsidR="0011765E" w:rsidRPr="002978D2" w:rsidRDefault="0011765E" w:rsidP="00AD2826">
      <w:pPr>
        <w:keepNext/>
        <w:keepLines/>
      </w:pPr>
    </w:p>
    <w:p w:rsidR="0011765E" w:rsidRPr="002978D2" w:rsidRDefault="0011765E" w:rsidP="00AD2826">
      <w:pPr>
        <w:keepNext/>
        <w:keepLines/>
      </w:pPr>
      <w:r w:rsidRPr="002978D2">
        <w:t>(SEAL)</w:t>
      </w:r>
    </w:p>
    <w:p w:rsidR="0011765E" w:rsidRPr="002978D2" w:rsidRDefault="0011765E" w:rsidP="0011765E">
      <w:pPr>
        <w:keepNext/>
        <w:keepLines/>
      </w:pPr>
    </w:p>
    <w:p w:rsidR="0011765E" w:rsidRPr="002978D2" w:rsidRDefault="0011765E" w:rsidP="0011765E">
      <w:pPr>
        <w:keepNext/>
        <w:keepLines/>
      </w:pPr>
      <w:r w:rsidRPr="002978D2">
        <w:t>ORDER ADOPTED:  Ju</w:t>
      </w:r>
      <w:r w:rsidR="00AD2826">
        <w:t xml:space="preserve">ly </w:t>
      </w:r>
      <w:r w:rsidRPr="002978D2">
        <w:t>1</w:t>
      </w:r>
      <w:r w:rsidR="00414780">
        <w:t>2</w:t>
      </w:r>
      <w:r w:rsidRPr="002978D2">
        <w:t>, 201</w:t>
      </w:r>
      <w:r>
        <w:t>7</w:t>
      </w:r>
    </w:p>
    <w:p w:rsidR="0011765E" w:rsidRPr="002978D2" w:rsidRDefault="0011765E" w:rsidP="0011765E">
      <w:pPr>
        <w:keepNext/>
        <w:keepLines/>
      </w:pPr>
    </w:p>
    <w:p w:rsidR="0011765E" w:rsidRPr="0040550D" w:rsidRDefault="0011765E" w:rsidP="00AD2826">
      <w:pPr>
        <w:keepNext/>
        <w:keepLines/>
      </w:pPr>
      <w:r w:rsidRPr="002978D2">
        <w:t xml:space="preserve">ORDER ENTERED:  </w:t>
      </w:r>
      <w:r w:rsidR="007344BB">
        <w:t>July 13, 2017</w:t>
      </w:r>
    </w:p>
    <w:sectPr w:rsidR="0011765E" w:rsidRPr="0040550D" w:rsidSect="00C87073">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7C6" w:rsidRDefault="000C27C6" w:rsidP="001B028B">
      <w:r>
        <w:separator/>
      </w:r>
    </w:p>
  </w:endnote>
  <w:endnote w:type="continuationSeparator" w:id="0">
    <w:p w:rsidR="000C27C6" w:rsidRDefault="000C27C6" w:rsidP="001B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903097"/>
      <w:docPartObj>
        <w:docPartGallery w:val="Page Numbers (Bottom of Page)"/>
        <w:docPartUnique/>
      </w:docPartObj>
    </w:sdtPr>
    <w:sdtEndPr>
      <w:rPr>
        <w:noProof/>
      </w:rPr>
    </w:sdtEndPr>
    <w:sdtContent>
      <w:p w:rsidR="00406A1A" w:rsidRDefault="00406A1A">
        <w:pPr>
          <w:pStyle w:val="Footer"/>
          <w:jc w:val="center"/>
        </w:pPr>
        <w:r>
          <w:fldChar w:fldCharType="begin"/>
        </w:r>
        <w:r>
          <w:instrText xml:space="preserve"> PAGE   \* MERGEFORMAT </w:instrText>
        </w:r>
        <w:r>
          <w:fldChar w:fldCharType="separate"/>
        </w:r>
        <w:r w:rsidR="007344BB">
          <w:rPr>
            <w:noProof/>
          </w:rPr>
          <w:t>25</w:t>
        </w:r>
        <w:r>
          <w:rPr>
            <w:noProof/>
          </w:rPr>
          <w:fldChar w:fldCharType="end"/>
        </w:r>
      </w:p>
    </w:sdtContent>
  </w:sdt>
  <w:p w:rsidR="00406A1A" w:rsidRDefault="00406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7C6" w:rsidRDefault="000C27C6" w:rsidP="001B028B">
      <w:r>
        <w:separator/>
      </w:r>
    </w:p>
  </w:footnote>
  <w:footnote w:type="continuationSeparator" w:id="0">
    <w:p w:rsidR="000C27C6" w:rsidRDefault="000C27C6" w:rsidP="001B028B">
      <w:r>
        <w:continuationSeparator/>
      </w:r>
    </w:p>
  </w:footnote>
  <w:footnote w:id="1">
    <w:p w:rsidR="00406A1A" w:rsidRDefault="00406A1A" w:rsidP="00B029C0">
      <w:pPr>
        <w:pStyle w:val="FootnoteText"/>
        <w:keepNext/>
        <w:keepLines/>
        <w:ind w:firstLine="720"/>
      </w:pPr>
      <w:r>
        <w:rPr>
          <w:rStyle w:val="FootnoteReference"/>
        </w:rPr>
        <w:footnoteRef/>
      </w:r>
      <w:r>
        <w:tab/>
      </w:r>
      <w:r>
        <w:rPr>
          <w:rFonts w:ascii="Times New Roman" w:hAnsi="Times New Roman" w:cs="Times New Roman"/>
          <w:sz w:val="26"/>
          <w:szCs w:val="26"/>
        </w:rPr>
        <w:t>Mr. Robinson filed a</w:t>
      </w:r>
      <w:r w:rsidRPr="001B2488">
        <w:rPr>
          <w:rFonts w:ascii="Times New Roman" w:hAnsi="Times New Roman" w:cs="Times New Roman"/>
          <w:sz w:val="26"/>
          <w:szCs w:val="26"/>
        </w:rPr>
        <w:t xml:space="preserve"> letter-petition requesting an extension of time to file Exceptions </w:t>
      </w:r>
      <w:r>
        <w:rPr>
          <w:rFonts w:ascii="Times New Roman" w:hAnsi="Times New Roman" w:cs="Times New Roman"/>
          <w:sz w:val="26"/>
          <w:szCs w:val="26"/>
        </w:rPr>
        <w:t xml:space="preserve">on </w:t>
      </w:r>
      <w:r w:rsidRPr="001B2488">
        <w:rPr>
          <w:rFonts w:ascii="Times New Roman" w:hAnsi="Times New Roman" w:cs="Times New Roman"/>
          <w:sz w:val="26"/>
          <w:szCs w:val="26"/>
        </w:rPr>
        <w:t>September 28, 2015</w:t>
      </w:r>
      <w:r>
        <w:rPr>
          <w:rFonts w:ascii="Times New Roman" w:hAnsi="Times New Roman" w:cs="Times New Roman"/>
          <w:sz w:val="26"/>
          <w:szCs w:val="26"/>
        </w:rPr>
        <w:t>.  The petition</w:t>
      </w:r>
      <w:r w:rsidRPr="001B2488">
        <w:rPr>
          <w:rFonts w:ascii="Times New Roman" w:hAnsi="Times New Roman" w:cs="Times New Roman"/>
          <w:sz w:val="26"/>
          <w:szCs w:val="26"/>
        </w:rPr>
        <w:t xml:space="preserve"> </w:t>
      </w:r>
      <w:r>
        <w:rPr>
          <w:rFonts w:ascii="Times New Roman" w:hAnsi="Times New Roman" w:cs="Times New Roman"/>
          <w:sz w:val="26"/>
          <w:szCs w:val="26"/>
        </w:rPr>
        <w:t xml:space="preserve">was </w:t>
      </w:r>
      <w:r w:rsidRPr="001B2488">
        <w:rPr>
          <w:rFonts w:ascii="Times New Roman" w:hAnsi="Times New Roman" w:cs="Times New Roman"/>
          <w:sz w:val="26"/>
          <w:szCs w:val="26"/>
        </w:rPr>
        <w:t>granted by Secretarial Letter dated September 30, 2015.</w:t>
      </w:r>
      <w:r>
        <w:rPr>
          <w:rFonts w:ascii="Times New Roman" w:hAnsi="Times New Roman" w:cs="Times New Roman"/>
          <w:sz w:val="26"/>
          <w:szCs w:val="26"/>
        </w:rPr>
        <w:t xml:space="preserve">  Those considerations pertaining to the Commission’s finding of good cause for the extension were explained and set forth in the Secretarial Letter.</w:t>
      </w:r>
    </w:p>
  </w:footnote>
  <w:footnote w:id="2">
    <w:p w:rsidR="00406A1A" w:rsidRDefault="00406A1A" w:rsidP="00A03A40">
      <w:pPr>
        <w:pStyle w:val="FootnoteText"/>
        <w:ind w:firstLine="720"/>
      </w:pPr>
      <w:r>
        <w:rPr>
          <w:rStyle w:val="FootnoteReference"/>
        </w:rPr>
        <w:footnoteRef/>
      </w:r>
      <w:r>
        <w:tab/>
      </w:r>
      <w:r w:rsidRPr="00A03A40">
        <w:rPr>
          <w:rFonts w:ascii="Times New Roman" w:hAnsi="Times New Roman" w:cs="Times New Roman"/>
          <w:sz w:val="26"/>
          <w:szCs w:val="26"/>
        </w:rPr>
        <w:t>The Commission notes that our Regulations further require that a corporation be represented by a</w:t>
      </w:r>
      <w:r>
        <w:rPr>
          <w:rFonts w:ascii="Times New Roman" w:hAnsi="Times New Roman" w:cs="Times New Roman"/>
          <w:sz w:val="26"/>
          <w:szCs w:val="26"/>
        </w:rPr>
        <w:t>n attorney</w:t>
      </w:r>
      <w:r w:rsidRPr="00A03A40">
        <w:rPr>
          <w:rFonts w:ascii="Times New Roman" w:hAnsi="Times New Roman" w:cs="Times New Roman"/>
          <w:sz w:val="26"/>
          <w:szCs w:val="26"/>
        </w:rPr>
        <w:t>.</w:t>
      </w:r>
    </w:p>
  </w:footnote>
  <w:footnote w:id="3">
    <w:p w:rsidR="00406A1A" w:rsidRDefault="00406A1A" w:rsidP="004003BE">
      <w:pPr>
        <w:pStyle w:val="FootnoteText"/>
        <w:keepNext/>
        <w:keepLines/>
        <w:ind w:firstLine="720"/>
      </w:pPr>
      <w:r>
        <w:rPr>
          <w:rStyle w:val="FootnoteReference"/>
        </w:rPr>
        <w:footnoteRef/>
      </w:r>
      <w:r>
        <w:tab/>
      </w:r>
      <w:r w:rsidRPr="00443E5A">
        <w:rPr>
          <w:rFonts w:ascii="Times New Roman" w:hAnsi="Times New Roman" w:cs="Times New Roman"/>
          <w:sz w:val="26"/>
          <w:szCs w:val="26"/>
        </w:rPr>
        <w:t xml:space="preserve">The Commission duly notes that on three occasions, Mr. Robinson has made inquiry concerning the deliberative status of his Complaint </w:t>
      </w:r>
      <w:r>
        <w:rPr>
          <w:rFonts w:ascii="Times New Roman" w:hAnsi="Times New Roman" w:cs="Times New Roman"/>
          <w:sz w:val="26"/>
          <w:szCs w:val="26"/>
        </w:rPr>
        <w:t>with</w:t>
      </w:r>
      <w:r w:rsidRPr="00443E5A">
        <w:rPr>
          <w:rFonts w:ascii="Times New Roman" w:hAnsi="Times New Roman" w:cs="Times New Roman"/>
          <w:sz w:val="26"/>
          <w:szCs w:val="26"/>
        </w:rPr>
        <w:t xml:space="preserve"> the Commission.</w:t>
      </w:r>
    </w:p>
  </w:footnote>
  <w:footnote w:id="4">
    <w:p w:rsidR="00406A1A" w:rsidRDefault="00406A1A" w:rsidP="00880465">
      <w:pPr>
        <w:pStyle w:val="FootnoteText"/>
        <w:ind w:firstLine="720"/>
      </w:pPr>
      <w:r>
        <w:rPr>
          <w:rStyle w:val="FootnoteReference"/>
        </w:rPr>
        <w:footnoteRef/>
      </w:r>
      <w:r>
        <w:tab/>
      </w:r>
      <w:r w:rsidRPr="00880465">
        <w:rPr>
          <w:rFonts w:ascii="Times New Roman" w:hAnsi="Times New Roman" w:cs="Times New Roman"/>
          <w:sz w:val="26"/>
          <w:szCs w:val="26"/>
        </w:rPr>
        <w:t>GTL further points out that some inmate complaints never made it to GTL because they [complaints] were handled by DOC personnel.  R.Exc. at</w:t>
      </w:r>
      <w:r>
        <w:rPr>
          <w:rFonts w:ascii="Times New Roman" w:hAnsi="Times New Roman" w:cs="Times New Roman"/>
          <w:sz w:val="26"/>
          <w:szCs w:val="26"/>
        </w:rPr>
        <w:t xml:space="preserve"> </w:t>
      </w:r>
      <w:r w:rsidRPr="00880465">
        <w:rPr>
          <w:rFonts w:ascii="Times New Roman" w:hAnsi="Times New Roman" w:cs="Times New Roman"/>
          <w:sz w:val="26"/>
          <w:szCs w:val="26"/>
        </w:rPr>
        <w:t>3.</w:t>
      </w:r>
      <w:r>
        <w:rPr>
          <w:rFonts w:ascii="Times New Roman" w:hAnsi="Times New Roman" w:cs="Times New Roman"/>
          <w:sz w:val="26"/>
          <w:szCs w:val="26"/>
        </w:rPr>
        <w:t xml:space="preserve">  Also, some refund requests were denied by DOC based on that dep</w:t>
      </w:r>
      <w:r w:rsidR="009131AE">
        <w:rPr>
          <w:rFonts w:ascii="Times New Roman" w:hAnsi="Times New Roman" w:cs="Times New Roman"/>
          <w:sz w:val="26"/>
          <w:szCs w:val="26"/>
        </w:rPr>
        <w:t>artment’s policy.  R.Exc. at 4.</w:t>
      </w:r>
    </w:p>
  </w:footnote>
  <w:footnote w:id="5">
    <w:p w:rsidR="00406A1A" w:rsidRPr="00801693" w:rsidRDefault="00406A1A" w:rsidP="00801693">
      <w:pPr>
        <w:pStyle w:val="FootnoteText"/>
        <w:ind w:firstLine="720"/>
        <w:rPr>
          <w:rFonts w:ascii="Times New Roman" w:hAnsi="Times New Roman" w:cs="Times New Roman"/>
          <w:sz w:val="26"/>
          <w:szCs w:val="26"/>
        </w:rPr>
      </w:pPr>
      <w:r>
        <w:rPr>
          <w:rStyle w:val="FootnoteReference"/>
        </w:rPr>
        <w:footnoteRef/>
      </w:r>
      <w:r>
        <w:tab/>
      </w:r>
      <w:r>
        <w:rPr>
          <w:rFonts w:ascii="Times New Roman" w:hAnsi="Times New Roman" w:cs="Times New Roman"/>
          <w:i/>
          <w:sz w:val="26"/>
          <w:szCs w:val="26"/>
        </w:rPr>
        <w:t xml:space="preserve">Affirmed sub nom, </w:t>
      </w:r>
      <w:hyperlink r:id="rId1" w:history="1">
        <w:r w:rsidRPr="00801693">
          <w:rPr>
            <w:rStyle w:val="Hyperlink"/>
            <w:rFonts w:ascii="Times New Roman" w:hAnsi="Times New Roman" w:cs="Times New Roman"/>
            <w:i/>
            <w:color w:val="auto"/>
            <w:sz w:val="26"/>
            <w:szCs w:val="26"/>
          </w:rPr>
          <w:t>C.U.R.E. of Pa. v. Pa. PUC,</w:t>
        </w:r>
        <w:r w:rsidRPr="00801693">
          <w:rPr>
            <w:rStyle w:val="Hyperlink"/>
            <w:rFonts w:ascii="Times New Roman" w:hAnsi="Times New Roman" w:cs="Times New Roman"/>
            <w:color w:val="auto"/>
            <w:sz w:val="26"/>
            <w:szCs w:val="26"/>
          </w:rPr>
          <w:t xml:space="preserve"> 569 Pa. 723, 806 A.2d 863 (2002).</w:t>
        </w:r>
      </w:hyperlink>
    </w:p>
  </w:footnote>
  <w:footnote w:id="6">
    <w:p w:rsidR="00406A1A" w:rsidRPr="00E06CE7" w:rsidRDefault="00406A1A" w:rsidP="00E06CE7">
      <w:pPr>
        <w:pStyle w:val="FootnoteText"/>
        <w:ind w:firstLine="720"/>
        <w:rPr>
          <w:rFonts w:ascii="Times New Roman" w:hAnsi="Times New Roman" w:cs="Times New Roman"/>
          <w:sz w:val="26"/>
          <w:szCs w:val="26"/>
        </w:rPr>
      </w:pPr>
      <w:r>
        <w:rPr>
          <w:rStyle w:val="FootnoteReference"/>
        </w:rPr>
        <w:footnoteRef/>
      </w:r>
      <w:r>
        <w:tab/>
      </w:r>
      <w:r w:rsidRPr="00E06CE7">
        <w:rPr>
          <w:rFonts w:ascii="Times New Roman" w:hAnsi="Times New Roman" w:cs="Times New Roman"/>
          <w:sz w:val="26"/>
          <w:szCs w:val="26"/>
        </w:rPr>
        <w:t xml:space="preserve">In </w:t>
      </w:r>
      <w:r w:rsidRPr="00E06CE7">
        <w:rPr>
          <w:rFonts w:ascii="Times New Roman" w:hAnsi="Times New Roman" w:cs="Times New Roman"/>
          <w:i/>
          <w:sz w:val="26"/>
          <w:szCs w:val="26"/>
        </w:rPr>
        <w:t>Gibbs</w:t>
      </w:r>
      <w:r w:rsidRPr="00E06CE7">
        <w:rPr>
          <w:rFonts w:ascii="Times New Roman" w:hAnsi="Times New Roman" w:cs="Times New Roman"/>
          <w:sz w:val="26"/>
          <w:szCs w:val="26"/>
        </w:rPr>
        <w:t>, we referred to this Feigley docket as “</w:t>
      </w:r>
      <w:r w:rsidRPr="00E06CE7">
        <w:rPr>
          <w:rFonts w:ascii="Times New Roman" w:hAnsi="Times New Roman" w:cs="Times New Roman"/>
          <w:i/>
          <w:sz w:val="26"/>
          <w:szCs w:val="26"/>
        </w:rPr>
        <w:t>Feigley IV</w:t>
      </w:r>
      <w:r w:rsidRPr="00E06CE7">
        <w:rPr>
          <w:rFonts w:ascii="Times New Roman" w:hAnsi="Times New Roman" w:cs="Times New Roman"/>
          <w:sz w:val="26"/>
          <w:szCs w:val="26"/>
        </w:rPr>
        <w:t>.”</w:t>
      </w:r>
    </w:p>
  </w:footnote>
  <w:footnote w:id="7">
    <w:p w:rsidR="00406A1A" w:rsidRPr="00406A1A" w:rsidRDefault="00406A1A" w:rsidP="00406A1A">
      <w:pPr>
        <w:pStyle w:val="FootnoteText"/>
        <w:ind w:firstLine="720"/>
        <w:rPr>
          <w:rFonts w:ascii="Times New Roman" w:hAnsi="Times New Roman" w:cs="Times New Roman"/>
          <w:sz w:val="26"/>
          <w:szCs w:val="26"/>
        </w:rPr>
      </w:pPr>
      <w:r>
        <w:rPr>
          <w:rStyle w:val="FootnoteReference"/>
        </w:rPr>
        <w:footnoteRef/>
      </w:r>
      <w:r>
        <w:tab/>
      </w:r>
      <w:r w:rsidRPr="00406A1A">
        <w:rPr>
          <w:rFonts w:ascii="Times New Roman" w:hAnsi="Times New Roman" w:cs="Times New Roman"/>
          <w:sz w:val="26"/>
          <w:szCs w:val="26"/>
        </w:rPr>
        <w:t>GTL indicates the call records are from “2012 to June 2014.”  R.Exc. at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91CDB"/>
    <w:multiLevelType w:val="hybridMultilevel"/>
    <w:tmpl w:val="AAEA8204"/>
    <w:lvl w:ilvl="0" w:tplc="0860C9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28B"/>
    <w:rsid w:val="00000291"/>
    <w:rsid w:val="00016C9B"/>
    <w:rsid w:val="00026F66"/>
    <w:rsid w:val="00031CA6"/>
    <w:rsid w:val="00033964"/>
    <w:rsid w:val="0005758E"/>
    <w:rsid w:val="000775BF"/>
    <w:rsid w:val="00086BA2"/>
    <w:rsid w:val="00091B3F"/>
    <w:rsid w:val="00093546"/>
    <w:rsid w:val="000A5A94"/>
    <w:rsid w:val="000B32C3"/>
    <w:rsid w:val="000B7D4F"/>
    <w:rsid w:val="000C253F"/>
    <w:rsid w:val="000C27C6"/>
    <w:rsid w:val="000D7E95"/>
    <w:rsid w:val="000F1786"/>
    <w:rsid w:val="000F2E2A"/>
    <w:rsid w:val="00100D15"/>
    <w:rsid w:val="001030B5"/>
    <w:rsid w:val="00105CF6"/>
    <w:rsid w:val="0011765E"/>
    <w:rsid w:val="00133FC3"/>
    <w:rsid w:val="001367E3"/>
    <w:rsid w:val="0014147E"/>
    <w:rsid w:val="001501EF"/>
    <w:rsid w:val="00157FB6"/>
    <w:rsid w:val="00160C0B"/>
    <w:rsid w:val="00161A1C"/>
    <w:rsid w:val="00170FC9"/>
    <w:rsid w:val="00176F1C"/>
    <w:rsid w:val="00177259"/>
    <w:rsid w:val="00177D3C"/>
    <w:rsid w:val="00182297"/>
    <w:rsid w:val="00183109"/>
    <w:rsid w:val="00184F36"/>
    <w:rsid w:val="00187A99"/>
    <w:rsid w:val="001A1B94"/>
    <w:rsid w:val="001B028B"/>
    <w:rsid w:val="001B2488"/>
    <w:rsid w:val="001B73B3"/>
    <w:rsid w:val="001B7F85"/>
    <w:rsid w:val="001D5173"/>
    <w:rsid w:val="001E15A0"/>
    <w:rsid w:val="001E2882"/>
    <w:rsid w:val="0021407C"/>
    <w:rsid w:val="00214150"/>
    <w:rsid w:val="0023076A"/>
    <w:rsid w:val="002350F9"/>
    <w:rsid w:val="00245702"/>
    <w:rsid w:val="00250CED"/>
    <w:rsid w:val="00256312"/>
    <w:rsid w:val="00257A8F"/>
    <w:rsid w:val="00262FAD"/>
    <w:rsid w:val="00265A08"/>
    <w:rsid w:val="0027761B"/>
    <w:rsid w:val="002920FC"/>
    <w:rsid w:val="00292CD5"/>
    <w:rsid w:val="002B3564"/>
    <w:rsid w:val="002C4F0A"/>
    <w:rsid w:val="002C58CF"/>
    <w:rsid w:val="0030112C"/>
    <w:rsid w:val="00302ADA"/>
    <w:rsid w:val="003131DE"/>
    <w:rsid w:val="003163E0"/>
    <w:rsid w:val="003208B8"/>
    <w:rsid w:val="00324010"/>
    <w:rsid w:val="00332FCA"/>
    <w:rsid w:val="00335814"/>
    <w:rsid w:val="00344DFD"/>
    <w:rsid w:val="00345146"/>
    <w:rsid w:val="003467D7"/>
    <w:rsid w:val="0034764A"/>
    <w:rsid w:val="0034774F"/>
    <w:rsid w:val="00352DF7"/>
    <w:rsid w:val="003536AD"/>
    <w:rsid w:val="003576CD"/>
    <w:rsid w:val="00364782"/>
    <w:rsid w:val="00365525"/>
    <w:rsid w:val="0036586F"/>
    <w:rsid w:val="00367563"/>
    <w:rsid w:val="003941C4"/>
    <w:rsid w:val="003A176D"/>
    <w:rsid w:val="003A5444"/>
    <w:rsid w:val="003B23EC"/>
    <w:rsid w:val="003C10D3"/>
    <w:rsid w:val="003E1567"/>
    <w:rsid w:val="003F0FD4"/>
    <w:rsid w:val="003F1AE8"/>
    <w:rsid w:val="00400293"/>
    <w:rsid w:val="004003BE"/>
    <w:rsid w:val="0040550D"/>
    <w:rsid w:val="00406A1A"/>
    <w:rsid w:val="00410A75"/>
    <w:rsid w:val="004114D7"/>
    <w:rsid w:val="00414780"/>
    <w:rsid w:val="00422F30"/>
    <w:rsid w:val="00443E5A"/>
    <w:rsid w:val="00457403"/>
    <w:rsid w:val="00461225"/>
    <w:rsid w:val="00490207"/>
    <w:rsid w:val="00495BF9"/>
    <w:rsid w:val="004B6705"/>
    <w:rsid w:val="004C2A09"/>
    <w:rsid w:val="004C56C6"/>
    <w:rsid w:val="004C65ED"/>
    <w:rsid w:val="004D2044"/>
    <w:rsid w:val="004D4431"/>
    <w:rsid w:val="00500B1D"/>
    <w:rsid w:val="00503F0E"/>
    <w:rsid w:val="0051158F"/>
    <w:rsid w:val="00520D83"/>
    <w:rsid w:val="0052348F"/>
    <w:rsid w:val="00540E48"/>
    <w:rsid w:val="00557AAA"/>
    <w:rsid w:val="00562C72"/>
    <w:rsid w:val="00582FEC"/>
    <w:rsid w:val="005A54B0"/>
    <w:rsid w:val="005B3005"/>
    <w:rsid w:val="005C7943"/>
    <w:rsid w:val="005D5D41"/>
    <w:rsid w:val="005F608E"/>
    <w:rsid w:val="00601B41"/>
    <w:rsid w:val="00607E62"/>
    <w:rsid w:val="00611981"/>
    <w:rsid w:val="00623FED"/>
    <w:rsid w:val="00627796"/>
    <w:rsid w:val="006414AA"/>
    <w:rsid w:val="006444FA"/>
    <w:rsid w:val="00647D37"/>
    <w:rsid w:val="00662BD8"/>
    <w:rsid w:val="006714AA"/>
    <w:rsid w:val="00672FDC"/>
    <w:rsid w:val="00681E3B"/>
    <w:rsid w:val="0069238B"/>
    <w:rsid w:val="0069573C"/>
    <w:rsid w:val="00696A9A"/>
    <w:rsid w:val="006B4A57"/>
    <w:rsid w:val="006C5AE6"/>
    <w:rsid w:val="006F2124"/>
    <w:rsid w:val="00713301"/>
    <w:rsid w:val="00716339"/>
    <w:rsid w:val="0072069B"/>
    <w:rsid w:val="0072521A"/>
    <w:rsid w:val="00727AAA"/>
    <w:rsid w:val="007305A0"/>
    <w:rsid w:val="007331AE"/>
    <w:rsid w:val="007344BB"/>
    <w:rsid w:val="00737C48"/>
    <w:rsid w:val="007401AF"/>
    <w:rsid w:val="00741C72"/>
    <w:rsid w:val="007448AF"/>
    <w:rsid w:val="00764927"/>
    <w:rsid w:val="007A3BFE"/>
    <w:rsid w:val="007B20DC"/>
    <w:rsid w:val="007B6BC1"/>
    <w:rsid w:val="007C00F3"/>
    <w:rsid w:val="007C0BF2"/>
    <w:rsid w:val="007C2D4A"/>
    <w:rsid w:val="007F124F"/>
    <w:rsid w:val="007F241A"/>
    <w:rsid w:val="007F6E35"/>
    <w:rsid w:val="00801693"/>
    <w:rsid w:val="008074F3"/>
    <w:rsid w:val="00810E7B"/>
    <w:rsid w:val="008168C3"/>
    <w:rsid w:val="0082124B"/>
    <w:rsid w:val="00822D91"/>
    <w:rsid w:val="00824601"/>
    <w:rsid w:val="00833359"/>
    <w:rsid w:val="0083759F"/>
    <w:rsid w:val="008455EF"/>
    <w:rsid w:val="008550FF"/>
    <w:rsid w:val="00857276"/>
    <w:rsid w:val="00861817"/>
    <w:rsid w:val="00862704"/>
    <w:rsid w:val="00865A5B"/>
    <w:rsid w:val="00873F16"/>
    <w:rsid w:val="008770FA"/>
    <w:rsid w:val="0087748D"/>
    <w:rsid w:val="0088038C"/>
    <w:rsid w:val="00880465"/>
    <w:rsid w:val="00882A7B"/>
    <w:rsid w:val="008928EE"/>
    <w:rsid w:val="008A00B7"/>
    <w:rsid w:val="008A0A6B"/>
    <w:rsid w:val="008B7B3E"/>
    <w:rsid w:val="008C43AB"/>
    <w:rsid w:val="008F5F09"/>
    <w:rsid w:val="00907BA1"/>
    <w:rsid w:val="009131AE"/>
    <w:rsid w:val="00932F2E"/>
    <w:rsid w:val="00936DA2"/>
    <w:rsid w:val="00947579"/>
    <w:rsid w:val="0096253A"/>
    <w:rsid w:val="00963634"/>
    <w:rsid w:val="009939E7"/>
    <w:rsid w:val="009A1B76"/>
    <w:rsid w:val="009B1C72"/>
    <w:rsid w:val="009B62A3"/>
    <w:rsid w:val="009C1C43"/>
    <w:rsid w:val="009F04DC"/>
    <w:rsid w:val="009F1DCA"/>
    <w:rsid w:val="009F391E"/>
    <w:rsid w:val="00A03A40"/>
    <w:rsid w:val="00A27C91"/>
    <w:rsid w:val="00A349E5"/>
    <w:rsid w:val="00A34C30"/>
    <w:rsid w:val="00A52A3D"/>
    <w:rsid w:val="00A541D1"/>
    <w:rsid w:val="00A6545F"/>
    <w:rsid w:val="00A674DF"/>
    <w:rsid w:val="00A824E2"/>
    <w:rsid w:val="00A844A9"/>
    <w:rsid w:val="00AA2177"/>
    <w:rsid w:val="00AB02D4"/>
    <w:rsid w:val="00AD2826"/>
    <w:rsid w:val="00AD66E2"/>
    <w:rsid w:val="00AE1409"/>
    <w:rsid w:val="00AE35B6"/>
    <w:rsid w:val="00AE3D64"/>
    <w:rsid w:val="00AE487E"/>
    <w:rsid w:val="00B029C0"/>
    <w:rsid w:val="00B03E55"/>
    <w:rsid w:val="00B0405A"/>
    <w:rsid w:val="00B206F0"/>
    <w:rsid w:val="00B2173F"/>
    <w:rsid w:val="00B34CBC"/>
    <w:rsid w:val="00B365D8"/>
    <w:rsid w:val="00B36E08"/>
    <w:rsid w:val="00B7379F"/>
    <w:rsid w:val="00BB3991"/>
    <w:rsid w:val="00BD29D6"/>
    <w:rsid w:val="00BD55D1"/>
    <w:rsid w:val="00BE754C"/>
    <w:rsid w:val="00BE7B90"/>
    <w:rsid w:val="00BF4F78"/>
    <w:rsid w:val="00C03536"/>
    <w:rsid w:val="00C04C32"/>
    <w:rsid w:val="00C12354"/>
    <w:rsid w:val="00C1368D"/>
    <w:rsid w:val="00C32501"/>
    <w:rsid w:val="00C35DA2"/>
    <w:rsid w:val="00C3705B"/>
    <w:rsid w:val="00C44035"/>
    <w:rsid w:val="00C562D4"/>
    <w:rsid w:val="00C646C4"/>
    <w:rsid w:val="00C6484D"/>
    <w:rsid w:val="00C70FDD"/>
    <w:rsid w:val="00C87073"/>
    <w:rsid w:val="00C87868"/>
    <w:rsid w:val="00CA3B6F"/>
    <w:rsid w:val="00CA44A6"/>
    <w:rsid w:val="00CA6E16"/>
    <w:rsid w:val="00CB271D"/>
    <w:rsid w:val="00CD0EEE"/>
    <w:rsid w:val="00CD66C9"/>
    <w:rsid w:val="00D03766"/>
    <w:rsid w:val="00D05988"/>
    <w:rsid w:val="00D07016"/>
    <w:rsid w:val="00D27897"/>
    <w:rsid w:val="00D4157C"/>
    <w:rsid w:val="00D5171C"/>
    <w:rsid w:val="00D55454"/>
    <w:rsid w:val="00D56C84"/>
    <w:rsid w:val="00D64ED3"/>
    <w:rsid w:val="00D850E3"/>
    <w:rsid w:val="00D94F44"/>
    <w:rsid w:val="00DB2B17"/>
    <w:rsid w:val="00DC47FA"/>
    <w:rsid w:val="00DF2ECF"/>
    <w:rsid w:val="00DF3897"/>
    <w:rsid w:val="00E042C8"/>
    <w:rsid w:val="00E06CE7"/>
    <w:rsid w:val="00E30457"/>
    <w:rsid w:val="00E30899"/>
    <w:rsid w:val="00E325B9"/>
    <w:rsid w:val="00E32E51"/>
    <w:rsid w:val="00E4001F"/>
    <w:rsid w:val="00E541BC"/>
    <w:rsid w:val="00E87631"/>
    <w:rsid w:val="00E87C16"/>
    <w:rsid w:val="00E9290C"/>
    <w:rsid w:val="00EA1718"/>
    <w:rsid w:val="00EA6280"/>
    <w:rsid w:val="00EA6815"/>
    <w:rsid w:val="00ED73C6"/>
    <w:rsid w:val="00EE73F2"/>
    <w:rsid w:val="00F0135D"/>
    <w:rsid w:val="00F10951"/>
    <w:rsid w:val="00F138CB"/>
    <w:rsid w:val="00F27A51"/>
    <w:rsid w:val="00F337FC"/>
    <w:rsid w:val="00F354BE"/>
    <w:rsid w:val="00F439C1"/>
    <w:rsid w:val="00F65DE2"/>
    <w:rsid w:val="00F74787"/>
    <w:rsid w:val="00F80E72"/>
    <w:rsid w:val="00F81AC5"/>
    <w:rsid w:val="00F92EC3"/>
    <w:rsid w:val="00FA6FFF"/>
    <w:rsid w:val="00FB3A19"/>
    <w:rsid w:val="00FB64E2"/>
    <w:rsid w:val="00FC0273"/>
    <w:rsid w:val="00FC7306"/>
    <w:rsid w:val="00FD22CF"/>
    <w:rsid w:val="00FE0E93"/>
    <w:rsid w:val="00FE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8B"/>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1B028B"/>
    <w:pPr>
      <w:keepNext/>
      <w:jc w:val="both"/>
      <w:outlineLvl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28B"/>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B028B"/>
    <w:rPr>
      <w:rFonts w:ascii="Times New Roman" w:eastAsia="Times New Roman" w:hAnsi="Times New Roman"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
    <w:basedOn w:val="Normal"/>
    <w:link w:val="FootnoteTextChar"/>
    <w:qFormat/>
    <w:rsid w:val="001B028B"/>
    <w:pPr>
      <w:autoSpaceDE w:val="0"/>
      <w:autoSpaceDN w:val="0"/>
    </w:pPr>
    <w:rPr>
      <w:rFonts w:ascii="CG Times" w:hAnsi="CG Times" w:cs="CG Times"/>
      <w:sz w:val="24"/>
      <w:szCs w:val="24"/>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rsid w:val="001B028B"/>
    <w:rPr>
      <w:rFonts w:ascii="CG Times" w:eastAsia="Times New Roman" w:hAnsi="CG Times" w:cs="CG Times"/>
      <w:sz w:val="24"/>
      <w:szCs w:val="24"/>
    </w:rPr>
  </w:style>
  <w:style w:type="character" w:styleId="FootnoteReference">
    <w:name w:val="footnote reference"/>
    <w:aliases w:val="o,fr,Style 13,Style 12,Style 28,(NECG) Footnote Reference,Style 11,Style 9,Style 16,Style 15,Style 17,Style 20,o1,fr1,o2,fr2,o3,fr3,Style 8,Style 7,Style 19,footnote text"/>
    <w:rsid w:val="001B028B"/>
    <w:rPr>
      <w:vertAlign w:val="superscript"/>
    </w:rPr>
  </w:style>
  <w:style w:type="paragraph" w:customStyle="1" w:styleId="ParaTab1">
    <w:name w:val="ParaTab 1"/>
    <w:rsid w:val="001B028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B028B"/>
    <w:pPr>
      <w:tabs>
        <w:tab w:val="left" w:pos="-1440"/>
        <w:tab w:val="left" w:pos="-720"/>
        <w:tab w:val="left" w:pos="0"/>
        <w:tab w:val="left" w:pos="720"/>
        <w:tab w:val="left" w:pos="1440"/>
      </w:tabs>
      <w:spacing w:line="480" w:lineRule="auto"/>
      <w:jc w:val="both"/>
    </w:pPr>
    <w:rPr>
      <w:sz w:val="24"/>
      <w:szCs w:val="20"/>
    </w:rPr>
  </w:style>
  <w:style w:type="character" w:customStyle="1" w:styleId="BodyTextChar">
    <w:name w:val="Body Text Char"/>
    <w:basedOn w:val="DefaultParagraphFont"/>
    <w:link w:val="BodyText"/>
    <w:rsid w:val="001B028B"/>
    <w:rPr>
      <w:rFonts w:ascii="Times New Roman" w:eastAsia="Times New Roman" w:hAnsi="Times New Roman" w:cs="Times New Roman"/>
      <w:sz w:val="24"/>
      <w:szCs w:val="20"/>
    </w:rPr>
  </w:style>
  <w:style w:type="character" w:styleId="Hyperlink">
    <w:name w:val="Hyperlink"/>
    <w:unhideWhenUsed/>
    <w:rsid w:val="00031CA6"/>
    <w:rPr>
      <w:strike w:val="0"/>
      <w:dstrike w:val="0"/>
      <w:color w:val="004B91"/>
      <w:u w:val="none"/>
      <w:effect w:val="none"/>
    </w:rPr>
  </w:style>
  <w:style w:type="character" w:styleId="FollowedHyperlink">
    <w:name w:val="FollowedHyperlink"/>
    <w:uiPriority w:val="99"/>
    <w:semiHidden/>
    <w:unhideWhenUsed/>
    <w:rsid w:val="00031CA6"/>
    <w:rPr>
      <w:color w:val="800080"/>
      <w:u w:val="single"/>
    </w:rPr>
  </w:style>
  <w:style w:type="paragraph" w:customStyle="1" w:styleId="Default">
    <w:name w:val="Default"/>
    <w:rsid w:val="00031C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94F44"/>
    <w:pPr>
      <w:tabs>
        <w:tab w:val="center" w:pos="4680"/>
        <w:tab w:val="right" w:pos="9360"/>
      </w:tabs>
    </w:pPr>
  </w:style>
  <w:style w:type="character" w:customStyle="1" w:styleId="HeaderChar">
    <w:name w:val="Header Char"/>
    <w:basedOn w:val="DefaultParagraphFont"/>
    <w:link w:val="Header"/>
    <w:uiPriority w:val="99"/>
    <w:rsid w:val="00D94F4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D94F44"/>
    <w:pPr>
      <w:tabs>
        <w:tab w:val="center" w:pos="4680"/>
        <w:tab w:val="right" w:pos="9360"/>
      </w:tabs>
    </w:pPr>
  </w:style>
  <w:style w:type="character" w:customStyle="1" w:styleId="FooterChar">
    <w:name w:val="Footer Char"/>
    <w:basedOn w:val="DefaultParagraphFont"/>
    <w:link w:val="Footer"/>
    <w:uiPriority w:val="99"/>
    <w:rsid w:val="00D94F44"/>
    <w:rPr>
      <w:rFonts w:ascii="Times New Roman" w:eastAsia="Times New Roman" w:hAnsi="Times New Roman" w:cs="Times New Roman"/>
      <w:sz w:val="26"/>
      <w:szCs w:val="26"/>
    </w:rPr>
  </w:style>
  <w:style w:type="paragraph" w:styleId="ListParagraph">
    <w:name w:val="List Paragraph"/>
    <w:basedOn w:val="Normal"/>
    <w:uiPriority w:val="34"/>
    <w:qFormat/>
    <w:rsid w:val="00344DFD"/>
    <w:pPr>
      <w:ind w:left="720"/>
      <w:contextualSpacing/>
    </w:pPr>
  </w:style>
  <w:style w:type="paragraph" w:styleId="EndnoteText">
    <w:name w:val="endnote text"/>
    <w:basedOn w:val="Normal"/>
    <w:link w:val="EndnoteTextChar"/>
    <w:uiPriority w:val="99"/>
    <w:semiHidden/>
    <w:unhideWhenUsed/>
    <w:rsid w:val="00406A1A"/>
    <w:rPr>
      <w:sz w:val="20"/>
      <w:szCs w:val="20"/>
    </w:rPr>
  </w:style>
  <w:style w:type="character" w:customStyle="1" w:styleId="EndnoteTextChar">
    <w:name w:val="Endnote Text Char"/>
    <w:basedOn w:val="DefaultParagraphFont"/>
    <w:link w:val="EndnoteText"/>
    <w:uiPriority w:val="99"/>
    <w:semiHidden/>
    <w:rsid w:val="00406A1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06A1A"/>
    <w:rPr>
      <w:vertAlign w:val="superscript"/>
    </w:rPr>
  </w:style>
  <w:style w:type="paragraph" w:styleId="BalloonText">
    <w:name w:val="Balloon Text"/>
    <w:basedOn w:val="Normal"/>
    <w:link w:val="BalloonTextChar"/>
    <w:uiPriority w:val="99"/>
    <w:semiHidden/>
    <w:unhideWhenUsed/>
    <w:rsid w:val="00BF4F78"/>
    <w:rPr>
      <w:rFonts w:ascii="Tahoma" w:hAnsi="Tahoma" w:cs="Tahoma"/>
      <w:sz w:val="16"/>
      <w:szCs w:val="16"/>
    </w:rPr>
  </w:style>
  <w:style w:type="character" w:customStyle="1" w:styleId="BalloonTextChar">
    <w:name w:val="Balloon Text Char"/>
    <w:basedOn w:val="DefaultParagraphFont"/>
    <w:link w:val="BalloonText"/>
    <w:uiPriority w:val="99"/>
    <w:semiHidden/>
    <w:rsid w:val="00BF4F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28B"/>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1B028B"/>
    <w:pPr>
      <w:keepNext/>
      <w:jc w:val="both"/>
      <w:outlineLvl w:val="0"/>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28B"/>
    <w:pPr>
      <w:spacing w:after="0" w:line="24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B028B"/>
    <w:rPr>
      <w:rFonts w:ascii="Times New Roman" w:eastAsia="Times New Roman" w:hAnsi="Times New Roman" w:cs="Times New Roman"/>
      <w:sz w:val="24"/>
      <w:szCs w:val="20"/>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
    <w:basedOn w:val="Normal"/>
    <w:link w:val="FootnoteTextChar"/>
    <w:qFormat/>
    <w:rsid w:val="001B028B"/>
    <w:pPr>
      <w:autoSpaceDE w:val="0"/>
      <w:autoSpaceDN w:val="0"/>
    </w:pPr>
    <w:rPr>
      <w:rFonts w:ascii="CG Times" w:hAnsi="CG Times" w:cs="CG Times"/>
      <w:sz w:val="24"/>
      <w:szCs w:val="24"/>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rsid w:val="001B028B"/>
    <w:rPr>
      <w:rFonts w:ascii="CG Times" w:eastAsia="Times New Roman" w:hAnsi="CG Times" w:cs="CG Times"/>
      <w:sz w:val="24"/>
      <w:szCs w:val="24"/>
    </w:rPr>
  </w:style>
  <w:style w:type="character" w:styleId="FootnoteReference">
    <w:name w:val="footnote reference"/>
    <w:aliases w:val="o,fr,Style 13,Style 12,Style 28,(NECG) Footnote Reference,Style 11,Style 9,Style 16,Style 15,Style 17,Style 20,o1,fr1,o2,fr2,o3,fr3,Style 8,Style 7,Style 19,footnote text"/>
    <w:rsid w:val="001B028B"/>
    <w:rPr>
      <w:vertAlign w:val="superscript"/>
    </w:rPr>
  </w:style>
  <w:style w:type="paragraph" w:customStyle="1" w:styleId="ParaTab1">
    <w:name w:val="ParaTab 1"/>
    <w:rsid w:val="001B028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1B028B"/>
    <w:pPr>
      <w:tabs>
        <w:tab w:val="left" w:pos="-1440"/>
        <w:tab w:val="left" w:pos="-720"/>
        <w:tab w:val="left" w:pos="0"/>
        <w:tab w:val="left" w:pos="720"/>
        <w:tab w:val="left" w:pos="1440"/>
      </w:tabs>
      <w:spacing w:line="480" w:lineRule="auto"/>
      <w:jc w:val="both"/>
    </w:pPr>
    <w:rPr>
      <w:sz w:val="24"/>
      <w:szCs w:val="20"/>
    </w:rPr>
  </w:style>
  <w:style w:type="character" w:customStyle="1" w:styleId="BodyTextChar">
    <w:name w:val="Body Text Char"/>
    <w:basedOn w:val="DefaultParagraphFont"/>
    <w:link w:val="BodyText"/>
    <w:rsid w:val="001B028B"/>
    <w:rPr>
      <w:rFonts w:ascii="Times New Roman" w:eastAsia="Times New Roman" w:hAnsi="Times New Roman" w:cs="Times New Roman"/>
      <w:sz w:val="24"/>
      <w:szCs w:val="20"/>
    </w:rPr>
  </w:style>
  <w:style w:type="character" w:styleId="Hyperlink">
    <w:name w:val="Hyperlink"/>
    <w:unhideWhenUsed/>
    <w:rsid w:val="00031CA6"/>
    <w:rPr>
      <w:strike w:val="0"/>
      <w:dstrike w:val="0"/>
      <w:color w:val="004B91"/>
      <w:u w:val="none"/>
      <w:effect w:val="none"/>
    </w:rPr>
  </w:style>
  <w:style w:type="character" w:styleId="FollowedHyperlink">
    <w:name w:val="FollowedHyperlink"/>
    <w:uiPriority w:val="99"/>
    <w:semiHidden/>
    <w:unhideWhenUsed/>
    <w:rsid w:val="00031CA6"/>
    <w:rPr>
      <w:color w:val="800080"/>
      <w:u w:val="single"/>
    </w:rPr>
  </w:style>
  <w:style w:type="paragraph" w:customStyle="1" w:styleId="Default">
    <w:name w:val="Default"/>
    <w:rsid w:val="00031C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D94F44"/>
    <w:pPr>
      <w:tabs>
        <w:tab w:val="center" w:pos="4680"/>
        <w:tab w:val="right" w:pos="9360"/>
      </w:tabs>
    </w:pPr>
  </w:style>
  <w:style w:type="character" w:customStyle="1" w:styleId="HeaderChar">
    <w:name w:val="Header Char"/>
    <w:basedOn w:val="DefaultParagraphFont"/>
    <w:link w:val="Header"/>
    <w:uiPriority w:val="99"/>
    <w:rsid w:val="00D94F44"/>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D94F44"/>
    <w:pPr>
      <w:tabs>
        <w:tab w:val="center" w:pos="4680"/>
        <w:tab w:val="right" w:pos="9360"/>
      </w:tabs>
    </w:pPr>
  </w:style>
  <w:style w:type="character" w:customStyle="1" w:styleId="FooterChar">
    <w:name w:val="Footer Char"/>
    <w:basedOn w:val="DefaultParagraphFont"/>
    <w:link w:val="Footer"/>
    <w:uiPriority w:val="99"/>
    <w:rsid w:val="00D94F44"/>
    <w:rPr>
      <w:rFonts w:ascii="Times New Roman" w:eastAsia="Times New Roman" w:hAnsi="Times New Roman" w:cs="Times New Roman"/>
      <w:sz w:val="26"/>
      <w:szCs w:val="26"/>
    </w:rPr>
  </w:style>
  <w:style w:type="paragraph" w:styleId="ListParagraph">
    <w:name w:val="List Paragraph"/>
    <w:basedOn w:val="Normal"/>
    <w:uiPriority w:val="34"/>
    <w:qFormat/>
    <w:rsid w:val="00344DFD"/>
    <w:pPr>
      <w:ind w:left="720"/>
      <w:contextualSpacing/>
    </w:pPr>
  </w:style>
  <w:style w:type="paragraph" w:styleId="EndnoteText">
    <w:name w:val="endnote text"/>
    <w:basedOn w:val="Normal"/>
    <w:link w:val="EndnoteTextChar"/>
    <w:uiPriority w:val="99"/>
    <w:semiHidden/>
    <w:unhideWhenUsed/>
    <w:rsid w:val="00406A1A"/>
    <w:rPr>
      <w:sz w:val="20"/>
      <w:szCs w:val="20"/>
    </w:rPr>
  </w:style>
  <w:style w:type="character" w:customStyle="1" w:styleId="EndnoteTextChar">
    <w:name w:val="Endnote Text Char"/>
    <w:basedOn w:val="DefaultParagraphFont"/>
    <w:link w:val="EndnoteText"/>
    <w:uiPriority w:val="99"/>
    <w:semiHidden/>
    <w:rsid w:val="00406A1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06A1A"/>
    <w:rPr>
      <w:vertAlign w:val="superscript"/>
    </w:rPr>
  </w:style>
  <w:style w:type="paragraph" w:styleId="BalloonText">
    <w:name w:val="Balloon Text"/>
    <w:basedOn w:val="Normal"/>
    <w:link w:val="BalloonTextChar"/>
    <w:uiPriority w:val="99"/>
    <w:semiHidden/>
    <w:unhideWhenUsed/>
    <w:rsid w:val="00BF4F78"/>
    <w:rPr>
      <w:rFonts w:ascii="Tahoma" w:hAnsi="Tahoma" w:cs="Tahoma"/>
      <w:sz w:val="16"/>
      <w:szCs w:val="16"/>
    </w:rPr>
  </w:style>
  <w:style w:type="character" w:customStyle="1" w:styleId="BalloonTextChar">
    <w:name w:val="Balloon Text Char"/>
    <w:basedOn w:val="DefaultParagraphFont"/>
    <w:link w:val="BalloonText"/>
    <w:uiPriority w:val="99"/>
    <w:semiHidden/>
    <w:rsid w:val="00BF4F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1b176bc5ece924bf948a320a56df07e4&amp;_xfercite=%3ccite%20cc%3d%22USA%22%3e%3c%21%5bCDATA%5b794%20A.2d%20428%5d%5d%3e%3c%2fcite%3e&amp;_butType=3&amp;_butStat=2&amp;_butNum=42&amp;_butInline=1&amp;_butinfo=%3ccite%20cc%3d%22USA%22%3e%3c%21%5bCDATA%5b570%20F.2d%20364%2c%20374%5d%5d%3e%3c%2fcite%3e&amp;_fmtstr=FULL&amp;docnum=1&amp;_startdoc=1&amp;wchp=dGLbVzB-zSkAz&amp;_md5=c9cce0c56405b2e253461397714ad4d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exis.com/research/buttonTFLink?_m=1b176bc5ece924bf948a320a56df07e4&amp;_xfercite=%3ccite%20cc%3d%22USA%22%3e%3c%21%5bCDATA%5b794%20A.2d%20428%5d%5d%3e%3c%2fcite%3e&amp;_butType=3&amp;_butStat=2&amp;_butNum=41&amp;_butInline=1&amp;_butinfo=%3ccite%20cc%3d%22USA%22%3e%3c%21%5bCDATA%5b17%20F.3d%201436%5d%5d%3e%3c%2fcite%3e&amp;_fmtstr=FULL&amp;docnum=1&amp;_startdoc=1&amp;wchp=dGLbVzB-zSkAz&amp;_md5=68eedbb59169045c2e2a4093eb426c9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1b176bc5ece924bf948a320a56df07e4&amp;_xfercite=%3ccite%20cc%3d%22USA%22%3e%3c%21%5bCDATA%5b794%20A.2d%20428%5d%5d%3e%3c%2fcite%3e&amp;_butType=3&amp;_butStat=2&amp;_butNum=40&amp;_butInline=1&amp;_butinfo=%3ccite%20cc%3d%22USA%22%3e%3c%21%5bCDATA%5b829%20F.%20Supp.%201544%2c%201563%5d%5d%3e%3c%2fcite%3e&amp;_fmtstr=FULL&amp;docnum=1&amp;_startdoc=1&amp;wchp=dGLbVzB-zSkAz&amp;_md5=4ac1b5ee0365faef2473e6179c58c9b1"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www.lexis.com/research/buttonTFLink?_m=7c8abea8babc49c803370ec74ee56aa3&amp;_xfercite=%3ccite%20cc%3d%22USA%22%3e%3c%21%5bCDATA%5b2008%20Pa.%20PUC%20LEXIS%2074%5d%5d%3e%3c%2fcite%3e&amp;_butType=3&amp;_butStat=2&amp;_butNum=4&amp;_butInline=1&amp;_butinfo=%3ccite%20cc%3d%22USA%22%3e%3c%21%5bCDATA%5b569%20Pa.%20723%5d%5d%3e%3c%2fcite%3e&amp;_fmtstr=FULL&amp;docnum=15&amp;_startdoc=11&amp;wchp=dGLzVzt-zSkAl&amp;_md5=d12e221944afea8a03475764de280c54" TargetMode="External"/><Relationship Id="rId4" Type="http://schemas.microsoft.com/office/2007/relationships/stylesWithEffects" Target="stylesWithEffects.xml"/><Relationship Id="rId9" Type="http://schemas.openxmlformats.org/officeDocument/2006/relationships/hyperlink" Target="http://www.lexis.com/research/buttonTFLink?_m=7c8abea8babc49c803370ec74ee56aa3&amp;_xfercite=%3ccite%20cc%3d%22USA%22%3e%3c%21%5bCDATA%5b2008%20Pa.%20PUC%20LEXIS%2074%5d%5d%3e%3c%2fcite%3e&amp;_butType=3&amp;_butStat=2&amp;_butNum=3&amp;_butInline=1&amp;_butinfo=%3ccite%20cc%3d%22USA%22%3e%3c%21%5bCDATA%5b794%20A.2d%20428%5d%5d%3e%3c%2fcite%3e&amp;_fmtstr=FULL&amp;docnum=15&amp;_startdoc=11&amp;wchp=dGLzVzt-zSkAl&amp;_md5=00afbead704eab4455351427c2f44f6d" TargetMode="External"/><Relationship Id="rId14" Type="http://schemas.openxmlformats.org/officeDocument/2006/relationships/hyperlink" Target="http://www.lexis.com/research/buttonTFLink?_m=1b176bc5ece924bf948a320a56df07e4&amp;_xfercite=%3ccite%20cc%3d%22USA%22%3e%3c%21%5bCDATA%5b794%20A.2d%20428%5d%5d%3e%3c%2fcite%3e&amp;_butType=3&amp;_butStat=2&amp;_butNum=43&amp;_butInline=1&amp;_butinfo=%3ccite%20cc%3d%22USA%22%3e%3c%21%5bCDATA%5b631%20F.%20Supp.%201212%2c%201219%5d%5d%3e%3c%2fcite%3e&amp;_fmtstr=FULL&amp;docnum=1&amp;_startdoc=1&amp;wchp=dGLbVzB-zSkAz&amp;_md5=132b927dcb6dedeba0c123ff936b13d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exis.com/research/buttonTFLink?_m=1daff8c543e154827a9d21eb603a956f&amp;_xfercite=%3ccite%20cc%3d%22USA%22%3e%3c%21%5bCDATA%5b2014%20Pa.%20PUC%20LEXIS%20375%5d%5d%3e%3c%2fcite%3e&amp;_butType=3&amp;_butStat=2&amp;_butNum=24&amp;_butInline=1&amp;_butinfo=%3ccite%20cc%3d%22USA%22%3e%3c%21%5bCDATA%5b569%20Pa.%20723%5d%5d%3e%3c%2fcite%3e&amp;_fmtstr=FULL&amp;docnum=6&amp;_startdoc=1&amp;wchp=dGLbVzB-zSkAz&amp;_md5=81b5ff353e3e06a79d98125d617bae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1127-047C-494D-832C-17EA93F4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6509</Words>
  <Characters>37104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 Phonse</dc:creator>
  <cp:lastModifiedBy>Farner, Joyce</cp:lastModifiedBy>
  <cp:revision>3</cp:revision>
  <cp:lastPrinted>2017-07-12T17:19:00Z</cp:lastPrinted>
  <dcterms:created xsi:type="dcterms:W3CDTF">2017-07-12T13:05:00Z</dcterms:created>
  <dcterms:modified xsi:type="dcterms:W3CDTF">2017-07-12T17:19:00Z</dcterms:modified>
</cp:coreProperties>
</file>