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53" w:rsidRPr="00F514FB" w:rsidRDefault="00524753" w:rsidP="003A7572">
      <w:pPr>
        <w:widowControl/>
        <w:tabs>
          <w:tab w:val="center" w:pos="4680"/>
        </w:tabs>
        <w:suppressAutoHyphens/>
        <w:jc w:val="center"/>
        <w:rPr>
          <w:b/>
          <w:sz w:val="26"/>
          <w:szCs w:val="26"/>
        </w:rPr>
      </w:pPr>
      <w:r w:rsidRPr="00F514FB">
        <w:rPr>
          <w:b/>
          <w:sz w:val="26"/>
          <w:szCs w:val="26"/>
        </w:rPr>
        <w:t>PENNSYLVANIA</w:t>
      </w:r>
    </w:p>
    <w:p w:rsidR="00524753" w:rsidRPr="00F514FB" w:rsidRDefault="00524753" w:rsidP="003A7572">
      <w:pPr>
        <w:widowControl/>
        <w:tabs>
          <w:tab w:val="center" w:pos="4680"/>
        </w:tabs>
        <w:suppressAutoHyphens/>
        <w:jc w:val="center"/>
        <w:rPr>
          <w:sz w:val="26"/>
          <w:szCs w:val="26"/>
        </w:rPr>
      </w:pPr>
      <w:r w:rsidRPr="00F514FB">
        <w:rPr>
          <w:b/>
          <w:sz w:val="26"/>
          <w:szCs w:val="26"/>
        </w:rPr>
        <w:t>PUBLIC UTILITY COMMISSION</w:t>
      </w:r>
    </w:p>
    <w:p w:rsidR="00524753" w:rsidRPr="00F514FB" w:rsidRDefault="00524753" w:rsidP="003A7572">
      <w:pPr>
        <w:widowControl/>
        <w:tabs>
          <w:tab w:val="center" w:pos="4680"/>
        </w:tabs>
        <w:suppressAutoHyphens/>
        <w:jc w:val="center"/>
        <w:rPr>
          <w:sz w:val="26"/>
          <w:szCs w:val="26"/>
        </w:rPr>
      </w:pPr>
      <w:r w:rsidRPr="00F514FB">
        <w:rPr>
          <w:b/>
          <w:sz w:val="26"/>
          <w:szCs w:val="26"/>
        </w:rPr>
        <w:t>Harrisburg, PA 17105-3265</w:t>
      </w:r>
    </w:p>
    <w:p w:rsidR="00524753" w:rsidRPr="00F514FB" w:rsidRDefault="00524753" w:rsidP="003A7572">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524753" w:rsidRPr="00F514FB" w:rsidTr="008F27DF">
        <w:tc>
          <w:tcPr>
            <w:tcW w:w="5058" w:type="dxa"/>
          </w:tcPr>
          <w:p w:rsidR="00524753" w:rsidRPr="00F514FB" w:rsidRDefault="00524753" w:rsidP="003A7572">
            <w:pPr>
              <w:widowControl/>
              <w:jc w:val="both"/>
              <w:rPr>
                <w:sz w:val="26"/>
                <w:szCs w:val="26"/>
              </w:rPr>
            </w:pPr>
          </w:p>
        </w:tc>
        <w:tc>
          <w:tcPr>
            <w:tcW w:w="4428" w:type="dxa"/>
          </w:tcPr>
          <w:p w:rsidR="00524753" w:rsidRPr="00F514FB" w:rsidRDefault="00524753" w:rsidP="003A7572">
            <w:pPr>
              <w:widowControl/>
              <w:ind w:hanging="738"/>
              <w:jc w:val="right"/>
              <w:rPr>
                <w:sz w:val="26"/>
                <w:szCs w:val="26"/>
              </w:rPr>
            </w:pPr>
            <w:r w:rsidRPr="00F514FB">
              <w:rPr>
                <w:sz w:val="26"/>
                <w:szCs w:val="26"/>
              </w:rPr>
              <w:t>Public Meeting held</w:t>
            </w:r>
            <w:r>
              <w:rPr>
                <w:sz w:val="26"/>
                <w:szCs w:val="26"/>
              </w:rPr>
              <w:t xml:space="preserve"> </w:t>
            </w:r>
            <w:r w:rsidR="00704A5D">
              <w:rPr>
                <w:sz w:val="26"/>
                <w:szCs w:val="26"/>
              </w:rPr>
              <w:t>July 1</w:t>
            </w:r>
            <w:r w:rsidR="00517195">
              <w:rPr>
                <w:sz w:val="26"/>
                <w:szCs w:val="26"/>
              </w:rPr>
              <w:t>2</w:t>
            </w:r>
            <w:r>
              <w:rPr>
                <w:sz w:val="26"/>
                <w:szCs w:val="26"/>
              </w:rPr>
              <w:t>, 201</w:t>
            </w:r>
            <w:r w:rsidR="00307C4F">
              <w:rPr>
                <w:sz w:val="26"/>
                <w:szCs w:val="26"/>
              </w:rPr>
              <w:t>7</w:t>
            </w:r>
          </w:p>
          <w:p w:rsidR="00524753" w:rsidRPr="00F514FB" w:rsidRDefault="00524753" w:rsidP="003A7572">
            <w:pPr>
              <w:widowControl/>
              <w:rPr>
                <w:sz w:val="26"/>
                <w:szCs w:val="26"/>
              </w:rPr>
            </w:pPr>
          </w:p>
          <w:p w:rsidR="00524753" w:rsidRPr="00F514FB" w:rsidRDefault="00524753" w:rsidP="003A7572">
            <w:pPr>
              <w:widowControl/>
              <w:rPr>
                <w:sz w:val="26"/>
                <w:szCs w:val="26"/>
              </w:rPr>
            </w:pPr>
          </w:p>
        </w:tc>
      </w:tr>
      <w:tr w:rsidR="00524753" w:rsidRPr="00F514FB" w:rsidTr="008F27DF">
        <w:tc>
          <w:tcPr>
            <w:tcW w:w="5058" w:type="dxa"/>
          </w:tcPr>
          <w:p w:rsidR="00524753" w:rsidRPr="00F514FB" w:rsidRDefault="00524753" w:rsidP="003A7572">
            <w:pPr>
              <w:widowControl/>
              <w:rPr>
                <w:sz w:val="26"/>
                <w:szCs w:val="26"/>
              </w:rPr>
            </w:pPr>
            <w:r w:rsidRPr="00F514FB">
              <w:rPr>
                <w:sz w:val="26"/>
                <w:szCs w:val="26"/>
              </w:rPr>
              <w:t>Commissioners Present:</w:t>
            </w:r>
          </w:p>
          <w:p w:rsidR="00524753" w:rsidRPr="00F514FB" w:rsidRDefault="00524753" w:rsidP="003A7572">
            <w:pPr>
              <w:widowControl/>
              <w:rPr>
                <w:sz w:val="26"/>
                <w:szCs w:val="26"/>
              </w:rPr>
            </w:pPr>
          </w:p>
          <w:p w:rsidR="004822D4" w:rsidRPr="00845633" w:rsidRDefault="004822D4" w:rsidP="003A7572">
            <w:pPr>
              <w:widowControl/>
              <w:tabs>
                <w:tab w:val="left" w:pos="705"/>
              </w:tabs>
              <w:ind w:left="720" w:right="720"/>
              <w:rPr>
                <w:spacing w:val="-3"/>
                <w:sz w:val="26"/>
                <w:szCs w:val="26"/>
              </w:rPr>
            </w:pPr>
            <w:r w:rsidRPr="00845633">
              <w:rPr>
                <w:spacing w:val="-3"/>
                <w:sz w:val="26"/>
                <w:szCs w:val="26"/>
              </w:rPr>
              <w:t>Gladys M. Brown, Chairman</w:t>
            </w:r>
          </w:p>
          <w:p w:rsidR="004822D4" w:rsidRPr="00845633" w:rsidRDefault="004822D4" w:rsidP="003A7572">
            <w:pPr>
              <w:widowControl/>
              <w:tabs>
                <w:tab w:val="left" w:pos="705"/>
              </w:tabs>
              <w:ind w:left="720"/>
              <w:rPr>
                <w:spacing w:val="-3"/>
                <w:sz w:val="26"/>
                <w:szCs w:val="26"/>
              </w:rPr>
            </w:pPr>
            <w:r>
              <w:rPr>
                <w:spacing w:val="-3"/>
                <w:sz w:val="26"/>
                <w:szCs w:val="26"/>
              </w:rPr>
              <w:t xml:space="preserve">Andrew G. Place, Vice </w:t>
            </w:r>
            <w:r w:rsidRPr="00845633">
              <w:rPr>
                <w:spacing w:val="-3"/>
                <w:sz w:val="26"/>
                <w:szCs w:val="26"/>
              </w:rPr>
              <w:t>Chairman</w:t>
            </w:r>
          </w:p>
          <w:p w:rsidR="004822D4" w:rsidRPr="00845633" w:rsidRDefault="004822D4" w:rsidP="003A7572">
            <w:pPr>
              <w:widowControl/>
              <w:tabs>
                <w:tab w:val="left" w:pos="705"/>
              </w:tabs>
              <w:ind w:left="720" w:right="720"/>
              <w:rPr>
                <w:spacing w:val="-3"/>
                <w:sz w:val="26"/>
                <w:szCs w:val="26"/>
              </w:rPr>
            </w:pPr>
            <w:r w:rsidRPr="00845633">
              <w:rPr>
                <w:spacing w:val="-3"/>
                <w:sz w:val="26"/>
                <w:szCs w:val="26"/>
              </w:rPr>
              <w:t>John F. Coleman, Jr.</w:t>
            </w:r>
          </w:p>
          <w:p w:rsidR="004822D4" w:rsidRPr="00845633" w:rsidRDefault="004822D4" w:rsidP="003A7572">
            <w:pPr>
              <w:widowControl/>
              <w:tabs>
                <w:tab w:val="left" w:pos="705"/>
              </w:tabs>
              <w:ind w:left="720" w:right="720"/>
              <w:rPr>
                <w:spacing w:val="-3"/>
                <w:sz w:val="26"/>
                <w:szCs w:val="26"/>
              </w:rPr>
            </w:pPr>
            <w:r w:rsidRPr="00845633">
              <w:rPr>
                <w:spacing w:val="-3"/>
                <w:sz w:val="26"/>
                <w:szCs w:val="26"/>
              </w:rPr>
              <w:t>Robert F. Powelson</w:t>
            </w:r>
          </w:p>
          <w:p w:rsidR="004822D4" w:rsidRPr="00845633" w:rsidRDefault="004822D4" w:rsidP="003A7572">
            <w:pPr>
              <w:widowControl/>
              <w:tabs>
                <w:tab w:val="left" w:pos="705"/>
              </w:tabs>
              <w:ind w:left="720" w:right="720"/>
              <w:rPr>
                <w:spacing w:val="-3"/>
                <w:sz w:val="26"/>
                <w:szCs w:val="26"/>
              </w:rPr>
            </w:pPr>
            <w:r w:rsidRPr="00845633">
              <w:rPr>
                <w:spacing w:val="-3"/>
                <w:sz w:val="26"/>
                <w:szCs w:val="26"/>
              </w:rPr>
              <w:t>David W. Sweet</w:t>
            </w:r>
          </w:p>
          <w:p w:rsidR="00524753" w:rsidRPr="00F514FB" w:rsidRDefault="00524753" w:rsidP="003A7572">
            <w:pPr>
              <w:widowControl/>
              <w:rPr>
                <w:sz w:val="26"/>
                <w:szCs w:val="26"/>
              </w:rPr>
            </w:pPr>
          </w:p>
          <w:p w:rsidR="00524753" w:rsidRPr="00F514FB" w:rsidRDefault="00524753" w:rsidP="003A7572">
            <w:pPr>
              <w:widowControl/>
              <w:rPr>
                <w:sz w:val="26"/>
                <w:szCs w:val="26"/>
              </w:rPr>
            </w:pPr>
          </w:p>
        </w:tc>
        <w:tc>
          <w:tcPr>
            <w:tcW w:w="4428" w:type="dxa"/>
          </w:tcPr>
          <w:p w:rsidR="00524753" w:rsidRPr="00F514FB" w:rsidRDefault="00524753" w:rsidP="003A7572">
            <w:pPr>
              <w:widowControl/>
              <w:jc w:val="right"/>
              <w:rPr>
                <w:sz w:val="26"/>
                <w:szCs w:val="26"/>
              </w:rPr>
            </w:pPr>
          </w:p>
          <w:p w:rsidR="00524753" w:rsidRPr="00F514FB" w:rsidRDefault="00524753" w:rsidP="003A7572">
            <w:pPr>
              <w:widowControl/>
              <w:jc w:val="right"/>
              <w:rPr>
                <w:sz w:val="26"/>
                <w:szCs w:val="26"/>
              </w:rPr>
            </w:pPr>
          </w:p>
        </w:tc>
      </w:tr>
    </w:tbl>
    <w:p w:rsidR="00524753" w:rsidRPr="000C584C" w:rsidRDefault="00307C4F" w:rsidP="003A7572">
      <w:pPr>
        <w:widowControl/>
        <w:adjustRightInd w:val="0"/>
        <w:rPr>
          <w:bCs/>
          <w:color w:val="000000"/>
          <w:sz w:val="26"/>
          <w:szCs w:val="26"/>
        </w:rPr>
      </w:pPr>
      <w:r>
        <w:rPr>
          <w:bCs/>
          <w:color w:val="000000"/>
          <w:sz w:val="26"/>
          <w:szCs w:val="26"/>
        </w:rPr>
        <w:t>Respond Power</w:t>
      </w:r>
      <w:r w:rsidR="00D76144">
        <w:rPr>
          <w:bCs/>
          <w:color w:val="000000"/>
          <w:sz w:val="26"/>
          <w:szCs w:val="26"/>
        </w:rPr>
        <w:t>,</w:t>
      </w:r>
      <w:r>
        <w:rPr>
          <w:bCs/>
          <w:color w:val="000000"/>
          <w:sz w:val="26"/>
          <w:szCs w:val="26"/>
        </w:rPr>
        <w:t xml:space="preserve"> LLC</w:t>
      </w:r>
      <w:r w:rsidR="00524753" w:rsidRPr="000C584C">
        <w:rPr>
          <w:bCs/>
          <w:color w:val="000000"/>
          <w:sz w:val="26"/>
          <w:szCs w:val="26"/>
        </w:rPr>
        <w:tab/>
      </w:r>
      <w:r w:rsidR="00184362">
        <w:rPr>
          <w:bCs/>
          <w:color w:val="000000"/>
          <w:sz w:val="26"/>
          <w:szCs w:val="26"/>
        </w:rPr>
        <w:tab/>
      </w:r>
      <w:r w:rsidR="00184362">
        <w:rPr>
          <w:bCs/>
          <w:color w:val="000000"/>
          <w:sz w:val="26"/>
          <w:szCs w:val="26"/>
        </w:rPr>
        <w:tab/>
      </w:r>
      <w:r w:rsidR="00184362">
        <w:rPr>
          <w:bCs/>
          <w:color w:val="000000"/>
          <w:sz w:val="26"/>
          <w:szCs w:val="26"/>
        </w:rPr>
        <w:tab/>
      </w:r>
      <w:r w:rsidR="00184362">
        <w:rPr>
          <w:bCs/>
          <w:color w:val="000000"/>
          <w:sz w:val="26"/>
          <w:szCs w:val="26"/>
        </w:rPr>
        <w:tab/>
      </w:r>
      <w:r w:rsidR="00184362">
        <w:rPr>
          <w:bCs/>
          <w:color w:val="000000"/>
          <w:sz w:val="26"/>
          <w:szCs w:val="26"/>
        </w:rPr>
        <w:tab/>
      </w:r>
      <w:r w:rsidR="00184362">
        <w:rPr>
          <w:bCs/>
          <w:color w:val="000000"/>
          <w:sz w:val="26"/>
          <w:szCs w:val="26"/>
        </w:rPr>
        <w:tab/>
        <w:t xml:space="preserve">     </w:t>
      </w:r>
      <w:r w:rsidR="00184362" w:rsidRPr="000C584C">
        <w:rPr>
          <w:bCs/>
          <w:color w:val="000000"/>
          <w:sz w:val="26"/>
          <w:szCs w:val="26"/>
        </w:rPr>
        <w:t>C-201</w:t>
      </w:r>
      <w:r w:rsidR="00184362">
        <w:rPr>
          <w:bCs/>
          <w:color w:val="000000"/>
          <w:sz w:val="26"/>
          <w:szCs w:val="26"/>
        </w:rPr>
        <w:t>6</w:t>
      </w:r>
      <w:r w:rsidR="00184362" w:rsidRPr="000C584C">
        <w:rPr>
          <w:bCs/>
          <w:color w:val="000000"/>
          <w:sz w:val="26"/>
          <w:szCs w:val="26"/>
        </w:rPr>
        <w:t>-2</w:t>
      </w:r>
      <w:r w:rsidR="00184362">
        <w:rPr>
          <w:bCs/>
          <w:color w:val="000000"/>
          <w:sz w:val="26"/>
          <w:szCs w:val="26"/>
        </w:rPr>
        <w:t>576287</w:t>
      </w:r>
    </w:p>
    <w:p w:rsidR="00524753" w:rsidRPr="000C584C" w:rsidRDefault="00524753" w:rsidP="003A7572">
      <w:pPr>
        <w:widowControl/>
        <w:adjustRightInd w:val="0"/>
        <w:rPr>
          <w:bCs/>
          <w:color w:val="000000"/>
          <w:sz w:val="26"/>
          <w:szCs w:val="26"/>
        </w:rPr>
      </w:pPr>
      <w:r w:rsidRPr="000C584C">
        <w:rPr>
          <w:bCs/>
          <w:color w:val="000000"/>
          <w:sz w:val="26"/>
          <w:szCs w:val="26"/>
        </w:rPr>
        <w:tab/>
      </w:r>
      <w:r w:rsidR="004663E9">
        <w:rPr>
          <w:bCs/>
          <w:color w:val="000000"/>
          <w:sz w:val="26"/>
          <w:szCs w:val="26"/>
        </w:rPr>
        <w:t xml:space="preserve">     </w:t>
      </w:r>
      <w:proofErr w:type="gramStart"/>
      <w:r w:rsidRPr="000C584C">
        <w:rPr>
          <w:bCs/>
          <w:color w:val="000000"/>
          <w:sz w:val="26"/>
          <w:szCs w:val="26"/>
        </w:rPr>
        <w:t>v</w:t>
      </w:r>
      <w:proofErr w:type="gramEnd"/>
      <w:r w:rsidRPr="000C584C">
        <w:rPr>
          <w:bCs/>
          <w:color w:val="000000"/>
          <w:sz w:val="26"/>
          <w:szCs w:val="26"/>
        </w:rPr>
        <w:t>.</w:t>
      </w:r>
    </w:p>
    <w:p w:rsidR="00524753" w:rsidRPr="000C584C" w:rsidRDefault="00307C4F" w:rsidP="003A7572">
      <w:pPr>
        <w:widowControl/>
        <w:adjustRightInd w:val="0"/>
        <w:rPr>
          <w:bCs/>
          <w:color w:val="000000"/>
          <w:sz w:val="26"/>
          <w:szCs w:val="26"/>
        </w:rPr>
      </w:pPr>
      <w:r>
        <w:rPr>
          <w:bCs/>
          <w:color w:val="000000"/>
          <w:sz w:val="26"/>
          <w:szCs w:val="26"/>
        </w:rPr>
        <w:t>Pennsylvania Electric Com</w:t>
      </w:r>
      <w:r w:rsidR="004822D4">
        <w:rPr>
          <w:bCs/>
          <w:color w:val="000000"/>
          <w:sz w:val="26"/>
          <w:szCs w:val="26"/>
        </w:rPr>
        <w:t>pany</w:t>
      </w:r>
    </w:p>
    <w:p w:rsidR="00524753" w:rsidRDefault="00524753" w:rsidP="003A7572">
      <w:pPr>
        <w:widowControl/>
        <w:rPr>
          <w:sz w:val="26"/>
          <w:szCs w:val="26"/>
        </w:rPr>
      </w:pPr>
    </w:p>
    <w:p w:rsidR="00184362" w:rsidRDefault="00184362" w:rsidP="003A7572">
      <w:pPr>
        <w:widowControl/>
        <w:rPr>
          <w:sz w:val="26"/>
          <w:szCs w:val="26"/>
        </w:rPr>
      </w:pPr>
    </w:p>
    <w:p w:rsidR="00307C4F" w:rsidRDefault="004822D4" w:rsidP="003A7572">
      <w:pPr>
        <w:widowControl/>
        <w:rPr>
          <w:sz w:val="26"/>
          <w:szCs w:val="26"/>
        </w:rPr>
      </w:pPr>
      <w:r>
        <w:rPr>
          <w:bCs/>
          <w:color w:val="000000"/>
          <w:sz w:val="26"/>
          <w:szCs w:val="26"/>
        </w:rPr>
        <w:t>Respond Power LLC</w:t>
      </w:r>
      <w:r w:rsidR="00184362">
        <w:rPr>
          <w:bCs/>
          <w:color w:val="000000"/>
          <w:sz w:val="26"/>
          <w:szCs w:val="26"/>
        </w:rPr>
        <w:tab/>
      </w:r>
      <w:r w:rsidR="00184362">
        <w:rPr>
          <w:bCs/>
          <w:color w:val="000000"/>
          <w:sz w:val="26"/>
          <w:szCs w:val="26"/>
        </w:rPr>
        <w:tab/>
      </w:r>
      <w:r w:rsidR="00184362" w:rsidRPr="000C584C">
        <w:rPr>
          <w:bCs/>
          <w:color w:val="000000"/>
          <w:sz w:val="26"/>
          <w:szCs w:val="26"/>
        </w:rPr>
        <w:tab/>
      </w:r>
      <w:r w:rsidR="00184362" w:rsidRPr="000C584C">
        <w:rPr>
          <w:bCs/>
          <w:color w:val="000000"/>
          <w:sz w:val="26"/>
          <w:szCs w:val="26"/>
        </w:rPr>
        <w:tab/>
      </w:r>
      <w:r w:rsidR="00184362">
        <w:rPr>
          <w:bCs/>
          <w:color w:val="000000"/>
          <w:sz w:val="26"/>
          <w:szCs w:val="26"/>
        </w:rPr>
        <w:tab/>
      </w:r>
      <w:r w:rsidR="00184362">
        <w:rPr>
          <w:bCs/>
          <w:color w:val="000000"/>
          <w:sz w:val="26"/>
          <w:szCs w:val="26"/>
        </w:rPr>
        <w:tab/>
      </w:r>
      <w:r w:rsidR="00184362">
        <w:rPr>
          <w:bCs/>
          <w:color w:val="000000"/>
          <w:sz w:val="26"/>
          <w:szCs w:val="26"/>
        </w:rPr>
        <w:tab/>
        <w:t xml:space="preserve">     </w:t>
      </w:r>
      <w:r w:rsidR="00184362" w:rsidRPr="000C584C">
        <w:rPr>
          <w:bCs/>
          <w:color w:val="000000"/>
          <w:sz w:val="26"/>
          <w:szCs w:val="26"/>
        </w:rPr>
        <w:t>C-201</w:t>
      </w:r>
      <w:r w:rsidR="00184362">
        <w:rPr>
          <w:bCs/>
          <w:color w:val="000000"/>
          <w:sz w:val="26"/>
          <w:szCs w:val="26"/>
        </w:rPr>
        <w:t>6</w:t>
      </w:r>
      <w:r w:rsidR="00184362" w:rsidRPr="000C584C">
        <w:rPr>
          <w:bCs/>
          <w:color w:val="000000"/>
          <w:sz w:val="26"/>
          <w:szCs w:val="26"/>
        </w:rPr>
        <w:t>-2</w:t>
      </w:r>
      <w:r w:rsidR="00184362">
        <w:rPr>
          <w:bCs/>
          <w:color w:val="000000"/>
          <w:sz w:val="26"/>
          <w:szCs w:val="26"/>
        </w:rPr>
        <w:t>576292</w:t>
      </w:r>
    </w:p>
    <w:p w:rsidR="00307C4F" w:rsidRPr="000C584C" w:rsidRDefault="00307C4F" w:rsidP="003A7572">
      <w:pPr>
        <w:widowControl/>
        <w:adjustRightInd w:val="0"/>
        <w:rPr>
          <w:bCs/>
          <w:color w:val="000000"/>
          <w:sz w:val="26"/>
          <w:szCs w:val="26"/>
        </w:rPr>
      </w:pPr>
      <w:r w:rsidRPr="000C584C">
        <w:rPr>
          <w:bCs/>
          <w:color w:val="000000"/>
          <w:sz w:val="26"/>
          <w:szCs w:val="26"/>
        </w:rPr>
        <w:tab/>
      </w:r>
      <w:r w:rsidR="004663E9">
        <w:rPr>
          <w:bCs/>
          <w:color w:val="000000"/>
          <w:sz w:val="26"/>
          <w:szCs w:val="26"/>
        </w:rPr>
        <w:t xml:space="preserve">     </w:t>
      </w:r>
      <w:proofErr w:type="gramStart"/>
      <w:r w:rsidRPr="000C584C">
        <w:rPr>
          <w:bCs/>
          <w:color w:val="000000"/>
          <w:sz w:val="26"/>
          <w:szCs w:val="26"/>
        </w:rPr>
        <w:t>v</w:t>
      </w:r>
      <w:proofErr w:type="gramEnd"/>
      <w:r w:rsidRPr="000C584C">
        <w:rPr>
          <w:bCs/>
          <w:color w:val="000000"/>
          <w:sz w:val="26"/>
          <w:szCs w:val="26"/>
        </w:rPr>
        <w:t>.</w:t>
      </w:r>
    </w:p>
    <w:p w:rsidR="00307C4F" w:rsidRDefault="004822D4" w:rsidP="003A7572">
      <w:pPr>
        <w:widowControl/>
        <w:adjustRightInd w:val="0"/>
        <w:rPr>
          <w:bCs/>
          <w:color w:val="000000"/>
          <w:sz w:val="26"/>
          <w:szCs w:val="26"/>
        </w:rPr>
      </w:pPr>
      <w:r>
        <w:rPr>
          <w:bCs/>
          <w:color w:val="000000"/>
          <w:sz w:val="26"/>
          <w:szCs w:val="26"/>
        </w:rPr>
        <w:t>West Penn Power Company</w:t>
      </w:r>
    </w:p>
    <w:p w:rsidR="009C2F23" w:rsidRPr="000C584C" w:rsidRDefault="009C2F23" w:rsidP="003A7572">
      <w:pPr>
        <w:widowControl/>
        <w:adjustRightInd w:val="0"/>
        <w:rPr>
          <w:bCs/>
          <w:color w:val="000000"/>
          <w:sz w:val="26"/>
          <w:szCs w:val="26"/>
        </w:rPr>
      </w:pPr>
    </w:p>
    <w:p w:rsidR="00307C4F" w:rsidRPr="00F514FB" w:rsidRDefault="00307C4F" w:rsidP="003A7572">
      <w:pPr>
        <w:widowControl/>
        <w:rPr>
          <w:sz w:val="26"/>
          <w:szCs w:val="26"/>
        </w:rPr>
      </w:pPr>
    </w:p>
    <w:p w:rsidR="00524753" w:rsidRDefault="00524753" w:rsidP="003A7572">
      <w:pPr>
        <w:widowControl/>
        <w:spacing w:line="360" w:lineRule="auto"/>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590B47" w:rsidRDefault="00590B47" w:rsidP="003A7572">
      <w:pPr>
        <w:widowControl/>
        <w:spacing w:line="360" w:lineRule="auto"/>
        <w:jc w:val="center"/>
        <w:rPr>
          <w:b/>
          <w:sz w:val="26"/>
          <w:szCs w:val="26"/>
        </w:rPr>
      </w:pPr>
    </w:p>
    <w:p w:rsidR="00DF13F8" w:rsidRDefault="00DF13F8" w:rsidP="003A7572">
      <w:pPr>
        <w:widowControl/>
        <w:spacing w:line="360" w:lineRule="auto"/>
        <w:rPr>
          <w:b/>
          <w:sz w:val="26"/>
          <w:szCs w:val="26"/>
        </w:rPr>
      </w:pPr>
      <w:r>
        <w:rPr>
          <w:b/>
          <w:sz w:val="26"/>
          <w:szCs w:val="26"/>
        </w:rPr>
        <w:t>BY THE COMMISSION:</w:t>
      </w:r>
    </w:p>
    <w:p w:rsidR="00524753" w:rsidRPr="00F514FB" w:rsidRDefault="00524753" w:rsidP="003A7572">
      <w:pPr>
        <w:widowControl/>
        <w:spacing w:line="360" w:lineRule="auto"/>
        <w:rPr>
          <w:sz w:val="26"/>
          <w:szCs w:val="26"/>
        </w:rPr>
      </w:pPr>
    </w:p>
    <w:p w:rsidR="001B26DC" w:rsidRDefault="00774ED3" w:rsidP="003A7572">
      <w:pPr>
        <w:widowControl/>
        <w:spacing w:line="360" w:lineRule="auto"/>
        <w:ind w:firstLine="1440"/>
        <w:rPr>
          <w:color w:val="000000"/>
          <w:sz w:val="26"/>
        </w:rPr>
      </w:pPr>
      <w:r>
        <w:rPr>
          <w:sz w:val="26"/>
          <w:szCs w:val="26"/>
        </w:rPr>
        <w:t>Before t</w:t>
      </w:r>
      <w:r w:rsidR="00524753" w:rsidRPr="00CA43A5">
        <w:rPr>
          <w:sz w:val="26"/>
          <w:szCs w:val="26"/>
        </w:rPr>
        <w:t>he Pennsylvania Public Utility Commission (Commission)</w:t>
      </w:r>
      <w:r w:rsidR="00E85C41">
        <w:rPr>
          <w:sz w:val="26"/>
          <w:szCs w:val="26"/>
        </w:rPr>
        <w:t xml:space="preserve"> </w:t>
      </w:r>
      <w:r w:rsidR="00524753">
        <w:rPr>
          <w:sz w:val="26"/>
          <w:szCs w:val="26"/>
        </w:rPr>
        <w:t>fo</w:t>
      </w:r>
      <w:r w:rsidR="00524753" w:rsidRPr="00CA43A5">
        <w:rPr>
          <w:sz w:val="26"/>
          <w:szCs w:val="26"/>
        </w:rPr>
        <w:t>r consideration and disposition</w:t>
      </w:r>
      <w:r w:rsidR="00255362">
        <w:rPr>
          <w:sz w:val="26"/>
          <w:szCs w:val="26"/>
        </w:rPr>
        <w:t xml:space="preserve"> </w:t>
      </w:r>
      <w:r>
        <w:rPr>
          <w:sz w:val="26"/>
          <w:szCs w:val="26"/>
        </w:rPr>
        <w:t xml:space="preserve">is the </w:t>
      </w:r>
      <w:r w:rsidR="00524753">
        <w:rPr>
          <w:sz w:val="26"/>
          <w:szCs w:val="26"/>
        </w:rPr>
        <w:t>Petition</w:t>
      </w:r>
      <w:r>
        <w:rPr>
          <w:sz w:val="26"/>
          <w:szCs w:val="26"/>
        </w:rPr>
        <w:t xml:space="preserve"> </w:t>
      </w:r>
      <w:r w:rsidR="00524753">
        <w:rPr>
          <w:sz w:val="26"/>
          <w:szCs w:val="26"/>
        </w:rPr>
        <w:t xml:space="preserve">for </w:t>
      </w:r>
      <w:r w:rsidR="00524753">
        <w:rPr>
          <w:color w:val="000000"/>
          <w:sz w:val="26"/>
        </w:rPr>
        <w:t>Interlocutory Review and Answer to Material Questions</w:t>
      </w:r>
      <w:r w:rsidR="00781E2A">
        <w:rPr>
          <w:color w:val="000000"/>
          <w:sz w:val="26"/>
        </w:rPr>
        <w:t xml:space="preserve"> (Petition)</w:t>
      </w:r>
      <w:r w:rsidR="00524753">
        <w:rPr>
          <w:color w:val="000000"/>
          <w:sz w:val="26"/>
        </w:rPr>
        <w:t xml:space="preserve"> </w:t>
      </w:r>
      <w:r>
        <w:rPr>
          <w:color w:val="000000"/>
          <w:sz w:val="26"/>
        </w:rPr>
        <w:t xml:space="preserve">filed by </w:t>
      </w:r>
      <w:r w:rsidR="00433393">
        <w:rPr>
          <w:color w:val="000000"/>
          <w:sz w:val="26"/>
        </w:rPr>
        <w:t>Respond Power</w:t>
      </w:r>
      <w:r w:rsidR="000F1AC9">
        <w:rPr>
          <w:color w:val="000000"/>
          <w:sz w:val="26"/>
        </w:rPr>
        <w:t>,</w:t>
      </w:r>
      <w:r w:rsidR="00433393">
        <w:rPr>
          <w:color w:val="000000"/>
          <w:sz w:val="26"/>
        </w:rPr>
        <w:t xml:space="preserve"> LLC (Respond) on January 26, 2017.</w:t>
      </w:r>
      <w:r w:rsidR="000F1AC9">
        <w:rPr>
          <w:color w:val="000000"/>
          <w:sz w:val="26"/>
        </w:rPr>
        <w:t xml:space="preserve">  The Petition requests interlocutory </w:t>
      </w:r>
      <w:r w:rsidR="00047ABB">
        <w:rPr>
          <w:color w:val="000000"/>
          <w:sz w:val="26"/>
        </w:rPr>
        <w:t xml:space="preserve">Commission </w:t>
      </w:r>
      <w:r w:rsidR="000F1AC9">
        <w:rPr>
          <w:color w:val="000000"/>
          <w:sz w:val="26"/>
        </w:rPr>
        <w:t>review and answer in the affirmative</w:t>
      </w:r>
      <w:r w:rsidR="00CE7D12">
        <w:rPr>
          <w:color w:val="000000"/>
          <w:sz w:val="26"/>
        </w:rPr>
        <w:t>,</w:t>
      </w:r>
      <w:r w:rsidR="000F1AC9">
        <w:rPr>
          <w:color w:val="000000"/>
          <w:sz w:val="26"/>
        </w:rPr>
        <w:t xml:space="preserve"> o</w:t>
      </w:r>
      <w:r w:rsidR="004B7A6D">
        <w:rPr>
          <w:color w:val="000000"/>
          <w:sz w:val="26"/>
        </w:rPr>
        <w:t>f</w:t>
      </w:r>
      <w:r w:rsidR="000F1AC9">
        <w:rPr>
          <w:color w:val="000000"/>
          <w:sz w:val="26"/>
        </w:rPr>
        <w:t xml:space="preserve"> </w:t>
      </w:r>
      <w:r w:rsidR="00CE7D12">
        <w:rPr>
          <w:color w:val="000000"/>
          <w:sz w:val="26"/>
        </w:rPr>
        <w:t xml:space="preserve">two </w:t>
      </w:r>
      <w:r w:rsidR="000F1AC9">
        <w:rPr>
          <w:color w:val="000000"/>
          <w:sz w:val="26"/>
        </w:rPr>
        <w:t>questions</w:t>
      </w:r>
      <w:r w:rsidR="00CE7D12">
        <w:rPr>
          <w:color w:val="000000"/>
          <w:sz w:val="26"/>
        </w:rPr>
        <w:t xml:space="preserve"> that </w:t>
      </w:r>
      <w:r w:rsidR="00811D48">
        <w:rPr>
          <w:color w:val="000000"/>
          <w:sz w:val="26"/>
        </w:rPr>
        <w:t>Respond proposes for</w:t>
      </w:r>
      <w:r w:rsidR="00CE7D12">
        <w:rPr>
          <w:color w:val="000000"/>
          <w:sz w:val="26"/>
        </w:rPr>
        <w:t xml:space="preserve"> </w:t>
      </w:r>
      <w:r w:rsidR="00811D48">
        <w:rPr>
          <w:color w:val="000000"/>
          <w:sz w:val="26"/>
        </w:rPr>
        <w:t xml:space="preserve">consideration </w:t>
      </w:r>
      <w:r w:rsidR="00CE7D12">
        <w:rPr>
          <w:color w:val="000000"/>
          <w:sz w:val="26"/>
        </w:rPr>
        <w:t xml:space="preserve">in response to </w:t>
      </w:r>
      <w:r w:rsidR="00047ABB">
        <w:rPr>
          <w:color w:val="000000"/>
          <w:sz w:val="26"/>
        </w:rPr>
        <w:t>a</w:t>
      </w:r>
      <w:r w:rsidR="00DF242A">
        <w:rPr>
          <w:color w:val="000000"/>
          <w:sz w:val="26"/>
        </w:rPr>
        <w:t xml:space="preserve"> January 23, 2017</w:t>
      </w:r>
      <w:r w:rsidR="00CE7D12">
        <w:rPr>
          <w:color w:val="000000"/>
          <w:sz w:val="26"/>
        </w:rPr>
        <w:t xml:space="preserve"> Order Granting, in Part, Motion for Judgment o</w:t>
      </w:r>
      <w:r w:rsidR="006826F8">
        <w:rPr>
          <w:color w:val="000000"/>
          <w:sz w:val="26"/>
        </w:rPr>
        <w:t>n</w:t>
      </w:r>
      <w:r w:rsidR="00CE7D12">
        <w:rPr>
          <w:color w:val="000000"/>
          <w:sz w:val="26"/>
        </w:rPr>
        <w:t xml:space="preserve"> the Pleadings </w:t>
      </w:r>
      <w:r w:rsidR="00842F6F">
        <w:rPr>
          <w:color w:val="000000"/>
          <w:sz w:val="26"/>
        </w:rPr>
        <w:t>(</w:t>
      </w:r>
      <w:r w:rsidR="00842F6F">
        <w:rPr>
          <w:i/>
          <w:color w:val="000000"/>
          <w:sz w:val="26"/>
        </w:rPr>
        <w:t xml:space="preserve">January 2017 </w:t>
      </w:r>
      <w:r w:rsidR="00FD4EAE">
        <w:rPr>
          <w:i/>
          <w:color w:val="000000"/>
          <w:sz w:val="26"/>
        </w:rPr>
        <w:t xml:space="preserve">Interim </w:t>
      </w:r>
      <w:r w:rsidR="00842F6F">
        <w:rPr>
          <w:i/>
          <w:color w:val="000000"/>
          <w:sz w:val="26"/>
        </w:rPr>
        <w:t>Order</w:t>
      </w:r>
      <w:r w:rsidR="00842F6F">
        <w:rPr>
          <w:color w:val="000000"/>
          <w:sz w:val="26"/>
        </w:rPr>
        <w:t>)</w:t>
      </w:r>
      <w:r w:rsidR="0083077F">
        <w:rPr>
          <w:color w:val="000000"/>
          <w:sz w:val="26"/>
        </w:rPr>
        <w:t xml:space="preserve">.  </w:t>
      </w:r>
      <w:proofErr w:type="gramStart"/>
      <w:r w:rsidR="0083077F">
        <w:rPr>
          <w:color w:val="000000"/>
          <w:sz w:val="26"/>
        </w:rPr>
        <w:t xml:space="preserve">The </w:t>
      </w:r>
      <w:r w:rsidR="0083077F">
        <w:rPr>
          <w:i/>
          <w:color w:val="000000"/>
          <w:sz w:val="26"/>
        </w:rPr>
        <w:t>January 2017 Interim Order</w:t>
      </w:r>
      <w:r w:rsidR="00CE7D12">
        <w:rPr>
          <w:color w:val="000000"/>
          <w:sz w:val="26"/>
        </w:rPr>
        <w:t xml:space="preserve"> </w:t>
      </w:r>
      <w:r w:rsidR="0083077F">
        <w:rPr>
          <w:color w:val="000000"/>
          <w:sz w:val="26"/>
        </w:rPr>
        <w:t xml:space="preserve">was issued by </w:t>
      </w:r>
      <w:r w:rsidR="00CE7D12">
        <w:rPr>
          <w:color w:val="000000"/>
          <w:sz w:val="26"/>
        </w:rPr>
        <w:lastRenderedPageBreak/>
        <w:t xml:space="preserve">Administrative Law Judge </w:t>
      </w:r>
      <w:r w:rsidR="00DF242A">
        <w:rPr>
          <w:color w:val="000000"/>
          <w:sz w:val="26"/>
        </w:rPr>
        <w:t xml:space="preserve">(ALJ) </w:t>
      </w:r>
      <w:r w:rsidR="00CE7D12">
        <w:rPr>
          <w:color w:val="000000"/>
          <w:sz w:val="26"/>
        </w:rPr>
        <w:t>David A. Salapa</w:t>
      </w:r>
      <w:r w:rsidR="00DF242A">
        <w:rPr>
          <w:color w:val="000000"/>
          <w:sz w:val="26"/>
        </w:rPr>
        <w:t>, as motions judge, in the above-captioned proceedings</w:t>
      </w:r>
      <w:r w:rsidR="00CE7D12">
        <w:rPr>
          <w:color w:val="000000"/>
          <w:sz w:val="26"/>
        </w:rPr>
        <w:t>.</w:t>
      </w:r>
      <w:proofErr w:type="gramEnd"/>
    </w:p>
    <w:p w:rsidR="001B26DC" w:rsidRDefault="001B26DC" w:rsidP="003A7572">
      <w:pPr>
        <w:widowControl/>
        <w:spacing w:line="360" w:lineRule="auto"/>
        <w:ind w:firstLine="1440"/>
        <w:rPr>
          <w:color w:val="000000"/>
          <w:sz w:val="26"/>
        </w:rPr>
      </w:pPr>
    </w:p>
    <w:p w:rsidR="00A318F2" w:rsidRDefault="00264A64" w:rsidP="003A7572">
      <w:pPr>
        <w:widowControl/>
        <w:spacing w:line="360" w:lineRule="auto"/>
        <w:ind w:firstLine="1440"/>
        <w:rPr>
          <w:color w:val="000000"/>
          <w:sz w:val="26"/>
        </w:rPr>
      </w:pPr>
      <w:r w:rsidRPr="00A318F2">
        <w:rPr>
          <w:sz w:val="26"/>
          <w:szCs w:val="26"/>
        </w:rPr>
        <w:t>Th</w:t>
      </w:r>
      <w:r>
        <w:rPr>
          <w:sz w:val="26"/>
          <w:szCs w:val="26"/>
        </w:rPr>
        <w:t>e</w:t>
      </w:r>
      <w:r w:rsidRPr="00A318F2">
        <w:rPr>
          <w:sz w:val="26"/>
          <w:szCs w:val="26"/>
        </w:rPr>
        <w:t xml:space="preserve"> </w:t>
      </w:r>
      <w:r>
        <w:rPr>
          <w:i/>
          <w:sz w:val="26"/>
          <w:szCs w:val="26"/>
        </w:rPr>
        <w:t>January 2017 Interim Order</w:t>
      </w:r>
      <w:r>
        <w:rPr>
          <w:sz w:val="26"/>
          <w:szCs w:val="26"/>
        </w:rPr>
        <w:t xml:space="preserve"> granted the motion </w:t>
      </w:r>
      <w:r w:rsidR="00A8345C">
        <w:rPr>
          <w:sz w:val="26"/>
          <w:szCs w:val="26"/>
        </w:rPr>
        <w:t>o</w:t>
      </w:r>
      <w:r>
        <w:rPr>
          <w:sz w:val="26"/>
          <w:szCs w:val="26"/>
        </w:rPr>
        <w:t xml:space="preserve">f </w:t>
      </w:r>
      <w:r>
        <w:rPr>
          <w:color w:val="000000"/>
          <w:sz w:val="26"/>
        </w:rPr>
        <w:t xml:space="preserve">Pennsylvania Electric Company (Penelec) and West Penn Power Company (West Penn) (collectively, Companies), </w:t>
      </w:r>
      <w:r w:rsidR="00E6050A">
        <w:rPr>
          <w:color w:val="000000"/>
          <w:sz w:val="26"/>
        </w:rPr>
        <w:t>who are utility-resp</w:t>
      </w:r>
      <w:r w:rsidR="004663E9">
        <w:rPr>
          <w:color w:val="000000"/>
          <w:sz w:val="26"/>
        </w:rPr>
        <w:t>ondents in the above-captioned Formal C</w:t>
      </w:r>
      <w:r w:rsidR="00E6050A">
        <w:rPr>
          <w:color w:val="000000"/>
          <w:sz w:val="26"/>
        </w:rPr>
        <w:t>omplaints</w:t>
      </w:r>
      <w:r w:rsidR="004663E9">
        <w:rPr>
          <w:color w:val="000000"/>
          <w:sz w:val="26"/>
        </w:rPr>
        <w:t xml:space="preserve"> (Complaints)</w:t>
      </w:r>
      <w:r w:rsidR="00E6050A">
        <w:rPr>
          <w:color w:val="000000"/>
          <w:sz w:val="26"/>
        </w:rPr>
        <w:t xml:space="preserve">, </w:t>
      </w:r>
      <w:r>
        <w:rPr>
          <w:color w:val="000000"/>
          <w:sz w:val="26"/>
        </w:rPr>
        <w:t xml:space="preserve">to preclude the </w:t>
      </w:r>
      <w:r w:rsidR="009C2F23">
        <w:rPr>
          <w:color w:val="000000"/>
          <w:sz w:val="26"/>
        </w:rPr>
        <w:t>litigation</w:t>
      </w:r>
      <w:r>
        <w:rPr>
          <w:color w:val="000000"/>
          <w:sz w:val="26"/>
        </w:rPr>
        <w:t xml:space="preserve"> of certain issues raised by Respond in </w:t>
      </w:r>
      <w:r w:rsidR="003728B2">
        <w:rPr>
          <w:color w:val="000000"/>
          <w:sz w:val="26"/>
        </w:rPr>
        <w:t xml:space="preserve">the said </w:t>
      </w:r>
      <w:r>
        <w:rPr>
          <w:color w:val="000000"/>
          <w:sz w:val="26"/>
        </w:rPr>
        <w:t>Complaint</w:t>
      </w:r>
      <w:r w:rsidR="00A87DA9">
        <w:rPr>
          <w:color w:val="000000"/>
          <w:sz w:val="26"/>
        </w:rPr>
        <w:t>s</w:t>
      </w:r>
      <w:r w:rsidR="003728B2">
        <w:rPr>
          <w:color w:val="000000"/>
          <w:sz w:val="26"/>
        </w:rPr>
        <w:t xml:space="preserve">.  The Complaints have been </w:t>
      </w:r>
      <w:r>
        <w:rPr>
          <w:color w:val="000000"/>
          <w:sz w:val="26"/>
        </w:rPr>
        <w:t xml:space="preserve">filed </w:t>
      </w:r>
      <w:r w:rsidR="00C23B7E">
        <w:rPr>
          <w:color w:val="000000"/>
          <w:sz w:val="26"/>
        </w:rPr>
        <w:t>a</w:t>
      </w:r>
      <w:r>
        <w:rPr>
          <w:color w:val="000000"/>
          <w:sz w:val="26"/>
        </w:rPr>
        <w:t xml:space="preserve">gainst </w:t>
      </w:r>
      <w:r w:rsidR="00A87DA9">
        <w:rPr>
          <w:color w:val="000000"/>
          <w:sz w:val="26"/>
        </w:rPr>
        <w:t>an</w:t>
      </w:r>
      <w:r w:rsidR="002F7B33">
        <w:rPr>
          <w:color w:val="000000"/>
          <w:sz w:val="26"/>
        </w:rPr>
        <w:t xml:space="preserve"> existing tariff of </w:t>
      </w:r>
      <w:r w:rsidR="00435238">
        <w:rPr>
          <w:color w:val="000000"/>
          <w:sz w:val="26"/>
        </w:rPr>
        <w:t>the Companies</w:t>
      </w:r>
      <w:r>
        <w:rPr>
          <w:color w:val="000000"/>
          <w:sz w:val="26"/>
        </w:rPr>
        <w:t>.</w:t>
      </w:r>
    </w:p>
    <w:p w:rsidR="002F7B33" w:rsidRPr="00B76859" w:rsidRDefault="002F7B33" w:rsidP="003A7572">
      <w:pPr>
        <w:widowControl/>
        <w:spacing w:line="360" w:lineRule="auto"/>
        <w:ind w:firstLine="1440"/>
        <w:rPr>
          <w:color w:val="000000"/>
          <w:sz w:val="26"/>
        </w:rPr>
      </w:pPr>
    </w:p>
    <w:p w:rsidR="00842F6F" w:rsidRDefault="00587649" w:rsidP="003A7572">
      <w:pPr>
        <w:widowControl/>
        <w:spacing w:line="360" w:lineRule="auto"/>
        <w:ind w:firstLine="1440"/>
        <w:rPr>
          <w:color w:val="000000"/>
          <w:sz w:val="26"/>
        </w:rPr>
      </w:pPr>
      <w:r>
        <w:rPr>
          <w:color w:val="000000"/>
          <w:sz w:val="26"/>
        </w:rPr>
        <w:t>Respond poses t</w:t>
      </w:r>
      <w:r w:rsidR="00842F6F">
        <w:rPr>
          <w:color w:val="000000"/>
          <w:sz w:val="26"/>
        </w:rPr>
        <w:t xml:space="preserve">he </w:t>
      </w:r>
      <w:r>
        <w:rPr>
          <w:color w:val="000000"/>
          <w:sz w:val="26"/>
        </w:rPr>
        <w:t xml:space="preserve">following </w:t>
      </w:r>
      <w:r w:rsidR="00842F6F">
        <w:rPr>
          <w:color w:val="000000"/>
          <w:sz w:val="26"/>
        </w:rPr>
        <w:t>questions</w:t>
      </w:r>
      <w:r w:rsidR="00B81896">
        <w:rPr>
          <w:rStyle w:val="FootnoteReference"/>
          <w:color w:val="000000"/>
          <w:sz w:val="26"/>
        </w:rPr>
        <w:footnoteReference w:id="1"/>
      </w:r>
      <w:r w:rsidR="00842F6F">
        <w:rPr>
          <w:color w:val="000000"/>
          <w:sz w:val="26"/>
        </w:rPr>
        <w:t xml:space="preserve"> </w:t>
      </w:r>
      <w:r>
        <w:rPr>
          <w:color w:val="000000"/>
          <w:sz w:val="26"/>
        </w:rPr>
        <w:t>for interlocutory review and answer</w:t>
      </w:r>
      <w:r w:rsidR="00842F6F">
        <w:rPr>
          <w:color w:val="000000"/>
          <w:sz w:val="26"/>
        </w:rPr>
        <w:t>:</w:t>
      </w:r>
    </w:p>
    <w:p w:rsidR="00842F6F" w:rsidRDefault="00842F6F" w:rsidP="003A7572">
      <w:pPr>
        <w:widowControl/>
        <w:ind w:left="1440" w:right="1440"/>
        <w:rPr>
          <w:color w:val="000000"/>
          <w:sz w:val="26"/>
        </w:rPr>
      </w:pPr>
      <w:r>
        <w:rPr>
          <w:color w:val="000000"/>
          <w:sz w:val="26"/>
        </w:rPr>
        <w:t>A.</w:t>
      </w:r>
      <w:r>
        <w:rPr>
          <w:color w:val="000000"/>
          <w:sz w:val="26"/>
        </w:rPr>
        <w:tab/>
        <w:t>May an entity to whom a utility tariff provision is applied file a complaint with the Commission challenging the application of the tariff?</w:t>
      </w:r>
    </w:p>
    <w:p w:rsidR="00842F6F" w:rsidRDefault="00842F6F" w:rsidP="003A7572">
      <w:pPr>
        <w:widowControl/>
        <w:ind w:left="1440" w:right="1440"/>
        <w:rPr>
          <w:color w:val="000000"/>
          <w:sz w:val="26"/>
        </w:rPr>
      </w:pPr>
    </w:p>
    <w:p w:rsidR="00842F6F" w:rsidRDefault="00842F6F" w:rsidP="003A7572">
      <w:pPr>
        <w:widowControl/>
        <w:ind w:left="1440" w:right="1440"/>
        <w:rPr>
          <w:color w:val="000000"/>
          <w:sz w:val="26"/>
        </w:rPr>
      </w:pPr>
      <w:r>
        <w:rPr>
          <w:color w:val="000000"/>
          <w:sz w:val="26"/>
        </w:rPr>
        <w:t>B.</w:t>
      </w:r>
      <w:r>
        <w:rPr>
          <w:color w:val="000000"/>
          <w:sz w:val="26"/>
        </w:rPr>
        <w:tab/>
        <w:t>Are Commission-approved tariff provisions subject to a just and reasonable standard?</w:t>
      </w:r>
    </w:p>
    <w:p w:rsidR="00B76859" w:rsidRDefault="00B76859" w:rsidP="003A7572">
      <w:pPr>
        <w:widowControl/>
        <w:ind w:left="1440" w:right="1440"/>
        <w:rPr>
          <w:color w:val="000000"/>
          <w:sz w:val="26"/>
        </w:rPr>
      </w:pPr>
    </w:p>
    <w:p w:rsidR="00B76859" w:rsidRDefault="00B76859" w:rsidP="003A7572">
      <w:pPr>
        <w:widowControl/>
        <w:ind w:left="1440" w:right="1440"/>
        <w:rPr>
          <w:color w:val="000000"/>
          <w:sz w:val="26"/>
        </w:rPr>
      </w:pPr>
    </w:p>
    <w:p w:rsidR="00AC3E9A" w:rsidRPr="00373099" w:rsidRDefault="00AC3E9A" w:rsidP="003A7572">
      <w:pPr>
        <w:widowControl/>
        <w:spacing w:line="360" w:lineRule="auto"/>
        <w:ind w:firstLine="1440"/>
        <w:rPr>
          <w:sz w:val="26"/>
          <w:szCs w:val="26"/>
        </w:rPr>
      </w:pPr>
      <w:r w:rsidRPr="00373099">
        <w:rPr>
          <w:color w:val="000000"/>
          <w:sz w:val="26"/>
        </w:rPr>
        <w:t xml:space="preserve">By Secretarial Letter </w:t>
      </w:r>
      <w:r w:rsidRPr="00373099">
        <w:rPr>
          <w:sz w:val="26"/>
        </w:rPr>
        <w:t xml:space="preserve">of February 2, 2017, we waived the thirty (30) day period for consideration of petitions seeking interlocutory Commission review pursuant to 52 Pa. Code § 5.303.  </w:t>
      </w:r>
      <w:r w:rsidRPr="00373099">
        <w:rPr>
          <w:i/>
          <w:sz w:val="26"/>
        </w:rPr>
        <w:t>See</w:t>
      </w:r>
      <w:r w:rsidRPr="00373099">
        <w:rPr>
          <w:sz w:val="26"/>
        </w:rPr>
        <w:t xml:space="preserve"> 52 Pa. Code §</w:t>
      </w:r>
      <w:r w:rsidRPr="00373099">
        <w:rPr>
          <w:sz w:val="26"/>
          <w:szCs w:val="26"/>
        </w:rPr>
        <w:t xml:space="preserve">§ 1.2(c); </w:t>
      </w:r>
      <w:r w:rsidRPr="00373099">
        <w:rPr>
          <w:i/>
          <w:sz w:val="26"/>
          <w:szCs w:val="26"/>
        </w:rPr>
        <w:t>also,</w:t>
      </w:r>
      <w:r w:rsidRPr="00373099">
        <w:rPr>
          <w:sz w:val="26"/>
          <w:szCs w:val="26"/>
        </w:rPr>
        <w:t xml:space="preserve"> </w:t>
      </w:r>
      <w:r w:rsidRPr="00373099">
        <w:rPr>
          <w:i/>
          <w:sz w:val="26"/>
          <w:szCs w:val="26"/>
        </w:rPr>
        <w:t>C.S. Warthman Funeral Home, et al. v. GTE North, Inc.</w:t>
      </w:r>
      <w:r w:rsidRPr="00373099">
        <w:rPr>
          <w:sz w:val="26"/>
          <w:szCs w:val="26"/>
        </w:rPr>
        <w:t xml:space="preserve">, Docket No. </w:t>
      </w:r>
      <w:proofErr w:type="gramStart"/>
      <w:r w:rsidRPr="00373099">
        <w:rPr>
          <w:sz w:val="26"/>
          <w:szCs w:val="26"/>
        </w:rPr>
        <w:t>C-00924416 (Order entered June 4, 1993).</w:t>
      </w:r>
      <w:proofErr w:type="gramEnd"/>
      <w:r w:rsidR="00E8082A">
        <w:rPr>
          <w:sz w:val="26"/>
          <w:szCs w:val="26"/>
        </w:rPr>
        <w:t xml:space="preserve">  </w:t>
      </w:r>
      <w:r w:rsidR="00E8082A">
        <w:rPr>
          <w:color w:val="000000"/>
          <w:sz w:val="26"/>
        </w:rPr>
        <w:t xml:space="preserve">Pursuant to the Commission’s Rules of Practice and Procedure, briefs in support of </w:t>
      </w:r>
      <w:r w:rsidR="00B6039F">
        <w:rPr>
          <w:color w:val="000000"/>
          <w:sz w:val="26"/>
        </w:rPr>
        <w:t xml:space="preserve">and in opposition to </w:t>
      </w:r>
      <w:r w:rsidR="00E8082A">
        <w:rPr>
          <w:color w:val="000000"/>
          <w:sz w:val="26"/>
        </w:rPr>
        <w:t>interlocutory review were filed by Respond</w:t>
      </w:r>
      <w:r w:rsidR="003C0A4D">
        <w:rPr>
          <w:color w:val="000000"/>
          <w:sz w:val="26"/>
        </w:rPr>
        <w:t>,</w:t>
      </w:r>
      <w:r w:rsidR="00E8082A">
        <w:rPr>
          <w:color w:val="000000"/>
          <w:sz w:val="26"/>
        </w:rPr>
        <w:t xml:space="preserve"> </w:t>
      </w:r>
      <w:r w:rsidR="00587649">
        <w:rPr>
          <w:color w:val="000000"/>
          <w:sz w:val="26"/>
        </w:rPr>
        <w:t>Pe</w:t>
      </w:r>
      <w:r w:rsidR="00E8082A">
        <w:rPr>
          <w:color w:val="000000"/>
          <w:sz w:val="26"/>
        </w:rPr>
        <w:t xml:space="preserve">nelec and West Penn on February 6, </w:t>
      </w:r>
      <w:r w:rsidR="00B76859">
        <w:rPr>
          <w:color w:val="000000"/>
          <w:sz w:val="26"/>
        </w:rPr>
        <w:t xml:space="preserve">2017.  </w:t>
      </w:r>
      <w:proofErr w:type="gramStart"/>
      <w:r w:rsidR="00B76859">
        <w:rPr>
          <w:color w:val="000000"/>
          <w:sz w:val="26"/>
        </w:rPr>
        <w:t>52 Pa. Code § 5.302(b).</w:t>
      </w:r>
      <w:proofErr w:type="gramEnd"/>
    </w:p>
    <w:p w:rsidR="00704A5D" w:rsidRPr="00704A5D" w:rsidRDefault="00704A5D" w:rsidP="003A7572">
      <w:pPr>
        <w:widowControl/>
        <w:spacing w:line="360" w:lineRule="auto"/>
        <w:ind w:firstLine="1440"/>
        <w:rPr>
          <w:color w:val="000000"/>
          <w:sz w:val="26"/>
        </w:rPr>
      </w:pPr>
    </w:p>
    <w:p w:rsidR="00A01265" w:rsidRPr="00047ABB" w:rsidRDefault="00A01265" w:rsidP="003A7572">
      <w:pPr>
        <w:widowControl/>
        <w:spacing w:line="360" w:lineRule="auto"/>
        <w:ind w:firstLine="1440"/>
        <w:rPr>
          <w:sz w:val="26"/>
          <w:szCs w:val="26"/>
        </w:rPr>
      </w:pPr>
      <w:r>
        <w:rPr>
          <w:sz w:val="26"/>
          <w:szCs w:val="26"/>
        </w:rPr>
        <w:lastRenderedPageBreak/>
        <w:t xml:space="preserve">On consideration of the </w:t>
      </w:r>
      <w:r w:rsidR="00833C87">
        <w:rPr>
          <w:i/>
          <w:color w:val="000000"/>
          <w:sz w:val="26"/>
        </w:rPr>
        <w:t>January 2017</w:t>
      </w:r>
      <w:r w:rsidR="00FD4EAE">
        <w:rPr>
          <w:i/>
          <w:color w:val="000000"/>
          <w:sz w:val="26"/>
        </w:rPr>
        <w:t xml:space="preserve"> Interim</w:t>
      </w:r>
      <w:r w:rsidR="00833C87">
        <w:rPr>
          <w:i/>
          <w:color w:val="000000"/>
          <w:sz w:val="26"/>
        </w:rPr>
        <w:t xml:space="preserve"> Order</w:t>
      </w:r>
      <w:r w:rsidR="00833C87">
        <w:rPr>
          <w:sz w:val="26"/>
          <w:szCs w:val="26"/>
        </w:rPr>
        <w:t xml:space="preserve">, </w:t>
      </w:r>
      <w:r w:rsidR="00203A6C">
        <w:rPr>
          <w:sz w:val="26"/>
          <w:szCs w:val="26"/>
        </w:rPr>
        <w:t xml:space="preserve">the pleadings, </w:t>
      </w:r>
      <w:r>
        <w:rPr>
          <w:sz w:val="26"/>
          <w:szCs w:val="26"/>
        </w:rPr>
        <w:t xml:space="preserve">Petition and briefs, we </w:t>
      </w:r>
      <w:r w:rsidR="00BA36AF">
        <w:rPr>
          <w:sz w:val="26"/>
          <w:szCs w:val="26"/>
        </w:rPr>
        <w:t>find that the Petition meet</w:t>
      </w:r>
      <w:r w:rsidR="002F7B33">
        <w:rPr>
          <w:sz w:val="26"/>
          <w:szCs w:val="26"/>
        </w:rPr>
        <w:t>s</w:t>
      </w:r>
      <w:r w:rsidR="00BA36AF">
        <w:rPr>
          <w:sz w:val="26"/>
          <w:szCs w:val="26"/>
        </w:rPr>
        <w:t xml:space="preserve"> the standard</w:t>
      </w:r>
      <w:r w:rsidR="00833C87">
        <w:rPr>
          <w:sz w:val="26"/>
          <w:szCs w:val="26"/>
        </w:rPr>
        <w:t>s</w:t>
      </w:r>
      <w:r w:rsidR="00BA36AF">
        <w:rPr>
          <w:sz w:val="26"/>
          <w:szCs w:val="26"/>
        </w:rPr>
        <w:t xml:space="preserve"> for interlocutory </w:t>
      </w:r>
      <w:r w:rsidR="002F7B33">
        <w:rPr>
          <w:sz w:val="26"/>
          <w:szCs w:val="26"/>
        </w:rPr>
        <w:t xml:space="preserve">Commission </w:t>
      </w:r>
      <w:r w:rsidR="00BA36AF">
        <w:rPr>
          <w:sz w:val="26"/>
          <w:szCs w:val="26"/>
        </w:rPr>
        <w:t>review</w:t>
      </w:r>
      <w:r w:rsidR="00E8082A">
        <w:rPr>
          <w:sz w:val="26"/>
          <w:szCs w:val="26"/>
        </w:rPr>
        <w:t xml:space="preserve"> </w:t>
      </w:r>
      <w:r w:rsidR="002F7B33">
        <w:rPr>
          <w:sz w:val="26"/>
          <w:szCs w:val="26"/>
        </w:rPr>
        <w:t>in</w:t>
      </w:r>
      <w:r w:rsidR="00E8082A">
        <w:rPr>
          <w:sz w:val="26"/>
          <w:szCs w:val="26"/>
        </w:rPr>
        <w:t xml:space="preserve"> that substantial prejudice </w:t>
      </w:r>
      <w:r w:rsidR="004457D3">
        <w:rPr>
          <w:sz w:val="26"/>
          <w:szCs w:val="26"/>
        </w:rPr>
        <w:t xml:space="preserve">to </w:t>
      </w:r>
      <w:r w:rsidR="002F7B33">
        <w:rPr>
          <w:sz w:val="26"/>
          <w:szCs w:val="26"/>
        </w:rPr>
        <w:t xml:space="preserve">the rights of Respond would occur </w:t>
      </w:r>
      <w:r w:rsidR="00CC3682">
        <w:rPr>
          <w:sz w:val="26"/>
          <w:szCs w:val="26"/>
        </w:rPr>
        <w:t>were interlocutory review not granted</w:t>
      </w:r>
      <w:r w:rsidR="00C23B7E">
        <w:rPr>
          <w:sz w:val="26"/>
          <w:szCs w:val="26"/>
        </w:rPr>
        <w:t xml:space="preserve">. </w:t>
      </w:r>
      <w:r w:rsidR="009C2F23">
        <w:rPr>
          <w:sz w:val="26"/>
          <w:szCs w:val="26"/>
        </w:rPr>
        <w:t xml:space="preserve"> </w:t>
      </w:r>
      <w:r w:rsidR="00C23B7E">
        <w:rPr>
          <w:sz w:val="26"/>
          <w:szCs w:val="26"/>
        </w:rPr>
        <w:t>T</w:t>
      </w:r>
      <w:r w:rsidR="002F7B33">
        <w:rPr>
          <w:sz w:val="26"/>
          <w:szCs w:val="26"/>
        </w:rPr>
        <w:t>o the extent th</w:t>
      </w:r>
      <w:r w:rsidR="00B6039F">
        <w:rPr>
          <w:sz w:val="26"/>
          <w:szCs w:val="26"/>
        </w:rPr>
        <w:t>at</w:t>
      </w:r>
      <w:r w:rsidR="002F7B33">
        <w:rPr>
          <w:sz w:val="26"/>
          <w:szCs w:val="26"/>
        </w:rPr>
        <w:t xml:space="preserve"> prejudice to the rights </w:t>
      </w:r>
      <w:r w:rsidR="00C23B7E">
        <w:rPr>
          <w:sz w:val="26"/>
          <w:szCs w:val="26"/>
        </w:rPr>
        <w:t xml:space="preserve">of Respond </w:t>
      </w:r>
      <w:r w:rsidR="00DC7B60">
        <w:rPr>
          <w:sz w:val="26"/>
          <w:szCs w:val="26"/>
        </w:rPr>
        <w:t>could be</w:t>
      </w:r>
      <w:r w:rsidR="002F7B33">
        <w:rPr>
          <w:sz w:val="26"/>
          <w:szCs w:val="26"/>
        </w:rPr>
        <w:t xml:space="preserve"> addressed in the normal course of Commission review </w:t>
      </w:r>
      <w:r w:rsidR="00CC3682">
        <w:rPr>
          <w:sz w:val="26"/>
          <w:szCs w:val="26"/>
        </w:rPr>
        <w:t>upon</w:t>
      </w:r>
      <w:r w:rsidR="00146CA4">
        <w:rPr>
          <w:sz w:val="26"/>
          <w:szCs w:val="26"/>
        </w:rPr>
        <w:t xml:space="preserve"> the filing of </w:t>
      </w:r>
      <w:r w:rsidR="002F7B33">
        <w:rPr>
          <w:sz w:val="26"/>
          <w:szCs w:val="26"/>
        </w:rPr>
        <w:t>Exceptions</w:t>
      </w:r>
      <w:r w:rsidR="00C23B7E">
        <w:rPr>
          <w:sz w:val="26"/>
          <w:szCs w:val="26"/>
        </w:rPr>
        <w:t xml:space="preserve"> subsequent to the issuance of a</w:t>
      </w:r>
      <w:r w:rsidR="00DC7B60">
        <w:rPr>
          <w:sz w:val="26"/>
          <w:szCs w:val="26"/>
        </w:rPr>
        <w:t>n Initial or</w:t>
      </w:r>
      <w:r w:rsidR="00C23B7E">
        <w:rPr>
          <w:sz w:val="26"/>
          <w:szCs w:val="26"/>
        </w:rPr>
        <w:t xml:space="preserve"> Recommended Decision</w:t>
      </w:r>
      <w:r w:rsidR="002F7B33">
        <w:rPr>
          <w:sz w:val="26"/>
          <w:szCs w:val="26"/>
        </w:rPr>
        <w:t>,</w:t>
      </w:r>
      <w:r w:rsidR="004457D3">
        <w:rPr>
          <w:sz w:val="26"/>
          <w:szCs w:val="26"/>
        </w:rPr>
        <w:t xml:space="preserve"> </w:t>
      </w:r>
      <w:r w:rsidR="00833C87">
        <w:rPr>
          <w:sz w:val="26"/>
          <w:szCs w:val="26"/>
        </w:rPr>
        <w:t xml:space="preserve">administrative inefficiency </w:t>
      </w:r>
      <w:r w:rsidR="002F7B33">
        <w:rPr>
          <w:sz w:val="26"/>
          <w:szCs w:val="26"/>
        </w:rPr>
        <w:t xml:space="preserve">would </w:t>
      </w:r>
      <w:r w:rsidR="00CC3682">
        <w:rPr>
          <w:sz w:val="26"/>
          <w:szCs w:val="26"/>
        </w:rPr>
        <w:t xml:space="preserve">concomitantly </w:t>
      </w:r>
      <w:r w:rsidR="00146CA4">
        <w:rPr>
          <w:sz w:val="26"/>
          <w:szCs w:val="26"/>
        </w:rPr>
        <w:t>result</w:t>
      </w:r>
      <w:r w:rsidR="00B6039F">
        <w:rPr>
          <w:sz w:val="26"/>
          <w:szCs w:val="26"/>
        </w:rPr>
        <w:t xml:space="preserve"> in the absence of interlocutory review</w:t>
      </w:r>
      <w:r w:rsidR="00DC7B60">
        <w:rPr>
          <w:sz w:val="26"/>
          <w:szCs w:val="26"/>
        </w:rPr>
        <w:t xml:space="preserve"> at this stage</w:t>
      </w:r>
      <w:r w:rsidR="001D6350">
        <w:rPr>
          <w:sz w:val="26"/>
          <w:szCs w:val="26"/>
        </w:rPr>
        <w:t xml:space="preserve">.  </w:t>
      </w:r>
      <w:r w:rsidR="00B6039F">
        <w:rPr>
          <w:sz w:val="26"/>
          <w:szCs w:val="26"/>
        </w:rPr>
        <w:t>Based on the foregoing, we</w:t>
      </w:r>
      <w:r w:rsidR="001D6350">
        <w:rPr>
          <w:sz w:val="26"/>
          <w:szCs w:val="26"/>
        </w:rPr>
        <w:t xml:space="preserve"> conclude that interlocutory review, consistent with this Opinion and Order</w:t>
      </w:r>
      <w:r w:rsidR="00CC3682">
        <w:rPr>
          <w:sz w:val="26"/>
          <w:szCs w:val="26"/>
        </w:rPr>
        <w:t>,</w:t>
      </w:r>
      <w:r w:rsidR="001D6350">
        <w:rPr>
          <w:sz w:val="26"/>
          <w:szCs w:val="26"/>
        </w:rPr>
        <w:t xml:space="preserve"> will substantially expedite the </w:t>
      </w:r>
      <w:r w:rsidR="00146CA4">
        <w:rPr>
          <w:sz w:val="26"/>
          <w:szCs w:val="26"/>
        </w:rPr>
        <w:t xml:space="preserve">conduct of the </w:t>
      </w:r>
      <w:r w:rsidR="001D6350">
        <w:rPr>
          <w:sz w:val="26"/>
          <w:szCs w:val="26"/>
        </w:rPr>
        <w:t>proceedings.</w:t>
      </w:r>
      <w:r w:rsidR="00BA36AF">
        <w:rPr>
          <w:sz w:val="26"/>
          <w:szCs w:val="26"/>
        </w:rPr>
        <w:t xml:space="preserve">  We </w:t>
      </w:r>
      <w:r>
        <w:rPr>
          <w:sz w:val="26"/>
          <w:szCs w:val="26"/>
        </w:rPr>
        <w:t>shall</w:t>
      </w:r>
      <w:r w:rsidR="00BA36AF">
        <w:rPr>
          <w:sz w:val="26"/>
          <w:szCs w:val="26"/>
        </w:rPr>
        <w:t>, therefore,</w:t>
      </w:r>
      <w:r>
        <w:rPr>
          <w:sz w:val="26"/>
          <w:szCs w:val="26"/>
        </w:rPr>
        <w:t xml:space="preserve"> </w:t>
      </w:r>
      <w:r w:rsidR="00833C87">
        <w:rPr>
          <w:sz w:val="26"/>
          <w:szCs w:val="26"/>
        </w:rPr>
        <w:t xml:space="preserve">grant </w:t>
      </w:r>
      <w:r w:rsidR="00EC7B2E">
        <w:rPr>
          <w:sz w:val="26"/>
          <w:szCs w:val="26"/>
        </w:rPr>
        <w:t xml:space="preserve">the Petition and </w:t>
      </w:r>
      <w:r w:rsidR="00BA36AF">
        <w:rPr>
          <w:sz w:val="26"/>
          <w:szCs w:val="26"/>
        </w:rPr>
        <w:t xml:space="preserve">answer </w:t>
      </w:r>
      <w:r w:rsidR="00EC7B2E">
        <w:rPr>
          <w:sz w:val="26"/>
          <w:szCs w:val="26"/>
        </w:rPr>
        <w:t xml:space="preserve">the </w:t>
      </w:r>
      <w:r w:rsidR="00BA36AF">
        <w:rPr>
          <w:sz w:val="26"/>
          <w:szCs w:val="26"/>
        </w:rPr>
        <w:t>proposed</w:t>
      </w:r>
      <w:r w:rsidR="00F64723">
        <w:rPr>
          <w:sz w:val="26"/>
          <w:szCs w:val="26"/>
        </w:rPr>
        <w:t xml:space="preserve"> </w:t>
      </w:r>
      <w:r w:rsidR="006826F8">
        <w:rPr>
          <w:sz w:val="26"/>
          <w:szCs w:val="26"/>
        </w:rPr>
        <w:t>questions</w:t>
      </w:r>
      <w:r w:rsidR="00833C87">
        <w:rPr>
          <w:sz w:val="26"/>
          <w:szCs w:val="26"/>
        </w:rPr>
        <w:t xml:space="preserve"> </w:t>
      </w:r>
      <w:r w:rsidR="001D6350">
        <w:rPr>
          <w:sz w:val="26"/>
          <w:szCs w:val="26"/>
        </w:rPr>
        <w:t xml:space="preserve">in the affirmative, </w:t>
      </w:r>
      <w:r w:rsidR="00833C87">
        <w:rPr>
          <w:sz w:val="26"/>
          <w:szCs w:val="26"/>
        </w:rPr>
        <w:t>consistent with the discussion herein</w:t>
      </w:r>
      <w:r w:rsidR="006826F8">
        <w:rPr>
          <w:sz w:val="26"/>
          <w:szCs w:val="26"/>
        </w:rPr>
        <w:t>.</w:t>
      </w:r>
      <w:r w:rsidR="00047ABB">
        <w:rPr>
          <w:sz w:val="26"/>
          <w:szCs w:val="26"/>
        </w:rPr>
        <w:t xml:space="preserve">  </w:t>
      </w:r>
      <w:r w:rsidR="00047ABB">
        <w:rPr>
          <w:i/>
          <w:sz w:val="26"/>
          <w:szCs w:val="26"/>
        </w:rPr>
        <w:t xml:space="preserve">See </w:t>
      </w:r>
      <w:r w:rsidR="00047ABB">
        <w:rPr>
          <w:sz w:val="26"/>
          <w:szCs w:val="26"/>
        </w:rPr>
        <w:t>52 Pa. Code § 303(a</w:t>
      </w:r>
      <w:proofErr w:type="gramStart"/>
      <w:r w:rsidR="00047ABB">
        <w:rPr>
          <w:sz w:val="26"/>
          <w:szCs w:val="26"/>
        </w:rPr>
        <w:t>)(</w:t>
      </w:r>
      <w:proofErr w:type="gramEnd"/>
      <w:r w:rsidR="00047ABB">
        <w:rPr>
          <w:sz w:val="26"/>
          <w:szCs w:val="26"/>
        </w:rPr>
        <w:t>3).</w:t>
      </w:r>
    </w:p>
    <w:p w:rsidR="009C665C" w:rsidRDefault="009C665C" w:rsidP="003A7572">
      <w:pPr>
        <w:widowControl/>
        <w:spacing w:line="360" w:lineRule="auto"/>
        <w:rPr>
          <w:sz w:val="26"/>
          <w:szCs w:val="26"/>
        </w:rPr>
      </w:pPr>
    </w:p>
    <w:p w:rsidR="00433393" w:rsidRPr="00EC3718" w:rsidRDefault="00F73EB1" w:rsidP="003A7572">
      <w:pPr>
        <w:pStyle w:val="Style"/>
        <w:keepNext/>
        <w:keepLines/>
        <w:widowControl/>
        <w:spacing w:line="360" w:lineRule="auto"/>
        <w:jc w:val="center"/>
        <w:rPr>
          <w:sz w:val="26"/>
          <w:szCs w:val="26"/>
        </w:rPr>
      </w:pPr>
      <w:r>
        <w:rPr>
          <w:b/>
          <w:sz w:val="26"/>
          <w:szCs w:val="26"/>
        </w:rPr>
        <w:t xml:space="preserve">I.  </w:t>
      </w:r>
      <w:r w:rsidR="00433393">
        <w:rPr>
          <w:b/>
          <w:sz w:val="26"/>
          <w:szCs w:val="26"/>
        </w:rPr>
        <w:t>Background</w:t>
      </w:r>
      <w:r w:rsidR="00BB3311" w:rsidRPr="00EC3718">
        <w:rPr>
          <w:rStyle w:val="FootnoteReference"/>
          <w:sz w:val="26"/>
          <w:szCs w:val="26"/>
        </w:rPr>
        <w:footnoteReference w:id="2"/>
      </w:r>
    </w:p>
    <w:p w:rsidR="00BB3311" w:rsidRPr="00BB3311" w:rsidRDefault="00BB3311" w:rsidP="003A7572">
      <w:pPr>
        <w:pStyle w:val="Style"/>
        <w:keepNext/>
        <w:keepLines/>
        <w:widowControl/>
        <w:spacing w:line="360" w:lineRule="auto"/>
        <w:jc w:val="center"/>
        <w:rPr>
          <w:b/>
          <w:sz w:val="26"/>
          <w:szCs w:val="26"/>
        </w:rPr>
      </w:pPr>
    </w:p>
    <w:p w:rsidR="00BB3311" w:rsidRDefault="00BB3311" w:rsidP="003A7572">
      <w:pPr>
        <w:widowControl/>
        <w:spacing w:line="360" w:lineRule="auto"/>
        <w:ind w:firstLine="1440"/>
        <w:rPr>
          <w:sz w:val="26"/>
          <w:szCs w:val="26"/>
        </w:rPr>
      </w:pPr>
      <w:r w:rsidRPr="009D21F6">
        <w:rPr>
          <w:sz w:val="26"/>
          <w:szCs w:val="26"/>
        </w:rPr>
        <w:t>Pursuant to the Electricity Generation Customer Choice and Competition Act (Act), 66 Pa. C.S. §§ 2801-2812,</w:t>
      </w:r>
      <w:r>
        <w:rPr>
          <w:sz w:val="26"/>
          <w:szCs w:val="26"/>
        </w:rPr>
        <w:t xml:space="preserve"> </w:t>
      </w:r>
      <w:r w:rsidRPr="00ED5966">
        <w:rPr>
          <w:sz w:val="26"/>
          <w:szCs w:val="26"/>
        </w:rPr>
        <w:t>effective January 1, 1997</w:t>
      </w:r>
      <w:r>
        <w:rPr>
          <w:sz w:val="26"/>
          <w:szCs w:val="26"/>
        </w:rPr>
        <w:t xml:space="preserve">, </w:t>
      </w:r>
      <w:r w:rsidRPr="009D21F6">
        <w:rPr>
          <w:sz w:val="26"/>
          <w:szCs w:val="26"/>
        </w:rPr>
        <w:t>the generation of electricity is no</w:t>
      </w:r>
      <w:r>
        <w:rPr>
          <w:sz w:val="26"/>
          <w:szCs w:val="26"/>
        </w:rPr>
        <w:t>t</w:t>
      </w:r>
      <w:r w:rsidRPr="009D21F6">
        <w:rPr>
          <w:sz w:val="26"/>
          <w:szCs w:val="26"/>
        </w:rPr>
        <w:t xml:space="preserve"> regulated as a public utility function in Pennsylvania.</w:t>
      </w:r>
      <w:r>
        <w:rPr>
          <w:sz w:val="26"/>
          <w:szCs w:val="26"/>
        </w:rPr>
        <w:t xml:space="preserve">  </w:t>
      </w:r>
      <w:r>
        <w:rPr>
          <w:i/>
          <w:sz w:val="26"/>
          <w:szCs w:val="26"/>
        </w:rPr>
        <w:t xml:space="preserve">See </w:t>
      </w:r>
      <w:r w:rsidRPr="009D21F6">
        <w:rPr>
          <w:sz w:val="26"/>
          <w:szCs w:val="26"/>
        </w:rPr>
        <w:t>66 Pa. C.S. §</w:t>
      </w:r>
      <w:r w:rsidR="00B76859">
        <w:rPr>
          <w:sz w:val="26"/>
          <w:szCs w:val="26"/>
        </w:rPr>
        <w:t> </w:t>
      </w:r>
      <w:r w:rsidRPr="009D21F6">
        <w:rPr>
          <w:sz w:val="26"/>
          <w:szCs w:val="26"/>
        </w:rPr>
        <w:t>2802(1</w:t>
      </w:r>
      <w:r>
        <w:rPr>
          <w:sz w:val="26"/>
          <w:szCs w:val="26"/>
        </w:rPr>
        <w:t>4</w:t>
      </w:r>
      <w:r w:rsidRPr="009D21F6">
        <w:rPr>
          <w:sz w:val="26"/>
          <w:szCs w:val="26"/>
        </w:rPr>
        <w:t>)</w:t>
      </w:r>
      <w:r w:rsidRPr="00432F7F">
        <w:rPr>
          <w:sz w:val="26"/>
          <w:szCs w:val="26"/>
        </w:rPr>
        <w:t>.</w:t>
      </w:r>
      <w:r w:rsidRPr="009D21F6">
        <w:rPr>
          <w:sz w:val="26"/>
          <w:szCs w:val="26"/>
        </w:rPr>
        <w:t xml:space="preserve">  Only the </w:t>
      </w:r>
      <w:r w:rsidR="00E044BB">
        <w:rPr>
          <w:sz w:val="26"/>
          <w:szCs w:val="26"/>
        </w:rPr>
        <w:t xml:space="preserve">transmission and </w:t>
      </w:r>
      <w:r w:rsidRPr="009D21F6">
        <w:rPr>
          <w:sz w:val="26"/>
          <w:szCs w:val="26"/>
        </w:rPr>
        <w:t xml:space="preserve">distribution of electricity is continued to be regulated as a natural monopoly subject to the direct jurisdiction of the Commission.  </w:t>
      </w:r>
      <w:proofErr w:type="gramStart"/>
      <w:r w:rsidRPr="009D21F6">
        <w:rPr>
          <w:sz w:val="26"/>
          <w:szCs w:val="26"/>
        </w:rPr>
        <w:t>66</w:t>
      </w:r>
      <w:r w:rsidR="00B76859">
        <w:rPr>
          <w:sz w:val="26"/>
          <w:szCs w:val="26"/>
        </w:rPr>
        <w:t> </w:t>
      </w:r>
      <w:r w:rsidRPr="009D21F6">
        <w:rPr>
          <w:sz w:val="26"/>
          <w:szCs w:val="26"/>
        </w:rPr>
        <w:t>Pa. C.S. § 2802(16).</w:t>
      </w:r>
      <w:proofErr w:type="gramEnd"/>
      <w:r w:rsidRPr="009D21F6">
        <w:rPr>
          <w:sz w:val="26"/>
          <w:szCs w:val="26"/>
        </w:rPr>
        <w:t xml:space="preserve">  </w:t>
      </w:r>
      <w:r>
        <w:rPr>
          <w:sz w:val="26"/>
          <w:szCs w:val="26"/>
        </w:rPr>
        <w:t>Pursuant to the Act, r</w:t>
      </w:r>
      <w:r w:rsidRPr="009D21F6">
        <w:rPr>
          <w:sz w:val="26"/>
          <w:szCs w:val="26"/>
        </w:rPr>
        <w:t xml:space="preserve">etail customers are provided direct access to the </w:t>
      </w:r>
      <w:r w:rsidR="0046342E">
        <w:rPr>
          <w:sz w:val="26"/>
          <w:szCs w:val="26"/>
        </w:rPr>
        <w:t xml:space="preserve">wholesale, </w:t>
      </w:r>
      <w:r w:rsidRPr="009D21F6">
        <w:rPr>
          <w:sz w:val="26"/>
          <w:szCs w:val="26"/>
        </w:rPr>
        <w:t>competitive market for the</w:t>
      </w:r>
      <w:r w:rsidR="0046342E">
        <w:rPr>
          <w:sz w:val="26"/>
          <w:szCs w:val="26"/>
        </w:rPr>
        <w:t xml:space="preserve"> </w:t>
      </w:r>
      <w:r w:rsidRPr="009D21F6">
        <w:rPr>
          <w:sz w:val="26"/>
          <w:szCs w:val="26"/>
        </w:rPr>
        <w:t>purchase of electricity</w:t>
      </w:r>
      <w:r>
        <w:rPr>
          <w:sz w:val="26"/>
          <w:szCs w:val="26"/>
        </w:rPr>
        <w:t xml:space="preserve">, which access is enabled by electric generation suppliers (EGS). </w:t>
      </w:r>
      <w:r w:rsidRPr="009D21F6">
        <w:rPr>
          <w:sz w:val="26"/>
          <w:szCs w:val="26"/>
        </w:rPr>
        <w:t xml:space="preserve"> </w:t>
      </w:r>
      <w:r w:rsidRPr="009D21F6">
        <w:rPr>
          <w:i/>
          <w:sz w:val="26"/>
          <w:szCs w:val="26"/>
        </w:rPr>
        <w:t xml:space="preserve">See </w:t>
      </w:r>
      <w:r w:rsidRPr="009D21F6">
        <w:rPr>
          <w:sz w:val="26"/>
          <w:szCs w:val="26"/>
        </w:rPr>
        <w:t>66 Pa. C.S. § 2802(12)-(13).</w:t>
      </w:r>
    </w:p>
    <w:p w:rsidR="00BB3311" w:rsidRDefault="00BB3311" w:rsidP="003A7572">
      <w:pPr>
        <w:widowControl/>
        <w:spacing w:line="360" w:lineRule="auto"/>
        <w:ind w:firstLine="1440"/>
        <w:rPr>
          <w:sz w:val="26"/>
          <w:szCs w:val="26"/>
        </w:rPr>
      </w:pPr>
    </w:p>
    <w:p w:rsidR="00BB3311" w:rsidRDefault="00BB3311" w:rsidP="003A7572">
      <w:pPr>
        <w:widowControl/>
        <w:spacing w:line="360" w:lineRule="auto"/>
        <w:ind w:firstLine="1440"/>
        <w:rPr>
          <w:sz w:val="26"/>
          <w:szCs w:val="26"/>
        </w:rPr>
      </w:pPr>
      <w:r>
        <w:rPr>
          <w:sz w:val="26"/>
          <w:szCs w:val="26"/>
        </w:rPr>
        <w:lastRenderedPageBreak/>
        <w:t>An EGS is defined as “</w:t>
      </w:r>
      <w:r w:rsidR="003A7572">
        <w:rPr>
          <w:sz w:val="26"/>
          <w:szCs w:val="26"/>
        </w:rPr>
        <w:t>[a]</w:t>
      </w:r>
      <w:r w:rsidRPr="00A151D4">
        <w:rPr>
          <w:sz w:val="26"/>
          <w:szCs w:val="26"/>
        </w:rPr>
        <w:t xml:space="preserve"> person or corporation,</w:t>
      </w:r>
      <w:r>
        <w:rPr>
          <w:sz w:val="26"/>
          <w:szCs w:val="26"/>
        </w:rPr>
        <w:t xml:space="preserve"> . . .</w:t>
      </w:r>
      <w:r w:rsidRPr="00A151D4">
        <w:rPr>
          <w:sz w:val="26"/>
          <w:szCs w:val="26"/>
        </w:rPr>
        <w:t xml:space="preserve">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w:t>
      </w:r>
      <w:r>
        <w:rPr>
          <w:sz w:val="26"/>
          <w:szCs w:val="26"/>
        </w:rPr>
        <w:t xml:space="preserve"> . . .”  </w:t>
      </w:r>
      <w:proofErr w:type="gramStart"/>
      <w:r>
        <w:rPr>
          <w:sz w:val="26"/>
          <w:szCs w:val="26"/>
        </w:rPr>
        <w:t>66 Pa. C.S. § 280</w:t>
      </w:r>
      <w:r w:rsidR="001674B5">
        <w:rPr>
          <w:sz w:val="26"/>
          <w:szCs w:val="26"/>
        </w:rPr>
        <w:t>3</w:t>
      </w:r>
      <w:r w:rsidR="003A7572">
        <w:rPr>
          <w:sz w:val="26"/>
          <w:szCs w:val="26"/>
        </w:rPr>
        <w:t>.</w:t>
      </w:r>
      <w:proofErr w:type="gramEnd"/>
    </w:p>
    <w:p w:rsidR="00BB3311" w:rsidRDefault="00BB3311" w:rsidP="003A7572">
      <w:pPr>
        <w:widowControl/>
        <w:spacing w:line="360" w:lineRule="auto"/>
        <w:ind w:firstLine="1440"/>
        <w:rPr>
          <w:sz w:val="26"/>
          <w:szCs w:val="26"/>
        </w:rPr>
      </w:pPr>
    </w:p>
    <w:p w:rsidR="00BB3311" w:rsidRDefault="00BB3311" w:rsidP="003A7572">
      <w:pPr>
        <w:pStyle w:val="Default"/>
        <w:spacing w:line="360" w:lineRule="auto"/>
        <w:ind w:firstLine="1440"/>
        <w:rPr>
          <w:color w:val="auto"/>
          <w:sz w:val="26"/>
          <w:szCs w:val="26"/>
        </w:rPr>
      </w:pPr>
      <w:r>
        <w:rPr>
          <w:color w:val="auto"/>
          <w:sz w:val="26"/>
          <w:szCs w:val="26"/>
        </w:rPr>
        <w:t xml:space="preserve">The Act, </w:t>
      </w:r>
      <w:r>
        <w:rPr>
          <w:i/>
          <w:color w:val="auto"/>
          <w:sz w:val="26"/>
          <w:szCs w:val="26"/>
        </w:rPr>
        <w:t>inter alia</w:t>
      </w:r>
      <w:r>
        <w:rPr>
          <w:color w:val="auto"/>
          <w:sz w:val="26"/>
          <w:szCs w:val="26"/>
        </w:rPr>
        <w:t xml:space="preserve">, provided for a transition from previously regulated bundled distribution and generation service provided by the regulated entities, </w:t>
      </w:r>
      <w:r w:rsidR="0046342E">
        <w:rPr>
          <w:color w:val="auto"/>
          <w:sz w:val="26"/>
          <w:szCs w:val="26"/>
        </w:rPr>
        <w:t xml:space="preserve">the </w:t>
      </w:r>
      <w:r>
        <w:rPr>
          <w:color w:val="auto"/>
          <w:sz w:val="26"/>
          <w:szCs w:val="26"/>
        </w:rPr>
        <w:t xml:space="preserve">electric distribution company (EDC). </w:t>
      </w:r>
      <w:r>
        <w:rPr>
          <w:i/>
          <w:color w:val="auto"/>
          <w:sz w:val="26"/>
          <w:szCs w:val="26"/>
        </w:rPr>
        <w:t xml:space="preserve"> </w:t>
      </w:r>
      <w:r w:rsidRPr="00C701E3">
        <w:rPr>
          <w:color w:val="auto"/>
          <w:sz w:val="26"/>
          <w:szCs w:val="26"/>
        </w:rPr>
        <w:t xml:space="preserve">At the end of the transition period for the switch from regulation to competition, the Act provided that each EDC would act as a provider of default service to provide electric generation service to customers not served by EGSs. </w:t>
      </w:r>
      <w:r>
        <w:rPr>
          <w:color w:val="auto"/>
          <w:sz w:val="26"/>
          <w:szCs w:val="26"/>
        </w:rPr>
        <w:t xml:space="preserve"> </w:t>
      </w:r>
      <w:r>
        <w:rPr>
          <w:i/>
          <w:color w:val="auto"/>
          <w:sz w:val="26"/>
          <w:szCs w:val="26"/>
        </w:rPr>
        <w:t xml:space="preserve">See </w:t>
      </w:r>
      <w:r w:rsidRPr="00C701E3">
        <w:rPr>
          <w:color w:val="auto"/>
          <w:sz w:val="26"/>
          <w:szCs w:val="26"/>
        </w:rPr>
        <w:t>66 Pa.</w:t>
      </w:r>
      <w:r>
        <w:rPr>
          <w:color w:val="auto"/>
          <w:sz w:val="26"/>
          <w:szCs w:val="26"/>
        </w:rPr>
        <w:t xml:space="preserve"> </w:t>
      </w:r>
      <w:r w:rsidRPr="00C701E3">
        <w:rPr>
          <w:color w:val="auto"/>
          <w:sz w:val="26"/>
          <w:szCs w:val="26"/>
        </w:rPr>
        <w:t>C.S. § 2807(e).</w:t>
      </w:r>
      <w:r w:rsidR="0046342E">
        <w:rPr>
          <w:i/>
          <w:color w:val="auto"/>
          <w:sz w:val="26"/>
          <w:szCs w:val="26"/>
        </w:rPr>
        <w:t xml:space="preserve">  </w:t>
      </w:r>
      <w:r w:rsidRPr="00C701E3">
        <w:rPr>
          <w:color w:val="auto"/>
          <w:sz w:val="26"/>
          <w:szCs w:val="26"/>
        </w:rPr>
        <w:t xml:space="preserve">In order to provide this service, the </w:t>
      </w:r>
      <w:r>
        <w:rPr>
          <w:color w:val="auto"/>
          <w:sz w:val="26"/>
          <w:szCs w:val="26"/>
        </w:rPr>
        <w:t>A</w:t>
      </w:r>
      <w:r w:rsidRPr="00C701E3">
        <w:rPr>
          <w:color w:val="auto"/>
          <w:sz w:val="26"/>
          <w:szCs w:val="26"/>
        </w:rPr>
        <w:t>ct</w:t>
      </w:r>
      <w:r>
        <w:rPr>
          <w:color w:val="auto"/>
          <w:sz w:val="26"/>
          <w:szCs w:val="26"/>
        </w:rPr>
        <w:t xml:space="preserve">, </w:t>
      </w:r>
      <w:r w:rsidRPr="00C701E3">
        <w:rPr>
          <w:color w:val="auto"/>
          <w:sz w:val="26"/>
          <w:szCs w:val="26"/>
        </w:rPr>
        <w:t>required the Commission to promulgate regulations establishing how EDCs would provide default service.</w:t>
      </w:r>
      <w:r w:rsidR="00B81847">
        <w:rPr>
          <w:color w:val="auto"/>
          <w:sz w:val="26"/>
          <w:szCs w:val="26"/>
        </w:rPr>
        <w:t xml:space="preserve">  </w:t>
      </w:r>
      <w:r w:rsidR="00B81847">
        <w:rPr>
          <w:i/>
          <w:color w:val="auto"/>
          <w:sz w:val="26"/>
          <w:szCs w:val="26"/>
        </w:rPr>
        <w:t>Id</w:t>
      </w:r>
      <w:r w:rsidR="00B81847">
        <w:rPr>
          <w:color w:val="auto"/>
          <w:sz w:val="26"/>
          <w:szCs w:val="26"/>
        </w:rPr>
        <w:t>.</w:t>
      </w:r>
    </w:p>
    <w:p w:rsidR="00BB3311" w:rsidRPr="00C701E3" w:rsidRDefault="00BB3311" w:rsidP="003A7572">
      <w:pPr>
        <w:pStyle w:val="Default"/>
        <w:spacing w:line="360" w:lineRule="auto"/>
        <w:ind w:firstLine="1440"/>
        <w:rPr>
          <w:color w:val="auto"/>
          <w:sz w:val="26"/>
          <w:szCs w:val="26"/>
        </w:rPr>
      </w:pPr>
    </w:p>
    <w:p w:rsidR="00471B4F" w:rsidRDefault="00BB3311" w:rsidP="003A7572">
      <w:pPr>
        <w:widowControl/>
        <w:spacing w:line="360" w:lineRule="auto"/>
        <w:ind w:firstLine="1440"/>
        <w:rPr>
          <w:sz w:val="26"/>
          <w:szCs w:val="26"/>
        </w:rPr>
      </w:pPr>
      <w:r w:rsidRPr="00C701E3">
        <w:rPr>
          <w:sz w:val="26"/>
          <w:szCs w:val="26"/>
        </w:rPr>
        <w:t>Pursuant to the Act, the Commission enacted default service regulations, 52</w:t>
      </w:r>
      <w:r w:rsidR="003A7572">
        <w:rPr>
          <w:sz w:val="26"/>
          <w:szCs w:val="26"/>
        </w:rPr>
        <w:t> </w:t>
      </w:r>
      <w:r w:rsidRPr="00C701E3">
        <w:rPr>
          <w:sz w:val="26"/>
          <w:szCs w:val="26"/>
        </w:rPr>
        <w:t>Pa.</w:t>
      </w:r>
      <w:r>
        <w:rPr>
          <w:sz w:val="26"/>
          <w:szCs w:val="26"/>
        </w:rPr>
        <w:t xml:space="preserve"> </w:t>
      </w:r>
      <w:r w:rsidRPr="00C701E3">
        <w:rPr>
          <w:sz w:val="26"/>
          <w:szCs w:val="26"/>
        </w:rPr>
        <w:t xml:space="preserve">Code §§ 54.181- 54.189, and </w:t>
      </w:r>
      <w:r w:rsidR="00865989">
        <w:rPr>
          <w:sz w:val="26"/>
          <w:szCs w:val="26"/>
        </w:rPr>
        <w:t xml:space="preserve">issued </w:t>
      </w:r>
      <w:r w:rsidRPr="00C701E3">
        <w:rPr>
          <w:sz w:val="26"/>
          <w:szCs w:val="26"/>
        </w:rPr>
        <w:t xml:space="preserve">a </w:t>
      </w:r>
      <w:r>
        <w:rPr>
          <w:sz w:val="26"/>
          <w:szCs w:val="26"/>
        </w:rPr>
        <w:t>P</w:t>
      </w:r>
      <w:r w:rsidRPr="00C701E3">
        <w:rPr>
          <w:sz w:val="26"/>
          <w:szCs w:val="26"/>
        </w:rPr>
        <w:t xml:space="preserve">olicy </w:t>
      </w:r>
      <w:r>
        <w:rPr>
          <w:sz w:val="26"/>
          <w:szCs w:val="26"/>
        </w:rPr>
        <w:t>S</w:t>
      </w:r>
      <w:r w:rsidRPr="00C701E3">
        <w:rPr>
          <w:sz w:val="26"/>
          <w:szCs w:val="26"/>
        </w:rPr>
        <w:t>tatement, 52 Pa.</w:t>
      </w:r>
      <w:r>
        <w:rPr>
          <w:sz w:val="26"/>
          <w:szCs w:val="26"/>
        </w:rPr>
        <w:t xml:space="preserve"> </w:t>
      </w:r>
      <w:r w:rsidRPr="00C701E3">
        <w:rPr>
          <w:sz w:val="26"/>
          <w:szCs w:val="26"/>
        </w:rPr>
        <w:t xml:space="preserve">Code §§ 69.1802- 69.1817, addressing </w:t>
      </w:r>
      <w:r w:rsidR="0046342E">
        <w:rPr>
          <w:sz w:val="26"/>
          <w:szCs w:val="26"/>
        </w:rPr>
        <w:t>default service providers (</w:t>
      </w:r>
      <w:r w:rsidRPr="00C701E3">
        <w:rPr>
          <w:sz w:val="26"/>
          <w:szCs w:val="26"/>
        </w:rPr>
        <w:t>DSPs</w:t>
      </w:r>
      <w:r w:rsidR="0046342E">
        <w:rPr>
          <w:sz w:val="26"/>
          <w:szCs w:val="26"/>
        </w:rPr>
        <w:t>)</w:t>
      </w:r>
      <w:r w:rsidRPr="00C701E3">
        <w:rPr>
          <w:sz w:val="26"/>
          <w:szCs w:val="26"/>
        </w:rPr>
        <w:t>.</w:t>
      </w:r>
      <w:r w:rsidR="00804A80">
        <w:rPr>
          <w:sz w:val="26"/>
          <w:szCs w:val="26"/>
        </w:rPr>
        <w:t xml:space="preserve">  Pursuant to 52 Pa. Code §</w:t>
      </w:r>
      <w:r w:rsidR="003A7572">
        <w:rPr>
          <w:sz w:val="26"/>
          <w:szCs w:val="26"/>
        </w:rPr>
        <w:t> </w:t>
      </w:r>
      <w:r w:rsidR="00804A80">
        <w:rPr>
          <w:sz w:val="26"/>
          <w:szCs w:val="26"/>
        </w:rPr>
        <w:t>5.183(a), t</w:t>
      </w:r>
      <w:r w:rsidR="00804A80" w:rsidRPr="00B31B8D">
        <w:rPr>
          <w:sz w:val="26"/>
          <w:szCs w:val="26"/>
        </w:rPr>
        <w:t xml:space="preserve">he DSP </w:t>
      </w:r>
      <w:r w:rsidR="00804A80">
        <w:rPr>
          <w:sz w:val="26"/>
          <w:szCs w:val="26"/>
        </w:rPr>
        <w:t>is</w:t>
      </w:r>
      <w:r w:rsidR="00804A80" w:rsidRPr="00B31B8D">
        <w:rPr>
          <w:sz w:val="26"/>
          <w:szCs w:val="26"/>
        </w:rPr>
        <w:t xml:space="preserve"> the incumbent EDC in each certificated service territory, except as provided for under subsection (b)</w:t>
      </w:r>
      <w:r w:rsidR="00804A80">
        <w:rPr>
          <w:sz w:val="26"/>
          <w:szCs w:val="26"/>
        </w:rPr>
        <w:t xml:space="preserve"> of the regulation</w:t>
      </w:r>
      <w:r w:rsidR="00804A80" w:rsidRPr="00B31B8D">
        <w:rPr>
          <w:sz w:val="26"/>
          <w:szCs w:val="26"/>
        </w:rPr>
        <w:t>.</w:t>
      </w:r>
    </w:p>
    <w:p w:rsidR="00471B4F" w:rsidRDefault="00471B4F" w:rsidP="003A7572">
      <w:pPr>
        <w:widowControl/>
        <w:spacing w:line="360" w:lineRule="auto"/>
        <w:ind w:firstLine="1440"/>
        <w:rPr>
          <w:sz w:val="26"/>
          <w:szCs w:val="26"/>
        </w:rPr>
      </w:pPr>
    </w:p>
    <w:p w:rsidR="009C665C" w:rsidRPr="003A7572" w:rsidRDefault="00BB3311" w:rsidP="003A7572">
      <w:pPr>
        <w:widowControl/>
        <w:spacing w:line="360" w:lineRule="auto"/>
        <w:ind w:firstLine="1440"/>
        <w:rPr>
          <w:bCs/>
          <w:sz w:val="26"/>
          <w:szCs w:val="26"/>
        </w:rPr>
      </w:pPr>
      <w:r w:rsidRPr="00C701E3">
        <w:rPr>
          <w:sz w:val="26"/>
          <w:szCs w:val="26"/>
        </w:rPr>
        <w:t xml:space="preserve">The </w:t>
      </w:r>
      <w:r w:rsidR="00495F8D">
        <w:rPr>
          <w:sz w:val="26"/>
          <w:szCs w:val="26"/>
        </w:rPr>
        <w:t xml:space="preserve">DSP </w:t>
      </w:r>
      <w:r w:rsidRPr="00C701E3">
        <w:rPr>
          <w:sz w:val="26"/>
          <w:szCs w:val="26"/>
        </w:rPr>
        <w:t>regulations became effective in 2007 and have been amended to incorporate the amendments to the Act by Act 129.</w:t>
      </w:r>
      <w:r w:rsidR="0046342E">
        <w:rPr>
          <w:sz w:val="26"/>
          <w:szCs w:val="26"/>
        </w:rPr>
        <w:t xml:space="preserve">  </w:t>
      </w:r>
      <w:r w:rsidR="0046342E">
        <w:rPr>
          <w:i/>
          <w:sz w:val="26"/>
          <w:szCs w:val="26"/>
        </w:rPr>
        <w:t>See</w:t>
      </w:r>
      <w:r w:rsidRPr="00C701E3">
        <w:rPr>
          <w:sz w:val="26"/>
          <w:szCs w:val="26"/>
        </w:rPr>
        <w:t xml:space="preserve"> </w:t>
      </w:r>
      <w:r w:rsidRPr="0046342E">
        <w:rPr>
          <w:i/>
          <w:sz w:val="26"/>
          <w:szCs w:val="26"/>
        </w:rPr>
        <w:t>Implementation of Act 129 of October 15, 2008</w:t>
      </w:r>
      <w:r w:rsidRPr="00C701E3">
        <w:rPr>
          <w:sz w:val="26"/>
          <w:szCs w:val="26"/>
        </w:rPr>
        <w:t xml:space="preserve">; </w:t>
      </w:r>
      <w:r w:rsidRPr="0046342E">
        <w:rPr>
          <w:i/>
          <w:sz w:val="26"/>
          <w:szCs w:val="26"/>
        </w:rPr>
        <w:t>Default Service And Retail Electric Markets</w:t>
      </w:r>
      <w:r w:rsidRPr="00C701E3">
        <w:rPr>
          <w:sz w:val="26"/>
          <w:szCs w:val="26"/>
        </w:rPr>
        <w:t>, Docket No. L</w:t>
      </w:r>
      <w:r w:rsidR="003A7572">
        <w:rPr>
          <w:sz w:val="26"/>
          <w:szCs w:val="26"/>
        </w:rPr>
        <w:t>-</w:t>
      </w:r>
      <w:r w:rsidRPr="00C701E3">
        <w:rPr>
          <w:sz w:val="26"/>
          <w:szCs w:val="26"/>
        </w:rPr>
        <w:t>2009-2095604 (Final Rulemaking Order entered October 4, 2011) (</w:t>
      </w:r>
      <w:r w:rsidRPr="0046342E">
        <w:rPr>
          <w:i/>
          <w:sz w:val="26"/>
          <w:szCs w:val="26"/>
        </w:rPr>
        <w:t>Act 129 Final Rulemaking Order</w:t>
      </w:r>
      <w:r w:rsidRPr="00C701E3">
        <w:rPr>
          <w:sz w:val="26"/>
          <w:szCs w:val="26"/>
        </w:rPr>
        <w:t>)</w:t>
      </w:r>
      <w:r w:rsidR="009C665C">
        <w:rPr>
          <w:sz w:val="26"/>
          <w:szCs w:val="26"/>
        </w:rPr>
        <w:t xml:space="preserve">; </w:t>
      </w:r>
      <w:r w:rsidR="00F93C83">
        <w:rPr>
          <w:i/>
          <w:sz w:val="26"/>
          <w:szCs w:val="26"/>
        </w:rPr>
        <w:t>s</w:t>
      </w:r>
      <w:r w:rsidR="009C665C" w:rsidRPr="00416381">
        <w:rPr>
          <w:bCs/>
          <w:i/>
          <w:sz w:val="26"/>
          <w:szCs w:val="26"/>
        </w:rPr>
        <w:t>ee also</w:t>
      </w:r>
      <w:r w:rsidR="009C665C">
        <w:rPr>
          <w:bCs/>
          <w:sz w:val="26"/>
          <w:szCs w:val="26"/>
        </w:rPr>
        <w:t xml:space="preserve">, </w:t>
      </w:r>
      <w:r w:rsidR="009C665C" w:rsidRPr="00E75F8E">
        <w:rPr>
          <w:bCs/>
          <w:i/>
          <w:sz w:val="26"/>
          <w:szCs w:val="26"/>
        </w:rPr>
        <w:t>Romeo v. Pa. PUC</w:t>
      </w:r>
      <w:r w:rsidR="009C665C" w:rsidRPr="00E75F8E">
        <w:rPr>
          <w:bCs/>
          <w:sz w:val="26"/>
          <w:szCs w:val="26"/>
        </w:rPr>
        <w:t>, 154 A.3d 422</w:t>
      </w:r>
      <w:r w:rsidR="00F93C83">
        <w:rPr>
          <w:bCs/>
          <w:sz w:val="26"/>
          <w:szCs w:val="26"/>
        </w:rPr>
        <w:t>, 424</w:t>
      </w:r>
      <w:r w:rsidR="009C665C">
        <w:rPr>
          <w:bCs/>
          <w:sz w:val="26"/>
          <w:szCs w:val="26"/>
        </w:rPr>
        <w:t xml:space="preserve"> (Pa. Cmwlth. 2017) </w:t>
      </w:r>
      <w:r w:rsidR="003A7572">
        <w:rPr>
          <w:bCs/>
          <w:sz w:val="26"/>
          <w:szCs w:val="26"/>
        </w:rPr>
        <w:t>–</w:t>
      </w:r>
      <w:r w:rsidR="009C665C">
        <w:rPr>
          <w:bCs/>
          <w:sz w:val="26"/>
          <w:szCs w:val="26"/>
        </w:rPr>
        <w:t xml:space="preserve"> </w:t>
      </w:r>
      <w:r w:rsidR="009C665C" w:rsidRPr="00416381">
        <w:rPr>
          <w:sz w:val="26"/>
          <w:szCs w:val="26"/>
        </w:rPr>
        <w:t xml:space="preserve">As background, by Act 129 </w:t>
      </w:r>
      <w:r w:rsidR="00495F8D">
        <w:rPr>
          <w:sz w:val="26"/>
          <w:szCs w:val="26"/>
        </w:rPr>
        <w:t>. . .</w:t>
      </w:r>
      <w:r w:rsidR="009C665C">
        <w:rPr>
          <w:sz w:val="26"/>
          <w:szCs w:val="26"/>
        </w:rPr>
        <w:t xml:space="preserve"> </w:t>
      </w:r>
      <w:r w:rsidR="009C665C" w:rsidRPr="00416381">
        <w:rPr>
          <w:sz w:val="26"/>
          <w:szCs w:val="26"/>
        </w:rPr>
        <w:t xml:space="preserve">the General Assembly amended the </w:t>
      </w:r>
      <w:r w:rsidR="009C665C">
        <w:rPr>
          <w:sz w:val="26"/>
          <w:szCs w:val="26"/>
        </w:rPr>
        <w:t xml:space="preserve">. . . </w:t>
      </w:r>
      <w:r w:rsidR="009C665C" w:rsidRPr="00416381">
        <w:rPr>
          <w:sz w:val="26"/>
          <w:szCs w:val="26"/>
        </w:rPr>
        <w:t>Code</w:t>
      </w:r>
      <w:r w:rsidR="009C665C">
        <w:rPr>
          <w:sz w:val="26"/>
          <w:szCs w:val="26"/>
        </w:rPr>
        <w:t xml:space="preserve"> . . .</w:t>
      </w:r>
      <w:r w:rsidR="009C665C" w:rsidRPr="00416381">
        <w:rPr>
          <w:sz w:val="26"/>
          <w:szCs w:val="26"/>
        </w:rPr>
        <w:t xml:space="preserve"> for the purpose of reducing energy consumption and demand. </w:t>
      </w:r>
      <w:r w:rsidR="009C665C">
        <w:rPr>
          <w:sz w:val="26"/>
          <w:szCs w:val="26"/>
        </w:rPr>
        <w:t xml:space="preserve"> </w:t>
      </w:r>
      <w:r w:rsidR="009C665C" w:rsidRPr="00F93C83">
        <w:rPr>
          <w:sz w:val="26"/>
          <w:szCs w:val="26"/>
        </w:rPr>
        <w:t>Act 129</w:t>
      </w:r>
      <w:r w:rsidR="009C665C" w:rsidRPr="00416381">
        <w:rPr>
          <w:sz w:val="26"/>
          <w:szCs w:val="26"/>
        </w:rPr>
        <w:t xml:space="preserve"> set in motion a multi-</w:t>
      </w:r>
      <w:r w:rsidR="009C665C" w:rsidRPr="00416381">
        <w:rPr>
          <w:sz w:val="26"/>
          <w:szCs w:val="26"/>
        </w:rPr>
        <w:lastRenderedPageBreak/>
        <w:t>phase implementation process that addresses electric distribution companies and default service provider responsibilities, conservation service providers, smart meter technology, time-of-use rates, real-time pricing plans, default service procurement, market misconduct, alternative energy sources, and cost recovery</w:t>
      </w:r>
      <w:r w:rsidR="009C665C">
        <w:rPr>
          <w:sz w:val="26"/>
          <w:szCs w:val="26"/>
        </w:rPr>
        <w:t>.</w:t>
      </w:r>
    </w:p>
    <w:p w:rsidR="00BB3311" w:rsidRPr="00C701E3" w:rsidRDefault="00BB3311" w:rsidP="003A7572">
      <w:pPr>
        <w:widowControl/>
        <w:spacing w:line="360" w:lineRule="auto"/>
        <w:rPr>
          <w:sz w:val="26"/>
          <w:szCs w:val="26"/>
        </w:rPr>
      </w:pPr>
    </w:p>
    <w:p w:rsidR="00654714" w:rsidRDefault="00654714" w:rsidP="003A7572">
      <w:pPr>
        <w:widowControl/>
        <w:spacing w:line="360" w:lineRule="auto"/>
        <w:ind w:firstLine="1440"/>
        <w:rPr>
          <w:sz w:val="26"/>
          <w:szCs w:val="26"/>
        </w:rPr>
      </w:pPr>
      <w:r>
        <w:rPr>
          <w:sz w:val="26"/>
          <w:szCs w:val="26"/>
        </w:rPr>
        <w:t>Respond is an EGS</w:t>
      </w:r>
      <w:r w:rsidR="005D6864">
        <w:rPr>
          <w:sz w:val="26"/>
          <w:szCs w:val="26"/>
        </w:rPr>
        <w:t xml:space="preserve"> entity</w:t>
      </w:r>
      <w:r>
        <w:rPr>
          <w:sz w:val="26"/>
          <w:szCs w:val="26"/>
        </w:rPr>
        <w:t xml:space="preserve"> licensed by the Commission </w:t>
      </w:r>
      <w:r w:rsidR="004A6658">
        <w:rPr>
          <w:sz w:val="26"/>
          <w:szCs w:val="26"/>
        </w:rPr>
        <w:t xml:space="preserve">to </w:t>
      </w:r>
      <w:r>
        <w:rPr>
          <w:sz w:val="26"/>
          <w:szCs w:val="26"/>
        </w:rPr>
        <w:t xml:space="preserve">provide EGS service to residential, small commercial, and large commercial customers in the service territories of Allegheny Power, Duquesne Light Company, Metropolitan Edison Company, Pennsylvania Electric Company, Pennsylvania Power Company, PECO Energy Company, PPL Utilities Corporation, and UGI Utilities, Inc.  </w:t>
      </w:r>
      <w:r>
        <w:rPr>
          <w:i/>
          <w:sz w:val="26"/>
          <w:szCs w:val="26"/>
        </w:rPr>
        <w:t>See</w:t>
      </w:r>
      <w:r w:rsidR="004A6658">
        <w:rPr>
          <w:i/>
          <w:sz w:val="26"/>
          <w:szCs w:val="26"/>
        </w:rPr>
        <w:t xml:space="preserve"> </w:t>
      </w:r>
      <w:r w:rsidR="008A2688" w:rsidRPr="0018116F">
        <w:rPr>
          <w:i/>
          <w:sz w:val="26"/>
          <w:szCs w:val="26"/>
        </w:rPr>
        <w:t>License Application of Respond Power LLC for Approval to Offer, Render, Furnish or Supply Electricity or Electric Generation Services as a Supplier of Retail Electric Power</w:t>
      </w:r>
      <w:r w:rsidR="00433393">
        <w:rPr>
          <w:sz w:val="26"/>
          <w:szCs w:val="26"/>
        </w:rPr>
        <w:t xml:space="preserve">, Docket No. </w:t>
      </w:r>
      <w:proofErr w:type="gramStart"/>
      <w:r w:rsidR="008A2688">
        <w:rPr>
          <w:sz w:val="26"/>
          <w:szCs w:val="26"/>
        </w:rPr>
        <w:t>A-2010-2163898 (</w:t>
      </w:r>
      <w:r w:rsidR="004A6658">
        <w:rPr>
          <w:sz w:val="26"/>
          <w:szCs w:val="26"/>
        </w:rPr>
        <w:t>Order of August 19, 2010</w:t>
      </w:r>
      <w:r w:rsidR="008A2688">
        <w:rPr>
          <w:sz w:val="26"/>
          <w:szCs w:val="26"/>
        </w:rPr>
        <w:t>)</w:t>
      </w:r>
      <w:r w:rsidR="004A6658">
        <w:rPr>
          <w:sz w:val="26"/>
          <w:szCs w:val="26"/>
        </w:rPr>
        <w:t xml:space="preserve">; </w:t>
      </w:r>
      <w:r w:rsidR="003A7572">
        <w:rPr>
          <w:sz w:val="26"/>
          <w:szCs w:val="26"/>
        </w:rPr>
        <w:t>Complaint.</w:t>
      </w:r>
      <w:proofErr w:type="gramEnd"/>
    </w:p>
    <w:p w:rsidR="00F62D1C" w:rsidRDefault="00F62D1C" w:rsidP="003A7572">
      <w:pPr>
        <w:widowControl/>
        <w:spacing w:line="360" w:lineRule="auto"/>
        <w:ind w:firstLine="1440"/>
        <w:rPr>
          <w:sz w:val="26"/>
          <w:szCs w:val="26"/>
        </w:rPr>
      </w:pPr>
    </w:p>
    <w:p w:rsidR="00146CA4" w:rsidRDefault="00A47920" w:rsidP="003A7572">
      <w:pPr>
        <w:widowControl/>
        <w:autoSpaceDE w:val="0"/>
        <w:autoSpaceDN w:val="0"/>
        <w:adjustRightInd w:val="0"/>
        <w:spacing w:line="360" w:lineRule="auto"/>
        <w:ind w:firstLine="1440"/>
        <w:rPr>
          <w:i/>
          <w:iCs/>
          <w:sz w:val="26"/>
          <w:szCs w:val="26"/>
        </w:rPr>
      </w:pPr>
      <w:r>
        <w:rPr>
          <w:sz w:val="26"/>
          <w:szCs w:val="26"/>
        </w:rPr>
        <w:t xml:space="preserve">Penelec </w:t>
      </w:r>
      <w:r w:rsidR="006826F8">
        <w:rPr>
          <w:sz w:val="26"/>
          <w:szCs w:val="26"/>
        </w:rPr>
        <w:t xml:space="preserve">and West Penn are </w:t>
      </w:r>
      <w:r w:rsidR="00C307D3">
        <w:rPr>
          <w:sz w:val="26"/>
          <w:szCs w:val="26"/>
        </w:rPr>
        <w:t>EDCs</w:t>
      </w:r>
      <w:r w:rsidR="00BA0063">
        <w:rPr>
          <w:sz w:val="26"/>
          <w:szCs w:val="26"/>
        </w:rPr>
        <w:t xml:space="preserve"> that</w:t>
      </w:r>
      <w:r w:rsidR="006826F8">
        <w:rPr>
          <w:sz w:val="26"/>
          <w:szCs w:val="26"/>
        </w:rPr>
        <w:t xml:space="preserve"> are </w:t>
      </w:r>
      <w:r w:rsidR="005E0B87">
        <w:rPr>
          <w:sz w:val="26"/>
          <w:szCs w:val="26"/>
        </w:rPr>
        <w:t xml:space="preserve">operating company </w:t>
      </w:r>
      <w:r w:rsidR="006826F8">
        <w:rPr>
          <w:sz w:val="26"/>
          <w:szCs w:val="26"/>
        </w:rPr>
        <w:t xml:space="preserve">affiliates of </w:t>
      </w:r>
      <w:r w:rsidR="00146CA4">
        <w:rPr>
          <w:sz w:val="26"/>
          <w:szCs w:val="26"/>
        </w:rPr>
        <w:t>First Energy.</w:t>
      </w:r>
      <w:r w:rsidR="001972B9">
        <w:rPr>
          <w:sz w:val="26"/>
          <w:szCs w:val="26"/>
        </w:rPr>
        <w:t xml:space="preserve">  </w:t>
      </w:r>
      <w:proofErr w:type="gramStart"/>
      <w:r w:rsidR="001972B9">
        <w:rPr>
          <w:i/>
          <w:sz w:val="26"/>
          <w:szCs w:val="26"/>
        </w:rPr>
        <w:t xml:space="preserve">See  </w:t>
      </w:r>
      <w:r w:rsidR="001972B9">
        <w:rPr>
          <w:sz w:val="26"/>
          <w:szCs w:val="26"/>
        </w:rPr>
        <w:t>Complaint</w:t>
      </w:r>
      <w:proofErr w:type="gramEnd"/>
      <w:r w:rsidR="001972B9">
        <w:rPr>
          <w:sz w:val="26"/>
          <w:szCs w:val="26"/>
        </w:rPr>
        <w:t>.</w:t>
      </w:r>
    </w:p>
    <w:p w:rsidR="009B3DA7" w:rsidRDefault="009B3DA7" w:rsidP="003A7572">
      <w:pPr>
        <w:widowControl/>
        <w:spacing w:line="360" w:lineRule="auto"/>
        <w:ind w:firstLine="1440"/>
        <w:rPr>
          <w:sz w:val="26"/>
          <w:szCs w:val="26"/>
        </w:rPr>
      </w:pPr>
    </w:p>
    <w:p w:rsidR="00575F9B" w:rsidRPr="00575F9B" w:rsidRDefault="00F73EB1" w:rsidP="0086531A">
      <w:pPr>
        <w:keepNext/>
        <w:keepLines/>
        <w:widowControl/>
        <w:spacing w:line="360" w:lineRule="auto"/>
        <w:jc w:val="center"/>
        <w:rPr>
          <w:b/>
          <w:sz w:val="26"/>
          <w:szCs w:val="26"/>
        </w:rPr>
      </w:pPr>
      <w:r>
        <w:rPr>
          <w:b/>
          <w:sz w:val="26"/>
          <w:szCs w:val="26"/>
        </w:rPr>
        <w:t>II</w:t>
      </w:r>
      <w:proofErr w:type="gramStart"/>
      <w:r>
        <w:rPr>
          <w:b/>
          <w:sz w:val="26"/>
          <w:szCs w:val="26"/>
        </w:rPr>
        <w:t xml:space="preserve">.  </w:t>
      </w:r>
      <w:r w:rsidR="00575F9B">
        <w:rPr>
          <w:b/>
          <w:sz w:val="26"/>
          <w:szCs w:val="26"/>
        </w:rPr>
        <w:t>History</w:t>
      </w:r>
      <w:proofErr w:type="gramEnd"/>
      <w:r w:rsidR="00575F9B">
        <w:rPr>
          <w:b/>
          <w:sz w:val="26"/>
          <w:szCs w:val="26"/>
        </w:rPr>
        <w:t xml:space="preserve"> of the Proceedings</w:t>
      </w:r>
    </w:p>
    <w:p w:rsidR="00575F9B" w:rsidRDefault="00575F9B" w:rsidP="0086531A">
      <w:pPr>
        <w:keepNext/>
        <w:keepLines/>
        <w:widowControl/>
        <w:spacing w:line="360" w:lineRule="auto"/>
        <w:ind w:firstLine="1440"/>
        <w:rPr>
          <w:sz w:val="26"/>
          <w:szCs w:val="26"/>
        </w:rPr>
      </w:pPr>
    </w:p>
    <w:p w:rsidR="00003C21" w:rsidRDefault="009B3DA7" w:rsidP="003A7572">
      <w:pPr>
        <w:widowControl/>
        <w:autoSpaceDE w:val="0"/>
        <w:autoSpaceDN w:val="0"/>
        <w:adjustRightInd w:val="0"/>
        <w:spacing w:line="360" w:lineRule="auto"/>
        <w:ind w:firstLine="1440"/>
        <w:rPr>
          <w:rFonts w:eastAsiaTheme="minorHAnsi"/>
          <w:sz w:val="26"/>
          <w:szCs w:val="26"/>
        </w:rPr>
      </w:pPr>
      <w:r w:rsidRPr="00ED27CC">
        <w:rPr>
          <w:sz w:val="26"/>
          <w:szCs w:val="26"/>
        </w:rPr>
        <w:t>On November 1</w:t>
      </w:r>
      <w:r w:rsidR="009C71C2">
        <w:rPr>
          <w:sz w:val="26"/>
          <w:szCs w:val="26"/>
        </w:rPr>
        <w:t>8</w:t>
      </w:r>
      <w:r w:rsidRPr="00ED27CC">
        <w:rPr>
          <w:sz w:val="26"/>
          <w:szCs w:val="26"/>
        </w:rPr>
        <w:t>, 2016,</w:t>
      </w:r>
      <w:r w:rsidR="009C71C2">
        <w:rPr>
          <w:rStyle w:val="FootnoteReference"/>
          <w:sz w:val="26"/>
          <w:szCs w:val="26"/>
        </w:rPr>
        <w:footnoteReference w:id="3"/>
      </w:r>
      <w:r w:rsidRPr="00ED27CC">
        <w:rPr>
          <w:sz w:val="26"/>
          <w:szCs w:val="26"/>
        </w:rPr>
        <w:t xml:space="preserve"> Respond </w:t>
      </w:r>
      <w:r>
        <w:rPr>
          <w:sz w:val="26"/>
          <w:szCs w:val="26"/>
        </w:rPr>
        <w:t xml:space="preserve">filed </w:t>
      </w:r>
      <w:r w:rsidR="000F446E">
        <w:rPr>
          <w:sz w:val="26"/>
          <w:szCs w:val="26"/>
        </w:rPr>
        <w:t xml:space="preserve">its </w:t>
      </w:r>
      <w:r>
        <w:rPr>
          <w:sz w:val="26"/>
          <w:szCs w:val="26"/>
        </w:rPr>
        <w:t>C</w:t>
      </w:r>
      <w:r w:rsidRPr="00ED27CC">
        <w:rPr>
          <w:sz w:val="26"/>
          <w:szCs w:val="26"/>
        </w:rPr>
        <w:t>omplaints with the Commission against Penelec and West Penn</w:t>
      </w:r>
      <w:r w:rsidR="00003C21">
        <w:rPr>
          <w:sz w:val="26"/>
          <w:szCs w:val="26"/>
        </w:rPr>
        <w:t xml:space="preserve">.  The </w:t>
      </w:r>
      <w:r w:rsidR="00A87DA9">
        <w:rPr>
          <w:sz w:val="26"/>
          <w:szCs w:val="26"/>
        </w:rPr>
        <w:t>C</w:t>
      </w:r>
      <w:r w:rsidR="008C1501">
        <w:rPr>
          <w:sz w:val="26"/>
          <w:szCs w:val="26"/>
        </w:rPr>
        <w:t>omplaints</w:t>
      </w:r>
      <w:r>
        <w:rPr>
          <w:sz w:val="26"/>
          <w:szCs w:val="26"/>
        </w:rPr>
        <w:t xml:space="preserve"> </w:t>
      </w:r>
      <w:r w:rsidR="00003C21">
        <w:rPr>
          <w:sz w:val="26"/>
          <w:szCs w:val="26"/>
        </w:rPr>
        <w:t xml:space="preserve">are </w:t>
      </w:r>
      <w:r>
        <w:rPr>
          <w:sz w:val="26"/>
          <w:szCs w:val="26"/>
        </w:rPr>
        <w:t>docketed</w:t>
      </w:r>
      <w:r w:rsidRPr="00ED27CC">
        <w:rPr>
          <w:sz w:val="26"/>
          <w:szCs w:val="26"/>
        </w:rPr>
        <w:t xml:space="preserve"> at </w:t>
      </w:r>
      <w:r>
        <w:rPr>
          <w:sz w:val="26"/>
          <w:szCs w:val="26"/>
        </w:rPr>
        <w:t>No</w:t>
      </w:r>
      <w:r w:rsidR="0086531A">
        <w:rPr>
          <w:sz w:val="26"/>
          <w:szCs w:val="26"/>
        </w:rPr>
        <w:t>s</w:t>
      </w:r>
      <w:r>
        <w:rPr>
          <w:sz w:val="26"/>
          <w:szCs w:val="26"/>
        </w:rPr>
        <w:t xml:space="preserve">. </w:t>
      </w:r>
      <w:proofErr w:type="gramStart"/>
      <w:r w:rsidRPr="00ED27CC">
        <w:rPr>
          <w:spacing w:val="-3"/>
          <w:sz w:val="26"/>
          <w:szCs w:val="26"/>
        </w:rPr>
        <w:t>C</w:t>
      </w:r>
      <w:r w:rsidR="0086531A">
        <w:rPr>
          <w:spacing w:val="-3"/>
          <w:sz w:val="26"/>
          <w:szCs w:val="26"/>
        </w:rPr>
        <w:noBreakHyphen/>
      </w:r>
      <w:r w:rsidRPr="00ED27CC">
        <w:rPr>
          <w:spacing w:val="-3"/>
          <w:sz w:val="26"/>
          <w:szCs w:val="26"/>
        </w:rPr>
        <w:t xml:space="preserve">2016-2576287 and </w:t>
      </w:r>
      <w:r>
        <w:rPr>
          <w:spacing w:val="-3"/>
          <w:sz w:val="26"/>
          <w:szCs w:val="26"/>
        </w:rPr>
        <w:t>No.</w:t>
      </w:r>
      <w:proofErr w:type="gramEnd"/>
      <w:r>
        <w:rPr>
          <w:spacing w:val="-3"/>
          <w:sz w:val="26"/>
          <w:szCs w:val="26"/>
        </w:rPr>
        <w:t xml:space="preserve"> </w:t>
      </w:r>
      <w:r w:rsidRPr="00ED27CC">
        <w:rPr>
          <w:spacing w:val="-3"/>
          <w:sz w:val="26"/>
          <w:szCs w:val="26"/>
        </w:rPr>
        <w:t>C-2016-</w:t>
      </w:r>
      <w:proofErr w:type="gramStart"/>
      <w:r w:rsidRPr="00ED27CC">
        <w:rPr>
          <w:spacing w:val="-3"/>
          <w:sz w:val="26"/>
          <w:szCs w:val="26"/>
        </w:rPr>
        <w:t xml:space="preserve">2576292 </w:t>
      </w:r>
      <w:r>
        <w:rPr>
          <w:spacing w:val="-3"/>
          <w:sz w:val="26"/>
          <w:szCs w:val="26"/>
        </w:rPr>
        <w:t>,</w:t>
      </w:r>
      <w:proofErr w:type="gramEnd"/>
      <w:r>
        <w:rPr>
          <w:spacing w:val="-3"/>
          <w:sz w:val="26"/>
          <w:szCs w:val="26"/>
        </w:rPr>
        <w:t xml:space="preserve"> </w:t>
      </w:r>
      <w:r w:rsidRPr="00ED27CC">
        <w:rPr>
          <w:spacing w:val="-3"/>
          <w:sz w:val="26"/>
          <w:szCs w:val="26"/>
        </w:rPr>
        <w:t>respectively.</w:t>
      </w:r>
      <w:r w:rsidR="008C1501">
        <w:rPr>
          <w:spacing w:val="-3"/>
          <w:sz w:val="26"/>
          <w:szCs w:val="26"/>
        </w:rPr>
        <w:t xml:space="preserve">  The Complaints were filed after </w:t>
      </w:r>
      <w:r w:rsidR="00F358AD">
        <w:rPr>
          <w:spacing w:val="-3"/>
          <w:sz w:val="26"/>
          <w:szCs w:val="26"/>
        </w:rPr>
        <w:t xml:space="preserve">Respond initiated </w:t>
      </w:r>
      <w:r w:rsidR="008C1501">
        <w:rPr>
          <w:spacing w:val="-3"/>
          <w:sz w:val="26"/>
          <w:szCs w:val="26"/>
        </w:rPr>
        <w:t xml:space="preserve">proceedings </w:t>
      </w:r>
      <w:r w:rsidR="00A87DA9">
        <w:rPr>
          <w:spacing w:val="-3"/>
          <w:sz w:val="26"/>
          <w:szCs w:val="26"/>
        </w:rPr>
        <w:t xml:space="preserve">under the Commission’s </w:t>
      </w:r>
      <w:r w:rsidR="0028123E">
        <w:rPr>
          <w:spacing w:val="-3"/>
          <w:sz w:val="26"/>
          <w:szCs w:val="26"/>
        </w:rPr>
        <w:t xml:space="preserve">Procedural Rules </w:t>
      </w:r>
      <w:r w:rsidR="00F358AD">
        <w:rPr>
          <w:spacing w:val="-3"/>
          <w:sz w:val="26"/>
          <w:szCs w:val="26"/>
        </w:rPr>
        <w:t xml:space="preserve">seeking interim emergency relief through filing a </w:t>
      </w:r>
      <w:r w:rsidR="00F358AD" w:rsidRPr="00B17FCB">
        <w:rPr>
          <w:rFonts w:eastAsiaTheme="minorHAnsi"/>
          <w:sz w:val="26"/>
          <w:szCs w:val="26"/>
        </w:rPr>
        <w:t xml:space="preserve">Petition for Issuance of </w:t>
      </w:r>
      <w:r w:rsidR="00F358AD" w:rsidRPr="00B17FCB">
        <w:rPr>
          <w:rFonts w:eastAsiaTheme="minorHAnsi"/>
          <w:i/>
          <w:iCs/>
          <w:sz w:val="26"/>
          <w:szCs w:val="26"/>
        </w:rPr>
        <w:t xml:space="preserve">Ex Parte </w:t>
      </w:r>
      <w:r w:rsidR="00F358AD" w:rsidRPr="00B17FCB">
        <w:rPr>
          <w:rFonts w:eastAsiaTheme="minorHAnsi"/>
          <w:sz w:val="26"/>
          <w:szCs w:val="26"/>
        </w:rPr>
        <w:t>Emergency Order</w:t>
      </w:r>
      <w:r w:rsidR="008C1501" w:rsidRPr="00B17FCB">
        <w:rPr>
          <w:rFonts w:eastAsiaTheme="minorHAnsi"/>
          <w:sz w:val="26"/>
          <w:szCs w:val="26"/>
        </w:rPr>
        <w:t xml:space="preserve"> </w:t>
      </w:r>
      <w:r w:rsidR="00F358AD">
        <w:rPr>
          <w:rFonts w:eastAsiaTheme="minorHAnsi"/>
          <w:sz w:val="26"/>
          <w:szCs w:val="26"/>
        </w:rPr>
        <w:t xml:space="preserve">on </w:t>
      </w:r>
      <w:r w:rsidR="008C1501" w:rsidRPr="00B17FCB">
        <w:rPr>
          <w:rFonts w:eastAsiaTheme="minorHAnsi"/>
          <w:sz w:val="26"/>
          <w:szCs w:val="26"/>
        </w:rPr>
        <w:t>October</w:t>
      </w:r>
      <w:r w:rsidR="0086531A">
        <w:rPr>
          <w:rFonts w:eastAsiaTheme="minorHAnsi"/>
          <w:sz w:val="26"/>
          <w:szCs w:val="26"/>
        </w:rPr>
        <w:t> </w:t>
      </w:r>
      <w:r w:rsidR="008C1501" w:rsidRPr="00B17FCB">
        <w:rPr>
          <w:rFonts w:eastAsiaTheme="minorHAnsi"/>
          <w:sz w:val="26"/>
          <w:szCs w:val="26"/>
        </w:rPr>
        <w:t>26, 2016</w:t>
      </w:r>
      <w:r w:rsidR="00F358AD">
        <w:rPr>
          <w:rFonts w:eastAsiaTheme="minorHAnsi"/>
          <w:sz w:val="26"/>
          <w:szCs w:val="26"/>
        </w:rPr>
        <w:t xml:space="preserve"> (</w:t>
      </w:r>
      <w:r w:rsidR="00F358AD" w:rsidRPr="00F358AD">
        <w:rPr>
          <w:rFonts w:eastAsiaTheme="minorHAnsi"/>
          <w:i/>
          <w:sz w:val="26"/>
          <w:szCs w:val="26"/>
        </w:rPr>
        <w:t>Emergency Petition</w:t>
      </w:r>
      <w:r w:rsidR="00F358AD">
        <w:rPr>
          <w:rFonts w:eastAsiaTheme="minorHAnsi"/>
          <w:sz w:val="26"/>
          <w:szCs w:val="26"/>
        </w:rPr>
        <w:t>)</w:t>
      </w:r>
      <w:r w:rsidR="00ED2003">
        <w:rPr>
          <w:rFonts w:eastAsiaTheme="minorHAnsi"/>
          <w:sz w:val="26"/>
          <w:szCs w:val="26"/>
        </w:rPr>
        <w:t>.</w:t>
      </w:r>
      <w:r w:rsidR="0028123E">
        <w:rPr>
          <w:rFonts w:eastAsiaTheme="minorHAnsi"/>
          <w:sz w:val="26"/>
          <w:szCs w:val="26"/>
        </w:rPr>
        <w:t xml:space="preserve">  </w:t>
      </w:r>
      <w:r w:rsidR="0028123E">
        <w:rPr>
          <w:rFonts w:eastAsiaTheme="minorHAnsi"/>
          <w:i/>
          <w:sz w:val="26"/>
          <w:szCs w:val="26"/>
        </w:rPr>
        <w:t xml:space="preserve">See </w:t>
      </w:r>
      <w:r w:rsidR="0028123E">
        <w:rPr>
          <w:rFonts w:eastAsiaTheme="minorHAnsi"/>
          <w:sz w:val="26"/>
          <w:szCs w:val="26"/>
        </w:rPr>
        <w:t>52 Pa. Code §§ 3.2 - 3.8.</w:t>
      </w:r>
      <w:r w:rsidR="00003C21">
        <w:rPr>
          <w:rFonts w:eastAsiaTheme="minorHAnsi"/>
          <w:sz w:val="26"/>
          <w:szCs w:val="26"/>
        </w:rPr>
        <w:t xml:space="preserve">  The </w:t>
      </w:r>
      <w:r w:rsidR="00003C21">
        <w:rPr>
          <w:rFonts w:eastAsiaTheme="minorHAnsi"/>
          <w:i/>
          <w:sz w:val="26"/>
          <w:szCs w:val="26"/>
        </w:rPr>
        <w:t xml:space="preserve">Emergency </w:t>
      </w:r>
      <w:r w:rsidR="00003C21">
        <w:rPr>
          <w:rFonts w:eastAsiaTheme="minorHAnsi"/>
          <w:i/>
          <w:sz w:val="26"/>
          <w:szCs w:val="26"/>
        </w:rPr>
        <w:lastRenderedPageBreak/>
        <w:t xml:space="preserve">Petition </w:t>
      </w:r>
      <w:r w:rsidR="00003C21" w:rsidRPr="00003C21">
        <w:rPr>
          <w:rFonts w:eastAsiaTheme="minorHAnsi"/>
          <w:sz w:val="26"/>
          <w:szCs w:val="26"/>
        </w:rPr>
        <w:t>wa</w:t>
      </w:r>
      <w:r w:rsidR="00003C21">
        <w:rPr>
          <w:rFonts w:eastAsiaTheme="minorHAnsi"/>
          <w:sz w:val="26"/>
          <w:szCs w:val="26"/>
        </w:rPr>
        <w:t>s granted</w:t>
      </w:r>
      <w:r w:rsidR="00C17E54">
        <w:rPr>
          <w:rFonts w:eastAsiaTheme="minorHAnsi"/>
          <w:sz w:val="26"/>
          <w:szCs w:val="26"/>
        </w:rPr>
        <w:t>,</w:t>
      </w:r>
      <w:r w:rsidR="00003C21">
        <w:rPr>
          <w:rFonts w:eastAsiaTheme="minorHAnsi"/>
          <w:sz w:val="26"/>
          <w:szCs w:val="26"/>
        </w:rPr>
        <w:t xml:space="preserve"> October</w:t>
      </w:r>
      <w:r w:rsidR="0086531A">
        <w:rPr>
          <w:rFonts w:eastAsiaTheme="minorHAnsi"/>
          <w:sz w:val="26"/>
          <w:szCs w:val="26"/>
        </w:rPr>
        <w:t> </w:t>
      </w:r>
      <w:r w:rsidR="00003C21">
        <w:rPr>
          <w:rFonts w:eastAsiaTheme="minorHAnsi"/>
          <w:sz w:val="26"/>
          <w:szCs w:val="26"/>
        </w:rPr>
        <w:t xml:space="preserve">27, 2016.  Pursuant to the Commission’s Rules of Practice pertaining to the </w:t>
      </w:r>
      <w:r w:rsidR="00C17E54">
        <w:rPr>
          <w:rFonts w:eastAsiaTheme="minorHAnsi"/>
          <w:sz w:val="26"/>
          <w:szCs w:val="26"/>
        </w:rPr>
        <w:t>grant o</w:t>
      </w:r>
      <w:r w:rsidR="00003C21">
        <w:rPr>
          <w:rFonts w:eastAsiaTheme="minorHAnsi"/>
          <w:sz w:val="26"/>
          <w:szCs w:val="26"/>
        </w:rPr>
        <w:t xml:space="preserve">f </w:t>
      </w:r>
      <w:r w:rsidR="00003C21">
        <w:rPr>
          <w:rFonts w:eastAsiaTheme="minorHAnsi"/>
          <w:i/>
          <w:sz w:val="26"/>
          <w:szCs w:val="26"/>
        </w:rPr>
        <w:t xml:space="preserve">ex parte </w:t>
      </w:r>
      <w:r w:rsidR="00003C21">
        <w:rPr>
          <w:rFonts w:eastAsiaTheme="minorHAnsi"/>
          <w:sz w:val="26"/>
          <w:szCs w:val="26"/>
        </w:rPr>
        <w:t xml:space="preserve">emergency relief, </w:t>
      </w:r>
      <w:r w:rsidR="00003C21" w:rsidRPr="00B17FCB">
        <w:rPr>
          <w:rFonts w:eastAsiaTheme="minorHAnsi"/>
          <w:sz w:val="26"/>
          <w:szCs w:val="26"/>
        </w:rPr>
        <w:t xml:space="preserve">the </w:t>
      </w:r>
      <w:r w:rsidR="00003C21" w:rsidRPr="00680C72">
        <w:rPr>
          <w:rFonts w:eastAsiaTheme="minorHAnsi"/>
          <w:i/>
          <w:sz w:val="26"/>
          <w:szCs w:val="26"/>
        </w:rPr>
        <w:t xml:space="preserve">Emergency </w:t>
      </w:r>
      <w:r w:rsidR="00680C72">
        <w:rPr>
          <w:rFonts w:eastAsiaTheme="minorHAnsi"/>
          <w:i/>
          <w:sz w:val="26"/>
          <w:szCs w:val="26"/>
        </w:rPr>
        <w:t>Petition</w:t>
      </w:r>
      <w:r w:rsidR="00003C21" w:rsidRPr="00B17FCB">
        <w:rPr>
          <w:rFonts w:eastAsiaTheme="minorHAnsi"/>
          <w:sz w:val="26"/>
          <w:szCs w:val="26"/>
        </w:rPr>
        <w:t xml:space="preserve"> </w:t>
      </w:r>
      <w:r w:rsidR="00003C21">
        <w:rPr>
          <w:rFonts w:eastAsiaTheme="minorHAnsi"/>
          <w:sz w:val="26"/>
          <w:szCs w:val="26"/>
        </w:rPr>
        <w:t xml:space="preserve">was ratified </w:t>
      </w:r>
      <w:r w:rsidR="00003C21" w:rsidRPr="00B17FCB">
        <w:rPr>
          <w:rFonts w:eastAsiaTheme="minorHAnsi"/>
          <w:sz w:val="26"/>
          <w:szCs w:val="26"/>
        </w:rPr>
        <w:t xml:space="preserve">at </w:t>
      </w:r>
      <w:r w:rsidR="00003C21">
        <w:rPr>
          <w:rFonts w:eastAsiaTheme="minorHAnsi"/>
          <w:sz w:val="26"/>
          <w:szCs w:val="26"/>
        </w:rPr>
        <w:t>the Commission’s</w:t>
      </w:r>
      <w:r w:rsidR="00003C21" w:rsidRPr="00B17FCB">
        <w:rPr>
          <w:rFonts w:eastAsiaTheme="minorHAnsi"/>
          <w:sz w:val="26"/>
          <w:szCs w:val="26"/>
        </w:rPr>
        <w:t xml:space="preserve"> </w:t>
      </w:r>
      <w:r w:rsidR="00003C21">
        <w:rPr>
          <w:rFonts w:eastAsiaTheme="minorHAnsi"/>
          <w:sz w:val="26"/>
          <w:szCs w:val="26"/>
        </w:rPr>
        <w:t>P</w:t>
      </w:r>
      <w:r w:rsidR="00003C21" w:rsidRPr="00B17FCB">
        <w:rPr>
          <w:rFonts w:eastAsiaTheme="minorHAnsi"/>
          <w:sz w:val="26"/>
          <w:szCs w:val="26"/>
        </w:rPr>
        <w:t xml:space="preserve">ublic </w:t>
      </w:r>
      <w:r w:rsidR="00003C21">
        <w:rPr>
          <w:rFonts w:eastAsiaTheme="minorHAnsi"/>
          <w:sz w:val="26"/>
          <w:szCs w:val="26"/>
        </w:rPr>
        <w:t>M</w:t>
      </w:r>
      <w:r w:rsidR="00003C21" w:rsidRPr="00B17FCB">
        <w:rPr>
          <w:rFonts w:eastAsiaTheme="minorHAnsi"/>
          <w:sz w:val="26"/>
          <w:szCs w:val="26"/>
        </w:rPr>
        <w:t xml:space="preserve">eeting </w:t>
      </w:r>
      <w:r w:rsidR="00003C21">
        <w:rPr>
          <w:rFonts w:eastAsiaTheme="minorHAnsi"/>
          <w:sz w:val="26"/>
          <w:szCs w:val="26"/>
        </w:rPr>
        <w:t>of</w:t>
      </w:r>
      <w:r w:rsidR="00003C21" w:rsidRPr="00B17FCB">
        <w:rPr>
          <w:rFonts w:eastAsiaTheme="minorHAnsi"/>
          <w:sz w:val="26"/>
          <w:szCs w:val="26"/>
        </w:rPr>
        <w:t xml:space="preserve"> November</w:t>
      </w:r>
      <w:r w:rsidR="0086531A">
        <w:rPr>
          <w:rFonts w:eastAsiaTheme="minorHAnsi"/>
          <w:sz w:val="26"/>
          <w:szCs w:val="26"/>
        </w:rPr>
        <w:t> </w:t>
      </w:r>
      <w:r w:rsidR="00003C21" w:rsidRPr="00B17FCB">
        <w:rPr>
          <w:rFonts w:eastAsiaTheme="minorHAnsi"/>
          <w:sz w:val="26"/>
          <w:szCs w:val="26"/>
        </w:rPr>
        <w:t>10, 2016</w:t>
      </w:r>
      <w:r w:rsidR="00003C21">
        <w:rPr>
          <w:rFonts w:eastAsiaTheme="minorHAnsi"/>
          <w:sz w:val="26"/>
          <w:szCs w:val="26"/>
        </w:rPr>
        <w:t>, and a hearing was</w:t>
      </w:r>
      <w:r w:rsidR="00003C21" w:rsidRPr="00B17FCB">
        <w:rPr>
          <w:rFonts w:eastAsiaTheme="minorHAnsi"/>
          <w:sz w:val="26"/>
          <w:szCs w:val="26"/>
        </w:rPr>
        <w:t xml:space="preserve"> scheduled for November</w:t>
      </w:r>
      <w:r w:rsidR="0086531A">
        <w:rPr>
          <w:rFonts w:eastAsiaTheme="minorHAnsi"/>
          <w:sz w:val="26"/>
          <w:szCs w:val="26"/>
        </w:rPr>
        <w:t> </w:t>
      </w:r>
      <w:r w:rsidR="00003C21" w:rsidRPr="00B17FCB">
        <w:rPr>
          <w:rFonts w:eastAsiaTheme="minorHAnsi"/>
          <w:sz w:val="26"/>
          <w:szCs w:val="26"/>
        </w:rPr>
        <w:t>17, 2016.</w:t>
      </w:r>
      <w:r w:rsidR="009D3D28">
        <w:rPr>
          <w:rFonts w:eastAsiaTheme="minorHAnsi"/>
          <w:sz w:val="26"/>
          <w:szCs w:val="26"/>
        </w:rPr>
        <w:t xml:space="preserve">  Based on procedural developments after the issuance of the </w:t>
      </w:r>
      <w:r w:rsidR="009D3D28" w:rsidRPr="00680C72">
        <w:rPr>
          <w:rFonts w:eastAsiaTheme="minorHAnsi"/>
          <w:i/>
          <w:sz w:val="26"/>
          <w:szCs w:val="26"/>
        </w:rPr>
        <w:t xml:space="preserve">Emergency </w:t>
      </w:r>
      <w:r w:rsidR="00680C72">
        <w:rPr>
          <w:rFonts w:eastAsiaTheme="minorHAnsi"/>
          <w:i/>
          <w:sz w:val="26"/>
          <w:szCs w:val="26"/>
        </w:rPr>
        <w:t>Petition</w:t>
      </w:r>
      <w:r w:rsidR="009D3D28">
        <w:rPr>
          <w:rFonts w:eastAsiaTheme="minorHAnsi"/>
          <w:sz w:val="26"/>
          <w:szCs w:val="26"/>
        </w:rPr>
        <w:t>, further proceedings have been deferred.</w:t>
      </w:r>
      <w:r w:rsidR="009D4FD5">
        <w:rPr>
          <w:rStyle w:val="FootnoteReference"/>
          <w:rFonts w:eastAsiaTheme="minorHAnsi"/>
          <w:sz w:val="26"/>
          <w:szCs w:val="26"/>
        </w:rPr>
        <w:footnoteReference w:id="4"/>
      </w:r>
    </w:p>
    <w:p w:rsidR="009E4856" w:rsidRDefault="009E4856" w:rsidP="003A7572">
      <w:pPr>
        <w:widowControl/>
        <w:autoSpaceDE w:val="0"/>
        <w:autoSpaceDN w:val="0"/>
        <w:adjustRightInd w:val="0"/>
        <w:spacing w:line="360" w:lineRule="auto"/>
        <w:ind w:firstLine="1440"/>
        <w:rPr>
          <w:rFonts w:eastAsiaTheme="minorHAnsi"/>
          <w:sz w:val="26"/>
          <w:szCs w:val="26"/>
        </w:rPr>
      </w:pPr>
    </w:p>
    <w:p w:rsidR="009E4856" w:rsidRPr="007557D6" w:rsidRDefault="009E4856" w:rsidP="003A7572">
      <w:pPr>
        <w:widowControl/>
        <w:autoSpaceDE w:val="0"/>
        <w:autoSpaceDN w:val="0"/>
        <w:adjustRightInd w:val="0"/>
        <w:spacing w:line="360" w:lineRule="auto"/>
        <w:ind w:firstLine="1440"/>
        <w:rPr>
          <w:spacing w:val="-3"/>
          <w:sz w:val="26"/>
          <w:szCs w:val="26"/>
        </w:rPr>
      </w:pPr>
      <w:r>
        <w:rPr>
          <w:rFonts w:eastAsiaTheme="minorHAnsi"/>
          <w:sz w:val="26"/>
          <w:szCs w:val="26"/>
        </w:rPr>
        <w:t>On December 8, 2016, the Companies filed an Answer denying the material averments of the Complaints</w:t>
      </w:r>
      <w:r w:rsidR="004D6FCD">
        <w:rPr>
          <w:rFonts w:eastAsiaTheme="minorHAnsi"/>
          <w:sz w:val="26"/>
          <w:szCs w:val="26"/>
        </w:rPr>
        <w:t>, New Matter,</w:t>
      </w:r>
      <w:r>
        <w:rPr>
          <w:rFonts w:eastAsiaTheme="minorHAnsi"/>
          <w:sz w:val="26"/>
          <w:szCs w:val="26"/>
        </w:rPr>
        <w:t xml:space="preserve"> and a Motion for Judgment on the Pleadings</w:t>
      </w:r>
      <w:r w:rsidR="003B3F2B">
        <w:rPr>
          <w:rFonts w:eastAsiaTheme="minorHAnsi"/>
          <w:sz w:val="26"/>
          <w:szCs w:val="26"/>
        </w:rPr>
        <w:t xml:space="preserve"> (Motion)</w:t>
      </w:r>
      <w:r>
        <w:rPr>
          <w:rFonts w:eastAsiaTheme="minorHAnsi"/>
          <w:sz w:val="26"/>
          <w:szCs w:val="26"/>
        </w:rPr>
        <w:t>.</w:t>
      </w:r>
      <w:r w:rsidR="005D4F8B">
        <w:rPr>
          <w:rFonts w:eastAsiaTheme="minorHAnsi"/>
          <w:sz w:val="26"/>
          <w:szCs w:val="26"/>
        </w:rPr>
        <w:t xml:space="preserve">  The Companies’ response essentially objected to the Complaints </w:t>
      </w:r>
      <w:r w:rsidR="000F446E">
        <w:rPr>
          <w:rFonts w:eastAsiaTheme="minorHAnsi"/>
          <w:sz w:val="26"/>
          <w:szCs w:val="26"/>
        </w:rPr>
        <w:t xml:space="preserve">as </w:t>
      </w:r>
      <w:r w:rsidR="005D4F8B">
        <w:rPr>
          <w:rFonts w:eastAsiaTheme="minorHAnsi"/>
          <w:sz w:val="26"/>
          <w:szCs w:val="26"/>
        </w:rPr>
        <w:t xml:space="preserve">an impermissible collateral attack upon the </w:t>
      </w:r>
      <w:r w:rsidR="000F446E">
        <w:rPr>
          <w:rFonts w:eastAsiaTheme="minorHAnsi"/>
          <w:sz w:val="26"/>
          <w:szCs w:val="26"/>
        </w:rPr>
        <w:t xml:space="preserve">settlement </w:t>
      </w:r>
      <w:r w:rsidR="005D4F8B">
        <w:rPr>
          <w:rFonts w:eastAsiaTheme="minorHAnsi"/>
          <w:sz w:val="26"/>
          <w:szCs w:val="26"/>
        </w:rPr>
        <w:t xml:space="preserve">accords reached in the </w:t>
      </w:r>
      <w:r w:rsidR="005D4F8B">
        <w:rPr>
          <w:rFonts w:eastAsiaTheme="minorHAnsi"/>
          <w:i/>
          <w:sz w:val="26"/>
          <w:szCs w:val="26"/>
        </w:rPr>
        <w:t xml:space="preserve">DSP IV Final Order </w:t>
      </w:r>
      <w:r w:rsidR="005D4F8B">
        <w:rPr>
          <w:rFonts w:eastAsiaTheme="minorHAnsi"/>
          <w:sz w:val="26"/>
          <w:szCs w:val="26"/>
        </w:rPr>
        <w:t>proceeding</w:t>
      </w:r>
      <w:r w:rsidR="000F446E">
        <w:rPr>
          <w:rFonts w:eastAsiaTheme="minorHAnsi"/>
          <w:sz w:val="26"/>
          <w:szCs w:val="26"/>
        </w:rPr>
        <w:t xml:space="preserve">.  The Companies emphasized that the </w:t>
      </w:r>
      <w:r w:rsidR="001635A7">
        <w:rPr>
          <w:rFonts w:eastAsiaTheme="minorHAnsi"/>
          <w:sz w:val="26"/>
          <w:szCs w:val="26"/>
        </w:rPr>
        <w:t>issues raised by Respond were precluded</w:t>
      </w:r>
      <w:r w:rsidR="005D4F8B">
        <w:rPr>
          <w:rFonts w:eastAsiaTheme="minorHAnsi"/>
          <w:sz w:val="26"/>
          <w:szCs w:val="26"/>
        </w:rPr>
        <w:t xml:space="preserve"> by the Commission</w:t>
      </w:r>
      <w:r w:rsidR="000F446E">
        <w:rPr>
          <w:rFonts w:eastAsiaTheme="minorHAnsi"/>
          <w:sz w:val="26"/>
          <w:szCs w:val="26"/>
        </w:rPr>
        <w:t xml:space="preserve"> on its approval of the settlement </w:t>
      </w:r>
      <w:r w:rsidR="001972B9">
        <w:rPr>
          <w:rFonts w:eastAsiaTheme="minorHAnsi"/>
          <w:sz w:val="26"/>
          <w:szCs w:val="26"/>
        </w:rPr>
        <w:t xml:space="preserve">reached </w:t>
      </w:r>
      <w:r w:rsidR="000F446E">
        <w:rPr>
          <w:rFonts w:eastAsiaTheme="minorHAnsi"/>
          <w:sz w:val="26"/>
          <w:szCs w:val="26"/>
        </w:rPr>
        <w:t xml:space="preserve">in the </w:t>
      </w:r>
      <w:r w:rsidR="000F446E">
        <w:rPr>
          <w:rFonts w:eastAsiaTheme="minorHAnsi"/>
          <w:i/>
          <w:sz w:val="26"/>
          <w:szCs w:val="26"/>
        </w:rPr>
        <w:t xml:space="preserve">DSP IV Final Order </w:t>
      </w:r>
      <w:r w:rsidR="000F446E">
        <w:rPr>
          <w:rFonts w:eastAsiaTheme="minorHAnsi"/>
          <w:sz w:val="26"/>
          <w:szCs w:val="26"/>
        </w:rPr>
        <w:t>proceeding</w:t>
      </w:r>
      <w:r w:rsidR="005D4F8B">
        <w:rPr>
          <w:rFonts w:eastAsiaTheme="minorHAnsi"/>
          <w:sz w:val="26"/>
          <w:szCs w:val="26"/>
        </w:rPr>
        <w:t>.</w:t>
      </w:r>
      <w:r w:rsidR="007557D6">
        <w:rPr>
          <w:rFonts w:eastAsiaTheme="minorHAnsi"/>
          <w:sz w:val="26"/>
          <w:szCs w:val="26"/>
        </w:rPr>
        <w:t xml:space="preserve">  </w:t>
      </w:r>
      <w:r w:rsidR="001635A7">
        <w:rPr>
          <w:rFonts w:eastAsiaTheme="minorHAnsi"/>
          <w:sz w:val="26"/>
          <w:szCs w:val="26"/>
        </w:rPr>
        <w:t xml:space="preserve">The </w:t>
      </w:r>
      <w:r w:rsidR="007557D6">
        <w:rPr>
          <w:rFonts w:eastAsiaTheme="minorHAnsi"/>
          <w:i/>
          <w:sz w:val="26"/>
          <w:szCs w:val="26"/>
        </w:rPr>
        <w:t xml:space="preserve">January 2017 Interim Order </w:t>
      </w:r>
      <w:r w:rsidR="007557D6">
        <w:rPr>
          <w:rFonts w:eastAsiaTheme="minorHAnsi"/>
          <w:sz w:val="26"/>
          <w:szCs w:val="26"/>
        </w:rPr>
        <w:t xml:space="preserve">was issued </w:t>
      </w:r>
      <w:r w:rsidR="000F446E">
        <w:rPr>
          <w:rFonts w:eastAsiaTheme="minorHAnsi"/>
          <w:sz w:val="26"/>
          <w:szCs w:val="26"/>
        </w:rPr>
        <w:t xml:space="preserve">granting the Companies’ </w:t>
      </w:r>
      <w:r w:rsidR="001635A7">
        <w:rPr>
          <w:rFonts w:eastAsiaTheme="minorHAnsi"/>
          <w:sz w:val="26"/>
          <w:szCs w:val="26"/>
        </w:rPr>
        <w:t>M</w:t>
      </w:r>
      <w:r w:rsidR="000F446E">
        <w:rPr>
          <w:rFonts w:eastAsiaTheme="minorHAnsi"/>
          <w:sz w:val="26"/>
          <w:szCs w:val="26"/>
        </w:rPr>
        <w:t xml:space="preserve">otion, in part, </w:t>
      </w:r>
      <w:r w:rsidR="007557D6">
        <w:rPr>
          <w:rFonts w:eastAsiaTheme="minorHAnsi"/>
          <w:sz w:val="26"/>
          <w:szCs w:val="26"/>
        </w:rPr>
        <w:t xml:space="preserve">and the Petition with briefs in support and in opposition followed.  </w:t>
      </w:r>
    </w:p>
    <w:p w:rsidR="00003C21" w:rsidRDefault="00003C21" w:rsidP="003A7572">
      <w:pPr>
        <w:widowControl/>
        <w:autoSpaceDE w:val="0"/>
        <w:autoSpaceDN w:val="0"/>
        <w:adjustRightInd w:val="0"/>
        <w:spacing w:line="360" w:lineRule="auto"/>
        <w:ind w:firstLine="1440"/>
        <w:rPr>
          <w:rFonts w:eastAsiaTheme="minorHAnsi"/>
          <w:sz w:val="26"/>
          <w:szCs w:val="26"/>
        </w:rPr>
      </w:pPr>
    </w:p>
    <w:p w:rsidR="00ED2003" w:rsidRDefault="00F358AD" w:rsidP="003A7572">
      <w:pPr>
        <w:widowControl/>
        <w:autoSpaceDE w:val="0"/>
        <w:autoSpaceDN w:val="0"/>
        <w:adjustRightInd w:val="0"/>
        <w:spacing w:line="360" w:lineRule="auto"/>
        <w:ind w:firstLine="1440"/>
        <w:rPr>
          <w:rFonts w:eastAsiaTheme="minorHAnsi"/>
          <w:sz w:val="26"/>
          <w:szCs w:val="26"/>
        </w:rPr>
      </w:pPr>
      <w:r w:rsidRPr="00003C21">
        <w:rPr>
          <w:rFonts w:eastAsiaTheme="minorHAnsi"/>
          <w:sz w:val="26"/>
          <w:szCs w:val="26"/>
        </w:rPr>
        <w:t>T</w:t>
      </w:r>
      <w:r w:rsidRPr="006826F8">
        <w:rPr>
          <w:rFonts w:eastAsiaTheme="minorHAnsi"/>
          <w:sz w:val="26"/>
          <w:szCs w:val="26"/>
        </w:rPr>
        <w:t xml:space="preserve">he object of Respond’s </w:t>
      </w:r>
      <w:r w:rsidRPr="00F358AD">
        <w:rPr>
          <w:rFonts w:eastAsiaTheme="minorHAnsi"/>
          <w:i/>
          <w:sz w:val="26"/>
          <w:szCs w:val="26"/>
        </w:rPr>
        <w:t>Emergency Petition</w:t>
      </w:r>
      <w:r w:rsidRPr="006826F8">
        <w:rPr>
          <w:rFonts w:eastAsiaTheme="minorHAnsi"/>
          <w:sz w:val="26"/>
          <w:szCs w:val="26"/>
        </w:rPr>
        <w:t xml:space="preserve"> </w:t>
      </w:r>
      <w:r>
        <w:rPr>
          <w:rFonts w:eastAsiaTheme="minorHAnsi"/>
          <w:sz w:val="26"/>
          <w:szCs w:val="26"/>
        </w:rPr>
        <w:t xml:space="preserve">and </w:t>
      </w:r>
      <w:r w:rsidRPr="006826F8">
        <w:rPr>
          <w:rFonts w:eastAsiaTheme="minorHAnsi"/>
          <w:sz w:val="26"/>
          <w:szCs w:val="26"/>
        </w:rPr>
        <w:t>Complaint</w:t>
      </w:r>
      <w:r>
        <w:rPr>
          <w:rFonts w:eastAsiaTheme="minorHAnsi"/>
          <w:sz w:val="26"/>
          <w:szCs w:val="26"/>
        </w:rPr>
        <w:t>s</w:t>
      </w:r>
      <w:r w:rsidRPr="006826F8">
        <w:rPr>
          <w:rFonts w:eastAsiaTheme="minorHAnsi"/>
          <w:sz w:val="26"/>
          <w:szCs w:val="26"/>
        </w:rPr>
        <w:t xml:space="preserve"> is </w:t>
      </w:r>
      <w:r>
        <w:rPr>
          <w:rFonts w:eastAsiaTheme="minorHAnsi"/>
          <w:sz w:val="26"/>
          <w:szCs w:val="26"/>
        </w:rPr>
        <w:t>the application of a, so-called, “clawback charge” and the submission of a demand for payment by the Companies based thereon from Respond.</w:t>
      </w:r>
      <w:r w:rsidR="00A423C4">
        <w:rPr>
          <w:rFonts w:eastAsiaTheme="minorHAnsi"/>
          <w:sz w:val="26"/>
          <w:szCs w:val="26"/>
        </w:rPr>
        <w:t xml:space="preserve">  According to the</w:t>
      </w:r>
      <w:r w:rsidR="00C83B3C">
        <w:rPr>
          <w:rFonts w:eastAsiaTheme="minorHAnsi"/>
          <w:sz w:val="26"/>
          <w:szCs w:val="26"/>
        </w:rPr>
        <w:t xml:space="preserve"> provisions applicable to the clawback charge, Penelec and West Penn are entitled to withhold certain payments associated with </w:t>
      </w:r>
      <w:r w:rsidR="00284663">
        <w:rPr>
          <w:rFonts w:eastAsiaTheme="minorHAnsi"/>
          <w:sz w:val="26"/>
          <w:szCs w:val="26"/>
        </w:rPr>
        <w:t xml:space="preserve">the </w:t>
      </w:r>
      <w:r w:rsidR="00C83B3C">
        <w:rPr>
          <w:rFonts w:eastAsiaTheme="minorHAnsi"/>
          <w:sz w:val="26"/>
          <w:szCs w:val="26"/>
        </w:rPr>
        <w:t>purchases of receivables as a setoff against the clawback charge obligations</w:t>
      </w:r>
      <w:r w:rsidR="00B672AD">
        <w:rPr>
          <w:rFonts w:eastAsiaTheme="minorHAnsi"/>
          <w:sz w:val="26"/>
          <w:szCs w:val="26"/>
        </w:rPr>
        <w:t xml:space="preserve"> assessed against Respond</w:t>
      </w:r>
      <w:r w:rsidR="00C83B3C">
        <w:rPr>
          <w:rFonts w:eastAsiaTheme="minorHAnsi"/>
          <w:sz w:val="26"/>
          <w:szCs w:val="26"/>
        </w:rPr>
        <w:t>.</w:t>
      </w:r>
    </w:p>
    <w:p w:rsidR="00ED2003" w:rsidRDefault="00ED2003" w:rsidP="003A7572">
      <w:pPr>
        <w:widowControl/>
        <w:autoSpaceDE w:val="0"/>
        <w:autoSpaceDN w:val="0"/>
        <w:adjustRightInd w:val="0"/>
        <w:spacing w:line="360" w:lineRule="auto"/>
        <w:ind w:firstLine="1440"/>
        <w:rPr>
          <w:rFonts w:eastAsiaTheme="minorHAnsi"/>
          <w:sz w:val="26"/>
          <w:szCs w:val="26"/>
        </w:rPr>
      </w:pPr>
    </w:p>
    <w:p w:rsidR="00F358AD" w:rsidRDefault="00F358AD" w:rsidP="003A7572">
      <w:pPr>
        <w:widowControl/>
        <w:autoSpaceDE w:val="0"/>
        <w:autoSpaceDN w:val="0"/>
        <w:adjustRightInd w:val="0"/>
        <w:spacing w:line="360" w:lineRule="auto"/>
        <w:ind w:firstLine="1440"/>
        <w:rPr>
          <w:rFonts w:eastAsiaTheme="minorHAnsi"/>
          <w:sz w:val="26"/>
          <w:szCs w:val="26"/>
        </w:rPr>
      </w:pPr>
      <w:r>
        <w:rPr>
          <w:rFonts w:eastAsiaTheme="minorHAnsi"/>
          <w:sz w:val="26"/>
          <w:szCs w:val="26"/>
        </w:rPr>
        <w:t xml:space="preserve">The clawback charge is an </w:t>
      </w:r>
      <w:r w:rsidRPr="009138CC">
        <w:rPr>
          <w:rFonts w:eastAsiaTheme="minorHAnsi"/>
          <w:sz w:val="26"/>
          <w:szCs w:val="26"/>
        </w:rPr>
        <w:t>administrative charge</w:t>
      </w:r>
      <w:r>
        <w:rPr>
          <w:rFonts w:eastAsiaTheme="minorHAnsi"/>
          <w:sz w:val="26"/>
          <w:szCs w:val="26"/>
        </w:rPr>
        <w:t>/fee</w:t>
      </w:r>
      <w:r w:rsidRPr="009138CC">
        <w:rPr>
          <w:rFonts w:eastAsiaTheme="minorHAnsi"/>
          <w:sz w:val="26"/>
          <w:szCs w:val="26"/>
        </w:rPr>
        <w:t xml:space="preserve"> imposed on EGS</w:t>
      </w:r>
      <w:r>
        <w:rPr>
          <w:rFonts w:eastAsiaTheme="minorHAnsi"/>
          <w:sz w:val="26"/>
          <w:szCs w:val="26"/>
        </w:rPr>
        <w:t xml:space="preserve">s </w:t>
      </w:r>
      <w:r w:rsidRPr="009138CC">
        <w:rPr>
          <w:rFonts w:eastAsiaTheme="minorHAnsi"/>
          <w:sz w:val="26"/>
          <w:szCs w:val="26"/>
        </w:rPr>
        <w:t xml:space="preserve">that participate in </w:t>
      </w:r>
      <w:r>
        <w:rPr>
          <w:rFonts w:eastAsiaTheme="minorHAnsi"/>
          <w:sz w:val="26"/>
          <w:szCs w:val="26"/>
        </w:rPr>
        <w:t>the</w:t>
      </w:r>
      <w:r w:rsidRPr="009138CC">
        <w:rPr>
          <w:rFonts w:eastAsiaTheme="minorHAnsi"/>
          <w:sz w:val="26"/>
          <w:szCs w:val="26"/>
        </w:rPr>
        <w:t xml:space="preserve"> </w:t>
      </w:r>
      <w:r>
        <w:rPr>
          <w:rFonts w:eastAsiaTheme="minorHAnsi"/>
          <w:sz w:val="26"/>
          <w:szCs w:val="26"/>
        </w:rPr>
        <w:t>Companies’ “Purchase of Receivables Program” (POR).</w:t>
      </w:r>
      <w:r w:rsidR="00B672AD">
        <w:rPr>
          <w:rFonts w:eastAsiaTheme="minorHAnsi"/>
          <w:sz w:val="26"/>
          <w:szCs w:val="26"/>
        </w:rPr>
        <w:t xml:space="preserve">  The </w:t>
      </w:r>
      <w:r w:rsidR="00B672AD" w:rsidRPr="009138CC">
        <w:rPr>
          <w:rFonts w:eastAsiaTheme="minorHAnsi"/>
          <w:sz w:val="26"/>
          <w:szCs w:val="26"/>
        </w:rPr>
        <w:t xml:space="preserve">POR </w:t>
      </w:r>
      <w:r w:rsidR="00B672AD" w:rsidRPr="009138CC">
        <w:rPr>
          <w:rFonts w:eastAsiaTheme="minorHAnsi"/>
          <w:sz w:val="26"/>
          <w:szCs w:val="26"/>
        </w:rPr>
        <w:lastRenderedPageBreak/>
        <w:t>program was established</w:t>
      </w:r>
      <w:r w:rsidR="00B672AD">
        <w:rPr>
          <w:rFonts w:eastAsiaTheme="minorHAnsi"/>
          <w:sz w:val="26"/>
          <w:szCs w:val="26"/>
        </w:rPr>
        <w:t xml:space="preserve"> for Penelec, in particular,</w:t>
      </w:r>
      <w:r w:rsidR="00B672AD" w:rsidRPr="009138CC">
        <w:rPr>
          <w:rFonts w:eastAsiaTheme="minorHAnsi"/>
          <w:sz w:val="26"/>
          <w:szCs w:val="26"/>
        </w:rPr>
        <w:t xml:space="preserve"> in 2009 pursuant to </w:t>
      </w:r>
      <w:r w:rsidR="00B672AD">
        <w:rPr>
          <w:rFonts w:eastAsiaTheme="minorHAnsi"/>
          <w:sz w:val="26"/>
          <w:szCs w:val="26"/>
        </w:rPr>
        <w:t>the Commission’s</w:t>
      </w:r>
      <w:r w:rsidR="00B672AD" w:rsidRPr="009138CC">
        <w:rPr>
          <w:rFonts w:eastAsiaTheme="minorHAnsi"/>
          <w:sz w:val="26"/>
          <w:szCs w:val="26"/>
        </w:rPr>
        <w:t xml:space="preserve"> Final Order approving </w:t>
      </w:r>
      <w:r w:rsidR="00B672AD">
        <w:rPr>
          <w:rFonts w:eastAsiaTheme="minorHAnsi"/>
          <w:sz w:val="26"/>
          <w:szCs w:val="26"/>
        </w:rPr>
        <w:t>Penelec’s</w:t>
      </w:r>
      <w:r w:rsidR="00B672AD" w:rsidRPr="009138CC">
        <w:rPr>
          <w:rFonts w:eastAsiaTheme="minorHAnsi"/>
          <w:sz w:val="26"/>
          <w:szCs w:val="26"/>
        </w:rPr>
        <w:t xml:space="preserve"> first</w:t>
      </w:r>
      <w:r w:rsidR="00B672AD">
        <w:rPr>
          <w:rFonts w:eastAsiaTheme="minorHAnsi"/>
          <w:sz w:val="26"/>
          <w:szCs w:val="26"/>
        </w:rPr>
        <w:t xml:space="preserve"> </w:t>
      </w:r>
      <w:r w:rsidR="00B672AD" w:rsidRPr="009138CC">
        <w:rPr>
          <w:rFonts w:eastAsiaTheme="minorHAnsi"/>
          <w:sz w:val="26"/>
          <w:szCs w:val="26"/>
        </w:rPr>
        <w:t>default service program</w:t>
      </w:r>
      <w:r w:rsidR="00B672AD">
        <w:rPr>
          <w:rFonts w:eastAsiaTheme="minorHAnsi"/>
          <w:sz w:val="26"/>
          <w:szCs w:val="26"/>
        </w:rPr>
        <w:t xml:space="preserve">.  </w:t>
      </w:r>
      <w:r w:rsidR="00B672AD">
        <w:rPr>
          <w:rFonts w:eastAsiaTheme="minorHAnsi"/>
          <w:i/>
          <w:sz w:val="26"/>
          <w:szCs w:val="26"/>
        </w:rPr>
        <w:t xml:space="preserve">See </w:t>
      </w:r>
      <w:r w:rsidR="00B672AD">
        <w:rPr>
          <w:rFonts w:eastAsiaTheme="minorHAnsi"/>
          <w:sz w:val="26"/>
          <w:szCs w:val="26"/>
        </w:rPr>
        <w:t xml:space="preserve">Motion at 3.  </w:t>
      </w:r>
      <w:r w:rsidRPr="00FE4F07">
        <w:rPr>
          <w:rFonts w:eastAsiaTheme="minorHAnsi"/>
          <w:sz w:val="26"/>
          <w:szCs w:val="26"/>
        </w:rPr>
        <w:t>POR program</w:t>
      </w:r>
      <w:r>
        <w:rPr>
          <w:rFonts w:eastAsiaTheme="minorHAnsi"/>
          <w:sz w:val="26"/>
          <w:szCs w:val="26"/>
        </w:rPr>
        <w:t>s</w:t>
      </w:r>
      <w:r w:rsidRPr="00FE4F07">
        <w:rPr>
          <w:rFonts w:eastAsiaTheme="minorHAnsi"/>
          <w:sz w:val="26"/>
          <w:szCs w:val="26"/>
        </w:rPr>
        <w:t xml:space="preserve"> </w:t>
      </w:r>
      <w:r>
        <w:rPr>
          <w:rFonts w:eastAsiaTheme="minorHAnsi"/>
          <w:sz w:val="26"/>
          <w:szCs w:val="26"/>
        </w:rPr>
        <w:t>were established by the Companies and other EDCs in the context of the development of default service p</w:t>
      </w:r>
      <w:r w:rsidRPr="00FE4F07">
        <w:rPr>
          <w:rFonts w:eastAsiaTheme="minorHAnsi"/>
          <w:sz w:val="26"/>
          <w:szCs w:val="26"/>
        </w:rPr>
        <w:t>rogram</w:t>
      </w:r>
      <w:r>
        <w:rPr>
          <w:rFonts w:eastAsiaTheme="minorHAnsi"/>
          <w:sz w:val="26"/>
          <w:szCs w:val="26"/>
        </w:rPr>
        <w:t>s</w:t>
      </w:r>
      <w:r w:rsidR="0081043D">
        <w:rPr>
          <w:rFonts w:eastAsiaTheme="minorHAnsi"/>
          <w:sz w:val="26"/>
          <w:szCs w:val="26"/>
        </w:rPr>
        <w:t>.</w:t>
      </w:r>
      <w:r w:rsidR="00284663">
        <w:rPr>
          <w:rStyle w:val="FootnoteReference"/>
          <w:rFonts w:eastAsiaTheme="minorHAnsi"/>
          <w:sz w:val="26"/>
          <w:szCs w:val="26"/>
        </w:rPr>
        <w:footnoteReference w:id="5"/>
      </w:r>
      <w:r w:rsidR="00B672AD">
        <w:rPr>
          <w:rFonts w:eastAsiaTheme="minorHAnsi"/>
          <w:sz w:val="26"/>
          <w:szCs w:val="26"/>
        </w:rPr>
        <w:t xml:space="preserve"> </w:t>
      </w:r>
      <w:r w:rsidR="0081043D">
        <w:rPr>
          <w:rFonts w:eastAsiaTheme="minorHAnsi"/>
          <w:sz w:val="26"/>
          <w:szCs w:val="26"/>
        </w:rPr>
        <w:t xml:space="preserve"> Th</w:t>
      </w:r>
      <w:r w:rsidR="00B672AD">
        <w:rPr>
          <w:rFonts w:eastAsiaTheme="minorHAnsi"/>
          <w:sz w:val="26"/>
          <w:szCs w:val="26"/>
        </w:rPr>
        <w:t>e</w:t>
      </w:r>
      <w:r>
        <w:rPr>
          <w:rFonts w:eastAsiaTheme="minorHAnsi"/>
          <w:sz w:val="26"/>
          <w:szCs w:val="26"/>
        </w:rPr>
        <w:t xml:space="preserve"> objectives and elements of the POR are</w:t>
      </w:r>
      <w:r w:rsidR="007B192C">
        <w:rPr>
          <w:rFonts w:eastAsiaTheme="minorHAnsi"/>
          <w:sz w:val="26"/>
          <w:szCs w:val="26"/>
        </w:rPr>
        <w:t>, generally,</w:t>
      </w:r>
      <w:r>
        <w:rPr>
          <w:rFonts w:eastAsiaTheme="minorHAnsi"/>
          <w:sz w:val="26"/>
          <w:szCs w:val="26"/>
        </w:rPr>
        <w:t xml:space="preserve"> c</w:t>
      </w:r>
      <w:r w:rsidRPr="00FE4F07">
        <w:rPr>
          <w:rFonts w:eastAsiaTheme="minorHAnsi"/>
          <w:sz w:val="26"/>
          <w:szCs w:val="26"/>
        </w:rPr>
        <w:t xml:space="preserve">onsistent </w:t>
      </w:r>
      <w:r w:rsidR="00B672AD">
        <w:rPr>
          <w:rFonts w:eastAsiaTheme="minorHAnsi"/>
          <w:sz w:val="26"/>
          <w:szCs w:val="26"/>
        </w:rPr>
        <w:t xml:space="preserve">among the </w:t>
      </w:r>
      <w:r w:rsidR="007B192C">
        <w:rPr>
          <w:rFonts w:eastAsiaTheme="minorHAnsi"/>
          <w:sz w:val="26"/>
          <w:szCs w:val="26"/>
        </w:rPr>
        <w:t>Companies</w:t>
      </w:r>
      <w:r>
        <w:rPr>
          <w:rFonts w:eastAsiaTheme="minorHAnsi"/>
          <w:sz w:val="26"/>
          <w:szCs w:val="26"/>
        </w:rPr>
        <w:t xml:space="preserve"> </w:t>
      </w:r>
      <w:r w:rsidR="007B192C">
        <w:rPr>
          <w:rFonts w:eastAsiaTheme="minorHAnsi"/>
          <w:sz w:val="26"/>
          <w:szCs w:val="26"/>
        </w:rPr>
        <w:t xml:space="preserve">and their </w:t>
      </w:r>
      <w:r w:rsidRPr="00FE4F07">
        <w:rPr>
          <w:rFonts w:eastAsiaTheme="minorHAnsi"/>
          <w:sz w:val="26"/>
          <w:szCs w:val="26"/>
        </w:rPr>
        <w:t>affiliates</w:t>
      </w:r>
      <w:r>
        <w:rPr>
          <w:rFonts w:eastAsiaTheme="minorHAnsi"/>
          <w:sz w:val="26"/>
          <w:szCs w:val="26"/>
        </w:rPr>
        <w:t xml:space="preserve">.  </w:t>
      </w:r>
      <w:r>
        <w:rPr>
          <w:rFonts w:eastAsiaTheme="minorHAnsi"/>
          <w:i/>
          <w:sz w:val="26"/>
          <w:szCs w:val="26"/>
        </w:rPr>
        <w:t xml:space="preserve">See </w:t>
      </w:r>
      <w:r>
        <w:rPr>
          <w:rFonts w:eastAsiaTheme="minorHAnsi"/>
          <w:sz w:val="26"/>
          <w:szCs w:val="26"/>
        </w:rPr>
        <w:t>Motion at 5, n. 14.</w:t>
      </w:r>
      <w:r w:rsidR="00B672AD">
        <w:rPr>
          <w:rFonts w:eastAsiaTheme="minorHAnsi"/>
          <w:sz w:val="26"/>
          <w:szCs w:val="26"/>
        </w:rPr>
        <w:t xml:space="preserve">  The POR programs and the clawback charge in particular, were </w:t>
      </w:r>
      <w:r w:rsidR="0081043D">
        <w:rPr>
          <w:rFonts w:eastAsiaTheme="minorHAnsi"/>
          <w:sz w:val="26"/>
          <w:szCs w:val="26"/>
        </w:rPr>
        <w:t xml:space="preserve">expressly </w:t>
      </w:r>
      <w:r w:rsidR="00B672AD">
        <w:rPr>
          <w:rFonts w:eastAsiaTheme="minorHAnsi"/>
          <w:sz w:val="26"/>
          <w:szCs w:val="26"/>
        </w:rPr>
        <w:t xml:space="preserve">the subject of litigation in the </w:t>
      </w:r>
      <w:r w:rsidR="00B672AD">
        <w:rPr>
          <w:rFonts w:eastAsiaTheme="minorHAnsi"/>
          <w:i/>
          <w:sz w:val="26"/>
          <w:szCs w:val="26"/>
        </w:rPr>
        <w:t>DSP IV</w:t>
      </w:r>
      <w:r w:rsidR="00CD0B3C">
        <w:rPr>
          <w:rFonts w:eastAsiaTheme="minorHAnsi"/>
          <w:i/>
          <w:sz w:val="26"/>
          <w:szCs w:val="26"/>
        </w:rPr>
        <w:t xml:space="preserve"> Final Order</w:t>
      </w:r>
      <w:r w:rsidR="00B672AD">
        <w:rPr>
          <w:rFonts w:eastAsiaTheme="minorHAnsi"/>
          <w:i/>
          <w:sz w:val="26"/>
          <w:szCs w:val="26"/>
        </w:rPr>
        <w:t xml:space="preserve"> </w:t>
      </w:r>
      <w:r w:rsidR="00B672AD">
        <w:rPr>
          <w:rFonts w:eastAsiaTheme="minorHAnsi"/>
          <w:sz w:val="26"/>
          <w:szCs w:val="26"/>
        </w:rPr>
        <w:t>proceeding.  The billing determinant</w:t>
      </w:r>
      <w:r w:rsidR="004917F4">
        <w:rPr>
          <w:rFonts w:eastAsiaTheme="minorHAnsi"/>
          <w:sz w:val="26"/>
          <w:szCs w:val="26"/>
        </w:rPr>
        <w:t>s</w:t>
      </w:r>
      <w:r w:rsidR="00B672AD">
        <w:rPr>
          <w:rFonts w:eastAsiaTheme="minorHAnsi"/>
          <w:sz w:val="26"/>
          <w:szCs w:val="26"/>
        </w:rPr>
        <w:t xml:space="preserve"> </w:t>
      </w:r>
      <w:r w:rsidR="004917F4">
        <w:rPr>
          <w:rFonts w:eastAsiaTheme="minorHAnsi"/>
          <w:sz w:val="26"/>
          <w:szCs w:val="26"/>
        </w:rPr>
        <w:t xml:space="preserve">and other elements comprising how the </w:t>
      </w:r>
      <w:r w:rsidR="00B672AD">
        <w:rPr>
          <w:rFonts w:eastAsiaTheme="minorHAnsi"/>
          <w:sz w:val="26"/>
          <w:szCs w:val="26"/>
        </w:rPr>
        <w:t xml:space="preserve">clawback charge </w:t>
      </w:r>
      <w:r w:rsidR="004917F4">
        <w:rPr>
          <w:rFonts w:eastAsiaTheme="minorHAnsi"/>
          <w:sz w:val="26"/>
          <w:szCs w:val="26"/>
        </w:rPr>
        <w:t xml:space="preserve">would apply </w:t>
      </w:r>
      <w:r w:rsidR="00CD0B3C">
        <w:rPr>
          <w:rFonts w:eastAsiaTheme="minorHAnsi"/>
          <w:sz w:val="26"/>
          <w:szCs w:val="26"/>
        </w:rPr>
        <w:t xml:space="preserve">to an EGS </w:t>
      </w:r>
      <w:r w:rsidR="00B672AD">
        <w:rPr>
          <w:rFonts w:eastAsiaTheme="minorHAnsi"/>
          <w:sz w:val="26"/>
          <w:szCs w:val="26"/>
        </w:rPr>
        <w:t xml:space="preserve">were the subject of a settlement </w:t>
      </w:r>
      <w:r w:rsidR="0081043D">
        <w:rPr>
          <w:rFonts w:eastAsiaTheme="minorHAnsi"/>
          <w:sz w:val="26"/>
          <w:szCs w:val="26"/>
        </w:rPr>
        <w:t>which resolved</w:t>
      </w:r>
      <w:r w:rsidR="00B672AD">
        <w:rPr>
          <w:rFonts w:eastAsiaTheme="minorHAnsi"/>
          <w:sz w:val="26"/>
          <w:szCs w:val="26"/>
        </w:rPr>
        <w:t xml:space="preserve"> the </w:t>
      </w:r>
      <w:r w:rsidR="00B672AD">
        <w:rPr>
          <w:rFonts w:eastAsiaTheme="minorHAnsi"/>
          <w:i/>
          <w:sz w:val="26"/>
          <w:szCs w:val="26"/>
        </w:rPr>
        <w:t>DSP IV</w:t>
      </w:r>
      <w:r w:rsidR="00B672AD">
        <w:rPr>
          <w:rFonts w:eastAsiaTheme="minorHAnsi"/>
          <w:sz w:val="26"/>
          <w:szCs w:val="26"/>
        </w:rPr>
        <w:t xml:space="preserve"> </w:t>
      </w:r>
      <w:r w:rsidR="00CD0B3C" w:rsidRPr="00CD0B3C">
        <w:rPr>
          <w:rFonts w:eastAsiaTheme="minorHAnsi"/>
          <w:i/>
          <w:sz w:val="26"/>
          <w:szCs w:val="26"/>
        </w:rPr>
        <w:t>Final Order</w:t>
      </w:r>
      <w:r w:rsidR="00CD0B3C">
        <w:rPr>
          <w:rFonts w:eastAsiaTheme="minorHAnsi"/>
          <w:sz w:val="26"/>
          <w:szCs w:val="26"/>
        </w:rPr>
        <w:t xml:space="preserve"> </w:t>
      </w:r>
      <w:r w:rsidR="00B672AD">
        <w:rPr>
          <w:rFonts w:eastAsiaTheme="minorHAnsi"/>
          <w:sz w:val="26"/>
          <w:szCs w:val="26"/>
        </w:rPr>
        <w:t>proceeding</w:t>
      </w:r>
      <w:r w:rsidR="0081043D">
        <w:rPr>
          <w:rFonts w:eastAsiaTheme="minorHAnsi"/>
          <w:sz w:val="26"/>
          <w:szCs w:val="26"/>
        </w:rPr>
        <w:t>.  As part of the settlement of th</w:t>
      </w:r>
      <w:r w:rsidR="00CD0B3C">
        <w:rPr>
          <w:rFonts w:eastAsiaTheme="minorHAnsi"/>
          <w:sz w:val="26"/>
          <w:szCs w:val="26"/>
        </w:rPr>
        <w:t>at</w:t>
      </w:r>
      <w:r w:rsidR="004917F4">
        <w:rPr>
          <w:rFonts w:eastAsiaTheme="minorHAnsi"/>
          <w:sz w:val="26"/>
          <w:szCs w:val="26"/>
        </w:rPr>
        <w:t xml:space="preserve"> </w:t>
      </w:r>
      <w:r w:rsidR="00CD0B3C">
        <w:rPr>
          <w:rFonts w:eastAsiaTheme="minorHAnsi"/>
          <w:sz w:val="26"/>
          <w:szCs w:val="26"/>
        </w:rPr>
        <w:t>docket</w:t>
      </w:r>
      <w:r w:rsidR="0081043D">
        <w:rPr>
          <w:rFonts w:eastAsiaTheme="minorHAnsi"/>
          <w:sz w:val="26"/>
          <w:szCs w:val="26"/>
        </w:rPr>
        <w:t>,</w:t>
      </w:r>
      <w:r w:rsidR="00B672AD">
        <w:rPr>
          <w:rFonts w:eastAsiaTheme="minorHAnsi"/>
          <w:sz w:val="26"/>
          <w:szCs w:val="26"/>
        </w:rPr>
        <w:t xml:space="preserve"> the settling parties agreed to implement the </w:t>
      </w:r>
      <w:r w:rsidR="0081043D">
        <w:rPr>
          <w:rFonts w:eastAsiaTheme="minorHAnsi"/>
          <w:sz w:val="26"/>
          <w:szCs w:val="26"/>
        </w:rPr>
        <w:t xml:space="preserve">POR and its </w:t>
      </w:r>
      <w:r w:rsidR="004917F4">
        <w:rPr>
          <w:rFonts w:eastAsiaTheme="minorHAnsi"/>
          <w:sz w:val="26"/>
          <w:szCs w:val="26"/>
        </w:rPr>
        <w:t xml:space="preserve">currently effective </w:t>
      </w:r>
      <w:r w:rsidR="0081043D">
        <w:rPr>
          <w:rFonts w:eastAsiaTheme="minorHAnsi"/>
          <w:sz w:val="26"/>
          <w:szCs w:val="26"/>
        </w:rPr>
        <w:t>terms</w:t>
      </w:r>
      <w:r w:rsidR="004917F4">
        <w:rPr>
          <w:rFonts w:eastAsiaTheme="minorHAnsi"/>
          <w:sz w:val="26"/>
          <w:szCs w:val="26"/>
        </w:rPr>
        <w:t xml:space="preserve"> and conditions</w:t>
      </w:r>
      <w:r w:rsidR="00B672AD">
        <w:rPr>
          <w:rFonts w:eastAsiaTheme="minorHAnsi"/>
          <w:sz w:val="26"/>
          <w:szCs w:val="26"/>
        </w:rPr>
        <w:t xml:space="preserve"> as a “pilot</w:t>
      </w:r>
      <w:r w:rsidR="004917F4">
        <w:rPr>
          <w:rFonts w:eastAsiaTheme="minorHAnsi"/>
          <w:sz w:val="26"/>
          <w:szCs w:val="26"/>
        </w:rPr>
        <w:t>,</w:t>
      </w:r>
      <w:r w:rsidR="00B672AD">
        <w:rPr>
          <w:rFonts w:eastAsiaTheme="minorHAnsi"/>
          <w:sz w:val="26"/>
          <w:szCs w:val="26"/>
        </w:rPr>
        <w:t>” subject to future revisions after a collaborative of stakeholders that is scheduled for October, 2017</w:t>
      </w:r>
      <w:r w:rsidR="004917F4">
        <w:rPr>
          <w:rFonts w:eastAsiaTheme="minorHAnsi"/>
          <w:sz w:val="26"/>
          <w:szCs w:val="26"/>
        </w:rPr>
        <w:t>, is completed</w:t>
      </w:r>
      <w:r w:rsidR="00B672AD">
        <w:rPr>
          <w:rFonts w:eastAsiaTheme="minorHAnsi"/>
          <w:sz w:val="26"/>
          <w:szCs w:val="26"/>
        </w:rPr>
        <w:t>.</w:t>
      </w:r>
      <w:r w:rsidR="00D66862">
        <w:rPr>
          <w:rFonts w:eastAsiaTheme="minorHAnsi"/>
          <w:sz w:val="26"/>
          <w:szCs w:val="26"/>
        </w:rPr>
        <w:t xml:space="preserve">  </w:t>
      </w:r>
      <w:r w:rsidR="00D66862">
        <w:rPr>
          <w:rFonts w:eastAsiaTheme="minorHAnsi"/>
          <w:i/>
          <w:sz w:val="26"/>
          <w:szCs w:val="26"/>
        </w:rPr>
        <w:t xml:space="preserve">See </w:t>
      </w:r>
      <w:r w:rsidR="00D66862">
        <w:rPr>
          <w:i/>
          <w:sz w:val="26"/>
          <w:szCs w:val="26"/>
        </w:rPr>
        <w:t xml:space="preserve">DSP IV R.D. </w:t>
      </w:r>
      <w:r w:rsidR="00D66862">
        <w:rPr>
          <w:sz w:val="26"/>
          <w:szCs w:val="26"/>
        </w:rPr>
        <w:t>at 16-17.</w:t>
      </w:r>
    </w:p>
    <w:p w:rsidR="004917F4" w:rsidRDefault="004917F4" w:rsidP="003A7572">
      <w:pPr>
        <w:widowControl/>
        <w:autoSpaceDE w:val="0"/>
        <w:autoSpaceDN w:val="0"/>
        <w:adjustRightInd w:val="0"/>
        <w:spacing w:line="360" w:lineRule="auto"/>
        <w:ind w:firstLine="1440"/>
        <w:rPr>
          <w:rFonts w:eastAsiaTheme="minorHAnsi"/>
          <w:sz w:val="26"/>
          <w:szCs w:val="26"/>
        </w:rPr>
      </w:pPr>
    </w:p>
    <w:p w:rsidR="008C1501" w:rsidRPr="006D5C52" w:rsidRDefault="007A08C2" w:rsidP="003A7572">
      <w:pPr>
        <w:widowControl/>
        <w:autoSpaceDE w:val="0"/>
        <w:autoSpaceDN w:val="0"/>
        <w:adjustRightInd w:val="0"/>
        <w:spacing w:line="360" w:lineRule="auto"/>
        <w:ind w:firstLine="1440"/>
        <w:rPr>
          <w:rFonts w:eastAsiaTheme="minorHAnsi"/>
          <w:sz w:val="26"/>
          <w:szCs w:val="26"/>
        </w:rPr>
      </w:pPr>
      <w:r>
        <w:rPr>
          <w:rFonts w:eastAsiaTheme="minorHAnsi"/>
          <w:sz w:val="26"/>
          <w:szCs w:val="26"/>
        </w:rPr>
        <w:t xml:space="preserve">The </w:t>
      </w:r>
      <w:r w:rsidR="00F358AD">
        <w:rPr>
          <w:rFonts w:eastAsiaTheme="minorHAnsi"/>
          <w:sz w:val="26"/>
          <w:szCs w:val="26"/>
        </w:rPr>
        <w:t>clawback charge</w:t>
      </w:r>
      <w:r>
        <w:rPr>
          <w:rFonts w:eastAsiaTheme="minorHAnsi"/>
          <w:sz w:val="26"/>
          <w:szCs w:val="26"/>
        </w:rPr>
        <w:t xml:space="preserve">/fee was </w:t>
      </w:r>
      <w:r w:rsidR="005C46EE">
        <w:rPr>
          <w:rFonts w:eastAsiaTheme="minorHAnsi"/>
          <w:sz w:val="26"/>
          <w:szCs w:val="26"/>
        </w:rPr>
        <w:t>explained to apply to</w:t>
      </w:r>
      <w:r>
        <w:rPr>
          <w:rFonts w:eastAsiaTheme="minorHAnsi"/>
          <w:sz w:val="26"/>
          <w:szCs w:val="26"/>
        </w:rPr>
        <w:t xml:space="preserve"> EGSs </w:t>
      </w:r>
      <w:r w:rsidR="00F358AD">
        <w:rPr>
          <w:rFonts w:eastAsiaTheme="minorHAnsi"/>
          <w:sz w:val="26"/>
          <w:szCs w:val="26"/>
        </w:rPr>
        <w:t>“</w:t>
      </w:r>
      <w:r>
        <w:rPr>
          <w:rFonts w:eastAsiaTheme="minorHAnsi"/>
          <w:sz w:val="26"/>
          <w:szCs w:val="26"/>
        </w:rPr>
        <w:t xml:space="preserve"> </w:t>
      </w:r>
      <w:r w:rsidR="00F358AD">
        <w:rPr>
          <w:rFonts w:eastAsiaTheme="minorHAnsi"/>
          <w:sz w:val="26"/>
          <w:szCs w:val="26"/>
        </w:rPr>
        <w:t xml:space="preserve">. . . </w:t>
      </w:r>
      <w:r w:rsidR="00F358AD" w:rsidRPr="009138CC">
        <w:rPr>
          <w:rFonts w:eastAsiaTheme="minorHAnsi"/>
          <w:sz w:val="26"/>
          <w:szCs w:val="26"/>
        </w:rPr>
        <w:t>whose track records</w:t>
      </w:r>
      <w:r w:rsidR="00F358AD">
        <w:rPr>
          <w:rFonts w:eastAsiaTheme="minorHAnsi"/>
          <w:sz w:val="26"/>
          <w:szCs w:val="26"/>
        </w:rPr>
        <w:t xml:space="preserve"> </w:t>
      </w:r>
      <w:r w:rsidR="00F358AD" w:rsidRPr="009138CC">
        <w:rPr>
          <w:rFonts w:eastAsiaTheme="minorHAnsi"/>
          <w:sz w:val="26"/>
          <w:szCs w:val="26"/>
        </w:rPr>
        <w:t xml:space="preserve">indicate their average percentage of accounts receivable write offs (for non-payment) expressed </w:t>
      </w:r>
      <w:r w:rsidR="00F358AD">
        <w:rPr>
          <w:rFonts w:eastAsiaTheme="minorHAnsi"/>
          <w:sz w:val="26"/>
          <w:szCs w:val="26"/>
        </w:rPr>
        <w:t>[</w:t>
      </w:r>
      <w:r w:rsidR="00F358AD" w:rsidRPr="00095B2F">
        <w:rPr>
          <w:rFonts w:eastAsiaTheme="minorHAnsi"/>
          <w:i/>
          <w:sz w:val="26"/>
          <w:szCs w:val="26"/>
        </w:rPr>
        <w:t>sic</w:t>
      </w:r>
      <w:r w:rsidR="00F358AD">
        <w:rPr>
          <w:rFonts w:eastAsiaTheme="minorHAnsi"/>
          <w:sz w:val="26"/>
          <w:szCs w:val="26"/>
        </w:rPr>
        <w:t xml:space="preserve">] </w:t>
      </w:r>
      <w:r w:rsidR="00F358AD" w:rsidRPr="009138CC">
        <w:rPr>
          <w:rFonts w:eastAsiaTheme="minorHAnsi"/>
          <w:sz w:val="26"/>
          <w:szCs w:val="26"/>
        </w:rPr>
        <w:t>a</w:t>
      </w:r>
      <w:r w:rsidR="00F358AD">
        <w:rPr>
          <w:rFonts w:eastAsiaTheme="minorHAnsi"/>
          <w:sz w:val="26"/>
          <w:szCs w:val="26"/>
        </w:rPr>
        <w:t xml:space="preserve"> </w:t>
      </w:r>
      <w:r w:rsidR="00F358AD" w:rsidRPr="009138CC">
        <w:rPr>
          <w:rFonts w:eastAsiaTheme="minorHAnsi"/>
          <w:sz w:val="26"/>
          <w:szCs w:val="26"/>
        </w:rPr>
        <w:t>percentage of revenue exceeds 200% of the average percentage for all EGSs, due, in part, to</w:t>
      </w:r>
      <w:r w:rsidR="00F358AD">
        <w:rPr>
          <w:rFonts w:eastAsiaTheme="minorHAnsi"/>
          <w:sz w:val="26"/>
          <w:szCs w:val="26"/>
        </w:rPr>
        <w:t xml:space="preserve"> </w:t>
      </w:r>
      <w:r w:rsidR="00F358AD" w:rsidRPr="009138CC">
        <w:rPr>
          <w:rFonts w:eastAsiaTheme="minorHAnsi"/>
          <w:sz w:val="26"/>
          <w:szCs w:val="26"/>
        </w:rPr>
        <w:t>charging prices more than 50% higher than the Company’s average price to compare (“PTC”).</w:t>
      </w:r>
      <w:r w:rsidR="00F358AD">
        <w:rPr>
          <w:rFonts w:eastAsiaTheme="minorHAnsi"/>
          <w:sz w:val="26"/>
          <w:szCs w:val="26"/>
        </w:rPr>
        <w:t xml:space="preserve">”  </w:t>
      </w:r>
      <w:r w:rsidR="005C46EE">
        <w:rPr>
          <w:rFonts w:eastAsiaTheme="minorHAnsi"/>
          <w:i/>
          <w:sz w:val="26"/>
          <w:szCs w:val="26"/>
        </w:rPr>
        <w:t xml:space="preserve">See </w:t>
      </w:r>
      <w:r w:rsidR="00F358AD">
        <w:rPr>
          <w:rFonts w:eastAsiaTheme="minorHAnsi"/>
          <w:sz w:val="26"/>
          <w:szCs w:val="26"/>
        </w:rPr>
        <w:t xml:space="preserve">Motion at 3.  </w:t>
      </w:r>
      <w:r w:rsidR="00BE1001">
        <w:rPr>
          <w:rFonts w:eastAsiaTheme="minorHAnsi"/>
          <w:sz w:val="26"/>
          <w:szCs w:val="26"/>
        </w:rPr>
        <w:t>Th</w:t>
      </w:r>
      <w:r w:rsidR="00BE1001" w:rsidRPr="00965F6C">
        <w:rPr>
          <w:rFonts w:eastAsiaTheme="minorHAnsi"/>
          <w:sz w:val="26"/>
          <w:szCs w:val="26"/>
        </w:rPr>
        <w:t>us, the clawback charge as adopted in the settlement would be in</w:t>
      </w:r>
      <w:r w:rsidR="00BE1001">
        <w:rPr>
          <w:rFonts w:eastAsiaTheme="minorHAnsi"/>
          <w:sz w:val="26"/>
          <w:szCs w:val="26"/>
        </w:rPr>
        <w:t xml:space="preserve"> </w:t>
      </w:r>
      <w:r w:rsidR="00BE1001" w:rsidRPr="00965F6C">
        <w:rPr>
          <w:rFonts w:eastAsiaTheme="minorHAnsi"/>
          <w:sz w:val="26"/>
          <w:szCs w:val="26"/>
        </w:rPr>
        <w:t>effect for two annual periods, concluding on August 31, 2016 and 2017, and would expose EGSs</w:t>
      </w:r>
      <w:r w:rsidR="00BE1001">
        <w:rPr>
          <w:rFonts w:eastAsiaTheme="minorHAnsi"/>
          <w:sz w:val="26"/>
          <w:szCs w:val="26"/>
        </w:rPr>
        <w:t xml:space="preserve"> </w:t>
      </w:r>
      <w:r w:rsidR="00BE1001" w:rsidRPr="00965F6C">
        <w:rPr>
          <w:rFonts w:eastAsiaTheme="minorHAnsi"/>
          <w:sz w:val="26"/>
          <w:szCs w:val="26"/>
        </w:rPr>
        <w:t>to clawback charges in 2016 and 2017.</w:t>
      </w:r>
      <w:r w:rsidR="00BE1001">
        <w:rPr>
          <w:rFonts w:eastAsiaTheme="minorHAnsi"/>
          <w:sz w:val="26"/>
          <w:szCs w:val="26"/>
        </w:rPr>
        <w:t xml:space="preserve">  </w:t>
      </w:r>
      <w:r w:rsidR="00F358AD">
        <w:rPr>
          <w:rFonts w:eastAsiaTheme="minorHAnsi"/>
          <w:sz w:val="26"/>
          <w:szCs w:val="26"/>
        </w:rPr>
        <w:t>As discussed below, the charge has been incorporated</w:t>
      </w:r>
      <w:r w:rsidR="00095B2F">
        <w:rPr>
          <w:rFonts w:eastAsiaTheme="minorHAnsi"/>
          <w:sz w:val="26"/>
          <w:szCs w:val="26"/>
        </w:rPr>
        <w:t xml:space="preserve"> into the Companies’ tariffs.</w:t>
      </w:r>
    </w:p>
    <w:p w:rsidR="008C1501" w:rsidRDefault="008C1501" w:rsidP="003A7572">
      <w:pPr>
        <w:widowControl/>
        <w:spacing w:line="360" w:lineRule="auto"/>
        <w:rPr>
          <w:rFonts w:eastAsiaTheme="minorHAnsi"/>
          <w:sz w:val="26"/>
          <w:szCs w:val="26"/>
        </w:rPr>
      </w:pPr>
    </w:p>
    <w:p w:rsidR="008C1501" w:rsidRPr="008F1B29" w:rsidRDefault="00406CCD" w:rsidP="003A7572">
      <w:pPr>
        <w:widowControl/>
        <w:spacing w:line="360" w:lineRule="auto"/>
        <w:ind w:firstLine="1440"/>
        <w:rPr>
          <w:rFonts w:eastAsiaTheme="minorHAnsi"/>
          <w:sz w:val="26"/>
          <w:szCs w:val="26"/>
        </w:rPr>
      </w:pPr>
      <w:r>
        <w:rPr>
          <w:rFonts w:eastAsiaTheme="minorHAnsi"/>
          <w:sz w:val="26"/>
          <w:szCs w:val="26"/>
        </w:rPr>
        <w:lastRenderedPageBreak/>
        <w:t>In the present dispute, Penelec, c</w:t>
      </w:r>
      <w:r w:rsidR="008C1501" w:rsidRPr="00B17FCB">
        <w:rPr>
          <w:rFonts w:eastAsiaTheme="minorHAnsi"/>
          <w:sz w:val="26"/>
          <w:szCs w:val="26"/>
        </w:rPr>
        <w:t xml:space="preserve">onsistent with the terms of the Commission-approved clawback </w:t>
      </w:r>
      <w:r w:rsidR="00984846">
        <w:rPr>
          <w:rFonts w:eastAsiaTheme="minorHAnsi"/>
          <w:sz w:val="26"/>
          <w:szCs w:val="26"/>
        </w:rPr>
        <w:t xml:space="preserve">charge </w:t>
      </w:r>
      <w:r w:rsidR="008C1501" w:rsidRPr="00B17FCB">
        <w:rPr>
          <w:rFonts w:eastAsiaTheme="minorHAnsi"/>
          <w:sz w:val="26"/>
          <w:szCs w:val="26"/>
        </w:rPr>
        <w:t>provision</w:t>
      </w:r>
      <w:r w:rsidR="00AE1DC3">
        <w:rPr>
          <w:rFonts w:eastAsiaTheme="minorHAnsi"/>
          <w:sz w:val="26"/>
          <w:szCs w:val="26"/>
        </w:rPr>
        <w:t xml:space="preserve">s that resulted from the </w:t>
      </w:r>
      <w:r w:rsidR="00AE1DC3">
        <w:rPr>
          <w:rFonts w:eastAsiaTheme="minorHAnsi"/>
          <w:i/>
          <w:sz w:val="26"/>
          <w:szCs w:val="26"/>
        </w:rPr>
        <w:t xml:space="preserve">DSP IV </w:t>
      </w:r>
      <w:r w:rsidR="00CD0B3C">
        <w:rPr>
          <w:rFonts w:eastAsiaTheme="minorHAnsi"/>
          <w:i/>
          <w:sz w:val="26"/>
          <w:szCs w:val="26"/>
        </w:rPr>
        <w:t>Final Order</w:t>
      </w:r>
      <w:r w:rsidR="008C1501" w:rsidRPr="00B17FCB">
        <w:rPr>
          <w:rFonts w:eastAsiaTheme="minorHAnsi"/>
          <w:sz w:val="26"/>
          <w:szCs w:val="26"/>
        </w:rPr>
        <w:t>, conducted analyses of the accounts receivable write-offs and prices charged to</w:t>
      </w:r>
      <w:r>
        <w:rPr>
          <w:rFonts w:eastAsiaTheme="minorHAnsi"/>
          <w:sz w:val="26"/>
          <w:szCs w:val="26"/>
        </w:rPr>
        <w:t xml:space="preserve"> </w:t>
      </w:r>
      <w:r w:rsidR="008C1501" w:rsidRPr="00B17FCB">
        <w:rPr>
          <w:rFonts w:eastAsiaTheme="minorHAnsi"/>
          <w:sz w:val="26"/>
          <w:szCs w:val="26"/>
        </w:rPr>
        <w:t>customers for all the EGSs that participated in its POR during the twelve months ended August</w:t>
      </w:r>
      <w:r w:rsidR="008C1501">
        <w:rPr>
          <w:rFonts w:eastAsiaTheme="minorHAnsi"/>
          <w:sz w:val="26"/>
          <w:szCs w:val="26"/>
        </w:rPr>
        <w:t xml:space="preserve"> </w:t>
      </w:r>
      <w:r w:rsidR="008C1501" w:rsidRPr="00B17FCB">
        <w:rPr>
          <w:rFonts w:eastAsiaTheme="minorHAnsi"/>
          <w:sz w:val="26"/>
          <w:szCs w:val="26"/>
        </w:rPr>
        <w:t xml:space="preserve">31, 2016. </w:t>
      </w:r>
      <w:r>
        <w:rPr>
          <w:rFonts w:eastAsiaTheme="minorHAnsi"/>
          <w:sz w:val="26"/>
          <w:szCs w:val="26"/>
        </w:rPr>
        <w:t xml:space="preserve"> </w:t>
      </w:r>
      <w:r w:rsidR="008C1501" w:rsidRPr="00B17FCB">
        <w:rPr>
          <w:rFonts w:eastAsiaTheme="minorHAnsi"/>
          <w:sz w:val="26"/>
          <w:szCs w:val="26"/>
        </w:rPr>
        <w:t xml:space="preserve">Based on those analyses, Penelec identified Respond and one other EGS as </w:t>
      </w:r>
      <w:r w:rsidR="0081043D">
        <w:rPr>
          <w:rFonts w:eastAsiaTheme="minorHAnsi"/>
          <w:sz w:val="26"/>
          <w:szCs w:val="26"/>
        </w:rPr>
        <w:t>participating EGSs</w:t>
      </w:r>
      <w:r w:rsidR="008C1501">
        <w:rPr>
          <w:rFonts w:eastAsiaTheme="minorHAnsi"/>
          <w:sz w:val="26"/>
          <w:szCs w:val="26"/>
        </w:rPr>
        <w:t xml:space="preserve"> </w:t>
      </w:r>
      <w:r w:rsidR="008C1501" w:rsidRPr="00B17FCB">
        <w:rPr>
          <w:rFonts w:eastAsiaTheme="minorHAnsi"/>
          <w:sz w:val="26"/>
          <w:szCs w:val="26"/>
        </w:rPr>
        <w:t>subject to clawback charges</w:t>
      </w:r>
      <w:r w:rsidR="0081043D">
        <w:rPr>
          <w:rFonts w:eastAsiaTheme="minorHAnsi"/>
          <w:sz w:val="26"/>
          <w:szCs w:val="26"/>
        </w:rPr>
        <w:t>.  Penelec computed the amount of the charges as</w:t>
      </w:r>
      <w:r w:rsidR="008C1501" w:rsidRPr="00B17FCB">
        <w:rPr>
          <w:rFonts w:eastAsiaTheme="minorHAnsi"/>
          <w:sz w:val="26"/>
          <w:szCs w:val="26"/>
        </w:rPr>
        <w:t xml:space="preserve"> $305,891</w:t>
      </w:r>
      <w:r w:rsidR="0081043D">
        <w:rPr>
          <w:rFonts w:eastAsiaTheme="minorHAnsi"/>
          <w:sz w:val="26"/>
          <w:szCs w:val="26"/>
        </w:rPr>
        <w:t xml:space="preserve"> </w:t>
      </w:r>
      <w:r w:rsidR="00AD0F2C">
        <w:rPr>
          <w:rFonts w:eastAsiaTheme="minorHAnsi"/>
          <w:sz w:val="26"/>
          <w:szCs w:val="26"/>
        </w:rPr>
        <w:t xml:space="preserve">for </w:t>
      </w:r>
      <w:r w:rsidR="0081043D">
        <w:rPr>
          <w:rFonts w:eastAsiaTheme="minorHAnsi"/>
          <w:sz w:val="26"/>
          <w:szCs w:val="26"/>
        </w:rPr>
        <w:t>Respond</w:t>
      </w:r>
      <w:r w:rsidR="008C1501" w:rsidRPr="00B17FCB">
        <w:rPr>
          <w:rFonts w:eastAsiaTheme="minorHAnsi"/>
          <w:sz w:val="26"/>
          <w:szCs w:val="26"/>
        </w:rPr>
        <w:t xml:space="preserve"> and $5,458</w:t>
      </w:r>
      <w:r w:rsidR="00AD0F2C">
        <w:rPr>
          <w:rFonts w:eastAsiaTheme="minorHAnsi"/>
          <w:sz w:val="26"/>
          <w:szCs w:val="26"/>
        </w:rPr>
        <w:t xml:space="preserve"> for the other EGS</w:t>
      </w:r>
      <w:r w:rsidR="008C1501" w:rsidRPr="00B17FCB">
        <w:rPr>
          <w:rFonts w:eastAsiaTheme="minorHAnsi"/>
          <w:sz w:val="26"/>
          <w:szCs w:val="26"/>
        </w:rPr>
        <w:t xml:space="preserve">. </w:t>
      </w:r>
      <w:r w:rsidR="008C1501">
        <w:rPr>
          <w:rFonts w:eastAsiaTheme="minorHAnsi"/>
          <w:sz w:val="26"/>
          <w:szCs w:val="26"/>
        </w:rPr>
        <w:t xml:space="preserve"> </w:t>
      </w:r>
      <w:r w:rsidR="008C1501" w:rsidRPr="00B17FCB">
        <w:rPr>
          <w:rFonts w:eastAsiaTheme="minorHAnsi"/>
          <w:sz w:val="26"/>
          <w:szCs w:val="26"/>
        </w:rPr>
        <w:t>On</w:t>
      </w:r>
      <w:r w:rsidR="008C1501">
        <w:rPr>
          <w:rFonts w:eastAsiaTheme="minorHAnsi"/>
          <w:sz w:val="26"/>
          <w:szCs w:val="26"/>
        </w:rPr>
        <w:t xml:space="preserve"> </w:t>
      </w:r>
      <w:r w:rsidR="008C1501" w:rsidRPr="00B17FCB">
        <w:rPr>
          <w:rFonts w:eastAsiaTheme="minorHAnsi"/>
          <w:sz w:val="26"/>
          <w:szCs w:val="26"/>
        </w:rPr>
        <w:t>September</w:t>
      </w:r>
      <w:r w:rsidR="00AD0F2C">
        <w:rPr>
          <w:rFonts w:eastAsiaTheme="minorHAnsi"/>
          <w:sz w:val="26"/>
          <w:szCs w:val="26"/>
        </w:rPr>
        <w:t> </w:t>
      </w:r>
      <w:r w:rsidR="008C1501" w:rsidRPr="00B17FCB">
        <w:rPr>
          <w:rFonts w:eastAsiaTheme="minorHAnsi"/>
          <w:sz w:val="26"/>
          <w:szCs w:val="26"/>
        </w:rPr>
        <w:t xml:space="preserve">30, 2016, Penelec issued an invoice to </w:t>
      </w:r>
      <w:proofErr w:type="gramStart"/>
      <w:r w:rsidR="008C1501" w:rsidRPr="00B17FCB">
        <w:rPr>
          <w:rFonts w:eastAsiaTheme="minorHAnsi"/>
          <w:sz w:val="26"/>
          <w:szCs w:val="26"/>
        </w:rPr>
        <w:t>Respond</w:t>
      </w:r>
      <w:proofErr w:type="gramEnd"/>
      <w:r w:rsidR="008C1501" w:rsidRPr="00B17FCB">
        <w:rPr>
          <w:rFonts w:eastAsiaTheme="minorHAnsi"/>
          <w:sz w:val="26"/>
          <w:szCs w:val="26"/>
        </w:rPr>
        <w:t xml:space="preserve"> for the amount </w:t>
      </w:r>
      <w:r>
        <w:rPr>
          <w:rFonts w:eastAsiaTheme="minorHAnsi"/>
          <w:sz w:val="26"/>
          <w:szCs w:val="26"/>
        </w:rPr>
        <w:t>Penelec claim</w:t>
      </w:r>
      <w:r w:rsidR="0081043D">
        <w:rPr>
          <w:rFonts w:eastAsiaTheme="minorHAnsi"/>
          <w:sz w:val="26"/>
          <w:szCs w:val="26"/>
        </w:rPr>
        <w:t>ed</w:t>
      </w:r>
      <w:r>
        <w:rPr>
          <w:rFonts w:eastAsiaTheme="minorHAnsi"/>
          <w:sz w:val="26"/>
          <w:szCs w:val="26"/>
        </w:rPr>
        <w:t xml:space="preserve"> </w:t>
      </w:r>
      <w:r w:rsidR="0081043D">
        <w:rPr>
          <w:rFonts w:eastAsiaTheme="minorHAnsi"/>
          <w:sz w:val="26"/>
          <w:szCs w:val="26"/>
        </w:rPr>
        <w:t xml:space="preserve">it was </w:t>
      </w:r>
      <w:r w:rsidR="008C1501" w:rsidRPr="00B17FCB">
        <w:rPr>
          <w:rFonts w:eastAsiaTheme="minorHAnsi"/>
          <w:sz w:val="26"/>
          <w:szCs w:val="26"/>
        </w:rPr>
        <w:t>owed</w:t>
      </w:r>
      <w:r>
        <w:rPr>
          <w:rFonts w:eastAsiaTheme="minorHAnsi"/>
          <w:sz w:val="26"/>
          <w:szCs w:val="26"/>
        </w:rPr>
        <w:t xml:space="preserve"> according to </w:t>
      </w:r>
      <w:r w:rsidR="0081043D">
        <w:rPr>
          <w:rFonts w:eastAsiaTheme="minorHAnsi"/>
          <w:sz w:val="26"/>
          <w:szCs w:val="26"/>
        </w:rPr>
        <w:t>the</w:t>
      </w:r>
      <w:r w:rsidR="008F1B29">
        <w:rPr>
          <w:rFonts w:eastAsiaTheme="minorHAnsi"/>
          <w:sz w:val="26"/>
          <w:szCs w:val="26"/>
        </w:rPr>
        <w:t xml:space="preserve"> application of </w:t>
      </w:r>
      <w:r>
        <w:rPr>
          <w:rFonts w:eastAsiaTheme="minorHAnsi"/>
          <w:sz w:val="26"/>
          <w:szCs w:val="26"/>
        </w:rPr>
        <w:t>the clawback charge</w:t>
      </w:r>
      <w:r w:rsidR="008C1501" w:rsidRPr="00B17FCB">
        <w:rPr>
          <w:rFonts w:eastAsiaTheme="minorHAnsi"/>
          <w:sz w:val="26"/>
          <w:szCs w:val="26"/>
        </w:rPr>
        <w:t>.</w:t>
      </w:r>
      <w:r>
        <w:rPr>
          <w:rFonts w:eastAsiaTheme="minorHAnsi"/>
          <w:sz w:val="26"/>
          <w:szCs w:val="26"/>
        </w:rPr>
        <w:t xml:space="preserve"> </w:t>
      </w:r>
      <w:r w:rsidR="008C1501">
        <w:rPr>
          <w:rFonts w:eastAsiaTheme="minorHAnsi"/>
          <w:sz w:val="26"/>
          <w:szCs w:val="26"/>
        </w:rPr>
        <w:t xml:space="preserve"> </w:t>
      </w:r>
      <w:r w:rsidR="008C1501" w:rsidRPr="00B17FCB">
        <w:rPr>
          <w:rFonts w:eastAsiaTheme="minorHAnsi"/>
          <w:sz w:val="26"/>
          <w:szCs w:val="26"/>
        </w:rPr>
        <w:t xml:space="preserve">On October 21, 2016, Respond sent a letter to Penelec objecting to the </w:t>
      </w:r>
      <w:r w:rsidR="0081043D">
        <w:rPr>
          <w:rFonts w:eastAsiaTheme="minorHAnsi"/>
          <w:sz w:val="26"/>
          <w:szCs w:val="26"/>
        </w:rPr>
        <w:t>ch</w:t>
      </w:r>
      <w:r w:rsidR="008C1501" w:rsidRPr="00B17FCB">
        <w:rPr>
          <w:rFonts w:eastAsiaTheme="minorHAnsi"/>
          <w:sz w:val="26"/>
          <w:szCs w:val="26"/>
        </w:rPr>
        <w:t xml:space="preserve">arge and requesting a waiver and extension of the due date. </w:t>
      </w:r>
      <w:r w:rsidR="008F1B29">
        <w:rPr>
          <w:rFonts w:eastAsiaTheme="minorHAnsi"/>
          <w:sz w:val="26"/>
          <w:szCs w:val="26"/>
        </w:rPr>
        <w:t xml:space="preserve"> The </w:t>
      </w:r>
      <w:r w:rsidR="008F1B29">
        <w:rPr>
          <w:rFonts w:eastAsiaTheme="minorHAnsi"/>
          <w:i/>
          <w:sz w:val="26"/>
          <w:szCs w:val="26"/>
        </w:rPr>
        <w:t xml:space="preserve">Emergency Petition </w:t>
      </w:r>
      <w:r w:rsidR="008F1B29">
        <w:rPr>
          <w:rFonts w:eastAsiaTheme="minorHAnsi"/>
          <w:sz w:val="26"/>
          <w:szCs w:val="26"/>
        </w:rPr>
        <w:t>and Complaints followed.</w:t>
      </w:r>
    </w:p>
    <w:p w:rsidR="009B3DA7" w:rsidRPr="00406CCD" w:rsidRDefault="009B3DA7" w:rsidP="003A7572">
      <w:pPr>
        <w:widowControl/>
        <w:spacing w:line="360" w:lineRule="auto"/>
        <w:ind w:firstLine="1440"/>
        <w:rPr>
          <w:spacing w:val="-3"/>
          <w:sz w:val="26"/>
          <w:szCs w:val="26"/>
        </w:rPr>
      </w:pPr>
      <w:r w:rsidRPr="00ED27CC">
        <w:rPr>
          <w:spacing w:val="-3"/>
          <w:sz w:val="26"/>
          <w:szCs w:val="26"/>
        </w:rPr>
        <w:t xml:space="preserve"> </w:t>
      </w:r>
    </w:p>
    <w:p w:rsidR="00144264" w:rsidRDefault="009B3DA7" w:rsidP="003A7572">
      <w:pPr>
        <w:pStyle w:val="Style"/>
        <w:widowControl/>
        <w:spacing w:line="360" w:lineRule="auto"/>
        <w:ind w:firstLine="1440"/>
        <w:rPr>
          <w:sz w:val="26"/>
          <w:szCs w:val="26"/>
        </w:rPr>
      </w:pPr>
      <w:r w:rsidRPr="00ED27CC">
        <w:rPr>
          <w:spacing w:val="-3"/>
          <w:sz w:val="26"/>
          <w:szCs w:val="26"/>
        </w:rPr>
        <w:t xml:space="preserve">The </w:t>
      </w:r>
      <w:r w:rsidR="00AE1DC3">
        <w:rPr>
          <w:spacing w:val="-3"/>
          <w:sz w:val="26"/>
          <w:szCs w:val="26"/>
        </w:rPr>
        <w:t xml:space="preserve">Respond </w:t>
      </w:r>
      <w:r>
        <w:rPr>
          <w:spacing w:val="-3"/>
          <w:sz w:val="26"/>
          <w:szCs w:val="26"/>
        </w:rPr>
        <w:t>C</w:t>
      </w:r>
      <w:r w:rsidRPr="00ED27CC">
        <w:rPr>
          <w:spacing w:val="-3"/>
          <w:sz w:val="26"/>
          <w:szCs w:val="26"/>
        </w:rPr>
        <w:t>omplaints allege</w:t>
      </w:r>
      <w:r>
        <w:rPr>
          <w:spacing w:val="-3"/>
          <w:sz w:val="26"/>
          <w:szCs w:val="26"/>
        </w:rPr>
        <w:t>d</w:t>
      </w:r>
      <w:r w:rsidRPr="00ED27CC">
        <w:rPr>
          <w:spacing w:val="-3"/>
          <w:sz w:val="26"/>
          <w:szCs w:val="26"/>
        </w:rPr>
        <w:t xml:space="preserve"> that </w:t>
      </w:r>
      <w:r w:rsidRPr="00ED27CC">
        <w:rPr>
          <w:sz w:val="26"/>
          <w:szCs w:val="26"/>
        </w:rPr>
        <w:t xml:space="preserve">Penelec and West Penn </w:t>
      </w:r>
      <w:r w:rsidR="00D95070">
        <w:rPr>
          <w:sz w:val="26"/>
          <w:szCs w:val="26"/>
        </w:rPr>
        <w:t>we</w:t>
      </w:r>
      <w:r w:rsidRPr="00ED27CC">
        <w:rPr>
          <w:sz w:val="26"/>
          <w:szCs w:val="26"/>
        </w:rPr>
        <w:t xml:space="preserve">re threatening to withhold purchase of receivable (POR) payments totaling $484,797.69 from Respond.  The </w:t>
      </w:r>
      <w:r w:rsidR="008F1B29">
        <w:rPr>
          <w:sz w:val="26"/>
          <w:szCs w:val="26"/>
        </w:rPr>
        <w:t>C</w:t>
      </w:r>
      <w:r w:rsidRPr="00ED27CC">
        <w:rPr>
          <w:sz w:val="26"/>
          <w:szCs w:val="26"/>
        </w:rPr>
        <w:t>omplaints allege that the amount is an offset assessed on September 30, 2016</w:t>
      </w:r>
      <w:r w:rsidR="00D95070">
        <w:rPr>
          <w:sz w:val="26"/>
          <w:szCs w:val="26"/>
        </w:rPr>
        <w:t>,</w:t>
      </w:r>
      <w:r w:rsidRPr="00ED27CC">
        <w:rPr>
          <w:sz w:val="26"/>
          <w:szCs w:val="26"/>
        </w:rPr>
        <w:t xml:space="preserve"> by Penelec and West Penn under </w:t>
      </w:r>
      <w:r w:rsidR="00D95070">
        <w:rPr>
          <w:sz w:val="26"/>
          <w:szCs w:val="26"/>
        </w:rPr>
        <w:t>the cla</w:t>
      </w:r>
      <w:r w:rsidRPr="00ED27CC">
        <w:rPr>
          <w:sz w:val="26"/>
          <w:szCs w:val="26"/>
        </w:rPr>
        <w:t xml:space="preserve">wback charge </w:t>
      </w:r>
      <w:r w:rsidR="00D95070">
        <w:rPr>
          <w:sz w:val="26"/>
          <w:szCs w:val="26"/>
        </w:rPr>
        <w:t>“</w:t>
      </w:r>
      <w:r w:rsidRPr="00ED27CC">
        <w:rPr>
          <w:sz w:val="26"/>
          <w:szCs w:val="26"/>
        </w:rPr>
        <w:t>pilot program</w:t>
      </w:r>
      <w:r w:rsidR="00D95070">
        <w:rPr>
          <w:sz w:val="26"/>
          <w:szCs w:val="26"/>
        </w:rPr>
        <w:t>”</w:t>
      </w:r>
      <w:r w:rsidRPr="00ED27CC">
        <w:rPr>
          <w:sz w:val="26"/>
          <w:szCs w:val="26"/>
        </w:rPr>
        <w:t xml:space="preserve"> approved by </w:t>
      </w:r>
      <w:r w:rsidR="001E3D0B">
        <w:rPr>
          <w:sz w:val="26"/>
          <w:szCs w:val="26"/>
        </w:rPr>
        <w:t xml:space="preserve">the </w:t>
      </w:r>
      <w:r w:rsidRPr="00ED27CC">
        <w:rPr>
          <w:sz w:val="26"/>
          <w:szCs w:val="26"/>
        </w:rPr>
        <w:t xml:space="preserve">Commission </w:t>
      </w:r>
      <w:r w:rsidR="008F1B29">
        <w:rPr>
          <w:sz w:val="26"/>
          <w:szCs w:val="26"/>
        </w:rPr>
        <w:t xml:space="preserve">in the </w:t>
      </w:r>
      <w:r w:rsidR="008F1B29">
        <w:rPr>
          <w:i/>
          <w:sz w:val="26"/>
          <w:szCs w:val="26"/>
        </w:rPr>
        <w:t xml:space="preserve">DSP IV </w:t>
      </w:r>
      <w:r w:rsidR="00CD0B3C">
        <w:rPr>
          <w:i/>
          <w:sz w:val="26"/>
          <w:szCs w:val="26"/>
        </w:rPr>
        <w:t>Final Order</w:t>
      </w:r>
      <w:r w:rsidR="008F1B29">
        <w:rPr>
          <w:sz w:val="26"/>
          <w:szCs w:val="26"/>
        </w:rPr>
        <w:t>.</w:t>
      </w:r>
    </w:p>
    <w:p w:rsidR="003816E7" w:rsidRDefault="003816E7" w:rsidP="003A7572">
      <w:pPr>
        <w:pStyle w:val="Style"/>
        <w:widowControl/>
        <w:spacing w:line="360" w:lineRule="auto"/>
        <w:ind w:firstLine="1440"/>
        <w:rPr>
          <w:sz w:val="26"/>
          <w:szCs w:val="26"/>
        </w:rPr>
      </w:pPr>
    </w:p>
    <w:p w:rsidR="003816E7" w:rsidRPr="00CC1D5B" w:rsidRDefault="003816E7" w:rsidP="003A7572">
      <w:pPr>
        <w:widowControl/>
        <w:spacing w:line="360" w:lineRule="auto"/>
        <w:ind w:firstLine="1440"/>
        <w:rPr>
          <w:sz w:val="26"/>
          <w:szCs w:val="26"/>
        </w:rPr>
      </w:pPr>
      <w:r>
        <w:rPr>
          <w:sz w:val="26"/>
          <w:szCs w:val="26"/>
        </w:rPr>
        <w:t xml:space="preserve">We note that the Commission’s Bureau of Investigation and Enforcement (BI&amp;E), the Office of Consumer Advocate (OCA), the Office of Small Business Advocate (OSBA), </w:t>
      </w:r>
      <w:r w:rsidRPr="00CC1D5B">
        <w:rPr>
          <w:sz w:val="26"/>
          <w:szCs w:val="26"/>
        </w:rPr>
        <w:t>the Coalition for Affordable Utility Services and Energy Efficiency in Pennsylvania (CAUSE-PA)</w:t>
      </w:r>
      <w:r w:rsidR="001E3D0B">
        <w:rPr>
          <w:sz w:val="26"/>
          <w:szCs w:val="26"/>
        </w:rPr>
        <w:t>,</w:t>
      </w:r>
      <w:r>
        <w:rPr>
          <w:sz w:val="26"/>
          <w:szCs w:val="26"/>
        </w:rPr>
        <w:t xml:space="preserve"> </w:t>
      </w:r>
      <w:r w:rsidRPr="00CC1D5B">
        <w:rPr>
          <w:sz w:val="26"/>
          <w:szCs w:val="26"/>
        </w:rPr>
        <w:t xml:space="preserve">West Penn Power Industrial Intervenors (WPPII), the Penelec Industrial Customer Alliance (PICA), and the Met-Ed Industrial Users Group (MEIUG), (collectively, the Industrials), filed joint petitions to intervene </w:t>
      </w:r>
      <w:r>
        <w:rPr>
          <w:sz w:val="26"/>
          <w:szCs w:val="26"/>
        </w:rPr>
        <w:t>and/or notices of appearances in both proceedings.</w:t>
      </w:r>
      <w:r w:rsidR="00E044BB">
        <w:rPr>
          <w:sz w:val="26"/>
          <w:szCs w:val="26"/>
        </w:rPr>
        <w:t xml:space="preserve">  </w:t>
      </w:r>
      <w:r w:rsidR="00E044BB">
        <w:rPr>
          <w:i/>
          <w:sz w:val="26"/>
          <w:szCs w:val="26"/>
        </w:rPr>
        <w:t>See January 2017 Interim Order</w:t>
      </w:r>
      <w:r w:rsidR="00E044BB">
        <w:rPr>
          <w:sz w:val="26"/>
          <w:szCs w:val="26"/>
        </w:rPr>
        <w:t>.</w:t>
      </w:r>
    </w:p>
    <w:p w:rsidR="002A4A4B" w:rsidRPr="00AC7895" w:rsidRDefault="00F73EB1" w:rsidP="001E3F75">
      <w:pPr>
        <w:keepNext/>
        <w:keepLines/>
        <w:widowControl/>
        <w:spacing w:line="360" w:lineRule="auto"/>
        <w:jc w:val="center"/>
        <w:rPr>
          <w:b/>
          <w:color w:val="000000"/>
          <w:sz w:val="26"/>
        </w:rPr>
      </w:pPr>
      <w:r>
        <w:rPr>
          <w:b/>
          <w:color w:val="000000"/>
          <w:sz w:val="26"/>
        </w:rPr>
        <w:lastRenderedPageBreak/>
        <w:t>III</w:t>
      </w:r>
      <w:proofErr w:type="gramStart"/>
      <w:r>
        <w:rPr>
          <w:b/>
          <w:color w:val="000000"/>
          <w:sz w:val="26"/>
        </w:rPr>
        <w:t xml:space="preserve">.  </w:t>
      </w:r>
      <w:r w:rsidR="00327853" w:rsidRPr="00327853">
        <w:rPr>
          <w:b/>
          <w:color w:val="000000"/>
          <w:sz w:val="26"/>
        </w:rPr>
        <w:t>Discussion</w:t>
      </w:r>
      <w:proofErr w:type="gramEnd"/>
    </w:p>
    <w:p w:rsidR="008363EE" w:rsidRDefault="008363EE" w:rsidP="001E3F75">
      <w:pPr>
        <w:keepNext/>
        <w:keepLines/>
        <w:widowControl/>
        <w:spacing w:line="360" w:lineRule="auto"/>
        <w:rPr>
          <w:sz w:val="26"/>
          <w:szCs w:val="26"/>
        </w:rPr>
      </w:pPr>
    </w:p>
    <w:p w:rsidR="00FE3821" w:rsidRPr="00D53276" w:rsidRDefault="00F73EB1" w:rsidP="00184362">
      <w:pPr>
        <w:keepNext/>
        <w:keepLines/>
        <w:widowControl/>
        <w:spacing w:line="360" w:lineRule="auto"/>
        <w:rPr>
          <w:sz w:val="26"/>
          <w:szCs w:val="26"/>
        </w:rPr>
      </w:pPr>
      <w:r>
        <w:rPr>
          <w:b/>
          <w:sz w:val="26"/>
          <w:szCs w:val="26"/>
        </w:rPr>
        <w:t>A.</w:t>
      </w:r>
      <w:r>
        <w:rPr>
          <w:b/>
          <w:sz w:val="26"/>
          <w:szCs w:val="26"/>
        </w:rPr>
        <w:tab/>
      </w:r>
      <w:r w:rsidR="00FE3821" w:rsidRPr="00D53276">
        <w:rPr>
          <w:b/>
          <w:sz w:val="26"/>
          <w:szCs w:val="26"/>
        </w:rPr>
        <w:t>Legal Standards for Interlocutory Review</w:t>
      </w:r>
    </w:p>
    <w:p w:rsidR="00FE3821" w:rsidRDefault="00FE3821" w:rsidP="00184362">
      <w:pPr>
        <w:keepNext/>
        <w:keepLines/>
        <w:widowControl/>
        <w:spacing w:line="360" w:lineRule="auto"/>
        <w:jc w:val="center"/>
        <w:rPr>
          <w:sz w:val="26"/>
          <w:szCs w:val="26"/>
        </w:rPr>
      </w:pPr>
    </w:p>
    <w:p w:rsidR="00FE3821" w:rsidRDefault="00FE3821" w:rsidP="003A7572">
      <w:pPr>
        <w:widowControl/>
        <w:spacing w:line="360" w:lineRule="auto"/>
        <w:ind w:firstLine="1440"/>
        <w:rPr>
          <w:sz w:val="26"/>
          <w:szCs w:val="26"/>
        </w:rPr>
      </w:pPr>
      <w:r>
        <w:rPr>
          <w:color w:val="000000"/>
          <w:sz w:val="26"/>
        </w:rPr>
        <w:t xml:space="preserve">The Respond Petition has been filed pursuant to the Commission’s Regulation at </w:t>
      </w:r>
      <w:r>
        <w:rPr>
          <w:sz w:val="26"/>
          <w:szCs w:val="26"/>
        </w:rPr>
        <w:t>52 Pa. Code § 5.302.  Subsection (a) of the Code provision states, in pertinent part, the following:</w:t>
      </w:r>
    </w:p>
    <w:p w:rsidR="00FE3821" w:rsidRDefault="00FE3821" w:rsidP="003A7572">
      <w:pPr>
        <w:widowControl/>
        <w:spacing w:line="360" w:lineRule="auto"/>
        <w:ind w:firstLine="1440"/>
        <w:rPr>
          <w:sz w:val="26"/>
          <w:szCs w:val="26"/>
        </w:rPr>
      </w:pPr>
    </w:p>
    <w:p w:rsidR="00FE3821" w:rsidRPr="005563D9" w:rsidRDefault="00FE3821" w:rsidP="003A7572">
      <w:pPr>
        <w:pStyle w:val="ListParagraph"/>
        <w:widowControl/>
        <w:numPr>
          <w:ilvl w:val="0"/>
          <w:numId w:val="9"/>
        </w:numPr>
        <w:ind w:right="1440"/>
        <w:rPr>
          <w:sz w:val="26"/>
          <w:szCs w:val="26"/>
        </w:rPr>
      </w:pPr>
      <w:r w:rsidRPr="00626C0E">
        <w:rPr>
          <w:sz w:val="26"/>
          <w:szCs w:val="26"/>
        </w:rPr>
        <w:t xml:space="preserve">During the course of a proceeding, a party may file a timely petition directed to the Commission requesting review and answer to a material question which has arisen or is likely to arise. </w:t>
      </w:r>
      <w:r w:rsidR="001E3F75">
        <w:rPr>
          <w:sz w:val="26"/>
          <w:szCs w:val="26"/>
        </w:rPr>
        <w:t xml:space="preserve"> </w:t>
      </w:r>
      <w:r w:rsidRPr="00626C0E">
        <w:rPr>
          <w:sz w:val="26"/>
          <w:szCs w:val="26"/>
        </w:rPr>
        <w:t>The petition must . . . state, in not more than three pages, the question to be answered and the compelling reasons why interlocutory review will prevent substantial prejudice or expedite the conduct of the proceeding</w:t>
      </w:r>
      <w:r w:rsidR="001E3F75">
        <w:t>.</w:t>
      </w:r>
    </w:p>
    <w:p w:rsidR="005563D9" w:rsidRDefault="005563D9" w:rsidP="005563D9">
      <w:pPr>
        <w:widowControl/>
        <w:ind w:right="1440"/>
        <w:rPr>
          <w:sz w:val="26"/>
          <w:szCs w:val="26"/>
        </w:rPr>
      </w:pPr>
    </w:p>
    <w:p w:rsidR="005563D9" w:rsidRPr="005563D9" w:rsidRDefault="005563D9" w:rsidP="005563D9">
      <w:pPr>
        <w:widowControl/>
        <w:ind w:right="1440"/>
        <w:rPr>
          <w:sz w:val="26"/>
          <w:szCs w:val="26"/>
        </w:rPr>
      </w:pPr>
    </w:p>
    <w:p w:rsidR="00FE3821" w:rsidRPr="00626C0E" w:rsidRDefault="00FE3821" w:rsidP="003A7572">
      <w:pPr>
        <w:widowControl/>
        <w:spacing w:line="360" w:lineRule="auto"/>
        <w:ind w:firstLine="1440"/>
        <w:rPr>
          <w:sz w:val="26"/>
          <w:szCs w:val="26"/>
        </w:rPr>
      </w:pPr>
      <w:r w:rsidRPr="00626C0E">
        <w:rPr>
          <w:sz w:val="26"/>
          <w:szCs w:val="26"/>
        </w:rPr>
        <w:t>Pursuant to 52 Pa. Code § 5.303(a), on consideration of a petition for interlocutory review and answer to a material question, the Commission has the authority to either: (1) continue, revoke or grant a stay of proceedings if necessary to protect the substantial rights of the parties; (2) determine that the petition was improper and return the matter to the presiding officer; (3) decline to answer the question; or (4) answer the question.</w:t>
      </w:r>
    </w:p>
    <w:p w:rsidR="00FE3821" w:rsidRDefault="00FE3821" w:rsidP="003A7572">
      <w:pPr>
        <w:widowControl/>
        <w:spacing w:line="360" w:lineRule="auto"/>
        <w:ind w:firstLine="1440"/>
        <w:rPr>
          <w:sz w:val="26"/>
          <w:szCs w:val="26"/>
        </w:rPr>
      </w:pPr>
    </w:p>
    <w:p w:rsidR="00FE3821" w:rsidRPr="00E555D1" w:rsidRDefault="00FE3821" w:rsidP="003A7572">
      <w:pPr>
        <w:widowControl/>
        <w:spacing w:line="360" w:lineRule="auto"/>
        <w:ind w:firstLine="1440"/>
        <w:rPr>
          <w:sz w:val="26"/>
          <w:szCs w:val="26"/>
        </w:rPr>
      </w:pPr>
      <w:r w:rsidRPr="00E555D1">
        <w:rPr>
          <w:sz w:val="26"/>
          <w:szCs w:val="26"/>
        </w:rPr>
        <w:t>Generally, petitions for interlocutory review are not favored</w:t>
      </w:r>
      <w:r>
        <w:rPr>
          <w:sz w:val="26"/>
          <w:szCs w:val="26"/>
        </w:rPr>
        <w:t>.  T</w:t>
      </w:r>
      <w:r w:rsidRPr="00E555D1">
        <w:rPr>
          <w:sz w:val="26"/>
          <w:szCs w:val="26"/>
        </w:rPr>
        <w:t xml:space="preserve">he preferred approach is to permit proceedings to move forward in the normal course in order to provide all </w:t>
      </w:r>
      <w:r>
        <w:rPr>
          <w:sz w:val="26"/>
          <w:szCs w:val="26"/>
        </w:rPr>
        <w:t>P</w:t>
      </w:r>
      <w:r w:rsidRPr="00E555D1">
        <w:rPr>
          <w:sz w:val="26"/>
          <w:szCs w:val="26"/>
        </w:rPr>
        <w:t>arties, the presiding officer, and the Commission</w:t>
      </w:r>
      <w:r>
        <w:rPr>
          <w:sz w:val="26"/>
          <w:szCs w:val="26"/>
        </w:rPr>
        <w:t>,</w:t>
      </w:r>
      <w:r w:rsidRPr="00E555D1">
        <w:rPr>
          <w:sz w:val="26"/>
          <w:szCs w:val="26"/>
        </w:rPr>
        <w:t xml:space="preserve"> with a full opportunity to develop the record, brief </w:t>
      </w:r>
      <w:r>
        <w:rPr>
          <w:sz w:val="26"/>
          <w:szCs w:val="26"/>
        </w:rPr>
        <w:t xml:space="preserve">the </w:t>
      </w:r>
      <w:r w:rsidRPr="00E555D1">
        <w:rPr>
          <w:sz w:val="26"/>
          <w:szCs w:val="26"/>
        </w:rPr>
        <w:t>issues, and present arguments at each stage.</w:t>
      </w:r>
      <w:r>
        <w:rPr>
          <w:sz w:val="26"/>
          <w:szCs w:val="26"/>
        </w:rPr>
        <w:t xml:space="preserve">  </w:t>
      </w:r>
      <w:r>
        <w:rPr>
          <w:i/>
          <w:sz w:val="26"/>
          <w:szCs w:val="26"/>
        </w:rPr>
        <w:t>See</w:t>
      </w:r>
      <w:r w:rsidRPr="00E555D1">
        <w:rPr>
          <w:sz w:val="26"/>
          <w:szCs w:val="26"/>
        </w:rPr>
        <w:t xml:space="preserve"> </w:t>
      </w:r>
      <w:r w:rsidRPr="00E555D1">
        <w:rPr>
          <w:i/>
          <w:sz w:val="26"/>
          <w:szCs w:val="26"/>
        </w:rPr>
        <w:t>Re: Phila</w:t>
      </w:r>
      <w:r>
        <w:rPr>
          <w:i/>
          <w:sz w:val="26"/>
          <w:szCs w:val="26"/>
        </w:rPr>
        <w:t>.</w:t>
      </w:r>
      <w:r w:rsidRPr="00E555D1">
        <w:rPr>
          <w:i/>
          <w:sz w:val="26"/>
          <w:szCs w:val="26"/>
        </w:rPr>
        <w:t xml:space="preserve"> Gas Works Universal Service and Energy Conservation Plan</w:t>
      </w:r>
      <w:r w:rsidRPr="00E555D1">
        <w:rPr>
          <w:sz w:val="26"/>
          <w:szCs w:val="26"/>
        </w:rPr>
        <w:t>, Docket No. M-00072021 (Order entered October 23, 2009) at 3.</w:t>
      </w:r>
    </w:p>
    <w:p w:rsidR="00FE3821" w:rsidRDefault="00FE3821" w:rsidP="003A7572">
      <w:pPr>
        <w:widowControl/>
        <w:spacing w:line="360" w:lineRule="auto"/>
        <w:ind w:firstLine="1440"/>
        <w:rPr>
          <w:sz w:val="26"/>
          <w:szCs w:val="26"/>
        </w:rPr>
      </w:pPr>
    </w:p>
    <w:p w:rsidR="00FE3821" w:rsidRPr="00626C0E" w:rsidRDefault="00FE3821" w:rsidP="003A7572">
      <w:pPr>
        <w:widowControl/>
        <w:spacing w:line="360" w:lineRule="auto"/>
        <w:ind w:firstLine="1440"/>
        <w:rPr>
          <w:color w:val="333333"/>
          <w:sz w:val="26"/>
          <w:szCs w:val="26"/>
        </w:rPr>
      </w:pPr>
      <w:r w:rsidRPr="00E555D1">
        <w:rPr>
          <w:sz w:val="26"/>
          <w:szCs w:val="26"/>
        </w:rPr>
        <w:lastRenderedPageBreak/>
        <w:t xml:space="preserve">The standards for interlocutory review are well established.  </w:t>
      </w:r>
      <w:r>
        <w:rPr>
          <w:sz w:val="26"/>
          <w:szCs w:val="26"/>
        </w:rPr>
        <w:t>T</w:t>
      </w:r>
      <w:r w:rsidRPr="00E555D1">
        <w:rPr>
          <w:sz w:val="26"/>
          <w:szCs w:val="26"/>
        </w:rPr>
        <w:t xml:space="preserve">he pertinent consideration is whether interlocutory review is necessary in order to prevent substantial prejudice – that is, the error and any prejudice flowing therefrom could not be satisfactorily cured during the normal Commission review process.  </w:t>
      </w:r>
      <w:proofErr w:type="gramStart"/>
      <w:r w:rsidRPr="00E555D1">
        <w:rPr>
          <w:bCs/>
          <w:i/>
          <w:iCs/>
          <w:sz w:val="26"/>
          <w:szCs w:val="26"/>
        </w:rPr>
        <w:t>Joint Application of Bell Atlantic Corp. and GTE Corp.,</w:t>
      </w:r>
      <w:r w:rsidRPr="00E555D1">
        <w:rPr>
          <w:bCs/>
          <w:sz w:val="26"/>
          <w:szCs w:val="26"/>
        </w:rPr>
        <w:t xml:space="preserve"> Docket No</w:t>
      </w:r>
      <w:r>
        <w:rPr>
          <w:bCs/>
          <w:sz w:val="26"/>
          <w:szCs w:val="26"/>
        </w:rPr>
        <w:t>s</w:t>
      </w:r>
      <w:r w:rsidRPr="00E555D1">
        <w:rPr>
          <w:bCs/>
          <w:sz w:val="26"/>
          <w:szCs w:val="26"/>
        </w:rPr>
        <w:t>.</w:t>
      </w:r>
      <w:proofErr w:type="gramEnd"/>
      <w:r w:rsidRPr="00E555D1">
        <w:rPr>
          <w:bCs/>
          <w:sz w:val="26"/>
          <w:szCs w:val="26"/>
        </w:rPr>
        <w:t xml:space="preserve"> </w:t>
      </w:r>
      <w:proofErr w:type="gramStart"/>
      <w:r w:rsidRPr="00E555D1">
        <w:rPr>
          <w:bCs/>
          <w:sz w:val="26"/>
          <w:szCs w:val="26"/>
        </w:rPr>
        <w:t xml:space="preserve">A-310200F0002, </w:t>
      </w:r>
      <w:r w:rsidRPr="00E555D1">
        <w:rPr>
          <w:bCs/>
          <w:i/>
          <w:iCs/>
          <w:sz w:val="26"/>
          <w:szCs w:val="26"/>
        </w:rPr>
        <w:t>et al.</w:t>
      </w:r>
      <w:r w:rsidRPr="00E555D1">
        <w:rPr>
          <w:bCs/>
          <w:sz w:val="26"/>
          <w:szCs w:val="26"/>
        </w:rPr>
        <w:t xml:space="preserve"> (Order entered June 14, 1999); </w:t>
      </w:r>
      <w:r w:rsidRPr="00E555D1">
        <w:rPr>
          <w:bCs/>
          <w:i/>
          <w:iCs/>
          <w:sz w:val="26"/>
          <w:szCs w:val="26"/>
        </w:rPr>
        <w:t>Pa. PUC v. Frontier Communications of Pa. Inc.,</w:t>
      </w:r>
      <w:r w:rsidRPr="00E555D1">
        <w:rPr>
          <w:bCs/>
          <w:sz w:val="26"/>
          <w:szCs w:val="26"/>
        </w:rPr>
        <w:t xml:space="preserve"> Docket No.</w:t>
      </w:r>
      <w:proofErr w:type="gramEnd"/>
      <w:r w:rsidRPr="00E555D1">
        <w:rPr>
          <w:bCs/>
          <w:sz w:val="26"/>
          <w:szCs w:val="26"/>
        </w:rPr>
        <w:t xml:space="preserve"> R</w:t>
      </w:r>
      <w:r w:rsidRPr="00E555D1">
        <w:rPr>
          <w:bCs/>
          <w:sz w:val="26"/>
          <w:szCs w:val="26"/>
        </w:rPr>
        <w:noBreakHyphen/>
        <w:t xml:space="preserve">00984411 (Order entered February 11, 1999); </w:t>
      </w:r>
      <w:r w:rsidRPr="00E555D1">
        <w:rPr>
          <w:bCs/>
          <w:i/>
          <w:sz w:val="26"/>
          <w:szCs w:val="26"/>
        </w:rPr>
        <w:t>In</w:t>
      </w:r>
      <w:r w:rsidRPr="00E555D1">
        <w:rPr>
          <w:bCs/>
          <w:sz w:val="26"/>
          <w:szCs w:val="26"/>
        </w:rPr>
        <w:t xml:space="preserve"> </w:t>
      </w:r>
      <w:r w:rsidRPr="00E555D1">
        <w:rPr>
          <w:bCs/>
          <w:i/>
          <w:sz w:val="26"/>
          <w:szCs w:val="26"/>
        </w:rPr>
        <w:t>r</w:t>
      </w:r>
      <w:r w:rsidRPr="00E555D1">
        <w:rPr>
          <w:i/>
          <w:sz w:val="26"/>
          <w:szCs w:val="26"/>
        </w:rPr>
        <w:t>e: Knights Limousine Service, Inc</w:t>
      </w:r>
      <w:r w:rsidR="00042050">
        <w:rPr>
          <w:sz w:val="26"/>
          <w:szCs w:val="26"/>
        </w:rPr>
        <w:t>., 59 Pa. P.U.C. 538 (1985).</w:t>
      </w:r>
    </w:p>
    <w:p w:rsidR="00FE3821" w:rsidRPr="002763CC" w:rsidRDefault="00FE3821" w:rsidP="003A7572">
      <w:pPr>
        <w:widowControl/>
        <w:spacing w:line="360" w:lineRule="auto"/>
        <w:ind w:firstLine="1440"/>
        <w:rPr>
          <w:color w:val="333333"/>
          <w:sz w:val="26"/>
          <w:szCs w:val="26"/>
        </w:rPr>
      </w:pPr>
    </w:p>
    <w:p w:rsidR="00FE3821" w:rsidRDefault="00FE3821" w:rsidP="003A7572">
      <w:pPr>
        <w:widowControl/>
        <w:spacing w:line="360" w:lineRule="auto"/>
        <w:ind w:firstLine="1440"/>
        <w:rPr>
          <w:color w:val="333333"/>
          <w:sz w:val="26"/>
          <w:szCs w:val="26"/>
        </w:rPr>
      </w:pPr>
      <w:r>
        <w:rPr>
          <w:sz w:val="26"/>
          <w:szCs w:val="26"/>
        </w:rPr>
        <w:t>Further, t</w:t>
      </w:r>
      <w:r w:rsidRPr="00B1194C">
        <w:rPr>
          <w:sz w:val="26"/>
          <w:szCs w:val="26"/>
        </w:rPr>
        <w:t xml:space="preserve">he correctness of the </w:t>
      </w:r>
      <w:r>
        <w:rPr>
          <w:sz w:val="26"/>
          <w:szCs w:val="26"/>
        </w:rPr>
        <w:t>underlying ruling of the p</w:t>
      </w:r>
      <w:r w:rsidRPr="00B1194C">
        <w:rPr>
          <w:sz w:val="26"/>
          <w:szCs w:val="26"/>
        </w:rPr>
        <w:t xml:space="preserve">residing </w:t>
      </w:r>
      <w:r>
        <w:rPr>
          <w:sz w:val="26"/>
          <w:szCs w:val="26"/>
        </w:rPr>
        <w:t>o</w:t>
      </w:r>
      <w:r w:rsidRPr="00B1194C">
        <w:rPr>
          <w:sz w:val="26"/>
          <w:szCs w:val="26"/>
        </w:rPr>
        <w:t xml:space="preserve">fficer is not </w:t>
      </w:r>
      <w:r>
        <w:rPr>
          <w:sz w:val="26"/>
          <w:szCs w:val="26"/>
        </w:rPr>
        <w:t>a determinative</w:t>
      </w:r>
      <w:r w:rsidRPr="00B1194C">
        <w:rPr>
          <w:sz w:val="26"/>
          <w:szCs w:val="26"/>
        </w:rPr>
        <w:t xml:space="preserve"> </w:t>
      </w:r>
      <w:r>
        <w:rPr>
          <w:sz w:val="26"/>
          <w:szCs w:val="26"/>
        </w:rPr>
        <w:t>issue</w:t>
      </w:r>
      <w:r w:rsidRPr="00B1194C">
        <w:rPr>
          <w:sz w:val="26"/>
          <w:szCs w:val="26"/>
        </w:rPr>
        <w:t xml:space="preserve"> when the Commission sets out to </w:t>
      </w:r>
      <w:r>
        <w:rPr>
          <w:sz w:val="26"/>
          <w:szCs w:val="26"/>
        </w:rPr>
        <w:t>examine</w:t>
      </w:r>
      <w:r w:rsidRPr="00B1194C">
        <w:rPr>
          <w:sz w:val="26"/>
          <w:szCs w:val="26"/>
        </w:rPr>
        <w:t xml:space="preserve"> whether a petitioner has fulfilled the regulatory requirements for </w:t>
      </w:r>
      <w:r w:rsidRPr="00626C0E">
        <w:rPr>
          <w:rStyle w:val="term1"/>
          <w:b w:val="0"/>
          <w:sz w:val="26"/>
          <w:szCs w:val="26"/>
        </w:rPr>
        <w:t>interlocutory review</w:t>
      </w:r>
      <w:r w:rsidRPr="00B1194C">
        <w:rPr>
          <w:sz w:val="26"/>
          <w:szCs w:val="26"/>
        </w:rPr>
        <w:t xml:space="preserve"> and answer </w:t>
      </w:r>
      <w:r>
        <w:rPr>
          <w:sz w:val="26"/>
          <w:szCs w:val="26"/>
        </w:rPr>
        <w:t xml:space="preserve">to </w:t>
      </w:r>
      <w:r w:rsidRPr="00B1194C">
        <w:rPr>
          <w:sz w:val="26"/>
          <w:szCs w:val="26"/>
        </w:rPr>
        <w:t xml:space="preserve">a material question. </w:t>
      </w:r>
      <w:r>
        <w:rPr>
          <w:sz w:val="26"/>
          <w:szCs w:val="26"/>
        </w:rPr>
        <w:t xml:space="preserve"> </w:t>
      </w:r>
      <w:r>
        <w:rPr>
          <w:i/>
          <w:sz w:val="26"/>
          <w:szCs w:val="26"/>
        </w:rPr>
        <w:t>See</w:t>
      </w:r>
      <w:r>
        <w:rPr>
          <w:sz w:val="26"/>
          <w:szCs w:val="26"/>
        </w:rPr>
        <w:t xml:space="preserve"> </w:t>
      </w:r>
      <w:r>
        <w:rPr>
          <w:i/>
          <w:sz w:val="26"/>
          <w:szCs w:val="26"/>
        </w:rPr>
        <w:t xml:space="preserve">Saucon Creek Assoc., Inc. v. Borough of Hellertown, </w:t>
      </w:r>
      <w:r>
        <w:rPr>
          <w:sz w:val="26"/>
          <w:szCs w:val="26"/>
        </w:rPr>
        <w:t xml:space="preserve">69 Pa. P.U.C. 467 (1989); </w:t>
      </w:r>
      <w:r>
        <w:rPr>
          <w:i/>
          <w:sz w:val="26"/>
          <w:szCs w:val="26"/>
        </w:rPr>
        <w:t xml:space="preserve">Berkery </w:t>
      </w:r>
      <w:r w:rsidRPr="00A04E72">
        <w:rPr>
          <w:bCs/>
          <w:i/>
          <w:color w:val="000000"/>
          <w:sz w:val="26"/>
          <w:szCs w:val="26"/>
        </w:rPr>
        <w:t>v. PECO Energy, LLC</w:t>
      </w:r>
      <w:r>
        <w:rPr>
          <w:bCs/>
          <w:color w:val="000000"/>
          <w:sz w:val="26"/>
          <w:szCs w:val="26"/>
        </w:rPr>
        <w:t>, Docket No. C-2010-20170223 (Order entered January 14, 2011).</w:t>
      </w:r>
      <w:r>
        <w:rPr>
          <w:rStyle w:val="FootnoteReference"/>
          <w:sz w:val="26"/>
          <w:szCs w:val="26"/>
        </w:rPr>
        <w:footnoteReference w:id="6"/>
      </w:r>
      <w:proofErr w:type="gramStart"/>
      <w:r w:rsidR="00042050">
        <w:rPr>
          <w:bCs/>
          <w:color w:val="000000"/>
          <w:sz w:val="26"/>
          <w:szCs w:val="26"/>
        </w:rPr>
        <w:t>f</w:t>
      </w:r>
      <w:proofErr w:type="gramEnd"/>
    </w:p>
    <w:p w:rsidR="00FE3821" w:rsidRPr="00E555D1" w:rsidRDefault="00FE3821" w:rsidP="003A7572">
      <w:pPr>
        <w:widowControl/>
        <w:spacing w:line="360" w:lineRule="auto"/>
        <w:rPr>
          <w:sz w:val="26"/>
          <w:szCs w:val="26"/>
        </w:rPr>
      </w:pPr>
    </w:p>
    <w:p w:rsidR="00FE3821" w:rsidRDefault="00FE3821" w:rsidP="003A7572">
      <w:pPr>
        <w:widowControl/>
        <w:spacing w:line="360" w:lineRule="auto"/>
        <w:ind w:firstLine="1440"/>
        <w:rPr>
          <w:sz w:val="26"/>
          <w:szCs w:val="26"/>
        </w:rPr>
      </w:pPr>
      <w:r w:rsidRPr="00E555D1">
        <w:rPr>
          <w:sz w:val="26"/>
          <w:szCs w:val="26"/>
        </w:rPr>
        <w:t xml:space="preserve">The Commission has determined that a showing </w:t>
      </w:r>
      <w:r>
        <w:rPr>
          <w:sz w:val="26"/>
          <w:szCs w:val="26"/>
        </w:rPr>
        <w:t xml:space="preserve">supportive of interlocutory Commission review </w:t>
      </w:r>
      <w:r w:rsidRPr="00E555D1">
        <w:rPr>
          <w:sz w:val="26"/>
          <w:szCs w:val="26"/>
        </w:rPr>
        <w:t xml:space="preserve">may be accomplished by a petitioner by its proving that, without such interlocutory review, some harm would result which would not be reparable through normal avenues, that the relief sought should be granted now, rather than later, and that granting interlocutory review would prevent substantial prejudice or expedite the proceeding.  </w:t>
      </w:r>
      <w:r w:rsidRPr="00E555D1">
        <w:rPr>
          <w:i/>
          <w:sz w:val="26"/>
          <w:szCs w:val="26"/>
        </w:rPr>
        <w:t>Pa. PUC v. Phila</w:t>
      </w:r>
      <w:r>
        <w:rPr>
          <w:i/>
          <w:sz w:val="26"/>
          <w:szCs w:val="26"/>
        </w:rPr>
        <w:t>.</w:t>
      </w:r>
      <w:r w:rsidRPr="00E555D1">
        <w:rPr>
          <w:i/>
          <w:sz w:val="26"/>
          <w:szCs w:val="26"/>
        </w:rPr>
        <w:t xml:space="preserve"> Gas Works</w:t>
      </w:r>
      <w:r w:rsidRPr="00E555D1">
        <w:rPr>
          <w:sz w:val="26"/>
          <w:szCs w:val="26"/>
        </w:rPr>
        <w:t>, Docket Nos. P-2009-2097639 and R-2009-2139884 (Order entered April 15, 2010) (</w:t>
      </w:r>
      <w:r w:rsidRPr="00E555D1">
        <w:rPr>
          <w:i/>
          <w:sz w:val="26"/>
          <w:szCs w:val="26"/>
        </w:rPr>
        <w:t>PGW Order</w:t>
      </w:r>
      <w:r w:rsidRPr="00E555D1">
        <w:rPr>
          <w:sz w:val="26"/>
          <w:szCs w:val="26"/>
        </w:rPr>
        <w:t>).</w:t>
      </w:r>
      <w:r w:rsidR="005563D9">
        <w:rPr>
          <w:sz w:val="26"/>
          <w:szCs w:val="26"/>
        </w:rPr>
        <w:t xml:space="preserve">  </w:t>
      </w:r>
      <w:r>
        <w:rPr>
          <w:sz w:val="26"/>
          <w:szCs w:val="26"/>
        </w:rPr>
        <w:t>With these principles in mind, we consid</w:t>
      </w:r>
      <w:r w:rsidR="00EF7F64">
        <w:rPr>
          <w:sz w:val="26"/>
          <w:szCs w:val="26"/>
        </w:rPr>
        <w:t>er the position of the Parties.</w:t>
      </w:r>
    </w:p>
    <w:p w:rsidR="005563D9" w:rsidRDefault="005563D9" w:rsidP="003A7572">
      <w:pPr>
        <w:widowControl/>
        <w:spacing w:line="360" w:lineRule="auto"/>
        <w:ind w:firstLine="1440"/>
        <w:rPr>
          <w:sz w:val="26"/>
          <w:szCs w:val="26"/>
        </w:rPr>
      </w:pPr>
    </w:p>
    <w:p w:rsidR="00F809E9" w:rsidRDefault="00F73EB1" w:rsidP="00F73EB1">
      <w:pPr>
        <w:keepNext/>
        <w:keepLines/>
        <w:widowControl/>
        <w:spacing w:line="360" w:lineRule="auto"/>
        <w:rPr>
          <w:b/>
          <w:sz w:val="26"/>
          <w:szCs w:val="26"/>
        </w:rPr>
      </w:pPr>
      <w:r>
        <w:rPr>
          <w:b/>
          <w:sz w:val="26"/>
          <w:szCs w:val="26"/>
        </w:rPr>
        <w:lastRenderedPageBreak/>
        <w:t>B.</w:t>
      </w:r>
      <w:r>
        <w:rPr>
          <w:b/>
          <w:sz w:val="26"/>
          <w:szCs w:val="26"/>
        </w:rPr>
        <w:tab/>
      </w:r>
      <w:r w:rsidR="00FB6CC9">
        <w:rPr>
          <w:b/>
          <w:sz w:val="26"/>
          <w:szCs w:val="26"/>
        </w:rPr>
        <w:t xml:space="preserve">The </w:t>
      </w:r>
      <w:r w:rsidR="00F809E9" w:rsidRPr="00F809E9">
        <w:rPr>
          <w:b/>
          <w:sz w:val="26"/>
          <w:szCs w:val="26"/>
        </w:rPr>
        <w:t xml:space="preserve">ALJ’s </w:t>
      </w:r>
      <w:r w:rsidR="00E03A26">
        <w:rPr>
          <w:b/>
          <w:sz w:val="26"/>
          <w:szCs w:val="26"/>
        </w:rPr>
        <w:t>January 2017 Interim Order</w:t>
      </w:r>
    </w:p>
    <w:p w:rsidR="00E03A26" w:rsidRPr="00F809E9" w:rsidRDefault="00E03A26" w:rsidP="005563D9">
      <w:pPr>
        <w:keepNext/>
        <w:keepLines/>
        <w:widowControl/>
        <w:spacing w:line="360" w:lineRule="auto"/>
        <w:ind w:firstLine="1440"/>
        <w:rPr>
          <w:b/>
          <w:sz w:val="26"/>
          <w:szCs w:val="26"/>
        </w:rPr>
      </w:pPr>
    </w:p>
    <w:p w:rsidR="00F809E9" w:rsidRDefault="00F809E9" w:rsidP="003A7572">
      <w:pPr>
        <w:widowControl/>
        <w:spacing w:line="360" w:lineRule="auto"/>
        <w:ind w:firstLine="1440"/>
        <w:rPr>
          <w:sz w:val="26"/>
          <w:szCs w:val="26"/>
        </w:rPr>
      </w:pPr>
      <w:r>
        <w:rPr>
          <w:color w:val="000000"/>
          <w:sz w:val="26"/>
        </w:rPr>
        <w:t>As noted, the Complaint</w:t>
      </w:r>
      <w:r w:rsidR="00F665CF">
        <w:rPr>
          <w:color w:val="000000"/>
          <w:sz w:val="26"/>
        </w:rPr>
        <w:t>s are</w:t>
      </w:r>
      <w:r>
        <w:rPr>
          <w:color w:val="000000"/>
          <w:sz w:val="26"/>
        </w:rPr>
        <w:t xml:space="preserve"> directed toward the tariff provision variously referred to as a “clawback charge.”</w:t>
      </w:r>
      <w:r w:rsidR="00CD5E45">
        <w:rPr>
          <w:color w:val="000000"/>
          <w:sz w:val="26"/>
        </w:rPr>
        <w:t xml:space="preserve">  The provision is </w:t>
      </w:r>
      <w:r w:rsidR="00B47127">
        <w:rPr>
          <w:color w:val="000000"/>
          <w:sz w:val="26"/>
        </w:rPr>
        <w:t xml:space="preserve">contained in </w:t>
      </w:r>
      <w:r w:rsidR="00CD5E45" w:rsidRPr="00010A93">
        <w:rPr>
          <w:sz w:val="26"/>
          <w:szCs w:val="26"/>
        </w:rPr>
        <w:t>Section 12.9 of F</w:t>
      </w:r>
      <w:r w:rsidR="00802E6D">
        <w:rPr>
          <w:sz w:val="26"/>
          <w:szCs w:val="26"/>
        </w:rPr>
        <w:t xml:space="preserve">irs </w:t>
      </w:r>
      <w:r w:rsidR="00CD5E45" w:rsidRPr="00010A93">
        <w:rPr>
          <w:sz w:val="26"/>
          <w:szCs w:val="26"/>
        </w:rPr>
        <w:t>E</w:t>
      </w:r>
      <w:r w:rsidR="00802E6D">
        <w:rPr>
          <w:sz w:val="26"/>
          <w:szCs w:val="26"/>
        </w:rPr>
        <w:t>nergy</w:t>
      </w:r>
      <w:r w:rsidR="00CD5E45" w:rsidRPr="00010A93">
        <w:rPr>
          <w:sz w:val="26"/>
          <w:szCs w:val="26"/>
        </w:rPr>
        <w:t>’s Electric Generation Supplier Coordination Tariff</w:t>
      </w:r>
      <w:r w:rsidR="00CD5E45">
        <w:rPr>
          <w:sz w:val="26"/>
          <w:szCs w:val="26"/>
        </w:rPr>
        <w:t xml:space="preserve">.  </w:t>
      </w:r>
      <w:r w:rsidR="00CD5E45">
        <w:rPr>
          <w:i/>
          <w:sz w:val="26"/>
          <w:szCs w:val="26"/>
        </w:rPr>
        <w:t>See DSP IV Final Order</w:t>
      </w:r>
      <w:r w:rsidR="00CD5E45">
        <w:rPr>
          <w:sz w:val="26"/>
          <w:szCs w:val="26"/>
        </w:rPr>
        <w:t xml:space="preserve">.  </w:t>
      </w:r>
      <w:r>
        <w:rPr>
          <w:sz w:val="26"/>
          <w:szCs w:val="26"/>
        </w:rPr>
        <w:t>On consideration of the Companies’ Motion, the ALJ concluded that “[t]</w:t>
      </w:r>
      <w:r w:rsidRPr="00A318F2">
        <w:rPr>
          <w:sz w:val="26"/>
          <w:szCs w:val="26"/>
        </w:rPr>
        <w:t xml:space="preserve">he issues concerning the validity and reasonableness of the clawback provisions set forth in in the </w:t>
      </w:r>
      <w:r w:rsidR="00802E6D">
        <w:rPr>
          <w:sz w:val="26"/>
          <w:szCs w:val="26"/>
        </w:rPr>
        <w:t>C</w:t>
      </w:r>
      <w:r w:rsidRPr="00A318F2">
        <w:rPr>
          <w:sz w:val="26"/>
          <w:szCs w:val="26"/>
        </w:rPr>
        <w:t>omplaints of Respond Power, LLC at Docket No. C-2016-2576287 and C-2016-2576292 are denied.</w:t>
      </w:r>
      <w:r>
        <w:rPr>
          <w:sz w:val="26"/>
          <w:szCs w:val="26"/>
        </w:rPr>
        <w:t xml:space="preserve">”  </w:t>
      </w:r>
      <w:r>
        <w:rPr>
          <w:i/>
          <w:sz w:val="26"/>
          <w:szCs w:val="26"/>
        </w:rPr>
        <w:t>See</w:t>
      </w:r>
      <w:r>
        <w:rPr>
          <w:sz w:val="26"/>
          <w:szCs w:val="26"/>
        </w:rPr>
        <w:t xml:space="preserve"> </w:t>
      </w:r>
      <w:r>
        <w:rPr>
          <w:i/>
          <w:sz w:val="26"/>
          <w:szCs w:val="26"/>
        </w:rPr>
        <w:t>January 2017 Interim Order</w:t>
      </w:r>
      <w:r>
        <w:rPr>
          <w:sz w:val="26"/>
          <w:szCs w:val="26"/>
        </w:rPr>
        <w:t xml:space="preserve"> at 13, Order ¶ 2.  As a res</w:t>
      </w:r>
      <w:r w:rsidR="00802E6D">
        <w:rPr>
          <w:sz w:val="26"/>
          <w:szCs w:val="26"/>
        </w:rPr>
        <w:t>ult of granting the Companies’ M</w:t>
      </w:r>
      <w:r>
        <w:rPr>
          <w:sz w:val="26"/>
          <w:szCs w:val="26"/>
        </w:rPr>
        <w:t xml:space="preserve">otion, Respond’s Complaint would be limited to a challenge of “computational issues” arising with respect to the proper arithmetic derivation of charges assessed pursuant to the tariff.  </w:t>
      </w:r>
      <w:proofErr w:type="gramStart"/>
      <w:r>
        <w:rPr>
          <w:i/>
          <w:sz w:val="26"/>
          <w:szCs w:val="26"/>
        </w:rPr>
        <w:t>Id</w:t>
      </w:r>
      <w:r w:rsidR="005563D9">
        <w:rPr>
          <w:sz w:val="26"/>
          <w:szCs w:val="26"/>
        </w:rPr>
        <w:t>., Order ¶ 3.</w:t>
      </w:r>
      <w:proofErr w:type="gramEnd"/>
    </w:p>
    <w:p w:rsidR="00F809E9" w:rsidRDefault="00F809E9" w:rsidP="003A7572">
      <w:pPr>
        <w:widowControl/>
        <w:spacing w:line="360" w:lineRule="auto"/>
        <w:rPr>
          <w:sz w:val="26"/>
          <w:szCs w:val="26"/>
        </w:rPr>
      </w:pPr>
    </w:p>
    <w:p w:rsidR="001730B7" w:rsidRDefault="00B57256" w:rsidP="003A7572">
      <w:pPr>
        <w:widowControl/>
        <w:spacing w:line="360" w:lineRule="auto"/>
        <w:ind w:firstLine="1440"/>
        <w:rPr>
          <w:sz w:val="26"/>
          <w:szCs w:val="26"/>
        </w:rPr>
      </w:pPr>
      <w:r>
        <w:rPr>
          <w:sz w:val="26"/>
          <w:szCs w:val="26"/>
        </w:rPr>
        <w:t>The ALJ</w:t>
      </w:r>
      <w:r w:rsidR="001730B7">
        <w:rPr>
          <w:sz w:val="26"/>
          <w:szCs w:val="26"/>
        </w:rPr>
        <w:t xml:space="preserve"> </w:t>
      </w:r>
      <w:r>
        <w:rPr>
          <w:sz w:val="26"/>
          <w:szCs w:val="26"/>
        </w:rPr>
        <w:t xml:space="preserve">was persuaded that the </w:t>
      </w:r>
      <w:r>
        <w:rPr>
          <w:i/>
          <w:sz w:val="26"/>
          <w:szCs w:val="26"/>
        </w:rPr>
        <w:t>DSP</w:t>
      </w:r>
      <w:r w:rsidR="00660030">
        <w:rPr>
          <w:i/>
          <w:sz w:val="26"/>
          <w:szCs w:val="26"/>
        </w:rPr>
        <w:t xml:space="preserve"> </w:t>
      </w:r>
      <w:r>
        <w:rPr>
          <w:i/>
          <w:sz w:val="26"/>
          <w:szCs w:val="26"/>
        </w:rPr>
        <w:t xml:space="preserve">IV </w:t>
      </w:r>
      <w:r w:rsidR="001730B7">
        <w:rPr>
          <w:i/>
          <w:sz w:val="26"/>
          <w:szCs w:val="26"/>
        </w:rPr>
        <w:t xml:space="preserve">Final Order </w:t>
      </w:r>
      <w:r>
        <w:rPr>
          <w:sz w:val="26"/>
          <w:szCs w:val="26"/>
        </w:rPr>
        <w:t>proceeding offered the requisite notice and opportunity to partic</w:t>
      </w:r>
      <w:r w:rsidR="000441D9">
        <w:rPr>
          <w:sz w:val="26"/>
          <w:szCs w:val="26"/>
        </w:rPr>
        <w:t>i</w:t>
      </w:r>
      <w:r>
        <w:rPr>
          <w:sz w:val="26"/>
          <w:szCs w:val="26"/>
        </w:rPr>
        <w:t xml:space="preserve">pate as is necessary to satisfy principles of </w:t>
      </w:r>
      <w:r w:rsidR="000A4BED">
        <w:rPr>
          <w:sz w:val="26"/>
          <w:szCs w:val="26"/>
        </w:rPr>
        <w:t xml:space="preserve">procedural </w:t>
      </w:r>
      <w:r>
        <w:rPr>
          <w:sz w:val="26"/>
          <w:szCs w:val="26"/>
        </w:rPr>
        <w:t>due process before administrative agencies.</w:t>
      </w:r>
      <w:r w:rsidR="001730B7">
        <w:rPr>
          <w:sz w:val="26"/>
          <w:szCs w:val="26"/>
        </w:rPr>
        <w:t xml:space="preserve">  </w:t>
      </w:r>
      <w:r w:rsidR="001730B7">
        <w:rPr>
          <w:i/>
          <w:sz w:val="26"/>
          <w:szCs w:val="26"/>
        </w:rPr>
        <w:t xml:space="preserve">See </w:t>
      </w:r>
      <w:r w:rsidR="001730B7">
        <w:rPr>
          <w:sz w:val="26"/>
          <w:szCs w:val="26"/>
        </w:rPr>
        <w:t>I.D. at 8-9:</w:t>
      </w:r>
    </w:p>
    <w:p w:rsidR="001730B7" w:rsidRDefault="001730B7" w:rsidP="003A7572">
      <w:pPr>
        <w:widowControl/>
        <w:spacing w:line="360" w:lineRule="auto"/>
        <w:ind w:firstLine="1440"/>
        <w:rPr>
          <w:sz w:val="26"/>
          <w:szCs w:val="26"/>
        </w:rPr>
      </w:pPr>
    </w:p>
    <w:p w:rsidR="00F73EB1" w:rsidRDefault="001730B7" w:rsidP="003A7572">
      <w:pPr>
        <w:pStyle w:val="BodyText"/>
        <w:spacing w:line="240" w:lineRule="auto"/>
        <w:ind w:left="1440" w:right="1440"/>
        <w:jc w:val="left"/>
        <w:rPr>
          <w:sz w:val="26"/>
          <w:szCs w:val="26"/>
        </w:rPr>
      </w:pPr>
      <w:r>
        <w:rPr>
          <w:sz w:val="26"/>
          <w:szCs w:val="26"/>
        </w:rPr>
        <w:tab/>
      </w:r>
      <w:r w:rsidRPr="001730B7">
        <w:rPr>
          <w:sz w:val="26"/>
          <w:szCs w:val="26"/>
        </w:rPr>
        <w:t xml:space="preserve">In this case, because Respond was served with a copy of the joint DSP petition, it had notice of the DSP and its clawback provision and opportunity to </w:t>
      </w:r>
      <w:r>
        <w:rPr>
          <w:sz w:val="26"/>
          <w:szCs w:val="26"/>
        </w:rPr>
        <w:t xml:space="preserve">[sic] </w:t>
      </w:r>
      <w:proofErr w:type="gramStart"/>
      <w:r w:rsidRPr="001730B7">
        <w:rPr>
          <w:sz w:val="26"/>
          <w:szCs w:val="26"/>
        </w:rPr>
        <w:t>heard</w:t>
      </w:r>
      <w:proofErr w:type="gramEnd"/>
      <w:r w:rsidRPr="001730B7">
        <w:rPr>
          <w:sz w:val="26"/>
          <w:szCs w:val="26"/>
        </w:rPr>
        <w:t xml:space="preserve"> but did not intervene in the proceeding.  Several EGSs who were served with a copy of the joint DSP petition did intervene in the proceeding and objected to the proposed clawback provision.  As a result the parties reached a settlement that modified the </w:t>
      </w:r>
    </w:p>
    <w:p w:rsidR="001730B7" w:rsidRDefault="001730B7" w:rsidP="00F73EB1">
      <w:pPr>
        <w:pStyle w:val="BodyText"/>
        <w:keepNext/>
        <w:keepLines/>
        <w:spacing w:line="240" w:lineRule="auto"/>
        <w:ind w:left="1440" w:right="1440"/>
        <w:jc w:val="left"/>
        <w:rPr>
          <w:sz w:val="26"/>
          <w:szCs w:val="26"/>
        </w:rPr>
      </w:pPr>
      <w:proofErr w:type="gramStart"/>
      <w:r w:rsidRPr="001730B7">
        <w:rPr>
          <w:sz w:val="26"/>
          <w:szCs w:val="26"/>
        </w:rPr>
        <w:t>proposed</w:t>
      </w:r>
      <w:proofErr w:type="gramEnd"/>
      <w:r w:rsidRPr="001730B7">
        <w:rPr>
          <w:sz w:val="26"/>
          <w:szCs w:val="26"/>
        </w:rPr>
        <w:t xml:space="preserve"> clawback provision.  Because Respond had notice and opportunity to be heard, its due process rights were adequately protected</w:t>
      </w:r>
      <w:r w:rsidRPr="00802E6D">
        <w:rPr>
          <w:sz w:val="26"/>
          <w:szCs w:val="26"/>
        </w:rPr>
        <w:t>.</w:t>
      </w:r>
    </w:p>
    <w:p w:rsidR="00802E6D" w:rsidRDefault="00802E6D" w:rsidP="00F73EB1">
      <w:pPr>
        <w:pStyle w:val="BodyText"/>
        <w:keepNext/>
        <w:keepLines/>
        <w:spacing w:line="240" w:lineRule="auto"/>
        <w:ind w:left="1440" w:right="1440"/>
        <w:jc w:val="left"/>
        <w:rPr>
          <w:sz w:val="26"/>
          <w:szCs w:val="26"/>
        </w:rPr>
      </w:pPr>
    </w:p>
    <w:p w:rsidR="00802E6D" w:rsidRPr="00802E6D" w:rsidRDefault="00802E6D" w:rsidP="00F73EB1">
      <w:pPr>
        <w:pStyle w:val="BodyText"/>
        <w:keepNext/>
        <w:keepLines/>
        <w:spacing w:line="240" w:lineRule="auto"/>
        <w:ind w:left="1440" w:right="1440"/>
        <w:jc w:val="left"/>
        <w:rPr>
          <w:sz w:val="26"/>
          <w:szCs w:val="26"/>
        </w:rPr>
      </w:pPr>
    </w:p>
    <w:p w:rsidR="001730B7" w:rsidRDefault="001730B7" w:rsidP="00F73EB1">
      <w:pPr>
        <w:keepNext/>
        <w:keepLines/>
        <w:widowControl/>
        <w:spacing w:line="360" w:lineRule="auto"/>
        <w:rPr>
          <w:sz w:val="26"/>
          <w:szCs w:val="26"/>
        </w:rPr>
      </w:pPr>
      <w:proofErr w:type="gramStart"/>
      <w:r>
        <w:rPr>
          <w:sz w:val="26"/>
          <w:szCs w:val="26"/>
        </w:rPr>
        <w:t>I.D. at 9.</w:t>
      </w:r>
      <w:proofErr w:type="gramEnd"/>
    </w:p>
    <w:p w:rsidR="001730B7" w:rsidRDefault="001730B7" w:rsidP="003A7572">
      <w:pPr>
        <w:widowControl/>
        <w:spacing w:line="360" w:lineRule="auto"/>
        <w:rPr>
          <w:sz w:val="26"/>
          <w:szCs w:val="26"/>
        </w:rPr>
      </w:pPr>
    </w:p>
    <w:p w:rsidR="00DE2B03" w:rsidRDefault="00DE2B03" w:rsidP="003A7572">
      <w:pPr>
        <w:widowControl/>
        <w:spacing w:line="360" w:lineRule="auto"/>
        <w:ind w:firstLine="1440"/>
        <w:rPr>
          <w:sz w:val="26"/>
          <w:szCs w:val="26"/>
        </w:rPr>
      </w:pPr>
      <w:r>
        <w:rPr>
          <w:sz w:val="26"/>
          <w:szCs w:val="26"/>
        </w:rPr>
        <w:t xml:space="preserve">The presiding ALJ further </w:t>
      </w:r>
      <w:r w:rsidR="00CC41A6">
        <w:rPr>
          <w:sz w:val="26"/>
          <w:szCs w:val="26"/>
        </w:rPr>
        <w:t xml:space="preserve">was </w:t>
      </w:r>
      <w:r w:rsidR="000A4BED">
        <w:rPr>
          <w:sz w:val="26"/>
          <w:szCs w:val="26"/>
        </w:rPr>
        <w:t xml:space="preserve">not </w:t>
      </w:r>
      <w:r>
        <w:rPr>
          <w:sz w:val="26"/>
          <w:szCs w:val="26"/>
        </w:rPr>
        <w:t xml:space="preserve">persuaded that the </w:t>
      </w:r>
      <w:r w:rsidR="000A4BED">
        <w:rPr>
          <w:sz w:val="26"/>
          <w:szCs w:val="26"/>
        </w:rPr>
        <w:t>allegations</w:t>
      </w:r>
      <w:r w:rsidR="00660030">
        <w:rPr>
          <w:sz w:val="26"/>
          <w:szCs w:val="26"/>
        </w:rPr>
        <w:t xml:space="preserve"> in the Complaints</w:t>
      </w:r>
      <w:r>
        <w:rPr>
          <w:sz w:val="26"/>
          <w:szCs w:val="26"/>
        </w:rPr>
        <w:t>, when view</w:t>
      </w:r>
      <w:r w:rsidR="000A4BED">
        <w:rPr>
          <w:sz w:val="26"/>
          <w:szCs w:val="26"/>
        </w:rPr>
        <w:t xml:space="preserve">ed </w:t>
      </w:r>
      <w:r>
        <w:rPr>
          <w:sz w:val="26"/>
          <w:szCs w:val="26"/>
        </w:rPr>
        <w:t xml:space="preserve">in the light most favorable to </w:t>
      </w:r>
      <w:r w:rsidR="000A4BED">
        <w:rPr>
          <w:sz w:val="26"/>
          <w:szCs w:val="26"/>
        </w:rPr>
        <w:t>Respond as the</w:t>
      </w:r>
      <w:r>
        <w:rPr>
          <w:sz w:val="26"/>
          <w:szCs w:val="26"/>
        </w:rPr>
        <w:t xml:space="preserve"> non-moving </w:t>
      </w:r>
      <w:r>
        <w:rPr>
          <w:sz w:val="26"/>
          <w:szCs w:val="26"/>
        </w:rPr>
        <w:lastRenderedPageBreak/>
        <w:t>party</w:t>
      </w:r>
      <w:r w:rsidR="000A4BED">
        <w:rPr>
          <w:sz w:val="26"/>
          <w:szCs w:val="26"/>
        </w:rPr>
        <w:t>,</w:t>
      </w:r>
      <w:r>
        <w:rPr>
          <w:sz w:val="26"/>
          <w:szCs w:val="26"/>
        </w:rPr>
        <w:t xml:space="preserve"> met the threshold requirement of </w:t>
      </w:r>
      <w:r w:rsidR="000A4BED">
        <w:rPr>
          <w:sz w:val="26"/>
          <w:szCs w:val="26"/>
        </w:rPr>
        <w:t xml:space="preserve">a sufficient </w:t>
      </w:r>
      <w:r>
        <w:rPr>
          <w:sz w:val="26"/>
          <w:szCs w:val="26"/>
        </w:rPr>
        <w:t>pleading</w:t>
      </w:r>
      <w:r w:rsidR="00276E50">
        <w:rPr>
          <w:sz w:val="26"/>
          <w:szCs w:val="26"/>
        </w:rPr>
        <w:t xml:space="preserve"> so as to entitle Respond to a hearing</w:t>
      </w:r>
      <w:r>
        <w:rPr>
          <w:sz w:val="26"/>
          <w:szCs w:val="26"/>
        </w:rPr>
        <w:t xml:space="preserve">.  The ALJ equated this threshold </w:t>
      </w:r>
      <w:r w:rsidR="000A4BED">
        <w:rPr>
          <w:sz w:val="26"/>
          <w:szCs w:val="26"/>
        </w:rPr>
        <w:t xml:space="preserve">pleading </w:t>
      </w:r>
      <w:r>
        <w:rPr>
          <w:sz w:val="26"/>
          <w:szCs w:val="26"/>
        </w:rPr>
        <w:t>requirement as grounded upon allegations of “changed circumstances.”</w:t>
      </w:r>
    </w:p>
    <w:p w:rsidR="00DE2B03" w:rsidRDefault="00DE2B03" w:rsidP="003A7572">
      <w:pPr>
        <w:widowControl/>
        <w:spacing w:line="360" w:lineRule="auto"/>
        <w:ind w:firstLine="1440"/>
        <w:rPr>
          <w:sz w:val="26"/>
          <w:szCs w:val="26"/>
        </w:rPr>
      </w:pPr>
    </w:p>
    <w:p w:rsidR="00DE2B03" w:rsidRPr="00DD5CA5" w:rsidRDefault="00DE2B03" w:rsidP="003A7572">
      <w:pPr>
        <w:widowControl/>
        <w:ind w:left="1440" w:right="1440" w:firstLine="720"/>
        <w:rPr>
          <w:sz w:val="26"/>
          <w:szCs w:val="26"/>
        </w:rPr>
      </w:pPr>
      <w:r w:rsidRPr="00DD5CA5">
        <w:rPr>
          <w:sz w:val="26"/>
          <w:szCs w:val="26"/>
        </w:rPr>
        <w:t xml:space="preserve">As a tariff, the clawback provision is part of a set of operating rules imposed by the Commission that each public utility must follow in order to provide service to its customers.  </w:t>
      </w:r>
      <w:proofErr w:type="gramStart"/>
      <w:r w:rsidRPr="00DD5CA5">
        <w:rPr>
          <w:i/>
          <w:sz w:val="26"/>
          <w:szCs w:val="26"/>
        </w:rPr>
        <w:t>PPL Electric Utilities Corp. v. Pa. Pub.</w:t>
      </w:r>
      <w:proofErr w:type="gramEnd"/>
      <w:r w:rsidRPr="00DD5CA5">
        <w:rPr>
          <w:i/>
          <w:sz w:val="26"/>
          <w:szCs w:val="26"/>
        </w:rPr>
        <w:t xml:space="preserve"> </w:t>
      </w:r>
      <w:proofErr w:type="gramStart"/>
      <w:r w:rsidRPr="00DD5CA5">
        <w:rPr>
          <w:i/>
          <w:sz w:val="26"/>
          <w:szCs w:val="26"/>
        </w:rPr>
        <w:t>Util. Comm’n</w:t>
      </w:r>
      <w:r w:rsidRPr="00DD5CA5">
        <w:rPr>
          <w:sz w:val="26"/>
          <w:szCs w:val="26"/>
        </w:rPr>
        <w:t>, 912 A.2d 386 (Pa. Cmwlth. 2006).</w:t>
      </w:r>
      <w:proofErr w:type="gramEnd"/>
      <w:r w:rsidRPr="00DD5CA5">
        <w:rPr>
          <w:sz w:val="26"/>
          <w:szCs w:val="26"/>
        </w:rPr>
        <w:t xml:space="preserve">  Each public utility must file a copy of its tariff with the Commission setting forth its rates, services, rules, regulations and practices so that the public may inspect its contents.  </w:t>
      </w:r>
      <w:proofErr w:type="gramStart"/>
      <w:r w:rsidRPr="00DD5CA5">
        <w:rPr>
          <w:sz w:val="26"/>
          <w:szCs w:val="26"/>
        </w:rPr>
        <w:t>66 Pa.C.S.</w:t>
      </w:r>
      <w:proofErr w:type="gramEnd"/>
      <w:r w:rsidRPr="00DD5CA5">
        <w:rPr>
          <w:sz w:val="26"/>
          <w:szCs w:val="26"/>
        </w:rPr>
        <w:t xml:space="preserve"> §1302; 52 Pa.Code §53.25</w:t>
      </w:r>
      <w:r w:rsidRPr="00DD5CA5">
        <w:rPr>
          <w:i/>
          <w:sz w:val="26"/>
          <w:szCs w:val="26"/>
        </w:rPr>
        <w:t xml:space="preserve">; Philadelphia Suburban Water Co. v. Pa. Pub. </w:t>
      </w:r>
      <w:proofErr w:type="gramStart"/>
      <w:r w:rsidRPr="00DD5CA5">
        <w:rPr>
          <w:i/>
          <w:sz w:val="26"/>
          <w:szCs w:val="26"/>
        </w:rPr>
        <w:t>Util. Comm’n,</w:t>
      </w:r>
      <w:r w:rsidRPr="00DD5CA5">
        <w:rPr>
          <w:sz w:val="26"/>
          <w:szCs w:val="26"/>
        </w:rPr>
        <w:t xml:space="preserve"> 808 A.2d 1044 (Pa.Cmwlth. 2002).</w:t>
      </w:r>
      <w:proofErr w:type="gramEnd"/>
      <w:r w:rsidRPr="00DD5CA5">
        <w:rPr>
          <w:sz w:val="26"/>
          <w:szCs w:val="26"/>
        </w:rPr>
        <w:t xml:space="preserve">  Public utility tariffs must be applied consistent with their language.  Public utility tariffs have the force and effect of law and are binding on the public utility and its customers.  </w:t>
      </w:r>
      <w:proofErr w:type="gramStart"/>
      <w:r w:rsidRPr="00DD5CA5">
        <w:rPr>
          <w:i/>
          <w:sz w:val="26"/>
          <w:szCs w:val="26"/>
        </w:rPr>
        <w:t>Pennsylvania Electric Co. v. Pa. Pub.</w:t>
      </w:r>
      <w:proofErr w:type="gramEnd"/>
      <w:r w:rsidRPr="00DD5CA5">
        <w:rPr>
          <w:i/>
          <w:sz w:val="26"/>
          <w:szCs w:val="26"/>
        </w:rPr>
        <w:t xml:space="preserve"> </w:t>
      </w:r>
      <w:proofErr w:type="gramStart"/>
      <w:r w:rsidRPr="00DD5CA5">
        <w:rPr>
          <w:i/>
          <w:sz w:val="26"/>
          <w:szCs w:val="26"/>
        </w:rPr>
        <w:t>Util. Comm’n,</w:t>
      </w:r>
      <w:r w:rsidRPr="00DD5CA5">
        <w:rPr>
          <w:sz w:val="26"/>
          <w:szCs w:val="26"/>
        </w:rPr>
        <w:t xml:space="preserve"> 663 A.2d 281 (Pa.Cmwlth. 1995).</w:t>
      </w:r>
      <w:proofErr w:type="gramEnd"/>
      <w:r w:rsidRPr="00DD5CA5">
        <w:rPr>
          <w:sz w:val="26"/>
          <w:szCs w:val="26"/>
        </w:rPr>
        <w:t xml:space="preserve">  The Commission has no authority to allow a public utility to deviate from its tariff even where the Commission concludes it is in the public interest.  </w:t>
      </w:r>
      <w:proofErr w:type="gramStart"/>
      <w:r w:rsidRPr="00DD5CA5">
        <w:rPr>
          <w:i/>
          <w:sz w:val="26"/>
          <w:szCs w:val="26"/>
        </w:rPr>
        <w:t>Philadelphia Suburban Water Co. v. Pa. Pub.</w:t>
      </w:r>
      <w:proofErr w:type="gramEnd"/>
      <w:r w:rsidRPr="00DD5CA5">
        <w:rPr>
          <w:i/>
          <w:sz w:val="26"/>
          <w:szCs w:val="26"/>
        </w:rPr>
        <w:t xml:space="preserve"> </w:t>
      </w:r>
      <w:proofErr w:type="gramStart"/>
      <w:r w:rsidRPr="00DD5CA5">
        <w:rPr>
          <w:i/>
          <w:sz w:val="26"/>
          <w:szCs w:val="26"/>
        </w:rPr>
        <w:t>Util. Comm’n,</w:t>
      </w:r>
      <w:r w:rsidRPr="00DD5CA5">
        <w:rPr>
          <w:sz w:val="26"/>
          <w:szCs w:val="26"/>
        </w:rPr>
        <w:t xml:space="preserve"> 808 A.2d 1044 (Pa.Cmwlth. 2002).</w:t>
      </w:r>
      <w:proofErr w:type="gramEnd"/>
      <w:r w:rsidRPr="00DD5CA5">
        <w:rPr>
          <w:sz w:val="26"/>
          <w:szCs w:val="26"/>
        </w:rPr>
        <w:t xml:space="preserve"> </w:t>
      </w:r>
    </w:p>
    <w:p w:rsidR="00DE2B03" w:rsidRPr="00DD5CA5" w:rsidRDefault="00DE2B03" w:rsidP="003A7572">
      <w:pPr>
        <w:widowControl/>
        <w:ind w:left="1440" w:right="1440"/>
        <w:rPr>
          <w:sz w:val="26"/>
          <w:szCs w:val="26"/>
        </w:rPr>
      </w:pPr>
    </w:p>
    <w:p w:rsidR="00DE2B03" w:rsidRPr="00DD5CA5" w:rsidRDefault="00DE2B03" w:rsidP="003A7572">
      <w:pPr>
        <w:widowControl/>
        <w:ind w:left="1440" w:right="1440" w:firstLine="720"/>
        <w:rPr>
          <w:sz w:val="26"/>
          <w:szCs w:val="26"/>
        </w:rPr>
      </w:pPr>
      <w:r w:rsidRPr="00DD5CA5">
        <w:rPr>
          <w:sz w:val="26"/>
          <w:szCs w:val="26"/>
        </w:rPr>
        <w:t xml:space="preserve">Tariff provisions previously approved by the Commission are </w:t>
      </w:r>
      <w:r w:rsidRPr="00DD5CA5">
        <w:rPr>
          <w:i/>
          <w:sz w:val="26"/>
          <w:szCs w:val="26"/>
        </w:rPr>
        <w:t>prima facie</w:t>
      </w:r>
      <w:r w:rsidRPr="00DD5CA5">
        <w:rPr>
          <w:sz w:val="26"/>
          <w:szCs w:val="26"/>
        </w:rPr>
        <w:t xml:space="preserve"> reasonable.  </w:t>
      </w:r>
      <w:proofErr w:type="gramStart"/>
      <w:r w:rsidRPr="00DD5CA5">
        <w:rPr>
          <w:i/>
          <w:sz w:val="26"/>
          <w:szCs w:val="26"/>
        </w:rPr>
        <w:t>Zucker v. Pa. Pub.</w:t>
      </w:r>
      <w:proofErr w:type="gramEnd"/>
      <w:r w:rsidRPr="00DD5CA5">
        <w:rPr>
          <w:i/>
          <w:sz w:val="26"/>
          <w:szCs w:val="26"/>
        </w:rPr>
        <w:t xml:space="preserve"> </w:t>
      </w:r>
      <w:proofErr w:type="gramStart"/>
      <w:r w:rsidRPr="00DD5CA5">
        <w:rPr>
          <w:i/>
          <w:sz w:val="26"/>
          <w:szCs w:val="26"/>
        </w:rPr>
        <w:t>Util. Comm’n</w:t>
      </w:r>
      <w:r w:rsidRPr="00DD5CA5">
        <w:rPr>
          <w:sz w:val="26"/>
          <w:szCs w:val="26"/>
        </w:rPr>
        <w:t>, 437 A.2d 1067 (Pa.Cmwlth. 1981).</w:t>
      </w:r>
      <w:proofErr w:type="gramEnd"/>
      <w:r w:rsidR="00463199">
        <w:rPr>
          <w:rStyle w:val="FootnoteReference"/>
          <w:sz w:val="26"/>
          <w:szCs w:val="26"/>
        </w:rPr>
        <w:footnoteReference w:id="7"/>
      </w:r>
      <w:r w:rsidRPr="00DD5CA5">
        <w:rPr>
          <w:sz w:val="26"/>
          <w:szCs w:val="26"/>
        </w:rPr>
        <w:t xml:space="preserve">  A complainant seeking to evade the effect of an existing tariff provision carries a very heavy burden of proving that the facts and circumstances leading to the creation of the tariff provision have changed so drastically as to render the application of the tariff provision unreasonable.  </w:t>
      </w:r>
      <w:proofErr w:type="gramStart"/>
      <w:r w:rsidRPr="00DD5CA5">
        <w:rPr>
          <w:i/>
          <w:sz w:val="26"/>
          <w:szCs w:val="26"/>
        </w:rPr>
        <w:t>Shenango Twp. v. Pa. Pub.</w:t>
      </w:r>
      <w:proofErr w:type="gramEnd"/>
      <w:r w:rsidRPr="00DD5CA5">
        <w:rPr>
          <w:i/>
          <w:sz w:val="26"/>
          <w:szCs w:val="26"/>
        </w:rPr>
        <w:t xml:space="preserve"> </w:t>
      </w:r>
      <w:proofErr w:type="gramStart"/>
      <w:r w:rsidRPr="00DD5CA5">
        <w:rPr>
          <w:i/>
          <w:sz w:val="26"/>
          <w:szCs w:val="26"/>
        </w:rPr>
        <w:t>Util. Comm’n</w:t>
      </w:r>
      <w:r w:rsidRPr="00DD5CA5">
        <w:rPr>
          <w:sz w:val="26"/>
          <w:szCs w:val="26"/>
        </w:rPr>
        <w:t>, 686 A.2d 910 (Pa.Cmwlth. 1996).</w:t>
      </w:r>
      <w:proofErr w:type="gramEnd"/>
    </w:p>
    <w:p w:rsidR="00DE2B03" w:rsidRPr="00DD5CA5" w:rsidRDefault="00DE2B03" w:rsidP="003A7572">
      <w:pPr>
        <w:widowControl/>
        <w:ind w:left="1440" w:right="1440"/>
        <w:rPr>
          <w:sz w:val="26"/>
          <w:szCs w:val="26"/>
        </w:rPr>
      </w:pPr>
    </w:p>
    <w:p w:rsidR="00DE2B03" w:rsidRPr="00DD5CA5" w:rsidRDefault="00DE2B03" w:rsidP="003A7572">
      <w:pPr>
        <w:widowControl/>
        <w:ind w:left="1440" w:right="1440" w:firstLine="720"/>
        <w:rPr>
          <w:sz w:val="26"/>
          <w:szCs w:val="26"/>
        </w:rPr>
      </w:pPr>
      <w:r w:rsidRPr="00DD5CA5">
        <w:rPr>
          <w:sz w:val="26"/>
          <w:szCs w:val="26"/>
        </w:rPr>
        <w:t xml:space="preserve">In this case, the Commission approved the clawback provision as part of Penelec’s and West Penn’s DSPs.  The </w:t>
      </w:r>
      <w:r w:rsidRPr="00DD5CA5">
        <w:rPr>
          <w:sz w:val="26"/>
          <w:szCs w:val="26"/>
        </w:rPr>
        <w:lastRenderedPageBreak/>
        <w:t>Commission approved Penelec’s and West Penn’s tariff filing implementing the clawback provision.  No party to Penelec’s and West Penn’s DSP proceedings appealed the Commission’s approval of the tariff.  Penelec’s and West Penn’s clawback provision tariff therefore has the force and effect of law and is binding on Respond, Penelec and West Penn.</w:t>
      </w:r>
    </w:p>
    <w:p w:rsidR="00DE2B03" w:rsidRPr="00DD5CA5" w:rsidRDefault="00DE2B03" w:rsidP="003A7572">
      <w:pPr>
        <w:widowControl/>
        <w:ind w:left="1440" w:right="1440"/>
        <w:rPr>
          <w:sz w:val="26"/>
          <w:szCs w:val="26"/>
        </w:rPr>
      </w:pPr>
    </w:p>
    <w:p w:rsidR="00DE2B03" w:rsidRPr="00DD5CA5" w:rsidRDefault="00DE2B03" w:rsidP="003A7572">
      <w:pPr>
        <w:widowControl/>
        <w:ind w:left="1440" w:right="1440" w:firstLine="720"/>
        <w:rPr>
          <w:sz w:val="26"/>
          <w:szCs w:val="26"/>
        </w:rPr>
      </w:pPr>
      <w:r w:rsidRPr="00DD5CA5">
        <w:rPr>
          <w:sz w:val="26"/>
          <w:szCs w:val="26"/>
        </w:rPr>
        <w:t xml:space="preserve">Since the Commission has approved the clawback tariff, it is </w:t>
      </w:r>
      <w:r w:rsidRPr="00DD5CA5">
        <w:rPr>
          <w:i/>
          <w:sz w:val="26"/>
          <w:szCs w:val="26"/>
        </w:rPr>
        <w:t>prima facie</w:t>
      </w:r>
      <w:r w:rsidRPr="00DD5CA5">
        <w:rPr>
          <w:sz w:val="26"/>
          <w:szCs w:val="26"/>
        </w:rPr>
        <w:t xml:space="preserve"> reasonable.  In order to overcome this presumption of reasonableness, Respond must allege in its complaint that the facts and circumstances leading to the creation of the tariff provision have changed so drastically as to render the application of the tariff provision unreasonable.  </w:t>
      </w:r>
      <w:proofErr w:type="gramStart"/>
      <w:r w:rsidRPr="00DD5CA5">
        <w:rPr>
          <w:sz w:val="26"/>
          <w:szCs w:val="26"/>
        </w:rPr>
        <w:t>Respond  has</w:t>
      </w:r>
      <w:proofErr w:type="gramEnd"/>
      <w:r w:rsidRPr="00DD5CA5">
        <w:rPr>
          <w:sz w:val="26"/>
          <w:szCs w:val="26"/>
        </w:rPr>
        <w:t xml:space="preserve"> not done this.</w:t>
      </w:r>
    </w:p>
    <w:p w:rsidR="00DE2B03" w:rsidRPr="00DD5CA5" w:rsidRDefault="00DE2B03" w:rsidP="003A7572">
      <w:pPr>
        <w:widowControl/>
        <w:ind w:left="1440" w:right="1440"/>
        <w:rPr>
          <w:sz w:val="26"/>
          <w:szCs w:val="26"/>
        </w:rPr>
      </w:pPr>
    </w:p>
    <w:p w:rsidR="00DE2B03" w:rsidRPr="00DD5CA5" w:rsidRDefault="00DE2B03" w:rsidP="003A7572">
      <w:pPr>
        <w:widowControl/>
        <w:ind w:left="1440" w:right="1440" w:firstLine="720"/>
        <w:rPr>
          <w:sz w:val="26"/>
          <w:szCs w:val="26"/>
        </w:rPr>
      </w:pPr>
      <w:r w:rsidRPr="00DD5CA5">
        <w:rPr>
          <w:sz w:val="26"/>
          <w:szCs w:val="26"/>
        </w:rPr>
        <w:t xml:space="preserve">Rather than allege facts or circumstances that have changed since the creation of the clawback tariff approved by the Commission, Respond in its complaint asserts that Penelec’s and West Penn’s application of the tariff conflicts with the Public Utility Code and Commission regulations.  Respond should have intervened in the DSP proceedings and raised these arguments. </w:t>
      </w:r>
    </w:p>
    <w:p w:rsidR="00DE2B03" w:rsidRPr="00DD5CA5" w:rsidRDefault="00DE2B03" w:rsidP="003A7572">
      <w:pPr>
        <w:widowControl/>
        <w:ind w:left="1440" w:right="1440"/>
        <w:rPr>
          <w:sz w:val="26"/>
          <w:szCs w:val="26"/>
        </w:rPr>
      </w:pPr>
    </w:p>
    <w:p w:rsidR="00DE2B03" w:rsidRPr="00DD5CA5" w:rsidRDefault="00DE2B03" w:rsidP="003A7572">
      <w:pPr>
        <w:widowControl/>
        <w:ind w:left="1440" w:right="1440" w:firstLine="720"/>
        <w:rPr>
          <w:sz w:val="26"/>
          <w:szCs w:val="26"/>
        </w:rPr>
      </w:pPr>
      <w:r w:rsidRPr="00DD5CA5">
        <w:rPr>
          <w:sz w:val="26"/>
          <w:szCs w:val="26"/>
        </w:rPr>
        <w:t xml:space="preserve">Respond has not alleged any change of circumstances since the Commission’s approval of the clawback tariff that render it unreasonable.  As stated above, the Commission cannot direct Penelec and West Penn to deviate from the provisions of the clawback tariff in order to provide relief to </w:t>
      </w:r>
      <w:proofErr w:type="gramStart"/>
      <w:r w:rsidRPr="00DD5CA5">
        <w:rPr>
          <w:sz w:val="26"/>
          <w:szCs w:val="26"/>
        </w:rPr>
        <w:t>Respond</w:t>
      </w:r>
      <w:proofErr w:type="gramEnd"/>
      <w:r w:rsidRPr="00DD5CA5">
        <w:rPr>
          <w:sz w:val="26"/>
          <w:szCs w:val="26"/>
        </w:rPr>
        <w:t xml:space="preserve"> even if the Commission were to conclude it is in the public interest to do so.  The tariff must be applied in a non-discriminatory manner.</w:t>
      </w:r>
    </w:p>
    <w:p w:rsidR="00DE2B03" w:rsidRPr="00DD5CA5" w:rsidRDefault="00DE2B03" w:rsidP="003A7572">
      <w:pPr>
        <w:widowControl/>
        <w:ind w:left="1440" w:right="1440"/>
        <w:rPr>
          <w:sz w:val="26"/>
          <w:szCs w:val="26"/>
        </w:rPr>
      </w:pPr>
    </w:p>
    <w:p w:rsidR="00CC41A6" w:rsidRDefault="00DE2B03" w:rsidP="003A7572">
      <w:pPr>
        <w:widowControl/>
        <w:ind w:left="1440" w:right="1440" w:firstLine="720"/>
        <w:rPr>
          <w:sz w:val="26"/>
          <w:szCs w:val="26"/>
        </w:rPr>
      </w:pPr>
      <w:r w:rsidRPr="00DD5CA5">
        <w:rPr>
          <w:sz w:val="26"/>
          <w:szCs w:val="26"/>
        </w:rPr>
        <w:t xml:space="preserve">Respond fails to allege any facts or circumstances in its complaint that have changed since the Commission’s approval of the clawback tariff that now render the provision unreasonable.  Since the complaint fails to allege any change in circumstances in its complaint, a hearing is not necessary to allow Respond the opportunity to present evidence that application of the tariff provision in this case is unreasonable. </w:t>
      </w:r>
    </w:p>
    <w:p w:rsidR="00DE2B03" w:rsidRPr="00DD5CA5" w:rsidRDefault="00DE2B03" w:rsidP="00CC41A6">
      <w:pPr>
        <w:keepNext/>
        <w:keepLines/>
        <w:widowControl/>
        <w:ind w:left="1440" w:right="1440"/>
        <w:rPr>
          <w:sz w:val="26"/>
          <w:szCs w:val="26"/>
        </w:rPr>
      </w:pPr>
      <w:r w:rsidRPr="00DD5CA5">
        <w:rPr>
          <w:sz w:val="26"/>
          <w:szCs w:val="26"/>
        </w:rPr>
        <w:lastRenderedPageBreak/>
        <w:t>In these circumstances, giving Respond the opportunity to explain its position on this issue at a hearing would be a fruitless exercise.</w:t>
      </w:r>
    </w:p>
    <w:p w:rsidR="00DE2B03" w:rsidRDefault="00DE2B03" w:rsidP="00CC41A6">
      <w:pPr>
        <w:keepNext/>
        <w:keepLines/>
        <w:widowControl/>
        <w:rPr>
          <w:sz w:val="26"/>
          <w:szCs w:val="26"/>
        </w:rPr>
      </w:pPr>
    </w:p>
    <w:p w:rsidR="00DE2B03" w:rsidRDefault="00DE2B03" w:rsidP="003A7572">
      <w:pPr>
        <w:widowControl/>
        <w:rPr>
          <w:sz w:val="26"/>
          <w:szCs w:val="26"/>
        </w:rPr>
      </w:pPr>
      <w:r>
        <w:rPr>
          <w:sz w:val="26"/>
          <w:szCs w:val="26"/>
        </w:rPr>
        <w:t>I.D. at</w:t>
      </w:r>
      <w:r w:rsidR="00420A43">
        <w:rPr>
          <w:sz w:val="26"/>
          <w:szCs w:val="26"/>
        </w:rPr>
        <w:t xml:space="preserve"> 10-12</w:t>
      </w:r>
      <w:r>
        <w:rPr>
          <w:sz w:val="26"/>
          <w:szCs w:val="26"/>
        </w:rPr>
        <w:t>.</w:t>
      </w:r>
    </w:p>
    <w:p w:rsidR="00DE2B03" w:rsidRDefault="00DE2B03" w:rsidP="003A7572">
      <w:pPr>
        <w:widowControl/>
        <w:spacing w:line="360" w:lineRule="auto"/>
        <w:rPr>
          <w:sz w:val="26"/>
          <w:szCs w:val="26"/>
        </w:rPr>
      </w:pPr>
    </w:p>
    <w:p w:rsidR="00D56988" w:rsidRDefault="000441D9" w:rsidP="003A7572">
      <w:pPr>
        <w:widowControl/>
        <w:spacing w:line="360" w:lineRule="auto"/>
        <w:ind w:firstLine="1440"/>
        <w:rPr>
          <w:sz w:val="26"/>
          <w:szCs w:val="26"/>
        </w:rPr>
      </w:pPr>
      <w:r>
        <w:rPr>
          <w:sz w:val="26"/>
          <w:szCs w:val="26"/>
        </w:rPr>
        <w:t xml:space="preserve">The ALJ </w:t>
      </w:r>
      <w:r w:rsidR="00F665CF">
        <w:rPr>
          <w:sz w:val="26"/>
          <w:szCs w:val="26"/>
        </w:rPr>
        <w:t xml:space="preserve">additionally discussed the </w:t>
      </w:r>
      <w:r w:rsidR="001972B9">
        <w:rPr>
          <w:sz w:val="26"/>
          <w:szCs w:val="26"/>
        </w:rPr>
        <w:t>d</w:t>
      </w:r>
      <w:r w:rsidR="00F665CF">
        <w:rPr>
          <w:sz w:val="26"/>
          <w:szCs w:val="26"/>
        </w:rPr>
        <w:t>istinctions between a “rate” and a “tariff” under the Code.  I.D. at 9-11</w:t>
      </w:r>
      <w:r w:rsidR="00827EB2">
        <w:rPr>
          <w:sz w:val="26"/>
          <w:szCs w:val="26"/>
        </w:rPr>
        <w:t>.</w:t>
      </w:r>
    </w:p>
    <w:p w:rsidR="00D56988" w:rsidRDefault="00D56988" w:rsidP="003A7572">
      <w:pPr>
        <w:widowControl/>
        <w:spacing w:line="360" w:lineRule="auto"/>
        <w:ind w:firstLine="1440"/>
        <w:rPr>
          <w:sz w:val="26"/>
          <w:szCs w:val="26"/>
        </w:rPr>
      </w:pPr>
    </w:p>
    <w:p w:rsidR="00B57256" w:rsidRPr="00B57256" w:rsidRDefault="00D56988" w:rsidP="003A7572">
      <w:pPr>
        <w:widowControl/>
        <w:spacing w:line="360" w:lineRule="auto"/>
        <w:ind w:firstLine="1440"/>
        <w:rPr>
          <w:sz w:val="26"/>
          <w:szCs w:val="26"/>
        </w:rPr>
      </w:pPr>
      <w:r>
        <w:rPr>
          <w:sz w:val="26"/>
          <w:szCs w:val="26"/>
        </w:rPr>
        <w:t xml:space="preserve">Based on considerations of due process and the </w:t>
      </w:r>
      <w:r w:rsidRPr="000A4BED">
        <w:rPr>
          <w:i/>
          <w:sz w:val="26"/>
          <w:szCs w:val="26"/>
        </w:rPr>
        <w:t>prima facie</w:t>
      </w:r>
      <w:r>
        <w:rPr>
          <w:sz w:val="26"/>
          <w:szCs w:val="26"/>
        </w:rPr>
        <w:t xml:space="preserve"> reasonableness of a Commission-approved tariff, it was concluded that the Respond Complaints should be limited to a determination of the arithmetic derivation of charges pursuant to the clawback charge.  </w:t>
      </w:r>
      <w:proofErr w:type="gramStart"/>
      <w:r>
        <w:rPr>
          <w:sz w:val="26"/>
          <w:szCs w:val="26"/>
        </w:rPr>
        <w:t>I.D. at 12.</w:t>
      </w:r>
      <w:proofErr w:type="gramEnd"/>
      <w:r w:rsidR="000A4BED">
        <w:rPr>
          <w:sz w:val="26"/>
          <w:szCs w:val="26"/>
        </w:rPr>
        <w:t xml:space="preserve">  The Companies’ Motion was, therefore, granted in part.</w:t>
      </w:r>
    </w:p>
    <w:p w:rsidR="00666B09" w:rsidRDefault="00666B09" w:rsidP="003A7572">
      <w:pPr>
        <w:widowControl/>
        <w:spacing w:line="360" w:lineRule="auto"/>
        <w:rPr>
          <w:sz w:val="26"/>
          <w:szCs w:val="26"/>
        </w:rPr>
      </w:pPr>
    </w:p>
    <w:p w:rsidR="00920F2D" w:rsidRDefault="00F73EB1" w:rsidP="00F73EB1">
      <w:pPr>
        <w:keepNext/>
        <w:keepLines/>
        <w:widowControl/>
        <w:spacing w:line="360" w:lineRule="auto"/>
        <w:rPr>
          <w:b/>
          <w:sz w:val="26"/>
          <w:szCs w:val="26"/>
        </w:rPr>
      </w:pPr>
      <w:r>
        <w:rPr>
          <w:b/>
          <w:sz w:val="26"/>
          <w:szCs w:val="26"/>
        </w:rPr>
        <w:t>C.</w:t>
      </w:r>
      <w:r>
        <w:rPr>
          <w:b/>
          <w:sz w:val="26"/>
          <w:szCs w:val="26"/>
        </w:rPr>
        <w:tab/>
      </w:r>
      <w:r w:rsidR="00E74999">
        <w:rPr>
          <w:b/>
          <w:sz w:val="26"/>
          <w:szCs w:val="26"/>
        </w:rPr>
        <w:t>Respond</w:t>
      </w:r>
      <w:r w:rsidR="00CC41A6">
        <w:rPr>
          <w:b/>
          <w:sz w:val="26"/>
          <w:szCs w:val="26"/>
        </w:rPr>
        <w:t>’s Position</w:t>
      </w:r>
    </w:p>
    <w:p w:rsidR="00985315" w:rsidRPr="00CA25BC" w:rsidRDefault="00985315" w:rsidP="00CC41A6">
      <w:pPr>
        <w:keepNext/>
        <w:keepLines/>
        <w:widowControl/>
        <w:spacing w:line="360" w:lineRule="auto"/>
        <w:ind w:firstLine="1440"/>
        <w:rPr>
          <w:b/>
          <w:sz w:val="26"/>
          <w:szCs w:val="26"/>
        </w:rPr>
      </w:pPr>
    </w:p>
    <w:p w:rsidR="00CA25BC" w:rsidRDefault="00CA25BC" w:rsidP="003A7572">
      <w:pPr>
        <w:widowControl/>
        <w:spacing w:line="360" w:lineRule="auto"/>
        <w:ind w:firstLine="1440"/>
        <w:rPr>
          <w:sz w:val="26"/>
          <w:szCs w:val="26"/>
        </w:rPr>
      </w:pPr>
      <w:r>
        <w:rPr>
          <w:sz w:val="26"/>
          <w:szCs w:val="26"/>
        </w:rPr>
        <w:t xml:space="preserve">Respond argues that its Petition meets the standards for interlocutory review because, as a result of the </w:t>
      </w:r>
      <w:r w:rsidRPr="00834BAD">
        <w:rPr>
          <w:i/>
          <w:sz w:val="26"/>
          <w:szCs w:val="26"/>
        </w:rPr>
        <w:t xml:space="preserve">January 2017 </w:t>
      </w:r>
      <w:r w:rsidR="00834BAD">
        <w:rPr>
          <w:i/>
          <w:sz w:val="26"/>
          <w:szCs w:val="26"/>
        </w:rPr>
        <w:t xml:space="preserve">Interim </w:t>
      </w:r>
      <w:r w:rsidRPr="00834BAD">
        <w:rPr>
          <w:i/>
          <w:sz w:val="26"/>
          <w:szCs w:val="26"/>
        </w:rPr>
        <w:t>Order</w:t>
      </w:r>
      <w:r>
        <w:rPr>
          <w:sz w:val="26"/>
          <w:szCs w:val="26"/>
        </w:rPr>
        <w:t xml:space="preserve">, it would be precluded from challenging the retroactive application of the tariff provisions and the historical write-off data that form the basis for the Companies’ charges under the </w:t>
      </w:r>
      <w:r w:rsidR="00834BAD">
        <w:rPr>
          <w:sz w:val="26"/>
          <w:szCs w:val="26"/>
        </w:rPr>
        <w:t>c</w:t>
      </w:r>
      <w:r>
        <w:rPr>
          <w:sz w:val="26"/>
          <w:szCs w:val="26"/>
        </w:rPr>
        <w:t xml:space="preserve">lawback provision.  </w:t>
      </w:r>
      <w:r w:rsidR="00834BAD">
        <w:rPr>
          <w:i/>
          <w:sz w:val="26"/>
          <w:szCs w:val="26"/>
        </w:rPr>
        <w:t xml:space="preserve">See </w:t>
      </w:r>
      <w:r>
        <w:rPr>
          <w:sz w:val="26"/>
          <w:szCs w:val="26"/>
        </w:rPr>
        <w:t>Respond Brief at 7.  Therefore, as a result of the ruling</w:t>
      </w:r>
      <w:r w:rsidR="00666B09">
        <w:rPr>
          <w:sz w:val="26"/>
          <w:szCs w:val="26"/>
        </w:rPr>
        <w:t>,</w:t>
      </w:r>
      <w:r w:rsidR="00666B09">
        <w:rPr>
          <w:i/>
          <w:sz w:val="26"/>
          <w:szCs w:val="26"/>
        </w:rPr>
        <w:t xml:space="preserve"> </w:t>
      </w:r>
      <w:r>
        <w:rPr>
          <w:sz w:val="26"/>
          <w:szCs w:val="26"/>
        </w:rPr>
        <w:t>the only evidence which would be permitted would be evidence concerning</w:t>
      </w:r>
      <w:r w:rsidR="00250269">
        <w:rPr>
          <w:sz w:val="26"/>
          <w:szCs w:val="26"/>
        </w:rPr>
        <w:t>,</w:t>
      </w:r>
      <w:r>
        <w:rPr>
          <w:sz w:val="26"/>
          <w:szCs w:val="26"/>
        </w:rPr>
        <w:t xml:space="preserve"> alleged, computational errors under the tariff.  T</w:t>
      </w:r>
      <w:r w:rsidR="00834BAD">
        <w:rPr>
          <w:sz w:val="26"/>
          <w:szCs w:val="26"/>
        </w:rPr>
        <w:t>herefore, argues Respond, t</w:t>
      </w:r>
      <w:r>
        <w:rPr>
          <w:sz w:val="26"/>
          <w:szCs w:val="26"/>
        </w:rPr>
        <w:t xml:space="preserve">o require the hearing to proceed </w:t>
      </w:r>
      <w:r w:rsidR="00250269">
        <w:rPr>
          <w:sz w:val="26"/>
          <w:szCs w:val="26"/>
        </w:rPr>
        <w:t>according to these,</w:t>
      </w:r>
      <w:r>
        <w:rPr>
          <w:sz w:val="26"/>
          <w:szCs w:val="26"/>
        </w:rPr>
        <w:t xml:space="preserve"> allegedly, unlawful limitations would substantially prejudice</w:t>
      </w:r>
      <w:r w:rsidR="00827EB2">
        <w:rPr>
          <w:sz w:val="26"/>
          <w:szCs w:val="26"/>
        </w:rPr>
        <w:t xml:space="preserve"> it</w:t>
      </w:r>
      <w:r w:rsidR="00834BAD">
        <w:rPr>
          <w:sz w:val="26"/>
          <w:szCs w:val="26"/>
        </w:rPr>
        <w:t xml:space="preserve"> in the nature of the </w:t>
      </w:r>
      <w:r>
        <w:rPr>
          <w:sz w:val="26"/>
          <w:szCs w:val="26"/>
        </w:rPr>
        <w:t xml:space="preserve">expenditure of additional resources, undue delay, and impairment of judicial economy.  </w:t>
      </w:r>
      <w:r>
        <w:rPr>
          <w:i/>
          <w:sz w:val="26"/>
          <w:szCs w:val="26"/>
        </w:rPr>
        <w:t>Id</w:t>
      </w:r>
      <w:r>
        <w:rPr>
          <w:sz w:val="26"/>
          <w:szCs w:val="26"/>
        </w:rPr>
        <w:t>.</w:t>
      </w:r>
    </w:p>
    <w:p w:rsidR="00CA25BC" w:rsidRDefault="00CA25BC" w:rsidP="003A7572">
      <w:pPr>
        <w:widowControl/>
        <w:spacing w:line="360" w:lineRule="auto"/>
        <w:ind w:firstLine="1440"/>
        <w:rPr>
          <w:sz w:val="26"/>
          <w:szCs w:val="26"/>
        </w:rPr>
      </w:pPr>
    </w:p>
    <w:p w:rsidR="00920F2D" w:rsidRDefault="00985315" w:rsidP="003A7572">
      <w:pPr>
        <w:widowControl/>
        <w:spacing w:line="360" w:lineRule="auto"/>
        <w:ind w:firstLine="1440"/>
        <w:rPr>
          <w:sz w:val="26"/>
          <w:szCs w:val="26"/>
        </w:rPr>
      </w:pPr>
      <w:r>
        <w:rPr>
          <w:sz w:val="26"/>
          <w:szCs w:val="26"/>
        </w:rPr>
        <w:t xml:space="preserve">By precluding Respond from challenging the retroactive application of the tariff, it asserts that it will be, essentially, put out of court, concerning the substance of its challenge on the tariff.  </w:t>
      </w:r>
      <w:proofErr w:type="gramStart"/>
      <w:r>
        <w:rPr>
          <w:sz w:val="26"/>
          <w:szCs w:val="26"/>
        </w:rPr>
        <w:t>Brief at 7.</w:t>
      </w:r>
      <w:proofErr w:type="gramEnd"/>
    </w:p>
    <w:p w:rsidR="006D2358" w:rsidRDefault="006D2358" w:rsidP="003A7572">
      <w:pPr>
        <w:widowControl/>
        <w:spacing w:line="360" w:lineRule="auto"/>
        <w:ind w:firstLine="1440"/>
        <w:rPr>
          <w:sz w:val="26"/>
          <w:szCs w:val="26"/>
        </w:rPr>
      </w:pPr>
    </w:p>
    <w:p w:rsidR="006D2358" w:rsidRPr="006826F8" w:rsidRDefault="00250269" w:rsidP="003A7572">
      <w:pPr>
        <w:widowControl/>
        <w:autoSpaceDE w:val="0"/>
        <w:autoSpaceDN w:val="0"/>
        <w:adjustRightInd w:val="0"/>
        <w:spacing w:line="360" w:lineRule="auto"/>
        <w:ind w:firstLine="1440"/>
        <w:rPr>
          <w:rFonts w:eastAsiaTheme="minorHAnsi"/>
          <w:sz w:val="26"/>
          <w:szCs w:val="26"/>
        </w:rPr>
      </w:pPr>
      <w:r>
        <w:rPr>
          <w:rFonts w:eastAsiaTheme="minorHAnsi"/>
          <w:sz w:val="26"/>
          <w:szCs w:val="26"/>
        </w:rPr>
        <w:t>Respond also takes the position that t</w:t>
      </w:r>
      <w:r w:rsidR="006D2358" w:rsidRPr="006826F8">
        <w:rPr>
          <w:rFonts w:eastAsiaTheme="minorHAnsi"/>
          <w:sz w:val="26"/>
          <w:szCs w:val="26"/>
        </w:rPr>
        <w:t xml:space="preserve">he </w:t>
      </w:r>
      <w:r w:rsidR="006D2358">
        <w:rPr>
          <w:rFonts w:eastAsiaTheme="minorHAnsi"/>
          <w:sz w:val="26"/>
          <w:szCs w:val="26"/>
        </w:rPr>
        <w:t>“</w:t>
      </w:r>
      <w:r w:rsidR="006D2358" w:rsidRPr="006826F8">
        <w:rPr>
          <w:rFonts w:eastAsiaTheme="minorHAnsi"/>
          <w:sz w:val="26"/>
          <w:szCs w:val="26"/>
        </w:rPr>
        <w:t>fundamental proposition</w:t>
      </w:r>
      <w:r w:rsidR="006D2358">
        <w:rPr>
          <w:rFonts w:eastAsiaTheme="minorHAnsi"/>
          <w:sz w:val="26"/>
          <w:szCs w:val="26"/>
        </w:rPr>
        <w:t xml:space="preserve">” which is raised by </w:t>
      </w:r>
      <w:r>
        <w:rPr>
          <w:rFonts w:eastAsiaTheme="minorHAnsi"/>
          <w:sz w:val="26"/>
          <w:szCs w:val="26"/>
        </w:rPr>
        <w:t xml:space="preserve">its </w:t>
      </w:r>
      <w:r w:rsidR="006D2358">
        <w:rPr>
          <w:rFonts w:eastAsiaTheme="minorHAnsi"/>
          <w:sz w:val="26"/>
          <w:szCs w:val="26"/>
        </w:rPr>
        <w:t>Petition, is whether</w:t>
      </w:r>
      <w:r w:rsidR="006D2358" w:rsidRPr="006826F8">
        <w:rPr>
          <w:rFonts w:eastAsiaTheme="minorHAnsi"/>
          <w:sz w:val="26"/>
          <w:szCs w:val="26"/>
        </w:rPr>
        <w:t xml:space="preserve"> the admin</w:t>
      </w:r>
      <w:r w:rsidR="006D2358">
        <w:rPr>
          <w:rFonts w:eastAsiaTheme="minorHAnsi"/>
          <w:sz w:val="26"/>
          <w:szCs w:val="26"/>
        </w:rPr>
        <w:t xml:space="preserve">istrative, clawback </w:t>
      </w:r>
      <w:r w:rsidR="006D2358" w:rsidRPr="006826F8">
        <w:rPr>
          <w:rFonts w:eastAsiaTheme="minorHAnsi"/>
          <w:sz w:val="26"/>
          <w:szCs w:val="26"/>
        </w:rPr>
        <w:t>charge</w:t>
      </w:r>
      <w:r w:rsidR="006D2358">
        <w:rPr>
          <w:rFonts w:eastAsiaTheme="minorHAnsi"/>
          <w:sz w:val="26"/>
          <w:szCs w:val="26"/>
        </w:rPr>
        <w:t>, is</w:t>
      </w:r>
      <w:r w:rsidR="006D2358" w:rsidRPr="006826F8">
        <w:rPr>
          <w:rFonts w:eastAsiaTheme="minorHAnsi"/>
          <w:sz w:val="26"/>
          <w:szCs w:val="26"/>
        </w:rPr>
        <w:t xml:space="preserve"> a “rate” for utility “service” and, therefore, is</w:t>
      </w:r>
      <w:r w:rsidR="006D2358">
        <w:rPr>
          <w:rFonts w:eastAsiaTheme="minorHAnsi"/>
          <w:sz w:val="26"/>
          <w:szCs w:val="26"/>
        </w:rPr>
        <w:t xml:space="preserve"> </w:t>
      </w:r>
      <w:r w:rsidR="006D2358" w:rsidRPr="006826F8">
        <w:rPr>
          <w:rFonts w:eastAsiaTheme="minorHAnsi"/>
          <w:sz w:val="26"/>
          <w:szCs w:val="26"/>
        </w:rPr>
        <w:t xml:space="preserve">subject to the </w:t>
      </w:r>
      <w:r w:rsidR="006D2358">
        <w:rPr>
          <w:rFonts w:eastAsiaTheme="minorHAnsi"/>
          <w:sz w:val="26"/>
          <w:szCs w:val="26"/>
        </w:rPr>
        <w:t xml:space="preserve">statutory provisions of the Code under which this Commission must adhere, in the same manner as  </w:t>
      </w:r>
      <w:r w:rsidR="006D2358" w:rsidRPr="006826F8">
        <w:rPr>
          <w:rFonts w:eastAsiaTheme="minorHAnsi"/>
          <w:sz w:val="26"/>
          <w:szCs w:val="26"/>
        </w:rPr>
        <w:t>EDC rates for electric</w:t>
      </w:r>
      <w:r w:rsidR="006D2358">
        <w:rPr>
          <w:rFonts w:eastAsiaTheme="minorHAnsi"/>
          <w:sz w:val="26"/>
          <w:szCs w:val="26"/>
        </w:rPr>
        <w:t xml:space="preserve"> service.</w:t>
      </w:r>
    </w:p>
    <w:p w:rsidR="006D2358" w:rsidRDefault="006D2358" w:rsidP="003A7572">
      <w:pPr>
        <w:widowControl/>
        <w:spacing w:line="360" w:lineRule="auto"/>
        <w:ind w:firstLine="1440"/>
        <w:rPr>
          <w:sz w:val="26"/>
          <w:szCs w:val="26"/>
        </w:rPr>
      </w:pPr>
    </w:p>
    <w:p w:rsidR="00920F2D" w:rsidRPr="007D5318" w:rsidRDefault="00F73EB1" w:rsidP="00F73EB1">
      <w:pPr>
        <w:widowControl/>
        <w:spacing w:line="360" w:lineRule="auto"/>
        <w:rPr>
          <w:b/>
          <w:sz w:val="26"/>
          <w:szCs w:val="26"/>
        </w:rPr>
      </w:pPr>
      <w:r>
        <w:rPr>
          <w:b/>
          <w:sz w:val="26"/>
          <w:szCs w:val="26"/>
        </w:rPr>
        <w:t>D.</w:t>
      </w:r>
      <w:r>
        <w:rPr>
          <w:b/>
          <w:sz w:val="26"/>
          <w:szCs w:val="26"/>
        </w:rPr>
        <w:tab/>
      </w:r>
      <w:r w:rsidR="009049FE" w:rsidRPr="007D5318">
        <w:rPr>
          <w:b/>
          <w:sz w:val="26"/>
          <w:szCs w:val="26"/>
        </w:rPr>
        <w:t xml:space="preserve">Companies’ Position </w:t>
      </w:r>
    </w:p>
    <w:p w:rsidR="009049FE" w:rsidRDefault="009049FE" w:rsidP="003A7572">
      <w:pPr>
        <w:widowControl/>
        <w:spacing w:line="360" w:lineRule="auto"/>
        <w:ind w:firstLine="1440"/>
        <w:rPr>
          <w:sz w:val="26"/>
          <w:szCs w:val="26"/>
        </w:rPr>
      </w:pPr>
    </w:p>
    <w:p w:rsidR="0030211D" w:rsidRDefault="008668F8" w:rsidP="003A7572">
      <w:pPr>
        <w:widowControl/>
        <w:spacing w:line="360" w:lineRule="auto"/>
        <w:ind w:firstLine="1440"/>
        <w:rPr>
          <w:sz w:val="26"/>
          <w:szCs w:val="26"/>
        </w:rPr>
      </w:pPr>
      <w:r>
        <w:rPr>
          <w:sz w:val="26"/>
          <w:szCs w:val="26"/>
        </w:rPr>
        <w:t xml:space="preserve">The Companies, at paragraph </w:t>
      </w:r>
      <w:r w:rsidR="009049FE">
        <w:rPr>
          <w:sz w:val="26"/>
          <w:szCs w:val="26"/>
        </w:rPr>
        <w:t>Nos.</w:t>
      </w:r>
      <w:r>
        <w:rPr>
          <w:sz w:val="26"/>
          <w:szCs w:val="26"/>
        </w:rPr>
        <w:t xml:space="preserve"> 38-61 of their Motion, assert that the </w:t>
      </w:r>
      <w:r w:rsidRPr="009049FE">
        <w:rPr>
          <w:i/>
          <w:sz w:val="26"/>
          <w:szCs w:val="26"/>
        </w:rPr>
        <w:t>DSP IV Proceeding</w:t>
      </w:r>
      <w:r>
        <w:rPr>
          <w:sz w:val="26"/>
          <w:szCs w:val="26"/>
        </w:rPr>
        <w:t xml:space="preserve"> and Section 316 </w:t>
      </w:r>
      <w:r w:rsidR="009049FE">
        <w:rPr>
          <w:sz w:val="26"/>
          <w:szCs w:val="26"/>
        </w:rPr>
        <w:t xml:space="preserve">of the Code, </w:t>
      </w:r>
      <w:r w:rsidR="00D56988">
        <w:rPr>
          <w:sz w:val="26"/>
          <w:szCs w:val="26"/>
        </w:rPr>
        <w:t xml:space="preserve">66 Pa. C.S. § 316, </w:t>
      </w:r>
      <w:r>
        <w:rPr>
          <w:sz w:val="26"/>
          <w:szCs w:val="26"/>
        </w:rPr>
        <w:t xml:space="preserve">apply </w:t>
      </w:r>
      <w:r w:rsidR="009049FE">
        <w:rPr>
          <w:sz w:val="26"/>
          <w:szCs w:val="26"/>
        </w:rPr>
        <w:t xml:space="preserve">so as </w:t>
      </w:r>
      <w:r>
        <w:rPr>
          <w:sz w:val="26"/>
          <w:szCs w:val="26"/>
        </w:rPr>
        <w:t>to preclude Respond from litiga</w:t>
      </w:r>
      <w:r w:rsidR="009049FE">
        <w:rPr>
          <w:sz w:val="26"/>
          <w:szCs w:val="26"/>
        </w:rPr>
        <w:t>t</w:t>
      </w:r>
      <w:r>
        <w:rPr>
          <w:sz w:val="26"/>
          <w:szCs w:val="26"/>
        </w:rPr>
        <w:t>ing issues other than whether there have been computational errors in the derivation of the clawback charge.</w:t>
      </w:r>
      <w:r w:rsidR="0030211D">
        <w:rPr>
          <w:sz w:val="26"/>
          <w:szCs w:val="26"/>
        </w:rPr>
        <w:t xml:space="preserve">  Section 316, states, in pertinent part:</w:t>
      </w:r>
    </w:p>
    <w:p w:rsidR="0030211D" w:rsidRDefault="0030211D" w:rsidP="003A7572">
      <w:pPr>
        <w:widowControl/>
        <w:spacing w:line="360" w:lineRule="auto"/>
        <w:ind w:firstLine="1440"/>
        <w:rPr>
          <w:sz w:val="26"/>
          <w:szCs w:val="26"/>
        </w:rPr>
      </w:pPr>
    </w:p>
    <w:p w:rsidR="0030211D" w:rsidRDefault="0030211D" w:rsidP="003A7572">
      <w:pPr>
        <w:pStyle w:val="Default"/>
        <w:ind w:left="1440" w:right="1440" w:firstLine="720"/>
        <w:rPr>
          <w:color w:val="auto"/>
          <w:sz w:val="26"/>
          <w:szCs w:val="26"/>
        </w:rPr>
      </w:pPr>
      <w:r w:rsidRPr="00546F4F">
        <w:rPr>
          <w:color w:val="auto"/>
          <w:sz w:val="26"/>
          <w:szCs w:val="26"/>
        </w:rPr>
        <w:t xml:space="preserve">Whenever the commission shall make any rule, regulation, finding, determination or order, the same shall be </w:t>
      </w:r>
      <w:r w:rsidRPr="009A02AA">
        <w:rPr>
          <w:i/>
          <w:color w:val="auto"/>
          <w:sz w:val="26"/>
          <w:szCs w:val="26"/>
        </w:rPr>
        <w:t>prima facie</w:t>
      </w:r>
      <w:r w:rsidRPr="00546F4F">
        <w:rPr>
          <w:color w:val="auto"/>
          <w:sz w:val="26"/>
          <w:szCs w:val="26"/>
        </w:rPr>
        <w:t xml:space="preserve"> evidence of the facts found and shall remain conclusive upon all parties affected thereby, unless set aside, annulled or modified on judicial review. </w:t>
      </w:r>
      <w:r>
        <w:rPr>
          <w:color w:val="auto"/>
          <w:sz w:val="26"/>
          <w:szCs w:val="26"/>
        </w:rPr>
        <w:t>. .</w:t>
      </w:r>
      <w:r w:rsidR="009A02AA">
        <w:rPr>
          <w:color w:val="auto"/>
          <w:sz w:val="26"/>
          <w:szCs w:val="26"/>
        </w:rPr>
        <w:t xml:space="preserve"> .</w:t>
      </w:r>
    </w:p>
    <w:p w:rsidR="009A02AA" w:rsidRDefault="009A02AA" w:rsidP="003A7572">
      <w:pPr>
        <w:pStyle w:val="Default"/>
        <w:ind w:left="1440" w:right="1440" w:firstLine="720"/>
        <w:rPr>
          <w:color w:val="auto"/>
          <w:sz w:val="26"/>
          <w:szCs w:val="26"/>
        </w:rPr>
      </w:pPr>
    </w:p>
    <w:p w:rsidR="009A02AA" w:rsidRPr="0030211D" w:rsidRDefault="009A02AA" w:rsidP="003A7572">
      <w:pPr>
        <w:pStyle w:val="Default"/>
        <w:ind w:left="1440" w:right="1440" w:firstLine="720"/>
        <w:rPr>
          <w:color w:val="auto"/>
          <w:sz w:val="26"/>
          <w:szCs w:val="26"/>
        </w:rPr>
      </w:pPr>
    </w:p>
    <w:p w:rsidR="00CE17C8" w:rsidRDefault="00547517" w:rsidP="003A7572">
      <w:pPr>
        <w:widowControl/>
        <w:spacing w:line="360" w:lineRule="auto"/>
        <w:ind w:firstLine="1440"/>
        <w:rPr>
          <w:sz w:val="26"/>
          <w:szCs w:val="26"/>
        </w:rPr>
      </w:pPr>
      <w:r>
        <w:rPr>
          <w:sz w:val="26"/>
          <w:szCs w:val="26"/>
        </w:rPr>
        <w:t xml:space="preserve">The Companies equate the opportunity to develop a record on the provisions of the clawback charge in the </w:t>
      </w:r>
      <w:r w:rsidRPr="009049FE">
        <w:rPr>
          <w:i/>
          <w:sz w:val="26"/>
          <w:szCs w:val="26"/>
        </w:rPr>
        <w:t>DSP IV Proceeding</w:t>
      </w:r>
      <w:r>
        <w:rPr>
          <w:sz w:val="26"/>
          <w:szCs w:val="26"/>
        </w:rPr>
        <w:t xml:space="preserve"> as </w:t>
      </w:r>
      <w:r w:rsidR="009049FE">
        <w:rPr>
          <w:sz w:val="26"/>
          <w:szCs w:val="26"/>
        </w:rPr>
        <w:t xml:space="preserve">the proverbial, </w:t>
      </w:r>
      <w:r>
        <w:rPr>
          <w:sz w:val="26"/>
          <w:szCs w:val="26"/>
        </w:rPr>
        <w:t>“one bite of the apple</w:t>
      </w:r>
      <w:r w:rsidR="009049FE">
        <w:rPr>
          <w:sz w:val="26"/>
          <w:szCs w:val="26"/>
        </w:rPr>
        <w:t>,</w:t>
      </w:r>
      <w:r>
        <w:rPr>
          <w:sz w:val="26"/>
          <w:szCs w:val="26"/>
        </w:rPr>
        <w:t xml:space="preserve">” </w:t>
      </w:r>
      <w:r w:rsidR="009049FE">
        <w:rPr>
          <w:i/>
          <w:sz w:val="26"/>
          <w:szCs w:val="26"/>
        </w:rPr>
        <w:t xml:space="preserve">i.e., </w:t>
      </w:r>
      <w:r w:rsidR="009049FE">
        <w:rPr>
          <w:sz w:val="26"/>
          <w:szCs w:val="26"/>
        </w:rPr>
        <w:t xml:space="preserve">full and fair procedural due process opportunity, </w:t>
      </w:r>
      <w:r>
        <w:rPr>
          <w:sz w:val="26"/>
          <w:szCs w:val="26"/>
        </w:rPr>
        <w:t>concerning</w:t>
      </w:r>
      <w:r w:rsidR="002949D4">
        <w:rPr>
          <w:sz w:val="26"/>
          <w:szCs w:val="26"/>
        </w:rPr>
        <w:t xml:space="preserve"> any </w:t>
      </w:r>
      <w:r>
        <w:rPr>
          <w:sz w:val="26"/>
          <w:szCs w:val="26"/>
        </w:rPr>
        <w:t>challe</w:t>
      </w:r>
      <w:r w:rsidR="002949D4">
        <w:rPr>
          <w:sz w:val="26"/>
          <w:szCs w:val="26"/>
        </w:rPr>
        <w:t>n</w:t>
      </w:r>
      <w:r>
        <w:rPr>
          <w:sz w:val="26"/>
          <w:szCs w:val="26"/>
        </w:rPr>
        <w:t>ge</w:t>
      </w:r>
      <w:r w:rsidR="002949D4">
        <w:rPr>
          <w:sz w:val="26"/>
          <w:szCs w:val="26"/>
        </w:rPr>
        <w:t xml:space="preserve"> </w:t>
      </w:r>
      <w:r>
        <w:rPr>
          <w:sz w:val="26"/>
          <w:szCs w:val="26"/>
        </w:rPr>
        <w:t xml:space="preserve">to the tariff resulting therefrom.  </w:t>
      </w:r>
      <w:r w:rsidR="00CE17C8">
        <w:rPr>
          <w:sz w:val="26"/>
          <w:szCs w:val="26"/>
        </w:rPr>
        <w:t xml:space="preserve">Respondents </w:t>
      </w:r>
      <w:r>
        <w:rPr>
          <w:sz w:val="26"/>
          <w:szCs w:val="26"/>
        </w:rPr>
        <w:t>Brief at 3.</w:t>
      </w:r>
    </w:p>
    <w:p w:rsidR="00D56988" w:rsidRDefault="00D56988" w:rsidP="003A7572">
      <w:pPr>
        <w:widowControl/>
        <w:spacing w:line="360" w:lineRule="auto"/>
        <w:ind w:firstLine="1440"/>
        <w:rPr>
          <w:sz w:val="26"/>
          <w:szCs w:val="26"/>
        </w:rPr>
      </w:pPr>
    </w:p>
    <w:p w:rsidR="00D56988" w:rsidRDefault="0030211D" w:rsidP="00184362">
      <w:pPr>
        <w:keepNext/>
        <w:widowControl/>
        <w:spacing w:line="360" w:lineRule="auto"/>
        <w:ind w:firstLine="1440"/>
        <w:rPr>
          <w:rFonts w:eastAsiaTheme="minorHAnsi"/>
          <w:sz w:val="26"/>
          <w:szCs w:val="26"/>
        </w:rPr>
      </w:pPr>
      <w:r>
        <w:rPr>
          <w:rFonts w:eastAsiaTheme="minorHAnsi"/>
          <w:sz w:val="26"/>
          <w:szCs w:val="26"/>
        </w:rPr>
        <w:lastRenderedPageBreak/>
        <w:t>Also, a</w:t>
      </w:r>
      <w:r w:rsidR="00D56988" w:rsidRPr="002F7D0D">
        <w:rPr>
          <w:rFonts w:eastAsiaTheme="minorHAnsi"/>
          <w:sz w:val="26"/>
          <w:szCs w:val="26"/>
        </w:rPr>
        <w:t xml:space="preserve">t Motion, p. 17, </w:t>
      </w:r>
      <w:r w:rsidR="00D56988">
        <w:rPr>
          <w:rFonts w:eastAsiaTheme="minorHAnsi"/>
          <w:sz w:val="26"/>
          <w:szCs w:val="26"/>
        </w:rPr>
        <w:t>¶</w:t>
      </w:r>
      <w:r w:rsidR="00D56988" w:rsidRPr="002F7D0D">
        <w:rPr>
          <w:rFonts w:eastAsiaTheme="minorHAnsi"/>
          <w:sz w:val="26"/>
          <w:szCs w:val="26"/>
        </w:rPr>
        <w:t>35, the Companies make the following statement:</w:t>
      </w:r>
    </w:p>
    <w:p w:rsidR="0030211D" w:rsidRPr="002F7D0D" w:rsidRDefault="0030211D" w:rsidP="00184362">
      <w:pPr>
        <w:keepNext/>
        <w:widowControl/>
        <w:spacing w:line="360" w:lineRule="auto"/>
        <w:ind w:firstLine="1440"/>
        <w:rPr>
          <w:rFonts w:eastAsiaTheme="minorHAnsi"/>
          <w:sz w:val="26"/>
          <w:szCs w:val="26"/>
        </w:rPr>
      </w:pPr>
    </w:p>
    <w:p w:rsidR="00D56988" w:rsidRDefault="00D56988" w:rsidP="00184362">
      <w:pPr>
        <w:keepNext/>
        <w:keepLines/>
        <w:widowControl/>
        <w:autoSpaceDE w:val="0"/>
        <w:autoSpaceDN w:val="0"/>
        <w:adjustRightInd w:val="0"/>
        <w:ind w:left="1440" w:right="1440"/>
        <w:rPr>
          <w:rFonts w:eastAsiaTheme="minorHAnsi"/>
          <w:sz w:val="26"/>
          <w:szCs w:val="26"/>
        </w:rPr>
      </w:pPr>
      <w:r>
        <w:rPr>
          <w:rFonts w:eastAsiaTheme="minorHAnsi"/>
          <w:sz w:val="26"/>
          <w:szCs w:val="26"/>
        </w:rPr>
        <w:t xml:space="preserve">As </w:t>
      </w:r>
      <w:r w:rsidRPr="002F7D0D">
        <w:rPr>
          <w:rFonts w:eastAsiaTheme="minorHAnsi"/>
          <w:sz w:val="26"/>
          <w:szCs w:val="26"/>
        </w:rPr>
        <w:t xml:space="preserve">such, a supplier coordination </w:t>
      </w:r>
      <w:proofErr w:type="gramStart"/>
      <w:r w:rsidRPr="002F7D0D">
        <w:rPr>
          <w:rFonts w:eastAsiaTheme="minorHAnsi"/>
          <w:sz w:val="26"/>
          <w:szCs w:val="26"/>
        </w:rPr>
        <w:t xml:space="preserve">tariff </w:t>
      </w:r>
      <w:r w:rsidR="0030211D">
        <w:rPr>
          <w:rFonts w:eastAsiaTheme="minorHAnsi"/>
          <w:sz w:val="26"/>
          <w:szCs w:val="26"/>
        </w:rPr>
        <w:t xml:space="preserve"> [</w:t>
      </w:r>
      <w:proofErr w:type="gramEnd"/>
      <w:r w:rsidR="0030211D">
        <w:rPr>
          <w:rFonts w:eastAsiaTheme="minorHAnsi"/>
          <w:sz w:val="26"/>
          <w:szCs w:val="26"/>
        </w:rPr>
        <w:t xml:space="preserve">POR] </w:t>
      </w:r>
      <w:r w:rsidRPr="002F7D0D">
        <w:rPr>
          <w:rFonts w:eastAsiaTheme="minorHAnsi"/>
          <w:sz w:val="26"/>
          <w:szCs w:val="26"/>
        </w:rPr>
        <w:t>is not subject to the requirem</w:t>
      </w:r>
      <w:r>
        <w:rPr>
          <w:rFonts w:eastAsiaTheme="minorHAnsi"/>
          <w:sz w:val="26"/>
          <w:szCs w:val="26"/>
        </w:rPr>
        <w:t xml:space="preserve">ents or restrictions of Section </w:t>
      </w:r>
      <w:r w:rsidRPr="002F7D0D">
        <w:rPr>
          <w:rFonts w:eastAsiaTheme="minorHAnsi"/>
          <w:sz w:val="26"/>
          <w:szCs w:val="26"/>
        </w:rPr>
        <w:t>1302 or any other statutory provisions with respect to a “rate” for utility “service.”</w:t>
      </w:r>
    </w:p>
    <w:p w:rsidR="00D56988" w:rsidRDefault="00D56988" w:rsidP="003A7572">
      <w:pPr>
        <w:widowControl/>
        <w:autoSpaceDE w:val="0"/>
        <w:autoSpaceDN w:val="0"/>
        <w:adjustRightInd w:val="0"/>
        <w:spacing w:line="360" w:lineRule="auto"/>
        <w:rPr>
          <w:rFonts w:eastAsiaTheme="minorHAnsi"/>
          <w:sz w:val="26"/>
          <w:szCs w:val="26"/>
        </w:rPr>
      </w:pPr>
    </w:p>
    <w:p w:rsidR="008A6E8B" w:rsidRDefault="00D56988" w:rsidP="003A7572">
      <w:pPr>
        <w:widowControl/>
        <w:autoSpaceDE w:val="0"/>
        <w:autoSpaceDN w:val="0"/>
        <w:adjustRightInd w:val="0"/>
        <w:spacing w:line="360" w:lineRule="auto"/>
        <w:ind w:firstLine="1440"/>
        <w:rPr>
          <w:rFonts w:eastAsiaTheme="minorHAnsi"/>
          <w:sz w:val="26"/>
          <w:szCs w:val="26"/>
        </w:rPr>
      </w:pPr>
      <w:r>
        <w:rPr>
          <w:rFonts w:eastAsiaTheme="minorHAnsi"/>
          <w:sz w:val="26"/>
          <w:szCs w:val="26"/>
        </w:rPr>
        <w:t>No Commission citation</w:t>
      </w:r>
      <w:r w:rsidR="00250269">
        <w:rPr>
          <w:rFonts w:eastAsiaTheme="minorHAnsi"/>
          <w:sz w:val="26"/>
          <w:szCs w:val="26"/>
        </w:rPr>
        <w:t>, case</w:t>
      </w:r>
      <w:r w:rsidR="009A02AA">
        <w:rPr>
          <w:rFonts w:eastAsiaTheme="minorHAnsi"/>
          <w:sz w:val="26"/>
          <w:szCs w:val="26"/>
        </w:rPr>
        <w:t xml:space="preserve"> </w:t>
      </w:r>
      <w:r w:rsidR="00250269">
        <w:rPr>
          <w:rFonts w:eastAsiaTheme="minorHAnsi"/>
          <w:sz w:val="26"/>
          <w:szCs w:val="26"/>
        </w:rPr>
        <w:t xml:space="preserve">law </w:t>
      </w:r>
      <w:proofErr w:type="gramStart"/>
      <w:r w:rsidR="00250269">
        <w:rPr>
          <w:rFonts w:eastAsiaTheme="minorHAnsi"/>
          <w:sz w:val="26"/>
          <w:szCs w:val="26"/>
        </w:rPr>
        <w:t>cite</w:t>
      </w:r>
      <w:proofErr w:type="gramEnd"/>
      <w:r w:rsidR="00250269">
        <w:rPr>
          <w:rFonts w:eastAsiaTheme="minorHAnsi"/>
          <w:sz w:val="26"/>
          <w:szCs w:val="26"/>
        </w:rPr>
        <w:t>,</w:t>
      </w:r>
      <w:r>
        <w:rPr>
          <w:rFonts w:eastAsiaTheme="minorHAnsi"/>
          <w:sz w:val="26"/>
          <w:szCs w:val="26"/>
        </w:rPr>
        <w:t xml:space="preserve"> or statutory citation is provided </w:t>
      </w:r>
      <w:r w:rsidR="0030211D">
        <w:rPr>
          <w:rFonts w:eastAsiaTheme="minorHAnsi"/>
          <w:sz w:val="26"/>
          <w:szCs w:val="26"/>
        </w:rPr>
        <w:t xml:space="preserve">by the Companies </w:t>
      </w:r>
      <w:r>
        <w:rPr>
          <w:rFonts w:eastAsiaTheme="minorHAnsi"/>
          <w:sz w:val="26"/>
          <w:szCs w:val="26"/>
        </w:rPr>
        <w:t>for this statement.</w:t>
      </w:r>
      <w:r w:rsidR="00A61797">
        <w:rPr>
          <w:rFonts w:eastAsiaTheme="minorHAnsi"/>
          <w:sz w:val="26"/>
          <w:szCs w:val="26"/>
        </w:rPr>
        <w:t xml:space="preserve"> </w:t>
      </w:r>
      <w:r w:rsidR="00250269">
        <w:rPr>
          <w:rFonts w:eastAsiaTheme="minorHAnsi"/>
          <w:sz w:val="26"/>
          <w:szCs w:val="26"/>
        </w:rPr>
        <w:t xml:space="preserve"> </w:t>
      </w:r>
      <w:r>
        <w:rPr>
          <w:rFonts w:eastAsiaTheme="minorHAnsi"/>
          <w:sz w:val="26"/>
          <w:szCs w:val="26"/>
        </w:rPr>
        <w:t>The statement references the statutory provision, Section 1302 of the Code</w:t>
      </w:r>
      <w:r w:rsidR="00250269">
        <w:rPr>
          <w:rFonts w:eastAsiaTheme="minorHAnsi"/>
          <w:sz w:val="26"/>
          <w:szCs w:val="26"/>
        </w:rPr>
        <w:t>, 66 Pa. C.S. § 1302</w:t>
      </w:r>
      <w:r>
        <w:rPr>
          <w:rFonts w:eastAsiaTheme="minorHAnsi"/>
          <w:sz w:val="26"/>
          <w:szCs w:val="26"/>
        </w:rPr>
        <w:t>:</w:t>
      </w:r>
    </w:p>
    <w:p w:rsidR="00250269" w:rsidRDefault="00250269" w:rsidP="003A7572">
      <w:pPr>
        <w:widowControl/>
        <w:autoSpaceDE w:val="0"/>
        <w:autoSpaceDN w:val="0"/>
        <w:adjustRightInd w:val="0"/>
        <w:spacing w:line="360" w:lineRule="auto"/>
        <w:ind w:firstLine="1440"/>
        <w:rPr>
          <w:rFonts w:eastAsiaTheme="minorHAnsi"/>
          <w:sz w:val="26"/>
          <w:szCs w:val="26"/>
        </w:rPr>
      </w:pPr>
    </w:p>
    <w:p w:rsidR="008A6E8B" w:rsidRPr="009237A4" w:rsidRDefault="008A6E8B" w:rsidP="003A7572">
      <w:pPr>
        <w:pStyle w:val="NormalWeb"/>
        <w:ind w:left="1440" w:right="1440"/>
        <w:rPr>
          <w:sz w:val="26"/>
          <w:szCs w:val="26"/>
        </w:rPr>
      </w:pPr>
      <w:r w:rsidRPr="009237A4">
        <w:rPr>
          <w:b/>
          <w:bCs/>
          <w:sz w:val="26"/>
          <w:szCs w:val="26"/>
        </w:rPr>
        <w:t>1302. Tariffs; filing and inspection.</w:t>
      </w:r>
    </w:p>
    <w:p w:rsidR="008A6E8B" w:rsidRPr="009237A4" w:rsidRDefault="008A6E8B" w:rsidP="003A7572">
      <w:pPr>
        <w:pStyle w:val="NormalWeb"/>
        <w:ind w:left="1440" w:right="1440"/>
        <w:rPr>
          <w:sz w:val="26"/>
          <w:szCs w:val="26"/>
        </w:rPr>
      </w:pPr>
    </w:p>
    <w:p w:rsidR="008A6E8B" w:rsidRDefault="008A6E8B" w:rsidP="003A7572">
      <w:pPr>
        <w:pStyle w:val="NormalWeb"/>
        <w:ind w:left="1440" w:right="1440" w:firstLine="720"/>
        <w:rPr>
          <w:sz w:val="26"/>
          <w:szCs w:val="26"/>
        </w:rPr>
      </w:pPr>
      <w:r w:rsidRPr="009237A4">
        <w:rPr>
          <w:sz w:val="26"/>
          <w:szCs w:val="26"/>
        </w:rPr>
        <w:t>Under such regulations as the commission may prescribe, every public utility shall file with the commission, within such time and in such form as the commission may designate, tariffs showing all rates established by it and collected or enforced, or to be collected or enforced, within the jurisdiction of the commission.</w:t>
      </w:r>
    </w:p>
    <w:p w:rsidR="009A02AA" w:rsidRDefault="009A02AA" w:rsidP="003A7572">
      <w:pPr>
        <w:pStyle w:val="NormalWeb"/>
        <w:ind w:left="1440" w:right="1440" w:firstLine="720"/>
        <w:rPr>
          <w:sz w:val="26"/>
          <w:szCs w:val="26"/>
        </w:rPr>
      </w:pPr>
    </w:p>
    <w:p w:rsidR="009A02AA" w:rsidRPr="009237A4" w:rsidRDefault="009A02AA" w:rsidP="003A7572">
      <w:pPr>
        <w:pStyle w:val="NormalWeb"/>
        <w:ind w:left="1440" w:right="1440" w:firstLine="720"/>
        <w:rPr>
          <w:sz w:val="26"/>
          <w:szCs w:val="26"/>
        </w:rPr>
      </w:pPr>
    </w:p>
    <w:p w:rsidR="00D854D0" w:rsidRDefault="009A02AA" w:rsidP="00184362">
      <w:pPr>
        <w:keepNext/>
        <w:keepLines/>
        <w:widowControl/>
        <w:spacing w:line="360" w:lineRule="auto"/>
        <w:rPr>
          <w:sz w:val="26"/>
          <w:szCs w:val="26"/>
        </w:rPr>
      </w:pPr>
      <w:r>
        <w:rPr>
          <w:b/>
          <w:sz w:val="26"/>
          <w:szCs w:val="26"/>
        </w:rPr>
        <w:t>Disposition</w:t>
      </w:r>
    </w:p>
    <w:p w:rsidR="00D854D0" w:rsidRDefault="00D854D0" w:rsidP="00184362">
      <w:pPr>
        <w:keepNext/>
        <w:keepLines/>
        <w:widowControl/>
        <w:spacing w:line="360" w:lineRule="auto"/>
        <w:ind w:firstLine="1440"/>
        <w:rPr>
          <w:sz w:val="26"/>
          <w:szCs w:val="26"/>
        </w:rPr>
      </w:pPr>
    </w:p>
    <w:p w:rsidR="00250269" w:rsidRDefault="00D854D0" w:rsidP="003A7572">
      <w:pPr>
        <w:widowControl/>
        <w:spacing w:line="360" w:lineRule="auto"/>
        <w:ind w:firstLine="1440"/>
        <w:rPr>
          <w:sz w:val="26"/>
          <w:szCs w:val="26"/>
        </w:rPr>
      </w:pPr>
      <w:r w:rsidRPr="00D56D5B">
        <w:rPr>
          <w:sz w:val="26"/>
          <w:szCs w:val="26"/>
        </w:rPr>
        <w:t xml:space="preserve">We </w:t>
      </w:r>
      <w:r>
        <w:rPr>
          <w:sz w:val="26"/>
          <w:szCs w:val="26"/>
        </w:rPr>
        <w:t>advise the Parties</w:t>
      </w:r>
      <w:r w:rsidRPr="00D56D5B">
        <w:rPr>
          <w:sz w:val="26"/>
          <w:szCs w:val="26"/>
        </w:rPr>
        <w:t xml:space="preserve"> that any issue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D56D5B">
          <w:rPr>
            <w:i/>
            <w:iCs/>
            <w:sz w:val="26"/>
            <w:szCs w:val="26"/>
          </w:rPr>
          <w:t xml:space="preserve">Consolidated Rail Corp. v. Pa. PUC, </w:t>
        </w:r>
        <w:r w:rsidRPr="00D56D5B">
          <w:rPr>
            <w:sz w:val="26"/>
            <w:szCs w:val="26"/>
          </w:rPr>
          <w:t>625 A.2d 741 (Pa. Cmwlth. 1993);</w:t>
        </w:r>
      </w:hyperlink>
      <w:r w:rsidRPr="00D56D5B">
        <w:rPr>
          <w:sz w:val="26"/>
          <w:szCs w:val="26"/>
        </w:rPr>
        <w:t xml:space="preserve"> </w:t>
      </w:r>
      <w:r w:rsidRPr="00D56D5B">
        <w:rPr>
          <w:i/>
          <w:sz w:val="26"/>
          <w:szCs w:val="26"/>
        </w:rPr>
        <w:t xml:space="preserve">also </w:t>
      </w:r>
      <w:r w:rsidRPr="00D56D5B">
        <w:rPr>
          <w:i/>
          <w:iCs/>
          <w:sz w:val="26"/>
          <w:szCs w:val="26"/>
        </w:rPr>
        <w:t xml:space="preserve">see, generally, </w:t>
      </w:r>
      <w:hyperlink r:id="rId10" w:history="1">
        <w:r w:rsidRPr="00D56D5B">
          <w:rPr>
            <w:i/>
            <w:iCs/>
            <w:sz w:val="26"/>
            <w:szCs w:val="26"/>
          </w:rPr>
          <w:t>University of Pennsylvania v. Pa. PUC</w:t>
        </w:r>
        <w:r w:rsidRPr="00D56D5B">
          <w:rPr>
            <w:sz w:val="26"/>
            <w:szCs w:val="26"/>
          </w:rPr>
          <w:t>, 485 A.2d 1217 (Pa. Cmwlth. 1984).</w:t>
        </w:r>
      </w:hyperlink>
    </w:p>
    <w:p w:rsidR="00D854D0" w:rsidRDefault="00D854D0" w:rsidP="003A7572">
      <w:pPr>
        <w:widowControl/>
        <w:spacing w:line="360" w:lineRule="auto"/>
        <w:rPr>
          <w:sz w:val="26"/>
          <w:szCs w:val="26"/>
        </w:rPr>
      </w:pPr>
    </w:p>
    <w:p w:rsidR="00250269" w:rsidRDefault="00F73EB1" w:rsidP="00184362">
      <w:pPr>
        <w:keepNext/>
        <w:keepLines/>
        <w:widowControl/>
        <w:spacing w:line="360" w:lineRule="auto"/>
        <w:rPr>
          <w:b/>
          <w:sz w:val="26"/>
          <w:szCs w:val="26"/>
        </w:rPr>
      </w:pPr>
      <w:r w:rsidRPr="00F73EB1">
        <w:rPr>
          <w:b/>
          <w:sz w:val="26"/>
          <w:szCs w:val="26"/>
        </w:rPr>
        <w:lastRenderedPageBreak/>
        <w:t>A.</w:t>
      </w:r>
      <w:r w:rsidR="00250269" w:rsidRPr="00F73EB1">
        <w:rPr>
          <w:b/>
          <w:sz w:val="26"/>
          <w:szCs w:val="26"/>
        </w:rPr>
        <w:tab/>
      </w:r>
      <w:r w:rsidR="00250269" w:rsidRPr="00250269">
        <w:rPr>
          <w:b/>
          <w:sz w:val="26"/>
          <w:szCs w:val="26"/>
        </w:rPr>
        <w:t>The Statutory Requirements of Sections 701 and 703 of the Code</w:t>
      </w:r>
    </w:p>
    <w:p w:rsidR="00250269" w:rsidRPr="00250269" w:rsidRDefault="00250269" w:rsidP="00184362">
      <w:pPr>
        <w:keepNext/>
        <w:keepLines/>
        <w:widowControl/>
        <w:spacing w:line="360" w:lineRule="auto"/>
        <w:rPr>
          <w:b/>
          <w:sz w:val="26"/>
          <w:szCs w:val="26"/>
        </w:rPr>
      </w:pPr>
    </w:p>
    <w:p w:rsidR="00827EB2" w:rsidRPr="00AB051F" w:rsidRDefault="00827EB2" w:rsidP="003A7572">
      <w:pPr>
        <w:widowControl/>
        <w:spacing w:line="360" w:lineRule="auto"/>
        <w:ind w:firstLine="1440"/>
        <w:rPr>
          <w:sz w:val="26"/>
          <w:szCs w:val="26"/>
        </w:rPr>
      </w:pPr>
      <w:r>
        <w:rPr>
          <w:sz w:val="26"/>
          <w:szCs w:val="26"/>
        </w:rPr>
        <w:t xml:space="preserve">On consideration of the positions of the Parties, we conclude that the holding of </w:t>
      </w:r>
      <w:r w:rsidRPr="00D157C0">
        <w:rPr>
          <w:bCs/>
          <w:i/>
          <w:sz w:val="26"/>
          <w:szCs w:val="26"/>
          <w:shd w:val="clear" w:color="auto" w:fill="FFFFFF"/>
        </w:rPr>
        <w:t>Duquesne Light Co. v. Pa. PUC</w:t>
      </w:r>
      <w:r w:rsidRPr="00AB051F">
        <w:rPr>
          <w:bCs/>
          <w:sz w:val="26"/>
          <w:szCs w:val="26"/>
          <w:shd w:val="clear" w:color="auto" w:fill="FFFFFF"/>
        </w:rPr>
        <w:t>,</w:t>
      </w:r>
      <w:r w:rsidRPr="00AB051F">
        <w:rPr>
          <w:rStyle w:val="apple-converted-space"/>
          <w:bCs/>
          <w:sz w:val="26"/>
          <w:szCs w:val="26"/>
          <w:shd w:val="clear" w:color="auto" w:fill="FFFFFF"/>
        </w:rPr>
        <w:t> </w:t>
      </w:r>
      <w:r w:rsidRPr="00AB051F">
        <w:rPr>
          <w:bCs/>
          <w:sz w:val="26"/>
          <w:szCs w:val="26"/>
          <w:shd w:val="clear" w:color="auto" w:fill="FFFFFF"/>
        </w:rPr>
        <w:t>715 A.2d 540</w:t>
      </w:r>
      <w:r>
        <w:rPr>
          <w:bCs/>
          <w:sz w:val="26"/>
          <w:szCs w:val="26"/>
          <w:shd w:val="clear" w:color="auto" w:fill="FFFFFF"/>
        </w:rPr>
        <w:t xml:space="preserve"> (Pa. Cmwlth. 1998)</w:t>
      </w:r>
      <w:r w:rsidR="00250269">
        <w:rPr>
          <w:bCs/>
          <w:sz w:val="26"/>
          <w:szCs w:val="26"/>
          <w:shd w:val="clear" w:color="auto" w:fill="FFFFFF"/>
        </w:rPr>
        <w:t xml:space="preserve"> (</w:t>
      </w:r>
      <w:r w:rsidR="00250269" w:rsidRPr="00D157C0">
        <w:rPr>
          <w:bCs/>
          <w:i/>
          <w:sz w:val="26"/>
          <w:szCs w:val="26"/>
          <w:shd w:val="clear" w:color="auto" w:fill="FFFFFF"/>
        </w:rPr>
        <w:t>Duquesne Light Co</w:t>
      </w:r>
      <w:r w:rsidR="00250269">
        <w:rPr>
          <w:bCs/>
          <w:sz w:val="26"/>
          <w:szCs w:val="26"/>
          <w:shd w:val="clear" w:color="auto" w:fill="FFFFFF"/>
        </w:rPr>
        <w:t>.)</w:t>
      </w:r>
      <w:r w:rsidR="00D157C0">
        <w:rPr>
          <w:bCs/>
          <w:sz w:val="26"/>
          <w:szCs w:val="26"/>
          <w:shd w:val="clear" w:color="auto" w:fill="FFFFFF"/>
        </w:rPr>
        <w:t>, strongly counsels in favor of interlocutory review</w:t>
      </w:r>
      <w:r w:rsidR="00250269">
        <w:rPr>
          <w:bCs/>
          <w:sz w:val="26"/>
          <w:szCs w:val="26"/>
          <w:shd w:val="clear" w:color="auto" w:fill="FFFFFF"/>
        </w:rPr>
        <w:t xml:space="preserve"> and answer of the questions raised by Respond in the affirmative</w:t>
      </w:r>
      <w:r>
        <w:rPr>
          <w:bCs/>
          <w:sz w:val="26"/>
          <w:szCs w:val="26"/>
          <w:shd w:val="clear" w:color="auto" w:fill="FFFFFF"/>
        </w:rPr>
        <w:t>.</w:t>
      </w:r>
      <w:r w:rsidR="00250269">
        <w:rPr>
          <w:bCs/>
          <w:sz w:val="26"/>
          <w:szCs w:val="26"/>
          <w:shd w:val="clear" w:color="auto" w:fill="FFFFFF"/>
        </w:rPr>
        <w:t xml:space="preserve"> </w:t>
      </w:r>
      <w:r w:rsidR="00D157C0">
        <w:rPr>
          <w:bCs/>
          <w:sz w:val="26"/>
          <w:szCs w:val="26"/>
          <w:shd w:val="clear" w:color="auto" w:fill="FFFFFF"/>
        </w:rPr>
        <w:t xml:space="preserve"> </w:t>
      </w:r>
      <w:r w:rsidR="00250269">
        <w:rPr>
          <w:bCs/>
          <w:sz w:val="26"/>
          <w:szCs w:val="26"/>
          <w:shd w:val="clear" w:color="auto" w:fill="FFFFFF"/>
        </w:rPr>
        <w:t>T</w:t>
      </w:r>
      <w:r w:rsidR="00D157C0">
        <w:rPr>
          <w:bCs/>
          <w:sz w:val="26"/>
          <w:szCs w:val="26"/>
          <w:shd w:val="clear" w:color="auto" w:fill="FFFFFF"/>
        </w:rPr>
        <w:t>he statutory requirements of Section 701 and 703 of the Code, 66 Pa. C.S.</w:t>
      </w:r>
      <w:r w:rsidR="00250269">
        <w:rPr>
          <w:bCs/>
          <w:sz w:val="26"/>
          <w:szCs w:val="26"/>
          <w:shd w:val="clear" w:color="auto" w:fill="FFFFFF"/>
        </w:rPr>
        <w:t xml:space="preserve"> §§ 701;</w:t>
      </w:r>
      <w:r w:rsidR="004F6A47">
        <w:rPr>
          <w:bCs/>
          <w:sz w:val="26"/>
          <w:szCs w:val="26"/>
          <w:shd w:val="clear" w:color="auto" w:fill="FFFFFF"/>
        </w:rPr>
        <w:t xml:space="preserve"> </w:t>
      </w:r>
      <w:r w:rsidR="00250269">
        <w:rPr>
          <w:bCs/>
          <w:sz w:val="26"/>
          <w:szCs w:val="26"/>
          <w:shd w:val="clear" w:color="auto" w:fill="FFFFFF"/>
        </w:rPr>
        <w:t xml:space="preserve">703, </w:t>
      </w:r>
      <w:r w:rsidR="004F6A47">
        <w:rPr>
          <w:bCs/>
          <w:sz w:val="26"/>
          <w:szCs w:val="26"/>
          <w:shd w:val="clear" w:color="auto" w:fill="FFFFFF"/>
        </w:rPr>
        <w:t>as they have b</w:t>
      </w:r>
      <w:r w:rsidR="00250269">
        <w:rPr>
          <w:bCs/>
          <w:sz w:val="26"/>
          <w:szCs w:val="26"/>
          <w:shd w:val="clear" w:color="auto" w:fill="FFFFFF"/>
        </w:rPr>
        <w:t xml:space="preserve">een interpreted in </w:t>
      </w:r>
      <w:r w:rsidR="00250269" w:rsidRPr="00D157C0">
        <w:rPr>
          <w:bCs/>
          <w:i/>
          <w:sz w:val="26"/>
          <w:szCs w:val="26"/>
          <w:shd w:val="clear" w:color="auto" w:fill="FFFFFF"/>
        </w:rPr>
        <w:t>Duquesne Light Co</w:t>
      </w:r>
      <w:r w:rsidR="00250269">
        <w:rPr>
          <w:bCs/>
          <w:sz w:val="26"/>
          <w:szCs w:val="26"/>
          <w:shd w:val="clear" w:color="auto" w:fill="FFFFFF"/>
        </w:rPr>
        <w:t>.</w:t>
      </w:r>
      <w:r w:rsidR="004F6A47">
        <w:rPr>
          <w:bCs/>
          <w:sz w:val="26"/>
          <w:szCs w:val="26"/>
          <w:shd w:val="clear" w:color="auto" w:fill="FFFFFF"/>
        </w:rPr>
        <w:t>,</w:t>
      </w:r>
      <w:r w:rsidR="00250269">
        <w:rPr>
          <w:bCs/>
          <w:sz w:val="26"/>
          <w:szCs w:val="26"/>
          <w:shd w:val="clear" w:color="auto" w:fill="FFFFFF"/>
        </w:rPr>
        <w:t xml:space="preserve"> </w:t>
      </w:r>
      <w:r w:rsidR="004F6A47">
        <w:rPr>
          <w:bCs/>
          <w:sz w:val="26"/>
          <w:szCs w:val="26"/>
          <w:shd w:val="clear" w:color="auto" w:fill="FFFFFF"/>
        </w:rPr>
        <w:t xml:space="preserve">appear </w:t>
      </w:r>
      <w:r w:rsidR="00250269">
        <w:rPr>
          <w:bCs/>
          <w:sz w:val="26"/>
          <w:szCs w:val="26"/>
          <w:shd w:val="clear" w:color="auto" w:fill="FFFFFF"/>
        </w:rPr>
        <w:t>to be most legally analogous to the dispute in the present case.</w:t>
      </w:r>
    </w:p>
    <w:p w:rsidR="001D2D9B" w:rsidRDefault="001D2D9B" w:rsidP="003A7572">
      <w:pPr>
        <w:widowControl/>
        <w:spacing w:line="360" w:lineRule="auto"/>
        <w:ind w:firstLine="1440"/>
        <w:rPr>
          <w:sz w:val="26"/>
          <w:szCs w:val="26"/>
        </w:rPr>
      </w:pPr>
    </w:p>
    <w:p w:rsidR="00FA6385" w:rsidRDefault="00FA6385" w:rsidP="003A7572">
      <w:pPr>
        <w:widowControl/>
        <w:spacing w:line="360" w:lineRule="auto"/>
        <w:ind w:firstLine="1440"/>
        <w:rPr>
          <w:rStyle w:val="Hyperlink"/>
          <w:color w:val="auto"/>
          <w:sz w:val="26"/>
          <w:szCs w:val="26"/>
        </w:rPr>
      </w:pPr>
      <w:r w:rsidRPr="00626C0E">
        <w:rPr>
          <w:sz w:val="26"/>
          <w:szCs w:val="26"/>
        </w:rPr>
        <w:t>A utility’s Commission-approved tariff</w:t>
      </w:r>
      <w:r>
        <w:rPr>
          <w:sz w:val="26"/>
          <w:szCs w:val="26"/>
        </w:rPr>
        <w:t>, as distinguished from a “rate,” is</w:t>
      </w:r>
      <w:r w:rsidRPr="00626C0E">
        <w:rPr>
          <w:sz w:val="26"/>
          <w:szCs w:val="26"/>
        </w:rPr>
        <w:t xml:space="preserve"> </w:t>
      </w:r>
      <w:r>
        <w:rPr>
          <w:sz w:val="26"/>
          <w:szCs w:val="26"/>
        </w:rPr>
        <w:t xml:space="preserve">a </w:t>
      </w:r>
      <w:r w:rsidRPr="00626C0E">
        <w:rPr>
          <w:sz w:val="26"/>
          <w:szCs w:val="26"/>
        </w:rPr>
        <w:t>list of services, rules for service and rates for service</w:t>
      </w:r>
      <w:r>
        <w:rPr>
          <w:sz w:val="26"/>
          <w:szCs w:val="26"/>
        </w:rPr>
        <w:t xml:space="preserve"> offered by the utility.  </w:t>
      </w:r>
      <w:proofErr w:type="gramStart"/>
      <w:r>
        <w:rPr>
          <w:sz w:val="26"/>
          <w:szCs w:val="26"/>
        </w:rPr>
        <w:t>66 Pa. C.S. §</w:t>
      </w:r>
      <w:r w:rsidR="00011658">
        <w:rPr>
          <w:sz w:val="26"/>
          <w:szCs w:val="26"/>
        </w:rPr>
        <w:t> </w:t>
      </w:r>
      <w:r>
        <w:rPr>
          <w:sz w:val="26"/>
          <w:szCs w:val="26"/>
        </w:rPr>
        <w:t>1302.</w:t>
      </w:r>
      <w:proofErr w:type="gramEnd"/>
      <w:r>
        <w:rPr>
          <w:sz w:val="26"/>
          <w:szCs w:val="26"/>
        </w:rPr>
        <w:t xml:space="preserve">  When approved, a tariff</w:t>
      </w:r>
      <w:r w:rsidRPr="00626C0E">
        <w:rPr>
          <w:sz w:val="26"/>
          <w:szCs w:val="26"/>
        </w:rPr>
        <w:t xml:space="preserve"> has the force of law and is binding on the utility and its customers.</w:t>
      </w:r>
      <w:r w:rsidR="00321E06">
        <w:rPr>
          <w:sz w:val="26"/>
          <w:szCs w:val="26"/>
        </w:rPr>
        <w:t xml:space="preserve">  </w:t>
      </w:r>
      <w:r w:rsidR="00321E06">
        <w:rPr>
          <w:i/>
          <w:sz w:val="26"/>
          <w:szCs w:val="26"/>
        </w:rPr>
        <w:t xml:space="preserve">See </w:t>
      </w:r>
      <w:hyperlink r:id="rId11" w:history="1">
        <w:r w:rsidR="00321E06" w:rsidRPr="00DC2CEF">
          <w:rPr>
            <w:i/>
            <w:sz w:val="26"/>
            <w:szCs w:val="26"/>
          </w:rPr>
          <w:t xml:space="preserve">State Farm Fire &amp; </w:t>
        </w:r>
        <w:proofErr w:type="gramStart"/>
        <w:r w:rsidR="00321E06" w:rsidRPr="00DC2CEF">
          <w:rPr>
            <w:i/>
            <w:sz w:val="26"/>
            <w:szCs w:val="26"/>
          </w:rPr>
          <w:t>Cas</w:t>
        </w:r>
        <w:proofErr w:type="gramEnd"/>
        <w:r w:rsidR="00321E06" w:rsidRPr="00DC2CEF">
          <w:rPr>
            <w:i/>
            <w:sz w:val="26"/>
            <w:szCs w:val="26"/>
          </w:rPr>
          <w:t>. Co. v. PECO</w:t>
        </w:r>
      </w:hyperlink>
      <w:r w:rsidR="00321E06" w:rsidRPr="00DC2CEF">
        <w:rPr>
          <w:sz w:val="26"/>
          <w:szCs w:val="26"/>
        </w:rPr>
        <w:t>, 54 A.3d 921</w:t>
      </w:r>
      <w:r w:rsidR="00321E06">
        <w:rPr>
          <w:sz w:val="26"/>
          <w:szCs w:val="26"/>
        </w:rPr>
        <w:t xml:space="preserve"> (Pa. Super. 2012);</w:t>
      </w:r>
      <w:r>
        <w:rPr>
          <w:sz w:val="26"/>
          <w:szCs w:val="26"/>
        </w:rPr>
        <w:t xml:space="preserve"> </w:t>
      </w:r>
      <w:r w:rsidRPr="00626C0E">
        <w:rPr>
          <w:sz w:val="26"/>
          <w:szCs w:val="26"/>
        </w:rPr>
        <w:t xml:space="preserve"> </w:t>
      </w:r>
      <w:hyperlink r:id="rId12" w:history="1">
        <w:r w:rsidRPr="00626C0E">
          <w:rPr>
            <w:rStyle w:val="Hyperlink"/>
            <w:i/>
            <w:iCs/>
            <w:color w:val="auto"/>
            <w:sz w:val="26"/>
            <w:szCs w:val="26"/>
          </w:rPr>
          <w:t>Stiteler v. Bell Telephone Co. of P</w:t>
        </w:r>
        <w:r>
          <w:rPr>
            <w:rStyle w:val="Hyperlink"/>
            <w:i/>
            <w:iCs/>
            <w:color w:val="auto"/>
            <w:sz w:val="26"/>
            <w:szCs w:val="26"/>
          </w:rPr>
          <w:t>a.</w:t>
        </w:r>
        <w:r w:rsidRPr="00626C0E">
          <w:rPr>
            <w:rStyle w:val="Hyperlink"/>
            <w:color w:val="auto"/>
            <w:sz w:val="26"/>
            <w:szCs w:val="26"/>
          </w:rPr>
          <w:t>, 379 A.2d 339 (</w:t>
        </w:r>
        <w:r>
          <w:rPr>
            <w:rStyle w:val="Hyperlink"/>
            <w:color w:val="auto"/>
            <w:sz w:val="26"/>
            <w:szCs w:val="26"/>
          </w:rPr>
          <w:t xml:space="preserve">Pa. Cmwlth. </w:t>
        </w:r>
        <w:r w:rsidRPr="00626C0E">
          <w:rPr>
            <w:rStyle w:val="Hyperlink"/>
            <w:color w:val="auto"/>
            <w:sz w:val="26"/>
            <w:szCs w:val="26"/>
          </w:rPr>
          <w:t>1977);</w:t>
        </w:r>
      </w:hyperlink>
      <w:r w:rsidRPr="00626C0E">
        <w:rPr>
          <w:sz w:val="26"/>
          <w:szCs w:val="26"/>
        </w:rPr>
        <w:t xml:space="preserve"> </w:t>
      </w:r>
      <w:hyperlink r:id="rId13" w:history="1">
        <w:r w:rsidRPr="00626C0E">
          <w:rPr>
            <w:rStyle w:val="Hyperlink"/>
            <w:i/>
            <w:iCs/>
            <w:color w:val="auto"/>
            <w:sz w:val="26"/>
            <w:szCs w:val="26"/>
          </w:rPr>
          <w:t>Brockway Glass Co. v. Pa. PUC</w:t>
        </w:r>
        <w:r w:rsidRPr="00626C0E">
          <w:rPr>
            <w:rStyle w:val="Hyperlink"/>
            <w:color w:val="auto"/>
            <w:sz w:val="26"/>
            <w:szCs w:val="26"/>
          </w:rPr>
          <w:t>, 437 A.2d 1067 (</w:t>
        </w:r>
        <w:r>
          <w:rPr>
            <w:rStyle w:val="Hyperlink"/>
            <w:color w:val="auto"/>
            <w:sz w:val="26"/>
            <w:szCs w:val="26"/>
          </w:rPr>
          <w:t xml:space="preserve">Pa. Cmwlth. </w:t>
        </w:r>
        <w:r w:rsidRPr="00626C0E">
          <w:rPr>
            <w:rStyle w:val="Hyperlink"/>
            <w:color w:val="auto"/>
            <w:sz w:val="26"/>
            <w:szCs w:val="26"/>
          </w:rPr>
          <w:t>1981);</w:t>
        </w:r>
      </w:hyperlink>
      <w:r w:rsidRPr="00626C0E">
        <w:rPr>
          <w:sz w:val="26"/>
          <w:szCs w:val="26"/>
        </w:rPr>
        <w:t xml:space="preserve"> </w:t>
      </w:r>
      <w:hyperlink r:id="rId14" w:history="1">
        <w:r w:rsidRPr="00626C0E">
          <w:rPr>
            <w:rStyle w:val="Hyperlink"/>
            <w:i/>
            <w:iCs/>
            <w:color w:val="auto"/>
            <w:sz w:val="26"/>
            <w:szCs w:val="26"/>
          </w:rPr>
          <w:t>Pennsylvania Electric Co. v. Pa. PUC</w:t>
        </w:r>
        <w:r>
          <w:rPr>
            <w:rStyle w:val="Hyperlink"/>
            <w:iCs/>
            <w:color w:val="auto"/>
            <w:sz w:val="26"/>
            <w:szCs w:val="26"/>
          </w:rPr>
          <w:t>,</w:t>
        </w:r>
        <w:r w:rsidRPr="00626C0E">
          <w:rPr>
            <w:rStyle w:val="Hyperlink"/>
            <w:color w:val="auto"/>
            <w:sz w:val="26"/>
            <w:szCs w:val="26"/>
          </w:rPr>
          <w:t xml:space="preserve"> 663 A.2d 281(Pa.</w:t>
        </w:r>
        <w:r w:rsidR="00E4668A">
          <w:rPr>
            <w:rStyle w:val="Hyperlink"/>
            <w:color w:val="auto"/>
            <w:sz w:val="26"/>
            <w:szCs w:val="26"/>
          </w:rPr>
          <w:t xml:space="preserve"> </w:t>
        </w:r>
        <w:r w:rsidRPr="00626C0E">
          <w:rPr>
            <w:rStyle w:val="Hyperlink"/>
            <w:color w:val="auto"/>
            <w:sz w:val="26"/>
            <w:szCs w:val="26"/>
          </w:rPr>
          <w:t>C</w:t>
        </w:r>
        <w:r>
          <w:rPr>
            <w:rStyle w:val="Hyperlink"/>
            <w:color w:val="auto"/>
            <w:sz w:val="26"/>
            <w:szCs w:val="26"/>
          </w:rPr>
          <w:t>mwlth</w:t>
        </w:r>
        <w:r w:rsidRPr="00626C0E">
          <w:rPr>
            <w:rStyle w:val="Hyperlink"/>
            <w:color w:val="auto"/>
            <w:sz w:val="26"/>
            <w:szCs w:val="26"/>
          </w:rPr>
          <w:t>. 1995).</w:t>
        </w:r>
      </w:hyperlink>
    </w:p>
    <w:p w:rsidR="00FA6385" w:rsidRDefault="00FA6385" w:rsidP="003A7572">
      <w:pPr>
        <w:widowControl/>
        <w:spacing w:line="360" w:lineRule="auto"/>
        <w:ind w:firstLine="1440"/>
        <w:rPr>
          <w:rStyle w:val="Hyperlink"/>
          <w:color w:val="auto"/>
          <w:sz w:val="26"/>
          <w:szCs w:val="26"/>
        </w:rPr>
      </w:pPr>
    </w:p>
    <w:p w:rsidR="00221181" w:rsidRPr="001D7A48" w:rsidRDefault="00221181" w:rsidP="003A7572">
      <w:pPr>
        <w:widowControl/>
        <w:spacing w:line="360" w:lineRule="auto"/>
        <w:ind w:firstLine="1440"/>
        <w:rPr>
          <w:sz w:val="26"/>
          <w:szCs w:val="26"/>
        </w:rPr>
      </w:pPr>
      <w:r w:rsidRPr="006C3EE6">
        <w:rPr>
          <w:sz w:val="26"/>
          <w:szCs w:val="26"/>
        </w:rPr>
        <w:t>A</w:t>
      </w:r>
      <w:r w:rsidR="00250269">
        <w:rPr>
          <w:sz w:val="26"/>
          <w:szCs w:val="26"/>
        </w:rPr>
        <w:t>ll Parties agree that a</w:t>
      </w:r>
      <w:r w:rsidRPr="006C3EE6">
        <w:rPr>
          <w:sz w:val="26"/>
          <w:szCs w:val="26"/>
        </w:rPr>
        <w:t xml:space="preserve"> Commission-approved </w:t>
      </w:r>
      <w:r w:rsidRPr="006C3EE6">
        <w:rPr>
          <w:rStyle w:val="term1"/>
          <w:b w:val="0"/>
          <w:sz w:val="26"/>
          <w:szCs w:val="26"/>
        </w:rPr>
        <w:t>tariff</w:t>
      </w:r>
      <w:r w:rsidRPr="006C3EE6">
        <w:rPr>
          <w:sz w:val="26"/>
          <w:szCs w:val="26"/>
        </w:rPr>
        <w:t xml:space="preserve"> is </w:t>
      </w:r>
      <w:r w:rsidRPr="00250269">
        <w:rPr>
          <w:i/>
          <w:sz w:val="26"/>
          <w:szCs w:val="26"/>
        </w:rPr>
        <w:t>prima facie</w:t>
      </w:r>
      <w:r w:rsidRPr="006C3EE6">
        <w:rPr>
          <w:sz w:val="26"/>
          <w:szCs w:val="26"/>
        </w:rPr>
        <w:t xml:space="preserve"> reasonable, has the full force of law and is binding on the utility and the customer.</w:t>
      </w:r>
      <w:r w:rsidR="00250269">
        <w:rPr>
          <w:sz w:val="26"/>
          <w:szCs w:val="26"/>
        </w:rPr>
        <w:t xml:space="preserve">  </w:t>
      </w:r>
      <w:hyperlink r:id="rId15" w:history="1">
        <w:r w:rsidR="00250269" w:rsidRPr="006C3EE6">
          <w:rPr>
            <w:rStyle w:val="Hyperlink"/>
            <w:i/>
            <w:iCs/>
            <w:color w:val="auto"/>
            <w:sz w:val="26"/>
            <w:szCs w:val="26"/>
          </w:rPr>
          <w:t>Brockway Glass Co.</w:t>
        </w:r>
      </w:hyperlink>
      <w:r w:rsidR="00321E06">
        <w:rPr>
          <w:rStyle w:val="Hyperlink"/>
          <w:color w:val="auto"/>
          <w:sz w:val="26"/>
          <w:szCs w:val="26"/>
        </w:rPr>
        <w:t xml:space="preserve">, </w:t>
      </w:r>
      <w:r w:rsidR="00321E06">
        <w:rPr>
          <w:rStyle w:val="Hyperlink"/>
          <w:i/>
          <w:color w:val="auto"/>
          <w:sz w:val="26"/>
          <w:szCs w:val="26"/>
        </w:rPr>
        <w:t>supra</w:t>
      </w:r>
      <w:r w:rsidR="00250269">
        <w:rPr>
          <w:rStyle w:val="Hyperlink"/>
          <w:color w:val="auto"/>
          <w:sz w:val="26"/>
          <w:szCs w:val="26"/>
        </w:rPr>
        <w:t xml:space="preserve">; </w:t>
      </w:r>
      <w:r w:rsidR="00250269" w:rsidRPr="006C3EE6">
        <w:rPr>
          <w:sz w:val="26"/>
          <w:szCs w:val="26"/>
        </w:rPr>
        <w:t xml:space="preserve"> </w:t>
      </w:r>
      <w:hyperlink r:id="rId16" w:history="1">
        <w:r w:rsidR="00250269" w:rsidRPr="006C3EE6">
          <w:rPr>
            <w:rStyle w:val="Hyperlink"/>
            <w:i/>
            <w:iCs/>
            <w:color w:val="auto"/>
            <w:sz w:val="26"/>
            <w:szCs w:val="26"/>
          </w:rPr>
          <w:t>Kossman v. Pa. PUC,</w:t>
        </w:r>
        <w:r w:rsidR="00250269" w:rsidRPr="006C3EE6">
          <w:rPr>
            <w:rStyle w:val="Hyperlink"/>
            <w:color w:val="auto"/>
            <w:sz w:val="26"/>
            <w:szCs w:val="26"/>
          </w:rPr>
          <w:t xml:space="preserve"> 694 A.2d 1147 (Pa.</w:t>
        </w:r>
        <w:r w:rsidR="00250269">
          <w:rPr>
            <w:rStyle w:val="Hyperlink"/>
            <w:color w:val="auto"/>
            <w:sz w:val="26"/>
            <w:szCs w:val="26"/>
          </w:rPr>
          <w:t xml:space="preserve"> </w:t>
        </w:r>
        <w:r w:rsidR="00250269" w:rsidRPr="006C3EE6">
          <w:rPr>
            <w:rStyle w:val="Hyperlink"/>
            <w:color w:val="auto"/>
            <w:sz w:val="26"/>
            <w:szCs w:val="26"/>
          </w:rPr>
          <w:t>Cmwlth. 1997)</w:t>
        </w:r>
        <w:r w:rsidR="00E4668A">
          <w:rPr>
            <w:rStyle w:val="Hyperlink"/>
            <w:color w:val="auto"/>
            <w:sz w:val="26"/>
            <w:szCs w:val="26"/>
          </w:rPr>
          <w:t>; also 66 Pa. C.S. § 316</w:t>
        </w:r>
        <w:r w:rsidR="00250269" w:rsidRPr="006C3EE6">
          <w:rPr>
            <w:rStyle w:val="Hyperlink"/>
            <w:color w:val="auto"/>
            <w:sz w:val="26"/>
            <w:szCs w:val="26"/>
          </w:rPr>
          <w:t>.</w:t>
        </w:r>
      </w:hyperlink>
      <w:r w:rsidRPr="006C3EE6">
        <w:rPr>
          <w:sz w:val="26"/>
          <w:szCs w:val="26"/>
        </w:rPr>
        <w:t xml:space="preserve"> </w:t>
      </w:r>
      <w:r w:rsidR="00250269">
        <w:rPr>
          <w:sz w:val="26"/>
          <w:szCs w:val="26"/>
        </w:rPr>
        <w:t xml:space="preserve"> </w:t>
      </w:r>
      <w:r w:rsidR="00321E06">
        <w:rPr>
          <w:sz w:val="26"/>
          <w:szCs w:val="26"/>
        </w:rPr>
        <w:t xml:space="preserve">However, Section 701 of the Code must be considered when a complaint is filed against a tariff.  </w:t>
      </w:r>
      <w:r w:rsidR="00250269" w:rsidRPr="006C3EE6">
        <w:rPr>
          <w:sz w:val="26"/>
          <w:szCs w:val="26"/>
        </w:rPr>
        <w:t xml:space="preserve">Where a </w:t>
      </w:r>
      <w:r w:rsidR="00250269">
        <w:rPr>
          <w:sz w:val="26"/>
          <w:szCs w:val="26"/>
        </w:rPr>
        <w:t>c</w:t>
      </w:r>
      <w:r w:rsidR="00250269" w:rsidRPr="006C3EE6">
        <w:rPr>
          <w:sz w:val="26"/>
          <w:szCs w:val="26"/>
        </w:rPr>
        <w:t>omplaint involves an existing, Commission-approved tariff, the burden falls upon the customer to prove that the charge or rule is no longer reasonable.</w:t>
      </w:r>
      <w:r w:rsidR="00250269">
        <w:rPr>
          <w:sz w:val="26"/>
          <w:szCs w:val="26"/>
        </w:rPr>
        <w:t xml:space="preserve"> </w:t>
      </w:r>
      <w:r w:rsidR="00C272E8">
        <w:rPr>
          <w:sz w:val="26"/>
          <w:szCs w:val="26"/>
        </w:rPr>
        <w:t xml:space="preserve"> </w:t>
      </w:r>
      <w:r w:rsidRPr="006C3EE6">
        <w:rPr>
          <w:sz w:val="26"/>
          <w:szCs w:val="26"/>
        </w:rPr>
        <w:t xml:space="preserve">The burden of proof is on the Complainant to show that the application of the existing </w:t>
      </w:r>
      <w:r w:rsidRPr="006C3EE6">
        <w:rPr>
          <w:rStyle w:val="term1"/>
          <w:b w:val="0"/>
          <w:sz w:val="26"/>
          <w:szCs w:val="26"/>
        </w:rPr>
        <w:t>tariff</w:t>
      </w:r>
      <w:r w:rsidRPr="006C3EE6">
        <w:rPr>
          <w:sz w:val="26"/>
          <w:szCs w:val="26"/>
        </w:rPr>
        <w:t xml:space="preserve"> at issue is applied unreasonably.</w:t>
      </w:r>
      <w:r w:rsidR="00E4668A">
        <w:rPr>
          <w:sz w:val="26"/>
          <w:szCs w:val="26"/>
        </w:rPr>
        <w:t xml:space="preserve">  </w:t>
      </w:r>
      <w:r w:rsidR="00E4668A" w:rsidRPr="00626C0E">
        <w:rPr>
          <w:sz w:val="26"/>
          <w:szCs w:val="26"/>
        </w:rPr>
        <w:t>The burden of showing that a tariff is either unreasonable or discriminatory</w:t>
      </w:r>
      <w:r w:rsidR="00C4193F">
        <w:rPr>
          <w:sz w:val="26"/>
          <w:szCs w:val="26"/>
        </w:rPr>
        <w:t>, therefore,</w:t>
      </w:r>
      <w:r w:rsidR="00E4668A" w:rsidRPr="00626C0E">
        <w:rPr>
          <w:sz w:val="26"/>
          <w:szCs w:val="26"/>
        </w:rPr>
        <w:t xml:space="preserve"> is on Respond. </w:t>
      </w:r>
      <w:r w:rsidR="00C4193F">
        <w:rPr>
          <w:sz w:val="26"/>
          <w:szCs w:val="26"/>
        </w:rPr>
        <w:t xml:space="preserve"> </w:t>
      </w:r>
      <w:r w:rsidR="00E4668A" w:rsidRPr="00626C0E">
        <w:rPr>
          <w:sz w:val="26"/>
          <w:szCs w:val="26"/>
        </w:rPr>
        <w:t xml:space="preserve">This burden is </w:t>
      </w:r>
      <w:r w:rsidR="00E4668A">
        <w:rPr>
          <w:sz w:val="26"/>
          <w:szCs w:val="26"/>
        </w:rPr>
        <w:t>described as a “</w:t>
      </w:r>
      <w:r w:rsidR="00E4668A" w:rsidRPr="00626C0E">
        <w:rPr>
          <w:sz w:val="26"/>
          <w:szCs w:val="26"/>
        </w:rPr>
        <w:t>heavy</w:t>
      </w:r>
      <w:r w:rsidR="00E4668A">
        <w:rPr>
          <w:sz w:val="26"/>
          <w:szCs w:val="26"/>
        </w:rPr>
        <w:t>” burden</w:t>
      </w:r>
      <w:r w:rsidR="00E4668A" w:rsidRPr="00626C0E">
        <w:rPr>
          <w:sz w:val="26"/>
          <w:szCs w:val="26"/>
        </w:rPr>
        <w:t xml:space="preserve"> because tariff provisions that have been properly submitted to and approved by the Commission are </w:t>
      </w:r>
      <w:r w:rsidR="00E4668A" w:rsidRPr="00626C0E">
        <w:rPr>
          <w:i/>
          <w:iCs/>
          <w:sz w:val="26"/>
          <w:szCs w:val="26"/>
        </w:rPr>
        <w:t>prima facie</w:t>
      </w:r>
      <w:r w:rsidR="00E4668A" w:rsidRPr="00626C0E">
        <w:rPr>
          <w:sz w:val="26"/>
          <w:szCs w:val="26"/>
        </w:rPr>
        <w:t xml:space="preserve"> reasonable.</w:t>
      </w:r>
      <w:r w:rsidR="00E4668A">
        <w:rPr>
          <w:sz w:val="26"/>
          <w:szCs w:val="26"/>
        </w:rPr>
        <w:t xml:space="preserve">  </w:t>
      </w:r>
      <w:r w:rsidR="00E4668A">
        <w:rPr>
          <w:i/>
          <w:sz w:val="26"/>
          <w:szCs w:val="26"/>
        </w:rPr>
        <w:t>See</w:t>
      </w:r>
      <w:r w:rsidR="00E4668A" w:rsidRPr="00626C0E">
        <w:rPr>
          <w:sz w:val="26"/>
          <w:szCs w:val="26"/>
        </w:rPr>
        <w:t xml:space="preserve"> </w:t>
      </w:r>
      <w:hyperlink r:id="rId17" w:history="1">
        <w:r w:rsidR="00E4668A" w:rsidRPr="00626C0E">
          <w:rPr>
            <w:rStyle w:val="Hyperlink"/>
            <w:i/>
            <w:iCs/>
            <w:color w:val="auto"/>
            <w:sz w:val="26"/>
            <w:szCs w:val="26"/>
          </w:rPr>
          <w:t>Shenango Township Board of Supervisors</w:t>
        </w:r>
        <w:r w:rsidR="00E4668A" w:rsidRPr="00626C0E">
          <w:rPr>
            <w:rStyle w:val="Hyperlink"/>
            <w:color w:val="auto"/>
            <w:sz w:val="26"/>
            <w:szCs w:val="26"/>
          </w:rPr>
          <w:t xml:space="preserve"> </w:t>
        </w:r>
        <w:r w:rsidR="00E4668A" w:rsidRPr="00626C0E">
          <w:rPr>
            <w:rStyle w:val="Hyperlink"/>
            <w:i/>
            <w:iCs/>
            <w:color w:val="auto"/>
            <w:sz w:val="26"/>
            <w:szCs w:val="26"/>
          </w:rPr>
          <w:t>v. PUC</w:t>
        </w:r>
        <w:r w:rsidR="00E4668A" w:rsidRPr="00626C0E">
          <w:rPr>
            <w:rStyle w:val="Hyperlink"/>
            <w:color w:val="auto"/>
            <w:sz w:val="26"/>
            <w:szCs w:val="26"/>
          </w:rPr>
          <w:t>, 686 A.2d 910, 914 (Pa. Cmwlth. 1996)</w:t>
        </w:r>
      </w:hyperlink>
      <w:r w:rsidR="00E4668A">
        <w:rPr>
          <w:rStyle w:val="Hyperlink"/>
          <w:color w:val="auto"/>
          <w:sz w:val="26"/>
          <w:szCs w:val="26"/>
        </w:rPr>
        <w:t xml:space="preserve">.  </w:t>
      </w:r>
      <w:r w:rsidR="00E4668A">
        <w:rPr>
          <w:rStyle w:val="Hyperlink"/>
          <w:color w:val="auto"/>
          <w:sz w:val="26"/>
          <w:szCs w:val="26"/>
        </w:rPr>
        <w:lastRenderedPageBreak/>
        <w:t>Nonetheless, this is a burden that is statutorily constituted and cannot be</w:t>
      </w:r>
      <w:r w:rsidR="00C4193F">
        <w:rPr>
          <w:rStyle w:val="Hyperlink"/>
          <w:color w:val="auto"/>
          <w:sz w:val="26"/>
          <w:szCs w:val="26"/>
        </w:rPr>
        <w:t xml:space="preserve"> summarily overlooked.</w:t>
      </w:r>
      <w:r w:rsidR="00321E06">
        <w:rPr>
          <w:sz w:val="26"/>
          <w:szCs w:val="26"/>
        </w:rPr>
        <w:t xml:space="preserve">  This is the importance of </w:t>
      </w:r>
      <w:r w:rsidR="00321E06">
        <w:rPr>
          <w:i/>
          <w:sz w:val="26"/>
          <w:szCs w:val="26"/>
        </w:rPr>
        <w:t>Duquesne Light Co.</w:t>
      </w:r>
    </w:p>
    <w:p w:rsidR="00321E06" w:rsidRDefault="00321E06" w:rsidP="003A7572">
      <w:pPr>
        <w:widowControl/>
        <w:spacing w:line="360" w:lineRule="auto"/>
        <w:ind w:firstLine="1440"/>
        <w:rPr>
          <w:sz w:val="26"/>
          <w:szCs w:val="26"/>
        </w:rPr>
      </w:pPr>
    </w:p>
    <w:p w:rsidR="003778B9" w:rsidRDefault="001D7A48" w:rsidP="003A7572">
      <w:pPr>
        <w:widowControl/>
        <w:spacing w:line="360" w:lineRule="auto"/>
        <w:ind w:firstLine="1440"/>
        <w:rPr>
          <w:sz w:val="26"/>
          <w:szCs w:val="26"/>
        </w:rPr>
      </w:pPr>
      <w:r>
        <w:rPr>
          <w:sz w:val="26"/>
          <w:szCs w:val="26"/>
        </w:rPr>
        <w:t xml:space="preserve">In </w:t>
      </w:r>
      <w:r>
        <w:rPr>
          <w:i/>
          <w:sz w:val="26"/>
          <w:szCs w:val="26"/>
        </w:rPr>
        <w:t>Duquesne Light Co.</w:t>
      </w:r>
      <w:r>
        <w:rPr>
          <w:sz w:val="26"/>
          <w:szCs w:val="26"/>
        </w:rPr>
        <w:t xml:space="preserve">, we dismissed a formal complaint filed by a township without a hearing.  The complaint was filed </w:t>
      </w:r>
      <w:r w:rsidR="00C4193F">
        <w:rPr>
          <w:sz w:val="26"/>
          <w:szCs w:val="26"/>
        </w:rPr>
        <w:t xml:space="preserve">by </w:t>
      </w:r>
      <w:r w:rsidR="00CE7625">
        <w:rPr>
          <w:sz w:val="26"/>
          <w:szCs w:val="26"/>
        </w:rPr>
        <w:t>the</w:t>
      </w:r>
      <w:r w:rsidR="00C4193F">
        <w:rPr>
          <w:sz w:val="26"/>
          <w:szCs w:val="26"/>
        </w:rPr>
        <w:t xml:space="preserve"> township seeking the benefits of electric competition and lower rates </w:t>
      </w:r>
      <w:r>
        <w:rPr>
          <w:sz w:val="26"/>
          <w:szCs w:val="26"/>
        </w:rPr>
        <w:t xml:space="preserve">prior to the promulgation of the Act.  715 A2d at 543-544.  </w:t>
      </w:r>
      <w:r w:rsidR="003778B9">
        <w:rPr>
          <w:sz w:val="26"/>
          <w:szCs w:val="26"/>
        </w:rPr>
        <w:t>In discussing the statutory obligations mandated by Section 701 of the Code, the Court reasoned:</w:t>
      </w:r>
    </w:p>
    <w:p w:rsidR="003778B9" w:rsidRDefault="003778B9" w:rsidP="003A7572">
      <w:pPr>
        <w:widowControl/>
        <w:spacing w:line="360" w:lineRule="auto"/>
        <w:ind w:firstLine="1440"/>
        <w:rPr>
          <w:sz w:val="26"/>
          <w:szCs w:val="26"/>
        </w:rPr>
      </w:pPr>
    </w:p>
    <w:p w:rsidR="001D7A48" w:rsidRDefault="003778B9" w:rsidP="003A7572">
      <w:pPr>
        <w:widowControl/>
        <w:ind w:left="1440" w:right="1440" w:firstLine="720"/>
        <w:rPr>
          <w:sz w:val="26"/>
          <w:szCs w:val="26"/>
        </w:rPr>
      </w:pPr>
      <w:r w:rsidRPr="003778B9">
        <w:rPr>
          <w:sz w:val="26"/>
          <w:szCs w:val="26"/>
        </w:rPr>
        <w:t xml:space="preserve">Each complainant has a right to have the Commission hear and consider its evidence, unless </w:t>
      </w:r>
      <w:r>
        <w:rPr>
          <w:sz w:val="26"/>
          <w:szCs w:val="26"/>
        </w:rPr>
        <w:t>“</w:t>
      </w:r>
      <w:r w:rsidRPr="003778B9">
        <w:rPr>
          <w:sz w:val="26"/>
          <w:szCs w:val="26"/>
        </w:rPr>
        <w:t>a hearing is not necessary in the public interest.</w:t>
      </w:r>
      <w:r>
        <w:rPr>
          <w:sz w:val="26"/>
          <w:szCs w:val="26"/>
        </w:rPr>
        <w:t xml:space="preserve">” </w:t>
      </w:r>
      <w:r w:rsidRPr="003778B9">
        <w:rPr>
          <w:sz w:val="26"/>
          <w:szCs w:val="26"/>
        </w:rPr>
        <w:t xml:space="preserve"> </w:t>
      </w:r>
      <w:hyperlink r:id="rId18" w:history="1">
        <w:r w:rsidRPr="003778B9">
          <w:rPr>
            <w:rStyle w:val="Hyperlink"/>
            <w:color w:val="auto"/>
            <w:sz w:val="26"/>
            <w:szCs w:val="26"/>
          </w:rPr>
          <w:t>66 Pa. C.S. § 703</w:t>
        </w:r>
      </w:hyperlink>
      <w:r w:rsidRPr="003778B9">
        <w:rPr>
          <w:sz w:val="26"/>
          <w:szCs w:val="26"/>
        </w:rPr>
        <w:t xml:space="preserve">; </w:t>
      </w:r>
      <w:r w:rsidRPr="003778B9">
        <w:rPr>
          <w:i/>
          <w:iCs/>
          <w:sz w:val="26"/>
          <w:szCs w:val="26"/>
        </w:rPr>
        <w:t>Schellhammer</w:t>
      </w:r>
      <w:r w:rsidRPr="003778B9">
        <w:rPr>
          <w:sz w:val="26"/>
          <w:szCs w:val="26"/>
        </w:rPr>
        <w:t xml:space="preserve">; </w:t>
      </w:r>
      <w:r w:rsidRPr="003778B9">
        <w:rPr>
          <w:i/>
          <w:iCs/>
          <w:sz w:val="26"/>
          <w:szCs w:val="26"/>
        </w:rPr>
        <w:t>see also</w:t>
      </w:r>
      <w:r w:rsidRPr="003778B9">
        <w:rPr>
          <w:sz w:val="26"/>
          <w:szCs w:val="26"/>
        </w:rPr>
        <w:t xml:space="preserve"> </w:t>
      </w:r>
      <w:hyperlink r:id="rId19" w:history="1">
        <w:r w:rsidRPr="003778B9">
          <w:rPr>
            <w:rStyle w:val="Hyperlink"/>
            <w:color w:val="auto"/>
            <w:sz w:val="26"/>
            <w:szCs w:val="26"/>
          </w:rPr>
          <w:t>52 Pa. Code § 5.21</w:t>
        </w:r>
      </w:hyperlink>
      <w:r w:rsidRPr="003778B9">
        <w:rPr>
          <w:sz w:val="26"/>
          <w:szCs w:val="26"/>
        </w:rPr>
        <w:t xml:space="preserve">. The Commission justifies denial of a hearing solely on the basis of the relief sought by the Township. </w:t>
      </w:r>
      <w:r>
        <w:rPr>
          <w:sz w:val="26"/>
          <w:szCs w:val="26"/>
        </w:rPr>
        <w:t xml:space="preserve"> </w:t>
      </w:r>
      <w:proofErr w:type="gramStart"/>
      <w:r w:rsidRPr="003778B9">
        <w:rPr>
          <w:sz w:val="26"/>
          <w:szCs w:val="26"/>
        </w:rPr>
        <w:t xml:space="preserve">Citing </w:t>
      </w:r>
      <w:hyperlink r:id="rId20" w:history="1">
        <w:r w:rsidRPr="003778B9">
          <w:rPr>
            <w:rStyle w:val="Hyperlink"/>
            <w:i/>
            <w:iCs/>
            <w:color w:val="auto"/>
            <w:sz w:val="26"/>
            <w:szCs w:val="26"/>
          </w:rPr>
          <w:t>Lukens Steel Co. v. Pennsylvania Pub.</w:t>
        </w:r>
        <w:proofErr w:type="gramEnd"/>
        <w:r w:rsidRPr="003778B9">
          <w:rPr>
            <w:rStyle w:val="Hyperlink"/>
            <w:i/>
            <w:iCs/>
            <w:color w:val="auto"/>
            <w:sz w:val="26"/>
            <w:szCs w:val="26"/>
          </w:rPr>
          <w:t xml:space="preserve"> Util. Comm'n</w:t>
        </w:r>
        <w:r w:rsidRPr="003778B9">
          <w:rPr>
            <w:rStyle w:val="Hyperlink"/>
            <w:color w:val="auto"/>
            <w:sz w:val="26"/>
            <w:szCs w:val="26"/>
          </w:rPr>
          <w:t>, 92 Pa. Commw. 530, 499 A.2d 1134 (Pa. Cmwlth. 1985)</w:t>
        </w:r>
      </w:hyperlink>
      <w:r w:rsidRPr="003778B9">
        <w:rPr>
          <w:sz w:val="26"/>
          <w:szCs w:val="26"/>
        </w:rPr>
        <w:t xml:space="preserve">, the Commission argues that as a matter of law it is not in the interest of the public as a whole, to allow </w:t>
      </w:r>
      <w:r>
        <w:rPr>
          <w:sz w:val="26"/>
          <w:szCs w:val="26"/>
        </w:rPr>
        <w:t>“</w:t>
      </w:r>
      <w:r w:rsidRPr="003778B9">
        <w:rPr>
          <w:sz w:val="26"/>
          <w:szCs w:val="26"/>
        </w:rPr>
        <w:t>one customer</w:t>
      </w:r>
      <w:r>
        <w:rPr>
          <w:sz w:val="26"/>
          <w:szCs w:val="26"/>
        </w:rPr>
        <w:t>”</w:t>
      </w:r>
      <w:r w:rsidRPr="003778B9">
        <w:rPr>
          <w:sz w:val="26"/>
          <w:szCs w:val="26"/>
        </w:rPr>
        <w:t xml:space="preserve"> to benefit from lower electric rates by switching utility companies. </w:t>
      </w:r>
      <w:r>
        <w:rPr>
          <w:sz w:val="26"/>
          <w:szCs w:val="26"/>
        </w:rPr>
        <w:t xml:space="preserve"> </w:t>
      </w:r>
      <w:r w:rsidRPr="003778B9">
        <w:rPr>
          <w:sz w:val="26"/>
          <w:szCs w:val="26"/>
        </w:rPr>
        <w:t>Further, it notes that dismissal of the Township</w:t>
      </w:r>
      <w:r w:rsidR="008E3E1F">
        <w:rPr>
          <w:sz w:val="26"/>
          <w:szCs w:val="26"/>
        </w:rPr>
        <w:t>’</w:t>
      </w:r>
      <w:r w:rsidRPr="003778B9">
        <w:rPr>
          <w:sz w:val="26"/>
          <w:szCs w:val="26"/>
        </w:rPr>
        <w:t xml:space="preserve">s complaint is consistent with Commission policy that all Pennsylvania electric customers should benefit from competition in electric generation on an equitable basis. </w:t>
      </w:r>
      <w:r>
        <w:rPr>
          <w:sz w:val="26"/>
          <w:szCs w:val="26"/>
        </w:rPr>
        <w:t xml:space="preserve"> </w:t>
      </w:r>
      <w:r w:rsidRPr="003778B9">
        <w:rPr>
          <w:sz w:val="26"/>
          <w:szCs w:val="26"/>
        </w:rPr>
        <w:t>After careful consideration, we conclude that it was an abuse of discretion to dismiss the Township's complaint based upon the reasons advanced.</w:t>
      </w:r>
    </w:p>
    <w:p w:rsidR="003778B9" w:rsidRDefault="003778B9" w:rsidP="003A7572">
      <w:pPr>
        <w:widowControl/>
        <w:ind w:left="1440" w:right="1440" w:firstLine="720"/>
        <w:rPr>
          <w:sz w:val="26"/>
          <w:szCs w:val="26"/>
        </w:rPr>
      </w:pPr>
    </w:p>
    <w:p w:rsidR="008E3E1F" w:rsidRDefault="008E3E1F" w:rsidP="003A7572">
      <w:pPr>
        <w:widowControl/>
        <w:ind w:left="1440" w:right="1440" w:firstLine="720"/>
        <w:rPr>
          <w:sz w:val="26"/>
          <w:szCs w:val="26"/>
        </w:rPr>
      </w:pPr>
    </w:p>
    <w:p w:rsidR="003778B9" w:rsidRPr="003778B9" w:rsidRDefault="003778B9" w:rsidP="003A7572">
      <w:pPr>
        <w:widowControl/>
        <w:rPr>
          <w:sz w:val="26"/>
          <w:szCs w:val="26"/>
        </w:rPr>
      </w:pPr>
      <w:r>
        <w:rPr>
          <w:sz w:val="26"/>
          <w:szCs w:val="26"/>
        </w:rPr>
        <w:t>715 A2d at 545-546.</w:t>
      </w:r>
    </w:p>
    <w:p w:rsidR="009E6DB8" w:rsidRDefault="009E6DB8" w:rsidP="003A7572">
      <w:pPr>
        <w:widowControl/>
        <w:spacing w:line="360" w:lineRule="auto"/>
        <w:rPr>
          <w:sz w:val="26"/>
          <w:szCs w:val="26"/>
        </w:rPr>
      </w:pPr>
    </w:p>
    <w:p w:rsidR="00BD7379" w:rsidRDefault="00992563" w:rsidP="003A7572">
      <w:pPr>
        <w:widowControl/>
        <w:spacing w:line="360" w:lineRule="auto"/>
        <w:ind w:firstLine="1440"/>
        <w:rPr>
          <w:sz w:val="26"/>
          <w:szCs w:val="26"/>
        </w:rPr>
      </w:pPr>
      <w:r>
        <w:rPr>
          <w:sz w:val="26"/>
          <w:szCs w:val="26"/>
        </w:rPr>
        <w:t xml:space="preserve">The Court in </w:t>
      </w:r>
      <w:r>
        <w:rPr>
          <w:i/>
          <w:sz w:val="26"/>
          <w:szCs w:val="26"/>
        </w:rPr>
        <w:t>Duquesne Light Co</w:t>
      </w:r>
      <w:r>
        <w:rPr>
          <w:sz w:val="26"/>
          <w:szCs w:val="26"/>
        </w:rPr>
        <w:t xml:space="preserve">. also cited </w:t>
      </w:r>
      <w:hyperlink r:id="rId21" w:history="1">
        <w:r w:rsidRPr="009011CB">
          <w:rPr>
            <w:rStyle w:val="Hyperlink"/>
            <w:i/>
            <w:iCs/>
            <w:color w:val="auto"/>
            <w:sz w:val="26"/>
            <w:szCs w:val="26"/>
          </w:rPr>
          <w:t>Aizen v. P</w:t>
        </w:r>
        <w:r>
          <w:rPr>
            <w:rStyle w:val="Hyperlink"/>
            <w:i/>
            <w:iCs/>
            <w:color w:val="auto"/>
            <w:sz w:val="26"/>
            <w:szCs w:val="26"/>
          </w:rPr>
          <w:t xml:space="preserve">a. </w:t>
        </w:r>
        <w:r w:rsidRPr="009011CB">
          <w:rPr>
            <w:rStyle w:val="Hyperlink"/>
            <w:i/>
            <w:iCs/>
            <w:color w:val="auto"/>
            <w:sz w:val="26"/>
            <w:szCs w:val="26"/>
          </w:rPr>
          <w:t>PUC</w:t>
        </w:r>
        <w:r w:rsidRPr="009011CB">
          <w:rPr>
            <w:rStyle w:val="Hyperlink"/>
            <w:color w:val="auto"/>
            <w:sz w:val="26"/>
            <w:szCs w:val="26"/>
          </w:rPr>
          <w:t>,  60 A.2d 443, 449 (Pa. Super. 1948)</w:t>
        </w:r>
      </w:hyperlink>
      <w:r>
        <w:rPr>
          <w:sz w:val="26"/>
          <w:szCs w:val="26"/>
        </w:rPr>
        <w:t>, for the proposition that</w:t>
      </w:r>
      <w:r w:rsidRPr="009011CB">
        <w:rPr>
          <w:sz w:val="26"/>
          <w:szCs w:val="26"/>
        </w:rPr>
        <w:t xml:space="preserve"> </w:t>
      </w:r>
      <w:bookmarkStart w:id="0" w:name="clsccl13"/>
      <w:bookmarkEnd w:id="0"/>
      <w:r w:rsidRPr="009011CB">
        <w:rPr>
          <w:sz w:val="26"/>
          <w:szCs w:val="26"/>
        </w:rPr>
        <w:t>the conditions of an individual case may not be ignored in favor of an administrative policy.</w:t>
      </w:r>
      <w:r>
        <w:rPr>
          <w:sz w:val="26"/>
          <w:szCs w:val="26"/>
        </w:rPr>
        <w:t xml:space="preserve">  </w:t>
      </w:r>
      <w:proofErr w:type="gramStart"/>
      <w:r w:rsidR="00BD7379">
        <w:rPr>
          <w:sz w:val="26"/>
          <w:szCs w:val="26"/>
        </w:rPr>
        <w:t>715 A2d 546.</w:t>
      </w:r>
      <w:proofErr w:type="gramEnd"/>
      <w:r w:rsidR="00BD7379">
        <w:rPr>
          <w:sz w:val="26"/>
          <w:szCs w:val="26"/>
        </w:rPr>
        <w:t xml:space="preserve">  </w:t>
      </w:r>
    </w:p>
    <w:p w:rsidR="00BD7379" w:rsidRDefault="00BD7379" w:rsidP="003A7572">
      <w:pPr>
        <w:widowControl/>
        <w:spacing w:line="360" w:lineRule="auto"/>
        <w:ind w:firstLine="1440"/>
        <w:rPr>
          <w:sz w:val="26"/>
          <w:szCs w:val="26"/>
        </w:rPr>
      </w:pPr>
    </w:p>
    <w:p w:rsidR="00C4193F" w:rsidRPr="00BD7379" w:rsidRDefault="00BD7379" w:rsidP="003A7572">
      <w:pPr>
        <w:widowControl/>
        <w:spacing w:line="360" w:lineRule="auto"/>
        <w:ind w:firstLine="1440"/>
        <w:rPr>
          <w:sz w:val="26"/>
          <w:szCs w:val="26"/>
        </w:rPr>
      </w:pPr>
      <w:r>
        <w:rPr>
          <w:sz w:val="26"/>
          <w:szCs w:val="26"/>
        </w:rPr>
        <w:lastRenderedPageBreak/>
        <w:t xml:space="preserve">Respond, therefore, is </w:t>
      </w:r>
      <w:r w:rsidR="008E3E1F">
        <w:rPr>
          <w:sz w:val="26"/>
          <w:szCs w:val="26"/>
        </w:rPr>
        <w:t xml:space="preserve">statutorily </w:t>
      </w:r>
      <w:r>
        <w:rPr>
          <w:sz w:val="26"/>
          <w:szCs w:val="26"/>
        </w:rPr>
        <w:t xml:space="preserve">entitled </w:t>
      </w:r>
      <w:r w:rsidR="008E3E1F">
        <w:rPr>
          <w:sz w:val="26"/>
          <w:szCs w:val="26"/>
        </w:rPr>
        <w:t xml:space="preserve">to </w:t>
      </w:r>
      <w:r>
        <w:rPr>
          <w:sz w:val="26"/>
          <w:szCs w:val="26"/>
        </w:rPr>
        <w:t>an opportunity to meet its burden of proof as the complainant and proponent of a rule or order from this Commission, notwithstanding the presumptions of reasonableness that attach to a Commission-approved tariff.</w:t>
      </w:r>
      <w:r w:rsidR="00C755F1">
        <w:rPr>
          <w:rStyle w:val="FootnoteReference"/>
          <w:sz w:val="26"/>
          <w:szCs w:val="26"/>
        </w:rPr>
        <w:footnoteReference w:id="8"/>
      </w:r>
    </w:p>
    <w:p w:rsidR="00AE4DD4" w:rsidRDefault="00AE4DD4" w:rsidP="003A7572">
      <w:pPr>
        <w:widowControl/>
        <w:spacing w:line="360" w:lineRule="auto"/>
        <w:ind w:firstLine="1440"/>
        <w:rPr>
          <w:sz w:val="26"/>
          <w:szCs w:val="26"/>
        </w:rPr>
      </w:pPr>
    </w:p>
    <w:p w:rsidR="00BE358E" w:rsidRDefault="00AE4DD4" w:rsidP="003A7572">
      <w:pPr>
        <w:widowControl/>
        <w:spacing w:line="360" w:lineRule="auto"/>
        <w:ind w:firstLine="1440"/>
        <w:rPr>
          <w:bCs/>
          <w:sz w:val="26"/>
          <w:szCs w:val="26"/>
        </w:rPr>
      </w:pPr>
      <w:r>
        <w:rPr>
          <w:bCs/>
          <w:sz w:val="26"/>
          <w:szCs w:val="26"/>
        </w:rPr>
        <w:t xml:space="preserve">The Companies cite and rely heavily on the holding of </w:t>
      </w:r>
      <w:r w:rsidRPr="00AE4DD4">
        <w:rPr>
          <w:bCs/>
          <w:i/>
          <w:sz w:val="26"/>
          <w:szCs w:val="26"/>
        </w:rPr>
        <w:t>Pa. State Univ. v. PUC</w:t>
      </w:r>
      <w:r w:rsidRPr="00AE4DD4">
        <w:rPr>
          <w:bCs/>
          <w:sz w:val="26"/>
          <w:szCs w:val="26"/>
        </w:rPr>
        <w:t>, 988 A.2d 771</w:t>
      </w:r>
      <w:r>
        <w:rPr>
          <w:bCs/>
          <w:sz w:val="26"/>
          <w:szCs w:val="26"/>
        </w:rPr>
        <w:t xml:space="preserve"> (</w:t>
      </w:r>
      <w:r w:rsidR="003778B9">
        <w:rPr>
          <w:bCs/>
          <w:sz w:val="26"/>
          <w:szCs w:val="26"/>
        </w:rPr>
        <w:t>Pa. Cmwlth. 2010</w:t>
      </w:r>
      <w:r>
        <w:rPr>
          <w:bCs/>
          <w:sz w:val="26"/>
          <w:szCs w:val="26"/>
        </w:rPr>
        <w:t>), for their position that the grant of their motion for judgment on the pleadings was proper.</w:t>
      </w:r>
      <w:r w:rsidR="00874C58">
        <w:rPr>
          <w:bCs/>
          <w:sz w:val="26"/>
          <w:szCs w:val="26"/>
        </w:rPr>
        <w:t xml:space="preserve"> </w:t>
      </w:r>
      <w:r w:rsidR="00A14C19">
        <w:rPr>
          <w:bCs/>
          <w:sz w:val="26"/>
          <w:szCs w:val="26"/>
        </w:rPr>
        <w:t xml:space="preserve"> </w:t>
      </w:r>
      <w:r w:rsidR="00A14C19">
        <w:rPr>
          <w:bCs/>
          <w:i/>
          <w:sz w:val="26"/>
          <w:szCs w:val="26"/>
        </w:rPr>
        <w:t xml:space="preserve">See </w:t>
      </w:r>
      <w:r w:rsidR="00A14C19">
        <w:rPr>
          <w:bCs/>
          <w:sz w:val="26"/>
          <w:szCs w:val="26"/>
        </w:rPr>
        <w:t xml:space="preserve">Motion at 18-29.  </w:t>
      </w:r>
      <w:r w:rsidR="00874C58">
        <w:rPr>
          <w:bCs/>
          <w:sz w:val="26"/>
          <w:szCs w:val="26"/>
        </w:rPr>
        <w:t>The holding of this case does not address the statutory obligation</w:t>
      </w:r>
      <w:r w:rsidR="004371A7">
        <w:rPr>
          <w:bCs/>
          <w:sz w:val="26"/>
          <w:szCs w:val="26"/>
        </w:rPr>
        <w:t>s</w:t>
      </w:r>
      <w:r w:rsidR="00874C58">
        <w:rPr>
          <w:bCs/>
          <w:sz w:val="26"/>
          <w:szCs w:val="26"/>
        </w:rPr>
        <w:t xml:space="preserve"> of the Commission upon the filing of a formal complaint under Section 701 of the Code, 66 Pa. C.S. § 701, against an existing tariff</w:t>
      </w:r>
      <w:r w:rsidR="003540B5">
        <w:rPr>
          <w:bCs/>
          <w:sz w:val="26"/>
          <w:szCs w:val="26"/>
        </w:rPr>
        <w:t>, however</w:t>
      </w:r>
      <w:r w:rsidR="00874C58">
        <w:rPr>
          <w:bCs/>
          <w:sz w:val="26"/>
          <w:szCs w:val="26"/>
        </w:rPr>
        <w:t>.</w:t>
      </w:r>
      <w:r w:rsidR="003778B9">
        <w:rPr>
          <w:bCs/>
          <w:sz w:val="26"/>
          <w:szCs w:val="26"/>
        </w:rPr>
        <w:t xml:space="preserve">  </w:t>
      </w:r>
      <w:r w:rsidR="003778B9" w:rsidRPr="00AE4DD4">
        <w:rPr>
          <w:bCs/>
          <w:i/>
          <w:sz w:val="26"/>
          <w:szCs w:val="26"/>
        </w:rPr>
        <w:t>Pa. State Univ. v. PUC</w:t>
      </w:r>
      <w:r w:rsidR="003778B9">
        <w:rPr>
          <w:bCs/>
          <w:sz w:val="26"/>
          <w:szCs w:val="26"/>
        </w:rPr>
        <w:t xml:space="preserve"> did not arise </w:t>
      </w:r>
      <w:r w:rsidR="004371A7">
        <w:rPr>
          <w:bCs/>
          <w:sz w:val="26"/>
          <w:szCs w:val="26"/>
        </w:rPr>
        <w:t xml:space="preserve">as a dispute </w:t>
      </w:r>
      <w:r w:rsidR="003778B9">
        <w:rPr>
          <w:bCs/>
          <w:sz w:val="26"/>
          <w:szCs w:val="26"/>
        </w:rPr>
        <w:t>under the provisions of Section 701</w:t>
      </w:r>
      <w:r w:rsidR="00CE7625">
        <w:rPr>
          <w:bCs/>
          <w:sz w:val="26"/>
          <w:szCs w:val="26"/>
        </w:rPr>
        <w:t>,</w:t>
      </w:r>
      <w:r w:rsidR="003778B9">
        <w:rPr>
          <w:bCs/>
          <w:sz w:val="26"/>
          <w:szCs w:val="26"/>
        </w:rPr>
        <w:t xml:space="preserve"> </w:t>
      </w:r>
      <w:r w:rsidR="00CE7625">
        <w:rPr>
          <w:bCs/>
          <w:sz w:val="26"/>
          <w:szCs w:val="26"/>
        </w:rPr>
        <w:t xml:space="preserve">as </w:t>
      </w:r>
      <w:r w:rsidR="003778B9">
        <w:rPr>
          <w:bCs/>
          <w:sz w:val="26"/>
          <w:szCs w:val="26"/>
        </w:rPr>
        <w:t>a formal complaint against an existing tariff.</w:t>
      </w:r>
      <w:r w:rsidR="00874C58">
        <w:rPr>
          <w:bCs/>
          <w:sz w:val="26"/>
          <w:szCs w:val="26"/>
        </w:rPr>
        <w:t xml:space="preserve">  </w:t>
      </w:r>
      <w:r w:rsidR="004371A7">
        <w:rPr>
          <w:bCs/>
          <w:sz w:val="26"/>
          <w:szCs w:val="26"/>
        </w:rPr>
        <w:t>W</w:t>
      </w:r>
      <w:r>
        <w:rPr>
          <w:bCs/>
          <w:sz w:val="26"/>
          <w:szCs w:val="26"/>
        </w:rPr>
        <w:t xml:space="preserve">e observe that </w:t>
      </w:r>
      <w:r w:rsidRPr="004371A7">
        <w:rPr>
          <w:bCs/>
          <w:i/>
          <w:sz w:val="26"/>
          <w:szCs w:val="26"/>
        </w:rPr>
        <w:t>P</w:t>
      </w:r>
      <w:r w:rsidR="004371A7" w:rsidRPr="004371A7">
        <w:rPr>
          <w:bCs/>
          <w:i/>
          <w:sz w:val="26"/>
          <w:szCs w:val="26"/>
        </w:rPr>
        <w:t xml:space="preserve">a. </w:t>
      </w:r>
      <w:r w:rsidR="00874C58" w:rsidRPr="004371A7">
        <w:rPr>
          <w:bCs/>
          <w:i/>
          <w:sz w:val="26"/>
          <w:szCs w:val="26"/>
        </w:rPr>
        <w:t>State</w:t>
      </w:r>
      <w:r w:rsidR="004371A7" w:rsidRPr="004371A7">
        <w:rPr>
          <w:bCs/>
          <w:i/>
          <w:sz w:val="26"/>
          <w:szCs w:val="26"/>
        </w:rPr>
        <w:t xml:space="preserve"> Univ.</w:t>
      </w:r>
      <w:r>
        <w:rPr>
          <w:bCs/>
          <w:sz w:val="26"/>
          <w:szCs w:val="26"/>
        </w:rPr>
        <w:t xml:space="preserve"> </w:t>
      </w:r>
      <w:r w:rsidR="00874C58">
        <w:rPr>
          <w:bCs/>
          <w:sz w:val="26"/>
          <w:szCs w:val="26"/>
        </w:rPr>
        <w:t>involved</w:t>
      </w:r>
      <w:r>
        <w:rPr>
          <w:bCs/>
          <w:sz w:val="26"/>
          <w:szCs w:val="26"/>
        </w:rPr>
        <w:t xml:space="preserve"> a petition </w:t>
      </w:r>
      <w:r w:rsidR="00874C58">
        <w:rPr>
          <w:bCs/>
          <w:sz w:val="26"/>
          <w:szCs w:val="26"/>
        </w:rPr>
        <w:t xml:space="preserve">for declaratory order </w:t>
      </w:r>
      <w:r>
        <w:rPr>
          <w:bCs/>
          <w:sz w:val="26"/>
          <w:szCs w:val="26"/>
        </w:rPr>
        <w:t xml:space="preserve">by Penn State </w:t>
      </w:r>
      <w:r w:rsidR="004371A7">
        <w:rPr>
          <w:bCs/>
          <w:sz w:val="26"/>
          <w:szCs w:val="26"/>
        </w:rPr>
        <w:t xml:space="preserve">University </w:t>
      </w:r>
      <w:r>
        <w:rPr>
          <w:bCs/>
          <w:sz w:val="26"/>
          <w:szCs w:val="26"/>
        </w:rPr>
        <w:t xml:space="preserve">seeking </w:t>
      </w:r>
      <w:r w:rsidR="00874C58">
        <w:rPr>
          <w:bCs/>
          <w:sz w:val="26"/>
          <w:szCs w:val="26"/>
        </w:rPr>
        <w:t>to</w:t>
      </w:r>
      <w:r>
        <w:rPr>
          <w:bCs/>
          <w:sz w:val="26"/>
          <w:szCs w:val="26"/>
        </w:rPr>
        <w:t xml:space="preserve"> </w:t>
      </w:r>
      <w:r w:rsidR="00874C58">
        <w:rPr>
          <w:bCs/>
          <w:sz w:val="26"/>
          <w:szCs w:val="26"/>
        </w:rPr>
        <w:t xml:space="preserve">apply generation rate caps to a tariff under which it made </w:t>
      </w:r>
      <w:r w:rsidR="004371A7">
        <w:rPr>
          <w:bCs/>
          <w:sz w:val="26"/>
          <w:szCs w:val="26"/>
        </w:rPr>
        <w:t>pu</w:t>
      </w:r>
      <w:r w:rsidR="00874C58">
        <w:rPr>
          <w:bCs/>
          <w:sz w:val="26"/>
          <w:szCs w:val="26"/>
        </w:rPr>
        <w:t xml:space="preserve">rchases, Tariff 37, based on proceedings which included a settlement </w:t>
      </w:r>
      <w:r w:rsidR="00CE7625">
        <w:rPr>
          <w:bCs/>
          <w:sz w:val="26"/>
          <w:szCs w:val="26"/>
        </w:rPr>
        <w:t xml:space="preserve">which included </w:t>
      </w:r>
      <w:r w:rsidR="00874C58">
        <w:rPr>
          <w:bCs/>
          <w:sz w:val="26"/>
          <w:szCs w:val="26"/>
        </w:rPr>
        <w:t xml:space="preserve">the extension of such generation rate caps to a separate tariff under which </w:t>
      </w:r>
      <w:r w:rsidR="004371A7">
        <w:rPr>
          <w:bCs/>
          <w:sz w:val="26"/>
          <w:szCs w:val="26"/>
        </w:rPr>
        <w:t>the university</w:t>
      </w:r>
      <w:r w:rsidR="00874C58">
        <w:rPr>
          <w:bCs/>
          <w:sz w:val="26"/>
          <w:szCs w:val="26"/>
        </w:rPr>
        <w:t xml:space="preserve"> also made purchases.  </w:t>
      </w:r>
    </w:p>
    <w:p w:rsidR="008E3E1F" w:rsidRDefault="008E3E1F" w:rsidP="003A7572">
      <w:pPr>
        <w:widowControl/>
        <w:spacing w:line="360" w:lineRule="auto"/>
        <w:ind w:firstLine="1440"/>
        <w:rPr>
          <w:bCs/>
          <w:sz w:val="26"/>
          <w:szCs w:val="26"/>
        </w:rPr>
      </w:pPr>
    </w:p>
    <w:p w:rsidR="00AE4DD4" w:rsidRPr="009E73F7" w:rsidRDefault="00BE358E" w:rsidP="003A7572">
      <w:pPr>
        <w:widowControl/>
        <w:spacing w:line="360" w:lineRule="auto"/>
        <w:ind w:firstLine="1440"/>
        <w:rPr>
          <w:sz w:val="26"/>
          <w:szCs w:val="26"/>
        </w:rPr>
      </w:pPr>
      <w:r>
        <w:rPr>
          <w:bCs/>
          <w:sz w:val="26"/>
          <w:szCs w:val="26"/>
        </w:rPr>
        <w:t xml:space="preserve">In </w:t>
      </w:r>
      <w:r w:rsidRPr="00AE4DD4">
        <w:rPr>
          <w:bCs/>
          <w:i/>
          <w:sz w:val="26"/>
          <w:szCs w:val="26"/>
        </w:rPr>
        <w:t>Pa. State Univ. v. PUC</w:t>
      </w:r>
      <w:r>
        <w:rPr>
          <w:bCs/>
          <w:sz w:val="26"/>
          <w:szCs w:val="26"/>
        </w:rPr>
        <w:t>, t</w:t>
      </w:r>
      <w:r w:rsidR="00874C58">
        <w:rPr>
          <w:bCs/>
          <w:sz w:val="26"/>
          <w:szCs w:val="26"/>
        </w:rPr>
        <w:t>here were no allegations that the party with the burden of proof, Penn State</w:t>
      </w:r>
      <w:r w:rsidR="004371A7">
        <w:rPr>
          <w:bCs/>
          <w:sz w:val="26"/>
          <w:szCs w:val="26"/>
        </w:rPr>
        <w:t xml:space="preserve"> University</w:t>
      </w:r>
      <w:r w:rsidR="00874C58">
        <w:rPr>
          <w:bCs/>
          <w:sz w:val="26"/>
          <w:szCs w:val="26"/>
        </w:rPr>
        <w:t xml:space="preserve">, argued </w:t>
      </w:r>
      <w:r w:rsidR="005706A6">
        <w:rPr>
          <w:bCs/>
          <w:sz w:val="26"/>
          <w:szCs w:val="26"/>
        </w:rPr>
        <w:t xml:space="preserve">in the context of a formal complaint, </w:t>
      </w:r>
      <w:r w:rsidR="00874C58">
        <w:rPr>
          <w:bCs/>
          <w:sz w:val="26"/>
          <w:szCs w:val="26"/>
        </w:rPr>
        <w:t>that the tariff, as applied, was not just and reasonable</w:t>
      </w:r>
      <w:r w:rsidR="00874C58" w:rsidRPr="009E73F7">
        <w:rPr>
          <w:bCs/>
          <w:sz w:val="26"/>
          <w:szCs w:val="26"/>
        </w:rPr>
        <w:t>.</w:t>
      </w:r>
      <w:r w:rsidR="004371A7">
        <w:rPr>
          <w:bCs/>
          <w:sz w:val="26"/>
          <w:szCs w:val="26"/>
        </w:rPr>
        <w:t xml:space="preserve">  Rather, the litigation </w:t>
      </w:r>
      <w:r>
        <w:rPr>
          <w:bCs/>
          <w:sz w:val="26"/>
          <w:szCs w:val="26"/>
        </w:rPr>
        <w:t xml:space="preserve">in that case </w:t>
      </w:r>
      <w:r w:rsidR="004371A7">
        <w:rPr>
          <w:bCs/>
          <w:sz w:val="26"/>
          <w:szCs w:val="26"/>
        </w:rPr>
        <w:t xml:space="preserve">involved whether </w:t>
      </w:r>
      <w:r>
        <w:rPr>
          <w:bCs/>
          <w:sz w:val="26"/>
          <w:szCs w:val="26"/>
        </w:rPr>
        <w:t>the</w:t>
      </w:r>
      <w:r w:rsidR="004371A7">
        <w:rPr>
          <w:bCs/>
          <w:sz w:val="26"/>
          <w:szCs w:val="26"/>
        </w:rPr>
        <w:t xml:space="preserve"> tariff’s benefits </w:t>
      </w:r>
      <w:r>
        <w:rPr>
          <w:bCs/>
          <w:sz w:val="26"/>
          <w:szCs w:val="26"/>
        </w:rPr>
        <w:t xml:space="preserve">(capped rates) </w:t>
      </w:r>
      <w:r w:rsidR="004371A7">
        <w:rPr>
          <w:bCs/>
          <w:sz w:val="26"/>
          <w:szCs w:val="26"/>
        </w:rPr>
        <w:t xml:space="preserve">could be extended to </w:t>
      </w:r>
      <w:r>
        <w:rPr>
          <w:bCs/>
          <w:sz w:val="26"/>
          <w:szCs w:val="26"/>
        </w:rPr>
        <w:t>the petitioner under a</w:t>
      </w:r>
      <w:r w:rsidR="004371A7">
        <w:rPr>
          <w:bCs/>
          <w:sz w:val="26"/>
          <w:szCs w:val="26"/>
        </w:rPr>
        <w:t xml:space="preserve"> tariff that had not been included in a settlement.</w:t>
      </w:r>
      <w:r w:rsidR="009E73F7">
        <w:rPr>
          <w:bCs/>
          <w:sz w:val="26"/>
          <w:szCs w:val="26"/>
        </w:rPr>
        <w:t xml:space="preserve">  The</w:t>
      </w:r>
      <w:r w:rsidR="004371A7">
        <w:rPr>
          <w:bCs/>
          <w:sz w:val="26"/>
          <w:szCs w:val="26"/>
        </w:rPr>
        <w:t>refore,</w:t>
      </w:r>
      <w:r w:rsidR="009E73F7">
        <w:rPr>
          <w:bCs/>
          <w:sz w:val="26"/>
          <w:szCs w:val="26"/>
        </w:rPr>
        <w:t xml:space="preserve"> </w:t>
      </w:r>
      <w:r w:rsidR="005706A6" w:rsidRPr="00AE4DD4">
        <w:rPr>
          <w:bCs/>
          <w:i/>
          <w:sz w:val="26"/>
          <w:szCs w:val="26"/>
        </w:rPr>
        <w:t>Pa. State Univ. v. PUC</w:t>
      </w:r>
      <w:r w:rsidR="009E73F7">
        <w:rPr>
          <w:bCs/>
          <w:sz w:val="26"/>
          <w:szCs w:val="26"/>
        </w:rPr>
        <w:t xml:space="preserve"> is similar to the </w:t>
      </w:r>
      <w:r>
        <w:rPr>
          <w:bCs/>
          <w:sz w:val="26"/>
          <w:szCs w:val="26"/>
        </w:rPr>
        <w:t xml:space="preserve">present </w:t>
      </w:r>
      <w:r w:rsidR="009E73F7">
        <w:rPr>
          <w:bCs/>
          <w:sz w:val="26"/>
          <w:szCs w:val="26"/>
        </w:rPr>
        <w:t xml:space="preserve">dispute </w:t>
      </w:r>
      <w:r w:rsidR="004371A7">
        <w:rPr>
          <w:bCs/>
          <w:sz w:val="26"/>
          <w:szCs w:val="26"/>
        </w:rPr>
        <w:t xml:space="preserve">only </w:t>
      </w:r>
      <w:r w:rsidR="009E73F7">
        <w:rPr>
          <w:bCs/>
          <w:sz w:val="26"/>
          <w:szCs w:val="26"/>
        </w:rPr>
        <w:t xml:space="preserve">in </w:t>
      </w:r>
      <w:r w:rsidR="00CE7625">
        <w:rPr>
          <w:bCs/>
          <w:sz w:val="26"/>
          <w:szCs w:val="26"/>
        </w:rPr>
        <w:t xml:space="preserve">the fact </w:t>
      </w:r>
      <w:r w:rsidR="009E73F7">
        <w:rPr>
          <w:bCs/>
          <w:sz w:val="26"/>
          <w:szCs w:val="26"/>
        </w:rPr>
        <w:t>that</w:t>
      </w:r>
      <w:r w:rsidR="00874C58" w:rsidRPr="009E73F7">
        <w:rPr>
          <w:bCs/>
          <w:sz w:val="26"/>
          <w:szCs w:val="26"/>
        </w:rPr>
        <w:t xml:space="preserve"> </w:t>
      </w:r>
      <w:r>
        <w:rPr>
          <w:bCs/>
          <w:sz w:val="26"/>
          <w:szCs w:val="26"/>
        </w:rPr>
        <w:t>the</w:t>
      </w:r>
      <w:r w:rsidR="009E73F7">
        <w:rPr>
          <w:bCs/>
          <w:sz w:val="26"/>
          <w:szCs w:val="26"/>
        </w:rPr>
        <w:t xml:space="preserve"> end-user, Penn State</w:t>
      </w:r>
      <w:r w:rsidR="004371A7">
        <w:rPr>
          <w:bCs/>
          <w:sz w:val="26"/>
          <w:szCs w:val="26"/>
        </w:rPr>
        <w:t xml:space="preserve"> </w:t>
      </w:r>
      <w:r w:rsidR="004371A7">
        <w:rPr>
          <w:bCs/>
          <w:sz w:val="26"/>
          <w:szCs w:val="26"/>
        </w:rPr>
        <w:lastRenderedPageBreak/>
        <w:t>Univers</w:t>
      </w:r>
      <w:r>
        <w:rPr>
          <w:bCs/>
          <w:sz w:val="26"/>
          <w:szCs w:val="26"/>
        </w:rPr>
        <w:t>i</w:t>
      </w:r>
      <w:r w:rsidR="004371A7">
        <w:rPr>
          <w:bCs/>
          <w:sz w:val="26"/>
          <w:szCs w:val="26"/>
        </w:rPr>
        <w:t>ty</w:t>
      </w:r>
      <w:r w:rsidR="009E73F7">
        <w:rPr>
          <w:bCs/>
          <w:sz w:val="26"/>
          <w:szCs w:val="26"/>
        </w:rPr>
        <w:t xml:space="preserve">, </w:t>
      </w:r>
      <w:r>
        <w:rPr>
          <w:bCs/>
          <w:sz w:val="26"/>
          <w:szCs w:val="26"/>
        </w:rPr>
        <w:t xml:space="preserve">argued </w:t>
      </w:r>
      <w:r w:rsidR="005706A6">
        <w:rPr>
          <w:bCs/>
          <w:sz w:val="26"/>
          <w:szCs w:val="26"/>
        </w:rPr>
        <w:t>that it</w:t>
      </w:r>
      <w:r w:rsidR="00D006B1">
        <w:rPr>
          <w:bCs/>
          <w:sz w:val="26"/>
          <w:szCs w:val="26"/>
        </w:rPr>
        <w:t xml:space="preserve">s due process rights were impaired </w:t>
      </w:r>
      <w:r w:rsidR="00CE7625">
        <w:rPr>
          <w:bCs/>
          <w:sz w:val="26"/>
          <w:szCs w:val="26"/>
        </w:rPr>
        <w:t>b</w:t>
      </w:r>
      <w:r w:rsidR="00D006B1">
        <w:rPr>
          <w:bCs/>
          <w:sz w:val="26"/>
          <w:szCs w:val="26"/>
        </w:rPr>
        <w:t>as</w:t>
      </w:r>
      <w:r w:rsidR="00CE7625">
        <w:rPr>
          <w:bCs/>
          <w:sz w:val="26"/>
          <w:szCs w:val="26"/>
        </w:rPr>
        <w:t>ed</w:t>
      </w:r>
      <w:r w:rsidR="00D006B1">
        <w:rPr>
          <w:bCs/>
          <w:sz w:val="26"/>
          <w:szCs w:val="26"/>
        </w:rPr>
        <w:t xml:space="preserve"> </w:t>
      </w:r>
      <w:r w:rsidR="00CE7625">
        <w:rPr>
          <w:bCs/>
          <w:sz w:val="26"/>
          <w:szCs w:val="26"/>
        </w:rPr>
        <w:t xml:space="preserve">allegations that </w:t>
      </w:r>
      <w:r w:rsidR="00D006B1">
        <w:rPr>
          <w:bCs/>
          <w:sz w:val="26"/>
          <w:szCs w:val="26"/>
        </w:rPr>
        <w:t>it</w:t>
      </w:r>
      <w:r w:rsidR="005706A6">
        <w:rPr>
          <w:bCs/>
          <w:sz w:val="26"/>
          <w:szCs w:val="26"/>
        </w:rPr>
        <w:t xml:space="preserve"> </w:t>
      </w:r>
      <w:r w:rsidR="009E73F7">
        <w:rPr>
          <w:bCs/>
          <w:sz w:val="26"/>
          <w:szCs w:val="26"/>
        </w:rPr>
        <w:t>lack</w:t>
      </w:r>
      <w:r w:rsidR="005706A6">
        <w:rPr>
          <w:bCs/>
          <w:sz w:val="26"/>
          <w:szCs w:val="26"/>
        </w:rPr>
        <w:t>ed</w:t>
      </w:r>
      <w:r w:rsidR="009E73F7">
        <w:rPr>
          <w:bCs/>
          <w:sz w:val="26"/>
          <w:szCs w:val="26"/>
        </w:rPr>
        <w:t xml:space="preserve"> </w:t>
      </w:r>
      <w:r w:rsidR="005706A6">
        <w:rPr>
          <w:bCs/>
          <w:sz w:val="26"/>
          <w:szCs w:val="26"/>
        </w:rPr>
        <w:t>ad</w:t>
      </w:r>
      <w:r w:rsidR="009E73F7">
        <w:rPr>
          <w:bCs/>
          <w:sz w:val="26"/>
          <w:szCs w:val="26"/>
        </w:rPr>
        <w:t>equate notice</w:t>
      </w:r>
      <w:r w:rsidR="00D006B1">
        <w:rPr>
          <w:bCs/>
          <w:sz w:val="26"/>
          <w:szCs w:val="26"/>
        </w:rPr>
        <w:t xml:space="preserve">.  This argument was </w:t>
      </w:r>
      <w:r w:rsidR="005706A6">
        <w:rPr>
          <w:bCs/>
          <w:sz w:val="26"/>
          <w:szCs w:val="26"/>
        </w:rPr>
        <w:t>based on its position</w:t>
      </w:r>
      <w:r w:rsidR="00D006B1">
        <w:rPr>
          <w:bCs/>
          <w:sz w:val="26"/>
          <w:szCs w:val="26"/>
        </w:rPr>
        <w:t xml:space="preserve">, </w:t>
      </w:r>
      <w:r w:rsidR="00D006B1">
        <w:rPr>
          <w:bCs/>
          <w:i/>
          <w:sz w:val="26"/>
          <w:szCs w:val="26"/>
        </w:rPr>
        <w:t>inter alia</w:t>
      </w:r>
      <w:r w:rsidR="00D006B1">
        <w:rPr>
          <w:bCs/>
          <w:sz w:val="26"/>
          <w:szCs w:val="26"/>
        </w:rPr>
        <w:t>,</w:t>
      </w:r>
      <w:r w:rsidR="005706A6">
        <w:rPr>
          <w:bCs/>
          <w:sz w:val="26"/>
          <w:szCs w:val="26"/>
        </w:rPr>
        <w:t xml:space="preserve"> that it was not apprised </w:t>
      </w:r>
      <w:r w:rsidR="00CE7625">
        <w:rPr>
          <w:bCs/>
          <w:sz w:val="26"/>
          <w:szCs w:val="26"/>
        </w:rPr>
        <w:t xml:space="preserve">of the extension of rate caps given to the separate tariff </w:t>
      </w:r>
      <w:r w:rsidR="005706A6">
        <w:rPr>
          <w:bCs/>
          <w:sz w:val="26"/>
          <w:szCs w:val="26"/>
        </w:rPr>
        <w:t>through</w:t>
      </w:r>
      <w:r w:rsidR="009E73F7">
        <w:rPr>
          <w:bCs/>
          <w:sz w:val="26"/>
          <w:szCs w:val="26"/>
        </w:rPr>
        <w:t xml:space="preserve"> </w:t>
      </w:r>
      <w:r w:rsidR="009E73F7" w:rsidRPr="009E73F7">
        <w:rPr>
          <w:sz w:val="26"/>
          <w:szCs w:val="26"/>
        </w:rPr>
        <w:t>customer bill inserts</w:t>
      </w:r>
      <w:r w:rsidR="009E73F7">
        <w:rPr>
          <w:sz w:val="26"/>
          <w:szCs w:val="26"/>
        </w:rPr>
        <w:t>,</w:t>
      </w:r>
      <w:r w:rsidR="009E73F7" w:rsidRPr="009E73F7">
        <w:rPr>
          <w:sz w:val="26"/>
          <w:szCs w:val="26"/>
        </w:rPr>
        <w:t xml:space="preserve"> </w:t>
      </w:r>
      <w:r w:rsidR="005706A6">
        <w:rPr>
          <w:sz w:val="26"/>
          <w:szCs w:val="26"/>
        </w:rPr>
        <w:t xml:space="preserve">and other means, </w:t>
      </w:r>
      <w:r w:rsidR="00CE7625">
        <w:rPr>
          <w:sz w:val="26"/>
          <w:szCs w:val="26"/>
        </w:rPr>
        <w:t xml:space="preserve">and </w:t>
      </w:r>
      <w:r w:rsidR="009E73F7" w:rsidRPr="009E73F7">
        <w:rPr>
          <w:sz w:val="26"/>
          <w:szCs w:val="26"/>
        </w:rPr>
        <w:t xml:space="preserve">that </w:t>
      </w:r>
      <w:r w:rsidR="00D006B1">
        <w:rPr>
          <w:sz w:val="26"/>
          <w:szCs w:val="26"/>
        </w:rPr>
        <w:t>the</w:t>
      </w:r>
      <w:r w:rsidR="009E73F7">
        <w:rPr>
          <w:sz w:val="26"/>
          <w:szCs w:val="26"/>
        </w:rPr>
        <w:t xml:space="preserve"> tariff,</w:t>
      </w:r>
      <w:r w:rsidR="009E73F7" w:rsidRPr="009E73F7">
        <w:rPr>
          <w:sz w:val="26"/>
          <w:szCs w:val="26"/>
        </w:rPr>
        <w:t xml:space="preserve"> Tariff 37</w:t>
      </w:r>
      <w:r w:rsidR="009E73F7">
        <w:rPr>
          <w:sz w:val="26"/>
          <w:szCs w:val="26"/>
        </w:rPr>
        <w:t xml:space="preserve">, and </w:t>
      </w:r>
      <w:r w:rsidR="009E73F7" w:rsidRPr="009E73F7">
        <w:rPr>
          <w:sz w:val="26"/>
          <w:szCs w:val="26"/>
        </w:rPr>
        <w:t>rates</w:t>
      </w:r>
      <w:r w:rsidR="009E73F7">
        <w:rPr>
          <w:sz w:val="26"/>
          <w:szCs w:val="26"/>
        </w:rPr>
        <w:t xml:space="preserve"> thereunder,</w:t>
      </w:r>
      <w:r w:rsidR="009E73F7" w:rsidRPr="009E73F7">
        <w:rPr>
          <w:sz w:val="26"/>
          <w:szCs w:val="26"/>
        </w:rPr>
        <w:t xml:space="preserve"> would be excluded from </w:t>
      </w:r>
      <w:r w:rsidR="009E73F7">
        <w:rPr>
          <w:sz w:val="26"/>
          <w:szCs w:val="26"/>
        </w:rPr>
        <w:t xml:space="preserve">a </w:t>
      </w:r>
      <w:r w:rsidR="009E73F7" w:rsidRPr="009E73F7">
        <w:rPr>
          <w:sz w:val="26"/>
          <w:szCs w:val="26"/>
        </w:rPr>
        <w:t>rate cap extension</w:t>
      </w:r>
      <w:r w:rsidR="009E73F7">
        <w:rPr>
          <w:sz w:val="26"/>
          <w:szCs w:val="26"/>
        </w:rPr>
        <w:t xml:space="preserve"> that was </w:t>
      </w:r>
      <w:r w:rsidR="005706A6">
        <w:rPr>
          <w:sz w:val="26"/>
          <w:szCs w:val="26"/>
        </w:rPr>
        <w:t>given</w:t>
      </w:r>
      <w:r w:rsidR="009E73F7">
        <w:rPr>
          <w:sz w:val="26"/>
          <w:szCs w:val="26"/>
        </w:rPr>
        <w:t xml:space="preserve"> to </w:t>
      </w:r>
      <w:r w:rsidR="00CE7625">
        <w:rPr>
          <w:sz w:val="26"/>
          <w:szCs w:val="26"/>
        </w:rPr>
        <w:t>the</w:t>
      </w:r>
      <w:r w:rsidR="009E73F7">
        <w:rPr>
          <w:sz w:val="26"/>
          <w:szCs w:val="26"/>
        </w:rPr>
        <w:t xml:space="preserve"> separate tariff under </w:t>
      </w:r>
      <w:r w:rsidR="00F12082">
        <w:rPr>
          <w:sz w:val="26"/>
          <w:szCs w:val="26"/>
        </w:rPr>
        <w:t xml:space="preserve">which </w:t>
      </w:r>
      <w:r w:rsidR="005706A6">
        <w:rPr>
          <w:sz w:val="26"/>
          <w:szCs w:val="26"/>
        </w:rPr>
        <w:t>it</w:t>
      </w:r>
      <w:r w:rsidR="009E73F7">
        <w:rPr>
          <w:sz w:val="26"/>
          <w:szCs w:val="26"/>
        </w:rPr>
        <w:t xml:space="preserve"> also made purchases.</w:t>
      </w:r>
    </w:p>
    <w:p w:rsidR="00243007" w:rsidRPr="009E6DB8" w:rsidRDefault="00243007" w:rsidP="003A7572">
      <w:pPr>
        <w:widowControl/>
        <w:spacing w:line="360" w:lineRule="auto"/>
        <w:ind w:firstLine="1440"/>
        <w:rPr>
          <w:sz w:val="26"/>
          <w:szCs w:val="26"/>
        </w:rPr>
      </w:pPr>
    </w:p>
    <w:p w:rsidR="004371A7" w:rsidRDefault="004371A7" w:rsidP="003A7572">
      <w:pPr>
        <w:widowControl/>
        <w:spacing w:line="360" w:lineRule="auto"/>
        <w:ind w:firstLine="1440"/>
        <w:rPr>
          <w:bCs/>
          <w:sz w:val="26"/>
          <w:szCs w:val="26"/>
        </w:rPr>
      </w:pPr>
      <w:r>
        <w:rPr>
          <w:bCs/>
          <w:sz w:val="26"/>
          <w:szCs w:val="26"/>
        </w:rPr>
        <w:t xml:space="preserve">Based on the foregoing, the complex factual circumstances of </w:t>
      </w:r>
      <w:r w:rsidRPr="004371A7">
        <w:rPr>
          <w:bCs/>
          <w:i/>
          <w:sz w:val="26"/>
          <w:szCs w:val="26"/>
        </w:rPr>
        <w:t>Pa. State</w:t>
      </w:r>
      <w:r w:rsidR="00D006B1">
        <w:rPr>
          <w:bCs/>
          <w:i/>
          <w:sz w:val="26"/>
          <w:szCs w:val="26"/>
        </w:rPr>
        <w:t xml:space="preserve"> v. </w:t>
      </w:r>
      <w:proofErr w:type="gramStart"/>
      <w:r w:rsidR="00D006B1">
        <w:rPr>
          <w:bCs/>
          <w:i/>
          <w:sz w:val="26"/>
          <w:szCs w:val="26"/>
        </w:rPr>
        <w:t>PUC</w:t>
      </w:r>
      <w:r>
        <w:rPr>
          <w:bCs/>
          <w:sz w:val="26"/>
          <w:szCs w:val="26"/>
        </w:rPr>
        <w:t>,</w:t>
      </w:r>
      <w:proofErr w:type="gramEnd"/>
      <w:r>
        <w:rPr>
          <w:bCs/>
          <w:sz w:val="26"/>
          <w:szCs w:val="26"/>
        </w:rPr>
        <w:t xml:space="preserve"> differ from those in the present dispute and make the holding </w:t>
      </w:r>
      <w:r w:rsidR="005706A6">
        <w:rPr>
          <w:bCs/>
          <w:sz w:val="26"/>
          <w:szCs w:val="26"/>
        </w:rPr>
        <w:t xml:space="preserve">of that case </w:t>
      </w:r>
      <w:r>
        <w:rPr>
          <w:bCs/>
          <w:sz w:val="26"/>
          <w:szCs w:val="26"/>
        </w:rPr>
        <w:t>legally distinguishable.</w:t>
      </w:r>
    </w:p>
    <w:p w:rsidR="004371A7" w:rsidRDefault="004371A7" w:rsidP="003A7572">
      <w:pPr>
        <w:widowControl/>
        <w:spacing w:line="360" w:lineRule="auto"/>
        <w:ind w:firstLine="1440"/>
        <w:rPr>
          <w:bCs/>
          <w:sz w:val="26"/>
          <w:szCs w:val="26"/>
        </w:rPr>
      </w:pPr>
    </w:p>
    <w:p w:rsidR="003A2A8A" w:rsidRDefault="003A2A8A" w:rsidP="003A7572">
      <w:pPr>
        <w:widowControl/>
        <w:spacing w:line="360" w:lineRule="auto"/>
        <w:ind w:firstLine="1440"/>
        <w:rPr>
          <w:sz w:val="26"/>
          <w:szCs w:val="26"/>
        </w:rPr>
      </w:pPr>
      <w:r>
        <w:rPr>
          <w:sz w:val="26"/>
          <w:szCs w:val="26"/>
        </w:rPr>
        <w:t>The dispute in this proceeding centers upon the Supplier Coordination Tariff of the Companies.  The tariff, as noted, pertains to</w:t>
      </w:r>
      <w:r w:rsidR="005706A6">
        <w:rPr>
          <w:sz w:val="26"/>
          <w:szCs w:val="26"/>
        </w:rPr>
        <w:t xml:space="preserve"> </w:t>
      </w:r>
      <w:r>
        <w:rPr>
          <w:sz w:val="26"/>
          <w:szCs w:val="26"/>
        </w:rPr>
        <w:t>a</w:t>
      </w:r>
      <w:r w:rsidR="005706A6">
        <w:rPr>
          <w:sz w:val="26"/>
          <w:szCs w:val="26"/>
        </w:rPr>
        <w:t>, v</w:t>
      </w:r>
      <w:r>
        <w:rPr>
          <w:sz w:val="26"/>
          <w:szCs w:val="26"/>
        </w:rPr>
        <w:t>oluntar</w:t>
      </w:r>
      <w:r w:rsidR="005706A6">
        <w:rPr>
          <w:sz w:val="26"/>
          <w:szCs w:val="26"/>
        </w:rPr>
        <w:t xml:space="preserve">y, </w:t>
      </w:r>
      <w:r>
        <w:rPr>
          <w:sz w:val="26"/>
          <w:szCs w:val="26"/>
        </w:rPr>
        <w:t xml:space="preserve">purchase of receivables program.  We </w:t>
      </w:r>
      <w:r w:rsidR="005706A6">
        <w:rPr>
          <w:sz w:val="26"/>
          <w:szCs w:val="26"/>
        </w:rPr>
        <w:t>acknowledge</w:t>
      </w:r>
      <w:r>
        <w:rPr>
          <w:sz w:val="26"/>
          <w:szCs w:val="26"/>
        </w:rPr>
        <w:t xml:space="preserve"> that the tariff is the result of arduous efforts on the part of the Companies, stakeholders, and statutory advocates, as Parties to </w:t>
      </w:r>
      <w:r w:rsidRPr="001D2D9B">
        <w:rPr>
          <w:i/>
          <w:sz w:val="26"/>
          <w:szCs w:val="26"/>
        </w:rPr>
        <w:t>DSP IV</w:t>
      </w:r>
      <w:r>
        <w:rPr>
          <w:sz w:val="26"/>
          <w:szCs w:val="26"/>
        </w:rPr>
        <w:t xml:space="preserve"> </w:t>
      </w:r>
      <w:r>
        <w:rPr>
          <w:i/>
          <w:sz w:val="26"/>
          <w:szCs w:val="26"/>
        </w:rPr>
        <w:t>Final Order</w:t>
      </w:r>
      <w:r>
        <w:rPr>
          <w:sz w:val="26"/>
          <w:szCs w:val="26"/>
        </w:rPr>
        <w:t xml:space="preserve"> proceeding</w:t>
      </w:r>
      <w:r w:rsidR="00CE7625">
        <w:rPr>
          <w:sz w:val="26"/>
          <w:szCs w:val="26"/>
        </w:rPr>
        <w:t>,</w:t>
      </w:r>
      <w:r>
        <w:rPr>
          <w:sz w:val="26"/>
          <w:szCs w:val="26"/>
        </w:rPr>
        <w:t xml:space="preserve"> to resolve </w:t>
      </w:r>
      <w:r w:rsidR="005706A6">
        <w:rPr>
          <w:sz w:val="26"/>
          <w:szCs w:val="26"/>
        </w:rPr>
        <w:t xml:space="preserve">through settlement </w:t>
      </w:r>
      <w:r>
        <w:rPr>
          <w:sz w:val="26"/>
          <w:szCs w:val="26"/>
        </w:rPr>
        <w:t xml:space="preserve">important issues concerning the management of default service and </w:t>
      </w:r>
      <w:r w:rsidR="00CE7625">
        <w:rPr>
          <w:sz w:val="26"/>
          <w:szCs w:val="26"/>
        </w:rPr>
        <w:t xml:space="preserve">to </w:t>
      </w:r>
      <w:r w:rsidR="005706A6">
        <w:rPr>
          <w:sz w:val="26"/>
          <w:szCs w:val="26"/>
        </w:rPr>
        <w:t>equitably manage the</w:t>
      </w:r>
      <w:r>
        <w:rPr>
          <w:sz w:val="26"/>
          <w:szCs w:val="26"/>
        </w:rPr>
        <w:t xml:space="preserve"> treatment of uncollectible accounts associated with EGS service.</w:t>
      </w:r>
    </w:p>
    <w:p w:rsidR="003A2A8A" w:rsidRDefault="003A2A8A" w:rsidP="003A7572">
      <w:pPr>
        <w:widowControl/>
        <w:spacing w:line="360" w:lineRule="auto"/>
        <w:ind w:firstLine="1440"/>
        <w:rPr>
          <w:sz w:val="26"/>
          <w:szCs w:val="26"/>
        </w:rPr>
      </w:pPr>
    </w:p>
    <w:p w:rsidR="00CE7625" w:rsidRDefault="003A2A8A" w:rsidP="003A7572">
      <w:pPr>
        <w:widowControl/>
        <w:spacing w:line="360" w:lineRule="auto"/>
        <w:ind w:firstLine="1440"/>
        <w:rPr>
          <w:sz w:val="26"/>
          <w:szCs w:val="26"/>
        </w:rPr>
      </w:pPr>
      <w:r>
        <w:rPr>
          <w:sz w:val="26"/>
          <w:szCs w:val="26"/>
        </w:rPr>
        <w:t xml:space="preserve">While this Commission </w:t>
      </w:r>
      <w:r w:rsidR="005706A6">
        <w:rPr>
          <w:sz w:val="26"/>
          <w:szCs w:val="26"/>
        </w:rPr>
        <w:t>encourages</w:t>
      </w:r>
      <w:r>
        <w:rPr>
          <w:sz w:val="26"/>
          <w:szCs w:val="26"/>
        </w:rPr>
        <w:t xml:space="preserve"> the efforts all Parties in achieving reasonable compromises that further the goals of </w:t>
      </w:r>
      <w:r w:rsidR="00CE7625">
        <w:rPr>
          <w:sz w:val="26"/>
          <w:szCs w:val="26"/>
        </w:rPr>
        <w:t xml:space="preserve">the </w:t>
      </w:r>
      <w:r>
        <w:rPr>
          <w:sz w:val="26"/>
          <w:szCs w:val="26"/>
        </w:rPr>
        <w:t xml:space="preserve">Act, Act 129, </w:t>
      </w:r>
      <w:r w:rsidR="005706A6">
        <w:rPr>
          <w:sz w:val="26"/>
          <w:szCs w:val="26"/>
        </w:rPr>
        <w:t xml:space="preserve">and the </w:t>
      </w:r>
      <w:r w:rsidR="005706A6">
        <w:rPr>
          <w:i/>
          <w:sz w:val="26"/>
          <w:szCs w:val="26"/>
        </w:rPr>
        <w:t xml:space="preserve">DSP </w:t>
      </w:r>
      <w:r w:rsidR="005706A6">
        <w:rPr>
          <w:sz w:val="26"/>
          <w:szCs w:val="26"/>
        </w:rPr>
        <w:t>proceedings, t</w:t>
      </w:r>
      <w:r>
        <w:rPr>
          <w:sz w:val="26"/>
          <w:szCs w:val="26"/>
        </w:rPr>
        <w:t xml:space="preserve">he fact that a tariff has resulted from these efforts </w:t>
      </w:r>
      <w:r w:rsidR="005706A6">
        <w:rPr>
          <w:sz w:val="26"/>
          <w:szCs w:val="26"/>
        </w:rPr>
        <w:t>cannot</w:t>
      </w:r>
      <w:r>
        <w:rPr>
          <w:sz w:val="26"/>
          <w:szCs w:val="26"/>
        </w:rPr>
        <w:t xml:space="preserve"> serve to elevate such tariff to a status which insulates it from a colorable challenge concerning the justness and reasonableness of its application under a fact-specific complaint filed under Section 701 of the Code.</w:t>
      </w:r>
    </w:p>
    <w:p w:rsidR="00CE7625" w:rsidRDefault="00CE7625" w:rsidP="003A7572">
      <w:pPr>
        <w:widowControl/>
        <w:spacing w:line="360" w:lineRule="auto"/>
        <w:ind w:firstLine="1440"/>
        <w:rPr>
          <w:sz w:val="26"/>
          <w:szCs w:val="26"/>
        </w:rPr>
      </w:pPr>
    </w:p>
    <w:p w:rsidR="00295081" w:rsidRPr="005522F9" w:rsidRDefault="00D006B1" w:rsidP="003A7572">
      <w:pPr>
        <w:widowControl/>
        <w:spacing w:line="360" w:lineRule="auto"/>
        <w:ind w:firstLine="1440"/>
        <w:rPr>
          <w:sz w:val="26"/>
          <w:szCs w:val="26"/>
        </w:rPr>
      </w:pPr>
      <w:r>
        <w:rPr>
          <w:sz w:val="26"/>
          <w:szCs w:val="26"/>
        </w:rPr>
        <w:t>Based on the requirements of Section 701 of the Code under the facts of these Complaints, it is not necessary for this Commission to</w:t>
      </w:r>
      <w:r w:rsidR="00CE7625">
        <w:rPr>
          <w:sz w:val="26"/>
          <w:szCs w:val="26"/>
        </w:rPr>
        <w:t xml:space="preserve"> extensively engage in a review of the conclusions of the motions ALJ concerning the nature of the charges under </w:t>
      </w:r>
      <w:r w:rsidR="00CE7625">
        <w:rPr>
          <w:sz w:val="26"/>
          <w:szCs w:val="26"/>
        </w:rPr>
        <w:lastRenderedPageBreak/>
        <w:t>the POR program.</w:t>
      </w:r>
      <w:r w:rsidR="006F028F">
        <w:rPr>
          <w:sz w:val="26"/>
          <w:szCs w:val="26"/>
        </w:rPr>
        <w:t xml:space="preserve">  Neither is it necessary to review the contentions of the Companies as to whether the Supplier Coordination Tariff is entitled to treatment under Section 1302 of the Code.</w:t>
      </w:r>
      <w:r>
        <w:rPr>
          <w:sz w:val="26"/>
          <w:szCs w:val="26"/>
        </w:rPr>
        <w:t xml:space="preserve"> </w:t>
      </w:r>
      <w:r w:rsidR="006F028F">
        <w:rPr>
          <w:sz w:val="26"/>
          <w:szCs w:val="26"/>
        </w:rPr>
        <w:t xml:space="preserve">  </w:t>
      </w:r>
      <w:r w:rsidR="006F028F">
        <w:rPr>
          <w:i/>
          <w:sz w:val="26"/>
          <w:szCs w:val="26"/>
        </w:rPr>
        <w:t>See</w:t>
      </w:r>
      <w:r w:rsidR="006F028F">
        <w:rPr>
          <w:sz w:val="26"/>
          <w:szCs w:val="26"/>
        </w:rPr>
        <w:t xml:space="preserve"> </w:t>
      </w:r>
      <w:r w:rsidR="006F028F" w:rsidRPr="006F028F">
        <w:rPr>
          <w:rFonts w:eastAsiaTheme="minorHAnsi"/>
          <w:iCs/>
          <w:sz w:val="26"/>
          <w:szCs w:val="26"/>
        </w:rPr>
        <w:t xml:space="preserve">52 </w:t>
      </w:r>
      <w:r w:rsidR="006F028F" w:rsidRPr="006F028F">
        <w:rPr>
          <w:rFonts w:eastAsiaTheme="minorHAnsi"/>
          <w:sz w:val="26"/>
          <w:szCs w:val="26"/>
        </w:rPr>
        <w:t>Pa. Code § 69.1816</w:t>
      </w:r>
      <w:r w:rsidR="006F028F">
        <w:rPr>
          <w:rFonts w:eastAsiaTheme="minorHAnsi"/>
          <w:sz w:val="26"/>
          <w:szCs w:val="26"/>
        </w:rPr>
        <w:t>.</w:t>
      </w:r>
    </w:p>
    <w:p w:rsidR="000714FC" w:rsidRDefault="000714FC" w:rsidP="003A7572">
      <w:pPr>
        <w:widowControl/>
        <w:spacing w:line="360" w:lineRule="auto"/>
        <w:rPr>
          <w:sz w:val="26"/>
          <w:szCs w:val="26"/>
        </w:rPr>
      </w:pPr>
    </w:p>
    <w:p w:rsidR="0082069B" w:rsidRPr="00E62E32" w:rsidRDefault="00A94D4F" w:rsidP="00184362">
      <w:pPr>
        <w:keepNext/>
        <w:keepLines/>
        <w:widowControl/>
        <w:spacing w:line="360" w:lineRule="auto"/>
        <w:jc w:val="center"/>
        <w:rPr>
          <w:b/>
          <w:sz w:val="26"/>
          <w:szCs w:val="26"/>
        </w:rPr>
      </w:pPr>
      <w:r>
        <w:rPr>
          <w:b/>
          <w:sz w:val="26"/>
          <w:szCs w:val="26"/>
        </w:rPr>
        <w:t>IV</w:t>
      </w:r>
      <w:proofErr w:type="gramStart"/>
      <w:r>
        <w:rPr>
          <w:b/>
          <w:sz w:val="26"/>
          <w:szCs w:val="26"/>
        </w:rPr>
        <w:t xml:space="preserve">.  </w:t>
      </w:r>
      <w:r w:rsidR="0082069B">
        <w:rPr>
          <w:b/>
          <w:sz w:val="26"/>
          <w:szCs w:val="26"/>
        </w:rPr>
        <w:t>Conclusion</w:t>
      </w:r>
      <w:proofErr w:type="gramEnd"/>
    </w:p>
    <w:p w:rsidR="0082069B" w:rsidRDefault="0082069B" w:rsidP="00184362">
      <w:pPr>
        <w:keepNext/>
        <w:keepLines/>
        <w:widowControl/>
        <w:spacing w:line="360" w:lineRule="auto"/>
        <w:ind w:firstLine="1440"/>
        <w:rPr>
          <w:sz w:val="26"/>
          <w:szCs w:val="26"/>
        </w:rPr>
      </w:pPr>
    </w:p>
    <w:p w:rsidR="0082069B" w:rsidRDefault="0082069B" w:rsidP="003A7572">
      <w:pPr>
        <w:widowControl/>
        <w:spacing w:line="360" w:lineRule="auto"/>
        <w:ind w:firstLine="1440"/>
        <w:rPr>
          <w:sz w:val="26"/>
          <w:szCs w:val="26"/>
        </w:rPr>
      </w:pPr>
      <w:r>
        <w:rPr>
          <w:sz w:val="26"/>
          <w:szCs w:val="26"/>
        </w:rPr>
        <w:t xml:space="preserve">For the reasons set forth above, we shall </w:t>
      </w:r>
      <w:r w:rsidR="003D56B8">
        <w:rPr>
          <w:sz w:val="26"/>
          <w:szCs w:val="26"/>
        </w:rPr>
        <w:t>grant</w:t>
      </w:r>
      <w:r w:rsidR="005971E8">
        <w:rPr>
          <w:sz w:val="26"/>
          <w:szCs w:val="26"/>
        </w:rPr>
        <w:t xml:space="preserve"> the</w:t>
      </w:r>
      <w:r>
        <w:rPr>
          <w:sz w:val="26"/>
          <w:szCs w:val="26"/>
        </w:rPr>
        <w:t xml:space="preserve"> Petition and answer the</w:t>
      </w:r>
      <w:r w:rsidR="005971E8">
        <w:rPr>
          <w:sz w:val="26"/>
          <w:szCs w:val="26"/>
        </w:rPr>
        <w:t xml:space="preserve"> </w:t>
      </w:r>
      <w:r>
        <w:rPr>
          <w:sz w:val="26"/>
          <w:szCs w:val="26"/>
        </w:rPr>
        <w:t xml:space="preserve"> question</w:t>
      </w:r>
      <w:r w:rsidR="00E74999">
        <w:rPr>
          <w:sz w:val="26"/>
          <w:szCs w:val="26"/>
        </w:rPr>
        <w:t>s</w:t>
      </w:r>
      <w:r>
        <w:rPr>
          <w:sz w:val="26"/>
          <w:szCs w:val="26"/>
        </w:rPr>
        <w:t xml:space="preserve"> </w:t>
      </w:r>
      <w:r w:rsidR="00CE7625">
        <w:rPr>
          <w:sz w:val="26"/>
          <w:szCs w:val="26"/>
        </w:rPr>
        <w:t xml:space="preserve">raised </w:t>
      </w:r>
      <w:r w:rsidR="005971E8">
        <w:rPr>
          <w:sz w:val="26"/>
          <w:szCs w:val="26"/>
        </w:rPr>
        <w:t xml:space="preserve">in the </w:t>
      </w:r>
      <w:r w:rsidR="003D56B8">
        <w:rPr>
          <w:sz w:val="26"/>
          <w:szCs w:val="26"/>
        </w:rPr>
        <w:t>affirmative</w:t>
      </w:r>
      <w:r w:rsidR="00104C04">
        <w:rPr>
          <w:sz w:val="26"/>
          <w:szCs w:val="26"/>
        </w:rPr>
        <w:t>,</w:t>
      </w:r>
      <w:r>
        <w:rPr>
          <w:sz w:val="26"/>
          <w:szCs w:val="26"/>
        </w:rPr>
        <w:t xml:space="preserve"> consistent with the discussion contained in this Opinion and Order; </w:t>
      </w:r>
      <w:r w:rsidR="00CE2AB8">
        <w:rPr>
          <w:b/>
          <w:sz w:val="26"/>
          <w:szCs w:val="26"/>
        </w:rPr>
        <w:t>THEREFORE,</w:t>
      </w:r>
    </w:p>
    <w:p w:rsidR="0082069B" w:rsidRDefault="0082069B" w:rsidP="003A7572">
      <w:pPr>
        <w:widowControl/>
        <w:spacing w:line="360" w:lineRule="auto"/>
        <w:ind w:firstLine="1440"/>
        <w:rPr>
          <w:b/>
          <w:sz w:val="26"/>
          <w:szCs w:val="26"/>
        </w:rPr>
      </w:pPr>
    </w:p>
    <w:p w:rsidR="0082069B" w:rsidRDefault="0082069B" w:rsidP="003A7572">
      <w:pPr>
        <w:widowControl/>
        <w:spacing w:line="360" w:lineRule="auto"/>
        <w:ind w:firstLine="1440"/>
        <w:rPr>
          <w:b/>
          <w:sz w:val="26"/>
          <w:szCs w:val="26"/>
        </w:rPr>
      </w:pPr>
      <w:r>
        <w:rPr>
          <w:b/>
          <w:sz w:val="26"/>
          <w:szCs w:val="26"/>
        </w:rPr>
        <w:t>IT IS ORDERED:</w:t>
      </w:r>
    </w:p>
    <w:p w:rsidR="0082069B" w:rsidRDefault="0082069B" w:rsidP="003A7572">
      <w:pPr>
        <w:widowControl/>
        <w:spacing w:line="360" w:lineRule="auto"/>
        <w:ind w:firstLine="1440"/>
        <w:rPr>
          <w:b/>
          <w:sz w:val="26"/>
          <w:szCs w:val="26"/>
        </w:rPr>
      </w:pPr>
    </w:p>
    <w:p w:rsidR="0082069B" w:rsidRPr="00B21635" w:rsidRDefault="0082069B" w:rsidP="003A7572">
      <w:pPr>
        <w:pStyle w:val="ListParagraph"/>
        <w:widowControl/>
        <w:numPr>
          <w:ilvl w:val="0"/>
          <w:numId w:val="8"/>
        </w:numPr>
        <w:spacing w:line="360" w:lineRule="auto"/>
        <w:ind w:left="0" w:firstLine="1440"/>
        <w:rPr>
          <w:sz w:val="26"/>
          <w:szCs w:val="26"/>
        </w:rPr>
      </w:pPr>
      <w:r>
        <w:rPr>
          <w:sz w:val="26"/>
          <w:szCs w:val="26"/>
        </w:rPr>
        <w:t xml:space="preserve">That the Petition for </w:t>
      </w:r>
      <w:r>
        <w:rPr>
          <w:color w:val="000000"/>
          <w:sz w:val="26"/>
        </w:rPr>
        <w:t>Interlocutory Review and Answer to Material Questions filed by</w:t>
      </w:r>
      <w:r w:rsidR="00E74999">
        <w:rPr>
          <w:color w:val="000000"/>
          <w:sz w:val="26"/>
        </w:rPr>
        <w:t xml:space="preserve"> Respond Power, LLC</w:t>
      </w:r>
      <w:r>
        <w:rPr>
          <w:color w:val="000000"/>
          <w:sz w:val="26"/>
        </w:rPr>
        <w:t xml:space="preserve"> is, hereby, </w:t>
      </w:r>
      <w:r w:rsidR="003D56B8">
        <w:rPr>
          <w:color w:val="000000"/>
          <w:sz w:val="26"/>
        </w:rPr>
        <w:t>granted</w:t>
      </w:r>
      <w:r w:rsidR="00E74999">
        <w:rPr>
          <w:color w:val="000000"/>
          <w:sz w:val="26"/>
        </w:rPr>
        <w:t>, consistent with this Opinion and Order</w:t>
      </w:r>
      <w:r>
        <w:rPr>
          <w:color w:val="000000"/>
          <w:sz w:val="26"/>
        </w:rPr>
        <w:t>.</w:t>
      </w:r>
      <w:r>
        <w:rPr>
          <w:sz w:val="26"/>
          <w:szCs w:val="26"/>
        </w:rPr>
        <w:t xml:space="preserve"> </w:t>
      </w:r>
    </w:p>
    <w:p w:rsidR="00295081" w:rsidRDefault="00295081" w:rsidP="003A7572">
      <w:pPr>
        <w:widowControl/>
        <w:rPr>
          <w:sz w:val="26"/>
          <w:szCs w:val="26"/>
        </w:rPr>
      </w:pPr>
    </w:p>
    <w:p w:rsidR="0082069B" w:rsidRPr="00FC740F" w:rsidRDefault="0082069B" w:rsidP="003A7572">
      <w:pPr>
        <w:pStyle w:val="ListParagraph"/>
        <w:keepNext/>
        <w:widowControl/>
        <w:numPr>
          <w:ilvl w:val="0"/>
          <w:numId w:val="8"/>
        </w:numPr>
        <w:tabs>
          <w:tab w:val="clear" w:pos="2160"/>
          <w:tab w:val="num" w:pos="0"/>
        </w:tabs>
        <w:spacing w:line="360" w:lineRule="auto"/>
        <w:ind w:left="0" w:firstLine="1440"/>
        <w:rPr>
          <w:sz w:val="26"/>
          <w:szCs w:val="26"/>
        </w:rPr>
      </w:pPr>
      <w:r w:rsidRPr="00FC740F">
        <w:rPr>
          <w:sz w:val="26"/>
          <w:szCs w:val="26"/>
        </w:rPr>
        <w:t>That the following material question</w:t>
      </w:r>
      <w:r w:rsidR="00E74999">
        <w:rPr>
          <w:sz w:val="26"/>
          <w:szCs w:val="26"/>
        </w:rPr>
        <w:t>(s)</w:t>
      </w:r>
      <w:r w:rsidRPr="00FC740F">
        <w:rPr>
          <w:sz w:val="26"/>
          <w:szCs w:val="26"/>
        </w:rPr>
        <w:t xml:space="preserve"> </w:t>
      </w:r>
      <w:r w:rsidR="00E74999">
        <w:rPr>
          <w:sz w:val="26"/>
          <w:szCs w:val="26"/>
        </w:rPr>
        <w:t>are</w:t>
      </w:r>
      <w:r w:rsidRPr="00FC740F">
        <w:rPr>
          <w:sz w:val="26"/>
          <w:szCs w:val="26"/>
        </w:rPr>
        <w:t xml:space="preserve"> answered in the </w:t>
      </w:r>
      <w:r w:rsidR="00E74999">
        <w:rPr>
          <w:sz w:val="26"/>
          <w:szCs w:val="26"/>
        </w:rPr>
        <w:t>affirmative</w:t>
      </w:r>
      <w:r w:rsidRPr="00FC740F">
        <w:rPr>
          <w:sz w:val="26"/>
          <w:szCs w:val="26"/>
        </w:rPr>
        <w:t>, consistent with the discussion contained in this Opinion and Order:</w:t>
      </w:r>
    </w:p>
    <w:p w:rsidR="006755BE" w:rsidRDefault="006755BE" w:rsidP="003A7572">
      <w:pPr>
        <w:widowControl/>
        <w:ind w:left="1440" w:right="1440"/>
        <w:rPr>
          <w:color w:val="000000"/>
          <w:sz w:val="26"/>
        </w:rPr>
      </w:pPr>
    </w:p>
    <w:p w:rsidR="0082069B" w:rsidRDefault="0082069B" w:rsidP="003A7572">
      <w:pPr>
        <w:widowControl/>
        <w:ind w:right="1440"/>
        <w:rPr>
          <w:sz w:val="26"/>
          <w:szCs w:val="26"/>
        </w:rPr>
      </w:pPr>
      <w:r>
        <w:rPr>
          <w:sz w:val="26"/>
          <w:szCs w:val="26"/>
        </w:rPr>
        <w:tab/>
      </w:r>
    </w:p>
    <w:p w:rsidR="004944A8" w:rsidRDefault="004944A8" w:rsidP="003A7572">
      <w:pPr>
        <w:widowControl/>
        <w:ind w:left="1440" w:right="1440"/>
        <w:rPr>
          <w:color w:val="000000"/>
          <w:sz w:val="26"/>
        </w:rPr>
      </w:pPr>
      <w:r>
        <w:rPr>
          <w:color w:val="000000"/>
          <w:sz w:val="26"/>
        </w:rPr>
        <w:t>A.</w:t>
      </w:r>
      <w:r>
        <w:rPr>
          <w:color w:val="000000"/>
          <w:sz w:val="26"/>
        </w:rPr>
        <w:tab/>
        <w:t>May an entity to whom a utility tariff provision is applied file a complaint with the Commission challenging the application of the tariff</w:t>
      </w:r>
      <w:proofErr w:type="gramStart"/>
      <w:r>
        <w:rPr>
          <w:color w:val="000000"/>
          <w:sz w:val="26"/>
        </w:rPr>
        <w:t>?;</w:t>
      </w:r>
      <w:proofErr w:type="gramEnd"/>
      <w:r>
        <w:rPr>
          <w:color w:val="000000"/>
          <w:sz w:val="26"/>
        </w:rPr>
        <w:t xml:space="preserve"> </w:t>
      </w:r>
    </w:p>
    <w:p w:rsidR="004944A8" w:rsidRDefault="004944A8" w:rsidP="003A7572">
      <w:pPr>
        <w:widowControl/>
        <w:ind w:left="1440" w:right="1440"/>
        <w:rPr>
          <w:color w:val="000000"/>
          <w:sz w:val="26"/>
        </w:rPr>
      </w:pPr>
    </w:p>
    <w:p w:rsidR="004944A8" w:rsidRDefault="004944A8" w:rsidP="003A7572">
      <w:pPr>
        <w:widowControl/>
        <w:ind w:left="1440" w:right="1440"/>
        <w:rPr>
          <w:color w:val="000000"/>
          <w:sz w:val="26"/>
        </w:rPr>
      </w:pPr>
      <w:r>
        <w:rPr>
          <w:color w:val="000000"/>
          <w:sz w:val="26"/>
        </w:rPr>
        <w:t>B.</w:t>
      </w:r>
      <w:r>
        <w:rPr>
          <w:color w:val="000000"/>
          <w:sz w:val="26"/>
        </w:rPr>
        <w:tab/>
        <w:t>Are Commission-approved tariff provisions subject to a just and reasonable standard?</w:t>
      </w:r>
    </w:p>
    <w:p w:rsidR="0082069B" w:rsidRDefault="0082069B" w:rsidP="003A7572">
      <w:pPr>
        <w:widowControl/>
        <w:ind w:right="1440"/>
        <w:rPr>
          <w:sz w:val="26"/>
          <w:szCs w:val="26"/>
        </w:rPr>
      </w:pPr>
    </w:p>
    <w:p w:rsidR="0082069B" w:rsidRPr="005E1C61" w:rsidRDefault="0082069B" w:rsidP="00184362">
      <w:pPr>
        <w:pStyle w:val="ListParagraph"/>
        <w:widowControl/>
        <w:ind w:left="1440" w:right="1440"/>
        <w:rPr>
          <w:sz w:val="26"/>
          <w:szCs w:val="26"/>
        </w:rPr>
      </w:pPr>
    </w:p>
    <w:p w:rsidR="0082069B" w:rsidRDefault="004944A8" w:rsidP="00CE2AB8">
      <w:pPr>
        <w:keepNext/>
        <w:keepLines/>
        <w:widowControl/>
        <w:spacing w:line="360" w:lineRule="auto"/>
        <w:ind w:firstLine="1440"/>
        <w:rPr>
          <w:sz w:val="26"/>
          <w:szCs w:val="26"/>
        </w:rPr>
      </w:pPr>
      <w:r>
        <w:rPr>
          <w:sz w:val="26"/>
          <w:szCs w:val="26"/>
        </w:rPr>
        <w:lastRenderedPageBreak/>
        <w:t>3</w:t>
      </w:r>
      <w:r w:rsidR="00CE2AB8">
        <w:rPr>
          <w:sz w:val="26"/>
          <w:szCs w:val="26"/>
        </w:rPr>
        <w:t>.</w:t>
      </w:r>
      <w:r w:rsidR="0082069B">
        <w:rPr>
          <w:sz w:val="26"/>
          <w:szCs w:val="26"/>
        </w:rPr>
        <w:tab/>
        <w:t xml:space="preserve">That this matter is returned to the Office of Administrative Law Judge for such further proceedings as may be necessary.  </w:t>
      </w:r>
    </w:p>
    <w:p w:rsidR="0082069B" w:rsidRDefault="0082069B" w:rsidP="00CE2AB8">
      <w:pPr>
        <w:keepNext/>
        <w:keepLines/>
        <w:widowControl/>
        <w:spacing w:line="360" w:lineRule="auto"/>
        <w:ind w:firstLine="1440"/>
        <w:rPr>
          <w:sz w:val="26"/>
          <w:szCs w:val="26"/>
        </w:rPr>
      </w:pPr>
    </w:p>
    <w:p w:rsidR="005E1C61" w:rsidRDefault="005E1C61" w:rsidP="00CE2AB8">
      <w:pPr>
        <w:keepNext/>
        <w:keepLines/>
        <w:widowControl/>
        <w:spacing w:line="360" w:lineRule="auto"/>
        <w:ind w:firstLine="1440"/>
        <w:rPr>
          <w:sz w:val="26"/>
          <w:szCs w:val="26"/>
        </w:rPr>
      </w:pPr>
    </w:p>
    <w:p w:rsidR="006755BE" w:rsidRDefault="006B3F31" w:rsidP="00CE2AB8">
      <w:pPr>
        <w:keepNext/>
        <w:keepLines/>
        <w:widowControl/>
        <w:rPr>
          <w:b/>
          <w:sz w:val="26"/>
          <w:szCs w:val="26"/>
        </w:rPr>
      </w:pPr>
      <w:r>
        <w:rPr>
          <w:noProof/>
        </w:rPr>
        <w:drawing>
          <wp:anchor distT="0" distB="0" distL="114300" distR="114300" simplePos="0" relativeHeight="251659264" behindDoc="1" locked="0" layoutInCell="1" allowOverlap="1" wp14:anchorId="12F729B1" wp14:editId="2F072FDD">
            <wp:simplePos x="0" y="0"/>
            <wp:positionH relativeFrom="column">
              <wp:posOffset>3206115</wp:posOffset>
            </wp:positionH>
            <wp:positionV relativeFrom="paragraph">
              <wp:posOffset>113030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5BE">
        <w:rPr>
          <w:sz w:val="26"/>
          <w:szCs w:val="26"/>
        </w:rPr>
        <w:tab/>
      </w:r>
      <w:r w:rsidR="004663E9">
        <w:rPr>
          <w:sz w:val="26"/>
          <w:szCs w:val="26"/>
        </w:rPr>
        <w:tab/>
      </w:r>
      <w:r w:rsidR="004663E9">
        <w:rPr>
          <w:sz w:val="26"/>
          <w:szCs w:val="26"/>
        </w:rPr>
        <w:tab/>
      </w:r>
      <w:r w:rsidR="004663E9">
        <w:rPr>
          <w:sz w:val="26"/>
          <w:szCs w:val="26"/>
        </w:rPr>
        <w:tab/>
      </w:r>
      <w:r w:rsidR="004663E9">
        <w:rPr>
          <w:sz w:val="26"/>
          <w:szCs w:val="26"/>
        </w:rPr>
        <w:tab/>
      </w:r>
      <w:r w:rsidR="004663E9">
        <w:rPr>
          <w:sz w:val="26"/>
          <w:szCs w:val="26"/>
        </w:rPr>
        <w:tab/>
      </w:r>
      <w:r w:rsidR="006755BE">
        <w:rPr>
          <w:sz w:val="26"/>
          <w:szCs w:val="26"/>
        </w:rPr>
        <w:tab/>
      </w:r>
      <w:r w:rsidR="006755BE">
        <w:rPr>
          <w:b/>
          <w:sz w:val="26"/>
          <w:szCs w:val="26"/>
        </w:rPr>
        <w:t>BY THE COMMISSION:</w:t>
      </w:r>
    </w:p>
    <w:p w:rsidR="006755BE" w:rsidRDefault="006755BE" w:rsidP="00CE2AB8">
      <w:pPr>
        <w:keepNext/>
        <w:keepLines/>
        <w:widowControl/>
        <w:tabs>
          <w:tab w:val="left" w:pos="-720"/>
        </w:tabs>
        <w:rPr>
          <w:b/>
          <w:sz w:val="26"/>
          <w:szCs w:val="26"/>
        </w:rPr>
      </w:pPr>
    </w:p>
    <w:p w:rsidR="004663E9" w:rsidRDefault="004663E9" w:rsidP="00CE2AB8">
      <w:pPr>
        <w:keepNext/>
        <w:keepLines/>
        <w:widowControl/>
        <w:tabs>
          <w:tab w:val="left" w:pos="-720"/>
        </w:tabs>
        <w:rPr>
          <w:b/>
          <w:sz w:val="26"/>
          <w:szCs w:val="26"/>
        </w:rPr>
      </w:pPr>
    </w:p>
    <w:p w:rsidR="004663E9" w:rsidRDefault="004663E9" w:rsidP="00CE2AB8">
      <w:pPr>
        <w:keepNext/>
        <w:keepLines/>
        <w:widowControl/>
        <w:tabs>
          <w:tab w:val="left" w:pos="-720"/>
        </w:tabs>
        <w:rPr>
          <w:b/>
          <w:sz w:val="26"/>
          <w:szCs w:val="26"/>
        </w:rPr>
      </w:pPr>
    </w:p>
    <w:p w:rsidR="006755BE" w:rsidRDefault="006755BE" w:rsidP="00CE2AB8">
      <w:pPr>
        <w:keepNext/>
        <w:keepLines/>
        <w:widowControl/>
        <w:tabs>
          <w:tab w:val="left" w:pos="-720"/>
        </w:tabs>
        <w:rPr>
          <w:b/>
          <w:sz w:val="26"/>
          <w:szCs w:val="26"/>
        </w:rPr>
      </w:pPr>
      <w:bookmarkStart w:id="1" w:name="_GoBack"/>
      <w:bookmarkEnd w:id="1"/>
    </w:p>
    <w:p w:rsidR="006755BE" w:rsidRDefault="006755BE" w:rsidP="00CE2AB8">
      <w:pPr>
        <w:keepNext/>
        <w:keepLines/>
        <w:widowControl/>
        <w:tabs>
          <w:tab w:val="left" w:pos="-720"/>
        </w:tabs>
        <w:rPr>
          <w:b/>
          <w:sz w:val="26"/>
          <w:szCs w:val="26"/>
        </w:rPr>
      </w:pPr>
      <w:r>
        <w:rPr>
          <w:b/>
          <w:sz w:val="26"/>
          <w:szCs w:val="26"/>
        </w:rPr>
        <w:tab/>
      </w:r>
      <w:r>
        <w:rPr>
          <w:b/>
          <w:sz w:val="26"/>
          <w:szCs w:val="26"/>
        </w:rPr>
        <w:tab/>
      </w:r>
      <w:r>
        <w:rPr>
          <w:b/>
          <w:sz w:val="26"/>
          <w:szCs w:val="26"/>
        </w:rPr>
        <w:tab/>
      </w:r>
      <w:r w:rsidR="004663E9">
        <w:rPr>
          <w:b/>
          <w:sz w:val="26"/>
          <w:szCs w:val="26"/>
        </w:rPr>
        <w:tab/>
      </w:r>
      <w:r w:rsidR="004663E9">
        <w:rPr>
          <w:b/>
          <w:sz w:val="26"/>
          <w:szCs w:val="26"/>
        </w:rPr>
        <w:tab/>
      </w:r>
      <w:r>
        <w:rPr>
          <w:b/>
          <w:sz w:val="26"/>
          <w:szCs w:val="26"/>
        </w:rPr>
        <w:tab/>
      </w:r>
      <w:r>
        <w:rPr>
          <w:b/>
          <w:sz w:val="26"/>
          <w:szCs w:val="26"/>
        </w:rPr>
        <w:tab/>
      </w:r>
      <w:r>
        <w:rPr>
          <w:sz w:val="26"/>
          <w:szCs w:val="26"/>
        </w:rPr>
        <w:t>Rosemary Chiavetta</w:t>
      </w:r>
    </w:p>
    <w:p w:rsidR="006755BE" w:rsidRDefault="006755BE" w:rsidP="00CE2AB8">
      <w:pPr>
        <w:keepNext/>
        <w:keepLines/>
        <w:widowControl/>
        <w:tabs>
          <w:tab w:val="left" w:pos="-720"/>
        </w:tabs>
        <w:rPr>
          <w:sz w:val="26"/>
          <w:szCs w:val="26"/>
        </w:rPr>
      </w:pPr>
      <w:r>
        <w:rPr>
          <w:sz w:val="26"/>
          <w:szCs w:val="26"/>
        </w:rPr>
        <w:tab/>
      </w:r>
      <w:r>
        <w:rPr>
          <w:sz w:val="26"/>
          <w:szCs w:val="26"/>
        </w:rPr>
        <w:tab/>
      </w:r>
      <w:r>
        <w:rPr>
          <w:sz w:val="26"/>
          <w:szCs w:val="26"/>
        </w:rPr>
        <w:tab/>
      </w:r>
      <w:r w:rsidR="004663E9">
        <w:rPr>
          <w:sz w:val="26"/>
          <w:szCs w:val="26"/>
        </w:rPr>
        <w:tab/>
      </w:r>
      <w:r w:rsidR="004663E9">
        <w:rPr>
          <w:sz w:val="26"/>
          <w:szCs w:val="26"/>
        </w:rPr>
        <w:tab/>
      </w:r>
      <w:r>
        <w:rPr>
          <w:sz w:val="26"/>
          <w:szCs w:val="26"/>
        </w:rPr>
        <w:tab/>
      </w:r>
      <w:r>
        <w:rPr>
          <w:sz w:val="26"/>
          <w:szCs w:val="26"/>
        </w:rPr>
        <w:tab/>
        <w:t>Secretary</w:t>
      </w:r>
    </w:p>
    <w:p w:rsidR="006755BE" w:rsidRDefault="006755BE" w:rsidP="00CE2AB8">
      <w:pPr>
        <w:keepNext/>
        <w:keepLines/>
        <w:widowControl/>
        <w:tabs>
          <w:tab w:val="left" w:pos="-720"/>
        </w:tabs>
        <w:ind w:firstLine="5040"/>
        <w:rPr>
          <w:sz w:val="26"/>
          <w:szCs w:val="26"/>
        </w:rPr>
      </w:pPr>
    </w:p>
    <w:p w:rsidR="006755BE" w:rsidRDefault="006755BE" w:rsidP="00CE2AB8">
      <w:pPr>
        <w:keepNext/>
        <w:keepLines/>
        <w:widowControl/>
        <w:tabs>
          <w:tab w:val="left" w:pos="-720"/>
        </w:tabs>
        <w:rPr>
          <w:sz w:val="26"/>
          <w:szCs w:val="26"/>
        </w:rPr>
      </w:pPr>
    </w:p>
    <w:p w:rsidR="003D56B8" w:rsidRDefault="003D56B8" w:rsidP="00CE2AB8">
      <w:pPr>
        <w:keepNext/>
        <w:keepLines/>
        <w:widowControl/>
        <w:tabs>
          <w:tab w:val="left" w:pos="-720"/>
        </w:tabs>
        <w:rPr>
          <w:sz w:val="26"/>
          <w:szCs w:val="26"/>
        </w:rPr>
      </w:pPr>
    </w:p>
    <w:p w:rsidR="006755BE" w:rsidRDefault="006755BE" w:rsidP="00CE2AB8">
      <w:pPr>
        <w:keepNext/>
        <w:keepLines/>
        <w:widowControl/>
        <w:tabs>
          <w:tab w:val="left" w:pos="-720"/>
        </w:tabs>
        <w:rPr>
          <w:sz w:val="26"/>
          <w:szCs w:val="26"/>
        </w:rPr>
      </w:pPr>
      <w:r>
        <w:rPr>
          <w:sz w:val="26"/>
          <w:szCs w:val="26"/>
        </w:rPr>
        <w:t>(SEAL)</w:t>
      </w:r>
    </w:p>
    <w:p w:rsidR="006755BE" w:rsidRDefault="006755BE" w:rsidP="00CE2AB8">
      <w:pPr>
        <w:keepNext/>
        <w:keepLines/>
        <w:widowControl/>
        <w:tabs>
          <w:tab w:val="left" w:pos="-720"/>
        </w:tabs>
        <w:rPr>
          <w:sz w:val="26"/>
          <w:szCs w:val="26"/>
        </w:rPr>
      </w:pPr>
    </w:p>
    <w:p w:rsidR="006755BE" w:rsidRDefault="006755BE" w:rsidP="00CE2AB8">
      <w:pPr>
        <w:keepNext/>
        <w:keepLines/>
        <w:widowControl/>
        <w:tabs>
          <w:tab w:val="left" w:pos="-720"/>
        </w:tabs>
        <w:rPr>
          <w:sz w:val="26"/>
          <w:szCs w:val="26"/>
        </w:rPr>
      </w:pPr>
      <w:r>
        <w:rPr>
          <w:sz w:val="26"/>
          <w:szCs w:val="26"/>
        </w:rPr>
        <w:t xml:space="preserve">ORDER ADOPTED:  </w:t>
      </w:r>
      <w:r w:rsidR="003D56B8">
        <w:rPr>
          <w:sz w:val="26"/>
          <w:szCs w:val="26"/>
        </w:rPr>
        <w:t>July 1</w:t>
      </w:r>
      <w:r w:rsidR="00517195">
        <w:rPr>
          <w:sz w:val="26"/>
          <w:szCs w:val="26"/>
        </w:rPr>
        <w:t>2</w:t>
      </w:r>
      <w:r w:rsidR="005971E8">
        <w:rPr>
          <w:sz w:val="26"/>
          <w:szCs w:val="26"/>
        </w:rPr>
        <w:t>, 2017</w:t>
      </w:r>
    </w:p>
    <w:p w:rsidR="006755BE" w:rsidRDefault="006755BE" w:rsidP="00CE2AB8">
      <w:pPr>
        <w:keepNext/>
        <w:keepLines/>
        <w:widowControl/>
        <w:tabs>
          <w:tab w:val="left" w:pos="-720"/>
        </w:tabs>
        <w:rPr>
          <w:sz w:val="26"/>
          <w:szCs w:val="26"/>
        </w:rPr>
      </w:pPr>
    </w:p>
    <w:p w:rsidR="00D56988" w:rsidRDefault="006755BE" w:rsidP="00CE2AB8">
      <w:pPr>
        <w:keepNext/>
        <w:keepLines/>
        <w:widowControl/>
        <w:tabs>
          <w:tab w:val="left" w:pos="-720"/>
        </w:tabs>
        <w:rPr>
          <w:rFonts w:eastAsiaTheme="minorHAnsi"/>
          <w:sz w:val="22"/>
          <w:szCs w:val="22"/>
        </w:rPr>
      </w:pPr>
      <w:r>
        <w:rPr>
          <w:sz w:val="26"/>
          <w:szCs w:val="26"/>
        </w:rPr>
        <w:t xml:space="preserve">ORDER ENTERED:  </w:t>
      </w:r>
      <w:r w:rsidR="006B3F31">
        <w:rPr>
          <w:sz w:val="26"/>
          <w:szCs w:val="26"/>
        </w:rPr>
        <w:t>July 13, 2017</w:t>
      </w:r>
    </w:p>
    <w:sectPr w:rsidR="00D56988" w:rsidSect="00DC726A">
      <w:footerReference w:type="default" r:id="rId2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EE3" w:rsidRDefault="00250EE3" w:rsidP="002A4A4B">
      <w:r>
        <w:separator/>
      </w:r>
    </w:p>
  </w:endnote>
  <w:endnote w:type="continuationSeparator" w:id="0">
    <w:p w:rsidR="00250EE3" w:rsidRDefault="00250EE3" w:rsidP="002A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295930"/>
      <w:docPartObj>
        <w:docPartGallery w:val="Page Numbers (Bottom of Page)"/>
        <w:docPartUnique/>
      </w:docPartObj>
    </w:sdtPr>
    <w:sdtEndPr>
      <w:rPr>
        <w:noProof/>
      </w:rPr>
    </w:sdtEndPr>
    <w:sdtContent>
      <w:p w:rsidR="00E4668A" w:rsidRDefault="00E4668A">
        <w:pPr>
          <w:pStyle w:val="Footer"/>
          <w:jc w:val="center"/>
        </w:pPr>
        <w:r>
          <w:fldChar w:fldCharType="begin"/>
        </w:r>
        <w:r>
          <w:instrText xml:space="preserve"> PAGE   \* MERGEFORMAT </w:instrText>
        </w:r>
        <w:r>
          <w:fldChar w:fldCharType="separate"/>
        </w:r>
        <w:r w:rsidR="006B3F31">
          <w:rPr>
            <w:noProof/>
          </w:rPr>
          <w:t>22</w:t>
        </w:r>
        <w:r>
          <w:rPr>
            <w:noProof/>
          </w:rPr>
          <w:fldChar w:fldCharType="end"/>
        </w:r>
      </w:p>
    </w:sdtContent>
  </w:sdt>
  <w:p w:rsidR="00E4668A" w:rsidRDefault="00E46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EE3" w:rsidRDefault="00250EE3" w:rsidP="002A4A4B">
      <w:r>
        <w:separator/>
      </w:r>
    </w:p>
  </w:footnote>
  <w:footnote w:type="continuationSeparator" w:id="0">
    <w:p w:rsidR="00250EE3" w:rsidRDefault="00250EE3" w:rsidP="002A4A4B">
      <w:r>
        <w:continuationSeparator/>
      </w:r>
    </w:p>
  </w:footnote>
  <w:footnote w:id="1">
    <w:p w:rsidR="00E4668A" w:rsidRPr="0039099F" w:rsidRDefault="00E4668A" w:rsidP="0086531A">
      <w:pPr>
        <w:pStyle w:val="FootnoteText"/>
        <w:keepNext/>
        <w:keepLines/>
        <w:widowControl/>
        <w:spacing w:after="120"/>
        <w:ind w:firstLine="720"/>
      </w:pPr>
      <w:r>
        <w:rPr>
          <w:rStyle w:val="FootnoteReference"/>
        </w:rPr>
        <w:footnoteRef/>
      </w:r>
      <w:r>
        <w:t xml:space="preserve"> </w:t>
      </w:r>
      <w:r>
        <w:tab/>
      </w:r>
      <w:r w:rsidRPr="0039099F">
        <w:rPr>
          <w:sz w:val="26"/>
          <w:szCs w:val="26"/>
        </w:rPr>
        <w:t xml:space="preserve">On review of the questions, we agree with the observation of the Companies </w:t>
      </w:r>
      <w:r>
        <w:rPr>
          <w:sz w:val="26"/>
          <w:szCs w:val="26"/>
        </w:rPr>
        <w:t xml:space="preserve">set out </w:t>
      </w:r>
      <w:r w:rsidRPr="0039099F">
        <w:rPr>
          <w:sz w:val="26"/>
          <w:szCs w:val="26"/>
        </w:rPr>
        <w:t>in the</w:t>
      </w:r>
      <w:r>
        <w:rPr>
          <w:sz w:val="26"/>
          <w:szCs w:val="26"/>
        </w:rPr>
        <w:t>ir</w:t>
      </w:r>
      <w:r w:rsidRPr="0039099F">
        <w:rPr>
          <w:sz w:val="26"/>
          <w:szCs w:val="26"/>
        </w:rPr>
        <w:t xml:space="preserve"> Brief, </w:t>
      </w:r>
      <w:r>
        <w:rPr>
          <w:i/>
          <w:sz w:val="26"/>
          <w:szCs w:val="26"/>
        </w:rPr>
        <w:t>infra</w:t>
      </w:r>
      <w:r>
        <w:rPr>
          <w:sz w:val="26"/>
          <w:szCs w:val="26"/>
        </w:rPr>
        <w:t>,</w:t>
      </w:r>
      <w:r>
        <w:rPr>
          <w:i/>
          <w:sz w:val="26"/>
          <w:szCs w:val="26"/>
        </w:rPr>
        <w:t xml:space="preserve"> </w:t>
      </w:r>
      <w:r w:rsidRPr="0039099F">
        <w:rPr>
          <w:sz w:val="26"/>
          <w:szCs w:val="26"/>
        </w:rPr>
        <w:t>that the questions are of such generic elocution that they do not fully convey the substance of the</w:t>
      </w:r>
      <w:r>
        <w:rPr>
          <w:sz w:val="26"/>
          <w:szCs w:val="26"/>
        </w:rPr>
        <w:t xml:space="preserve"> matters</w:t>
      </w:r>
      <w:r w:rsidRPr="0039099F">
        <w:rPr>
          <w:sz w:val="26"/>
          <w:szCs w:val="26"/>
        </w:rPr>
        <w:t xml:space="preserve"> </w:t>
      </w:r>
      <w:r>
        <w:rPr>
          <w:sz w:val="26"/>
          <w:szCs w:val="26"/>
        </w:rPr>
        <w:t xml:space="preserve">that are </w:t>
      </w:r>
      <w:r w:rsidRPr="0039099F">
        <w:rPr>
          <w:sz w:val="26"/>
          <w:szCs w:val="26"/>
        </w:rPr>
        <w:t xml:space="preserve">in dispute.  </w:t>
      </w:r>
      <w:r w:rsidRPr="0039099F">
        <w:rPr>
          <w:i/>
          <w:sz w:val="26"/>
          <w:szCs w:val="26"/>
        </w:rPr>
        <w:t xml:space="preserve">See </w:t>
      </w:r>
      <w:r w:rsidRPr="0039099F">
        <w:rPr>
          <w:sz w:val="26"/>
          <w:szCs w:val="26"/>
        </w:rPr>
        <w:t xml:space="preserve">Respondents Brief at 2-3.  However, the </w:t>
      </w:r>
      <w:r>
        <w:rPr>
          <w:sz w:val="26"/>
          <w:szCs w:val="26"/>
        </w:rPr>
        <w:t xml:space="preserve">dispute raises substantial considerations under the provisions of the Public Utility Code, 66 Pa. C.S. §§ 101, </w:t>
      </w:r>
      <w:r w:rsidRPr="0039099F">
        <w:rPr>
          <w:i/>
          <w:sz w:val="26"/>
          <w:szCs w:val="26"/>
        </w:rPr>
        <w:t>et seq</w:t>
      </w:r>
      <w:r>
        <w:rPr>
          <w:sz w:val="26"/>
          <w:szCs w:val="26"/>
        </w:rPr>
        <w:t xml:space="preserve">., (Code) concerning </w:t>
      </w:r>
      <w:r w:rsidRPr="0039099F">
        <w:rPr>
          <w:sz w:val="26"/>
          <w:szCs w:val="26"/>
        </w:rPr>
        <w:t>formal complaints.</w:t>
      </w:r>
      <w:r>
        <w:rPr>
          <w:sz w:val="26"/>
          <w:szCs w:val="26"/>
        </w:rPr>
        <w:t xml:space="preserve">  </w:t>
      </w:r>
      <w:proofErr w:type="gramStart"/>
      <w:r>
        <w:rPr>
          <w:sz w:val="26"/>
          <w:szCs w:val="26"/>
        </w:rPr>
        <w:t>66 Pa. C.S. § 701.</w:t>
      </w:r>
      <w:proofErr w:type="gramEnd"/>
    </w:p>
  </w:footnote>
  <w:footnote w:id="2">
    <w:p w:rsidR="00E4668A" w:rsidRDefault="00E4668A" w:rsidP="0086531A">
      <w:pPr>
        <w:keepNext/>
        <w:keepLines/>
        <w:widowControl/>
        <w:autoSpaceDE w:val="0"/>
        <w:autoSpaceDN w:val="0"/>
        <w:adjustRightInd w:val="0"/>
        <w:spacing w:after="120"/>
        <w:ind w:firstLine="720"/>
      </w:pPr>
      <w:r>
        <w:rPr>
          <w:rStyle w:val="FootnoteReference"/>
        </w:rPr>
        <w:footnoteRef/>
      </w:r>
      <w:r>
        <w:t xml:space="preserve"> </w:t>
      </w:r>
      <w:r>
        <w:tab/>
      </w:r>
      <w:r w:rsidRPr="00BB3311">
        <w:rPr>
          <w:sz w:val="26"/>
          <w:szCs w:val="26"/>
        </w:rPr>
        <w:t xml:space="preserve">Attribution </w:t>
      </w:r>
      <w:r>
        <w:rPr>
          <w:sz w:val="26"/>
          <w:szCs w:val="26"/>
        </w:rPr>
        <w:t xml:space="preserve">is given </w:t>
      </w:r>
      <w:r w:rsidRPr="00BB3311">
        <w:rPr>
          <w:sz w:val="26"/>
          <w:szCs w:val="26"/>
        </w:rPr>
        <w:t xml:space="preserve">to the Recommended Decision of ALJ Salapa in </w:t>
      </w:r>
      <w:r w:rsidRPr="00BB3311">
        <w:rPr>
          <w:i/>
          <w:iCs/>
          <w:sz w:val="26"/>
          <w:szCs w:val="26"/>
        </w:rPr>
        <w:t>Petition of Metropolitan Edison Company, Pennsylvania Electric Company, Pennsylvania Power Company and West Penn Power Company for Approval of a Default Service Program for the Period Beginning June 1, 201</w:t>
      </w:r>
      <w:r w:rsidRPr="00BB3311">
        <w:rPr>
          <w:sz w:val="26"/>
          <w:szCs w:val="26"/>
        </w:rPr>
        <w:t>7,</w:t>
      </w:r>
      <w:r w:rsidRPr="00BB3311">
        <w:rPr>
          <w:i/>
          <w:iCs/>
          <w:sz w:val="26"/>
          <w:szCs w:val="26"/>
        </w:rPr>
        <w:t xml:space="preserve"> through May 31, 2019, </w:t>
      </w:r>
      <w:r w:rsidRPr="00BB3311">
        <w:rPr>
          <w:sz w:val="26"/>
          <w:szCs w:val="26"/>
        </w:rPr>
        <w:t>Docket Nos. P-2015-2511333, P-2015-2511351, P-2015-2511355 and P-2015-2511356</w:t>
      </w:r>
      <w:r w:rsidRPr="00BB3311">
        <w:rPr>
          <w:i/>
          <w:iCs/>
          <w:sz w:val="26"/>
          <w:szCs w:val="26"/>
        </w:rPr>
        <w:t xml:space="preserve"> </w:t>
      </w:r>
      <w:r w:rsidRPr="00BB3311">
        <w:rPr>
          <w:sz w:val="26"/>
          <w:szCs w:val="26"/>
        </w:rPr>
        <w:t>(Order adopting April 15, 2016 Recommended Decision entered May 19, 2016) (</w:t>
      </w:r>
      <w:r w:rsidRPr="00BB3311">
        <w:rPr>
          <w:i/>
          <w:sz w:val="26"/>
          <w:szCs w:val="26"/>
        </w:rPr>
        <w:t>DSP IV Final Order</w:t>
      </w:r>
      <w:r>
        <w:rPr>
          <w:i/>
          <w:sz w:val="26"/>
          <w:szCs w:val="26"/>
        </w:rPr>
        <w:t>; DSP IV R.D.</w:t>
      </w:r>
      <w:r w:rsidRPr="00BB3311">
        <w:rPr>
          <w:sz w:val="26"/>
          <w:szCs w:val="26"/>
        </w:rPr>
        <w:t>)</w:t>
      </w:r>
      <w:r>
        <w:rPr>
          <w:sz w:val="26"/>
          <w:szCs w:val="26"/>
        </w:rPr>
        <w:t>.</w:t>
      </w:r>
    </w:p>
  </w:footnote>
  <w:footnote w:id="3">
    <w:p w:rsidR="00E4668A" w:rsidRPr="009C71C2" w:rsidRDefault="00E4668A" w:rsidP="0086531A">
      <w:pPr>
        <w:pStyle w:val="FootnoteText"/>
        <w:keepNext/>
        <w:keepLines/>
        <w:widowControl/>
        <w:spacing w:after="120"/>
        <w:ind w:firstLine="720"/>
        <w:rPr>
          <w:sz w:val="26"/>
          <w:szCs w:val="26"/>
        </w:rPr>
      </w:pPr>
      <w:r>
        <w:rPr>
          <w:rStyle w:val="FootnoteReference"/>
        </w:rPr>
        <w:footnoteRef/>
      </w:r>
      <w:r>
        <w:t xml:space="preserve"> </w:t>
      </w:r>
      <w:r>
        <w:tab/>
      </w:r>
      <w:r w:rsidRPr="009C71C2">
        <w:rPr>
          <w:sz w:val="26"/>
          <w:szCs w:val="26"/>
        </w:rPr>
        <w:t xml:space="preserve">The I.D. states November 18, 2017 as the filing date, </w:t>
      </w:r>
      <w:r w:rsidR="001972B9">
        <w:rPr>
          <w:sz w:val="26"/>
          <w:szCs w:val="26"/>
        </w:rPr>
        <w:t>wher</w:t>
      </w:r>
      <w:r w:rsidRPr="009C71C2">
        <w:rPr>
          <w:sz w:val="26"/>
          <w:szCs w:val="26"/>
        </w:rPr>
        <w:t>e</w:t>
      </w:r>
      <w:r w:rsidR="001972B9">
        <w:rPr>
          <w:sz w:val="26"/>
          <w:szCs w:val="26"/>
        </w:rPr>
        <w:t>as</w:t>
      </w:r>
      <w:r w:rsidRPr="009C71C2">
        <w:rPr>
          <w:sz w:val="26"/>
          <w:szCs w:val="26"/>
        </w:rPr>
        <w:t xml:space="preserve"> November</w:t>
      </w:r>
      <w:r w:rsidR="00474C67">
        <w:rPr>
          <w:sz w:val="26"/>
          <w:szCs w:val="26"/>
        </w:rPr>
        <w:t> </w:t>
      </w:r>
      <w:r w:rsidRPr="009C71C2">
        <w:rPr>
          <w:sz w:val="26"/>
          <w:szCs w:val="26"/>
        </w:rPr>
        <w:t>17, 2017</w:t>
      </w:r>
      <w:r w:rsidR="001972B9">
        <w:rPr>
          <w:sz w:val="26"/>
          <w:szCs w:val="26"/>
        </w:rPr>
        <w:t>, is cited elsewhere in the pleadings of the Parties</w:t>
      </w:r>
      <w:r w:rsidRPr="009C71C2">
        <w:rPr>
          <w:sz w:val="26"/>
          <w:szCs w:val="26"/>
        </w:rPr>
        <w:t>.</w:t>
      </w:r>
      <w:r w:rsidR="001972B9">
        <w:rPr>
          <w:sz w:val="26"/>
          <w:szCs w:val="26"/>
        </w:rPr>
        <w:t xml:space="preserve">  </w:t>
      </w:r>
      <w:r w:rsidR="001972B9" w:rsidRPr="004F6A47">
        <w:rPr>
          <w:sz w:val="26"/>
          <w:szCs w:val="26"/>
        </w:rPr>
        <w:t>Respond originally filed one complaint against Penelec and West Penn.</w:t>
      </w:r>
      <w:r w:rsidR="001972B9" w:rsidRPr="004F6A47">
        <w:t xml:space="preserve">  </w:t>
      </w:r>
      <w:r w:rsidR="001972B9" w:rsidRPr="00B17FCB">
        <w:rPr>
          <w:rFonts w:eastAsiaTheme="minorHAnsi"/>
          <w:sz w:val="26"/>
          <w:szCs w:val="26"/>
        </w:rPr>
        <w:t>At the request of the</w:t>
      </w:r>
      <w:r w:rsidR="001972B9">
        <w:rPr>
          <w:rFonts w:eastAsiaTheme="minorHAnsi"/>
          <w:sz w:val="26"/>
          <w:szCs w:val="26"/>
        </w:rPr>
        <w:t xml:space="preserve"> </w:t>
      </w:r>
      <w:r w:rsidR="001972B9" w:rsidRPr="00B17FCB">
        <w:rPr>
          <w:rFonts w:eastAsiaTheme="minorHAnsi"/>
          <w:sz w:val="26"/>
          <w:szCs w:val="26"/>
        </w:rPr>
        <w:t>Commission’s Secretary, Respond filed separate Complaints against Penelec and West Penn.</w:t>
      </w:r>
    </w:p>
  </w:footnote>
  <w:footnote w:id="4">
    <w:p w:rsidR="00E4668A" w:rsidRDefault="00E4668A" w:rsidP="0086531A">
      <w:pPr>
        <w:keepNext/>
        <w:keepLines/>
        <w:widowControl/>
        <w:autoSpaceDE w:val="0"/>
        <w:autoSpaceDN w:val="0"/>
        <w:adjustRightInd w:val="0"/>
        <w:spacing w:after="120"/>
        <w:ind w:firstLine="720"/>
      </w:pPr>
      <w:r>
        <w:rPr>
          <w:rStyle w:val="FootnoteReference"/>
        </w:rPr>
        <w:footnoteRef/>
      </w:r>
      <w:r>
        <w:t xml:space="preserve"> </w:t>
      </w:r>
      <w:r>
        <w:tab/>
      </w:r>
      <w:r>
        <w:rPr>
          <w:sz w:val="26"/>
          <w:szCs w:val="26"/>
        </w:rPr>
        <w:t>P</w:t>
      </w:r>
      <w:r w:rsidRPr="00B17FCB">
        <w:rPr>
          <w:rFonts w:eastAsiaTheme="minorHAnsi"/>
          <w:sz w:val="26"/>
          <w:szCs w:val="26"/>
        </w:rPr>
        <w:t>ursuant to the</w:t>
      </w:r>
      <w:r>
        <w:rPr>
          <w:rFonts w:eastAsiaTheme="minorHAnsi"/>
          <w:sz w:val="26"/>
          <w:szCs w:val="26"/>
        </w:rPr>
        <w:t xml:space="preserve"> </w:t>
      </w:r>
      <w:r w:rsidRPr="00B17FCB">
        <w:rPr>
          <w:rFonts w:eastAsiaTheme="minorHAnsi"/>
          <w:sz w:val="26"/>
          <w:szCs w:val="26"/>
        </w:rPr>
        <w:t>terms of its Supplier Coordination Tariff</w:t>
      </w:r>
      <w:r>
        <w:rPr>
          <w:sz w:val="26"/>
          <w:szCs w:val="26"/>
        </w:rPr>
        <w:t xml:space="preserve"> at issue in this case</w:t>
      </w:r>
      <w:r w:rsidRPr="00B17FCB">
        <w:rPr>
          <w:rFonts w:eastAsiaTheme="minorHAnsi"/>
          <w:sz w:val="26"/>
          <w:szCs w:val="26"/>
        </w:rPr>
        <w:t xml:space="preserve">, Penelec’s efforts to collect the </w:t>
      </w:r>
      <w:r>
        <w:rPr>
          <w:rFonts w:eastAsiaTheme="minorHAnsi"/>
          <w:sz w:val="26"/>
          <w:szCs w:val="26"/>
        </w:rPr>
        <w:t xml:space="preserve">clawback </w:t>
      </w:r>
      <w:r w:rsidRPr="00B17FCB">
        <w:rPr>
          <w:rFonts w:eastAsiaTheme="minorHAnsi"/>
          <w:sz w:val="26"/>
          <w:szCs w:val="26"/>
        </w:rPr>
        <w:t>charge</w:t>
      </w:r>
      <w:r>
        <w:rPr>
          <w:rFonts w:eastAsiaTheme="minorHAnsi"/>
          <w:sz w:val="26"/>
          <w:szCs w:val="26"/>
        </w:rPr>
        <w:t xml:space="preserve">, </w:t>
      </w:r>
      <w:r>
        <w:rPr>
          <w:rFonts w:eastAsiaTheme="minorHAnsi"/>
          <w:i/>
          <w:sz w:val="26"/>
          <w:szCs w:val="26"/>
        </w:rPr>
        <w:t>infra</w:t>
      </w:r>
      <w:r>
        <w:rPr>
          <w:rFonts w:eastAsiaTheme="minorHAnsi"/>
          <w:sz w:val="26"/>
          <w:szCs w:val="26"/>
        </w:rPr>
        <w:t>,</w:t>
      </w:r>
      <w:r w:rsidRPr="00B17FCB">
        <w:rPr>
          <w:rFonts w:eastAsiaTheme="minorHAnsi"/>
          <w:sz w:val="26"/>
          <w:szCs w:val="26"/>
        </w:rPr>
        <w:t xml:space="preserve"> </w:t>
      </w:r>
      <w:r w:rsidR="001972B9">
        <w:rPr>
          <w:rFonts w:eastAsiaTheme="minorHAnsi"/>
          <w:sz w:val="26"/>
          <w:szCs w:val="26"/>
        </w:rPr>
        <w:t xml:space="preserve">would </w:t>
      </w:r>
      <w:r w:rsidRPr="00B17FCB">
        <w:rPr>
          <w:rFonts w:eastAsiaTheme="minorHAnsi"/>
          <w:sz w:val="26"/>
          <w:szCs w:val="26"/>
        </w:rPr>
        <w:t>not</w:t>
      </w:r>
      <w:r>
        <w:rPr>
          <w:rFonts w:eastAsiaTheme="minorHAnsi"/>
          <w:sz w:val="26"/>
          <w:szCs w:val="26"/>
        </w:rPr>
        <w:t xml:space="preserve"> </w:t>
      </w:r>
      <w:r w:rsidR="001972B9">
        <w:rPr>
          <w:rFonts w:eastAsiaTheme="minorHAnsi"/>
          <w:sz w:val="26"/>
          <w:szCs w:val="26"/>
        </w:rPr>
        <w:t xml:space="preserve">be </w:t>
      </w:r>
      <w:r w:rsidRPr="00B17FCB">
        <w:rPr>
          <w:rFonts w:eastAsiaTheme="minorHAnsi"/>
          <w:sz w:val="26"/>
          <w:szCs w:val="26"/>
        </w:rPr>
        <w:t>renewed until the Commission resolve</w:t>
      </w:r>
      <w:r>
        <w:rPr>
          <w:rFonts w:eastAsiaTheme="minorHAnsi"/>
          <w:sz w:val="26"/>
          <w:szCs w:val="26"/>
        </w:rPr>
        <w:t>s</w:t>
      </w:r>
      <w:r w:rsidRPr="00B17FCB">
        <w:rPr>
          <w:rFonts w:eastAsiaTheme="minorHAnsi"/>
          <w:sz w:val="26"/>
          <w:szCs w:val="26"/>
        </w:rPr>
        <w:t xml:space="preserve"> the disputed issue.</w:t>
      </w:r>
      <w:r>
        <w:rPr>
          <w:rFonts w:eastAsiaTheme="minorHAnsi"/>
          <w:sz w:val="26"/>
          <w:szCs w:val="26"/>
        </w:rPr>
        <w:t xml:space="preserve"> </w:t>
      </w:r>
      <w:r w:rsidRPr="00B17FCB">
        <w:rPr>
          <w:rFonts w:eastAsiaTheme="minorHAnsi"/>
          <w:sz w:val="26"/>
          <w:szCs w:val="26"/>
        </w:rPr>
        <w:t xml:space="preserve"> Accordingly, Respond withdrew its</w:t>
      </w:r>
      <w:r>
        <w:rPr>
          <w:rFonts w:eastAsiaTheme="minorHAnsi"/>
          <w:sz w:val="26"/>
          <w:szCs w:val="26"/>
        </w:rPr>
        <w:t xml:space="preserve"> </w:t>
      </w:r>
      <w:r w:rsidRPr="00B17FCB">
        <w:rPr>
          <w:rFonts w:eastAsiaTheme="minorHAnsi"/>
          <w:sz w:val="26"/>
          <w:szCs w:val="26"/>
        </w:rPr>
        <w:t>Petition for an Emergency Order, and the November 17, 2016 hearing was cancelled.</w:t>
      </w:r>
      <w:r>
        <w:rPr>
          <w:rFonts w:eastAsiaTheme="minorHAnsi"/>
          <w:sz w:val="26"/>
          <w:szCs w:val="26"/>
        </w:rPr>
        <w:t xml:space="preserve">  </w:t>
      </w:r>
      <w:r>
        <w:rPr>
          <w:rFonts w:eastAsiaTheme="minorHAnsi"/>
          <w:i/>
          <w:sz w:val="26"/>
          <w:szCs w:val="26"/>
        </w:rPr>
        <w:t xml:space="preserve">See </w:t>
      </w:r>
      <w:r>
        <w:rPr>
          <w:rFonts w:eastAsiaTheme="minorHAnsi"/>
          <w:sz w:val="26"/>
          <w:szCs w:val="26"/>
        </w:rPr>
        <w:t>Motion</w:t>
      </w:r>
      <w:r w:rsidR="001972B9">
        <w:rPr>
          <w:rFonts w:eastAsiaTheme="minorHAnsi"/>
          <w:sz w:val="26"/>
          <w:szCs w:val="26"/>
        </w:rPr>
        <w:t xml:space="preserve">, </w:t>
      </w:r>
      <w:r w:rsidR="001972B9">
        <w:rPr>
          <w:rFonts w:eastAsiaTheme="minorHAnsi"/>
          <w:i/>
          <w:sz w:val="26"/>
          <w:szCs w:val="26"/>
        </w:rPr>
        <w:t>infra</w:t>
      </w:r>
      <w:r w:rsidR="001972B9">
        <w:rPr>
          <w:rFonts w:eastAsiaTheme="minorHAnsi"/>
          <w:sz w:val="26"/>
          <w:szCs w:val="26"/>
        </w:rPr>
        <w:t>,</w:t>
      </w:r>
      <w:r>
        <w:rPr>
          <w:rFonts w:eastAsiaTheme="minorHAnsi"/>
          <w:sz w:val="26"/>
          <w:szCs w:val="26"/>
        </w:rPr>
        <w:t xml:space="preserve"> at 13.</w:t>
      </w:r>
    </w:p>
  </w:footnote>
  <w:footnote w:id="5">
    <w:p w:rsidR="00E4668A" w:rsidRDefault="00E4668A" w:rsidP="0086531A">
      <w:pPr>
        <w:keepNext/>
        <w:keepLines/>
        <w:widowControl/>
        <w:spacing w:after="120"/>
        <w:ind w:firstLine="720"/>
      </w:pPr>
      <w:r>
        <w:rPr>
          <w:rStyle w:val="FootnoteReference"/>
        </w:rPr>
        <w:footnoteRef/>
      </w:r>
      <w:r>
        <w:t xml:space="preserve"> </w:t>
      </w:r>
      <w:r>
        <w:tab/>
      </w:r>
      <w:r>
        <w:rPr>
          <w:i/>
          <w:sz w:val="26"/>
          <w:szCs w:val="26"/>
        </w:rPr>
        <w:t xml:space="preserve">See, e.g., </w:t>
      </w:r>
      <w:r w:rsidRPr="00B31B8D">
        <w:rPr>
          <w:i/>
          <w:sz w:val="26"/>
          <w:szCs w:val="26"/>
        </w:rPr>
        <w:t>Petition of PPL Utilities Corporation Requesting Approval of a Voluntary Purchase of Accounts Receivables Program and Merchant Function Charge</w:t>
      </w:r>
      <w:r>
        <w:rPr>
          <w:sz w:val="26"/>
          <w:szCs w:val="26"/>
        </w:rPr>
        <w:t xml:space="preserve">, </w:t>
      </w:r>
      <w:r w:rsidRPr="00B31B8D">
        <w:rPr>
          <w:sz w:val="26"/>
          <w:szCs w:val="26"/>
        </w:rPr>
        <w:t xml:space="preserve">Docket No. </w:t>
      </w:r>
      <w:proofErr w:type="gramStart"/>
      <w:r w:rsidRPr="00B31B8D">
        <w:rPr>
          <w:sz w:val="26"/>
          <w:szCs w:val="26"/>
        </w:rPr>
        <w:t>P-2009-2129502</w:t>
      </w:r>
      <w:r>
        <w:rPr>
          <w:sz w:val="26"/>
          <w:szCs w:val="26"/>
        </w:rPr>
        <w:t xml:space="preserve"> (</w:t>
      </w:r>
      <w:r w:rsidRPr="00B31B8D">
        <w:rPr>
          <w:sz w:val="26"/>
          <w:szCs w:val="26"/>
        </w:rPr>
        <w:t>November 19, 2009</w:t>
      </w:r>
      <w:r>
        <w:rPr>
          <w:sz w:val="26"/>
          <w:szCs w:val="26"/>
        </w:rPr>
        <w:t>);</w:t>
      </w:r>
      <w:r w:rsidRPr="00B31B8D">
        <w:rPr>
          <w:bCs/>
          <w:sz w:val="26"/>
          <w:szCs w:val="26"/>
        </w:rPr>
        <w:t xml:space="preserve"> 279 P.U.R.4th 539</w:t>
      </w:r>
      <w:r>
        <w:rPr>
          <w:bCs/>
          <w:sz w:val="26"/>
          <w:szCs w:val="26"/>
        </w:rPr>
        <w:t xml:space="preserve"> (</w:t>
      </w:r>
      <w:r>
        <w:rPr>
          <w:bCs/>
          <w:i/>
          <w:sz w:val="26"/>
          <w:szCs w:val="26"/>
        </w:rPr>
        <w:t>PPL POR</w:t>
      </w:r>
      <w:r>
        <w:rPr>
          <w:bCs/>
          <w:sz w:val="26"/>
          <w:szCs w:val="26"/>
        </w:rPr>
        <w:t>).</w:t>
      </w:r>
      <w:proofErr w:type="gramEnd"/>
      <w:r>
        <w:rPr>
          <w:bCs/>
          <w:sz w:val="26"/>
          <w:szCs w:val="26"/>
        </w:rPr>
        <w:t xml:space="preserve">  We observed that the POR was voluntary and </w:t>
      </w:r>
      <w:r w:rsidRPr="00B31B8D">
        <w:rPr>
          <w:sz w:val="26"/>
          <w:szCs w:val="26"/>
        </w:rPr>
        <w:t>authority does not exist for the Commission to compel any of our jurisdictional EDCs to create and offer such a POR Program in the competitive electric generation marketplace</w:t>
      </w:r>
      <w:r>
        <w:rPr>
          <w:sz w:val="26"/>
          <w:szCs w:val="26"/>
        </w:rPr>
        <w:t xml:space="preserve">.  </w:t>
      </w:r>
    </w:p>
  </w:footnote>
  <w:footnote w:id="6">
    <w:p w:rsidR="00E4668A" w:rsidRDefault="00E4668A" w:rsidP="0086531A">
      <w:pPr>
        <w:keepNext/>
        <w:keepLines/>
        <w:widowControl/>
        <w:spacing w:after="120"/>
        <w:ind w:firstLine="720"/>
      </w:pPr>
      <w:r>
        <w:tab/>
      </w:r>
      <w:r>
        <w:rPr>
          <w:rStyle w:val="FootnoteReference"/>
        </w:rPr>
        <w:footnoteRef/>
      </w:r>
      <w:r>
        <w:t xml:space="preserve"> </w:t>
      </w:r>
      <w:r>
        <w:tab/>
      </w:r>
      <w:r w:rsidRPr="00D84696">
        <w:rPr>
          <w:sz w:val="26"/>
          <w:szCs w:val="26"/>
        </w:rPr>
        <w:t xml:space="preserve">Our </w:t>
      </w:r>
      <w:r w:rsidRPr="00057A11">
        <w:rPr>
          <w:color w:val="333333"/>
          <w:sz w:val="26"/>
          <w:szCs w:val="26"/>
        </w:rPr>
        <w:t>rules governing interlocutory review found at 52 Pa. Code §</w:t>
      </w:r>
      <w:r>
        <w:rPr>
          <w:color w:val="333333"/>
          <w:sz w:val="26"/>
          <w:szCs w:val="26"/>
        </w:rPr>
        <w:t>§</w:t>
      </w:r>
      <w:r w:rsidR="00EF7F64">
        <w:rPr>
          <w:color w:val="333333"/>
          <w:sz w:val="26"/>
          <w:szCs w:val="26"/>
        </w:rPr>
        <w:t> </w:t>
      </w:r>
      <w:r>
        <w:rPr>
          <w:color w:val="333333"/>
          <w:sz w:val="26"/>
          <w:szCs w:val="26"/>
        </w:rPr>
        <w:t>5.301-5.303</w:t>
      </w:r>
      <w:r w:rsidRPr="00057A11">
        <w:rPr>
          <w:color w:val="333333"/>
          <w:sz w:val="26"/>
          <w:szCs w:val="26"/>
        </w:rPr>
        <w:t xml:space="preserve">, replaced rules that formerly governed interlocutory review </w:t>
      </w:r>
      <w:r>
        <w:rPr>
          <w:color w:val="333333"/>
          <w:sz w:val="26"/>
          <w:szCs w:val="26"/>
        </w:rPr>
        <w:t xml:space="preserve">which were </w:t>
      </w:r>
      <w:r w:rsidRPr="00057A11">
        <w:rPr>
          <w:color w:val="333333"/>
          <w:sz w:val="26"/>
          <w:szCs w:val="26"/>
        </w:rPr>
        <w:t>found at 52 Pa. Code § 3.191</w:t>
      </w:r>
      <w:r>
        <w:rPr>
          <w:color w:val="333333"/>
          <w:sz w:val="26"/>
          <w:szCs w:val="26"/>
        </w:rPr>
        <w:t>.  T</w:t>
      </w:r>
      <w:r w:rsidRPr="00057A11">
        <w:rPr>
          <w:color w:val="333333"/>
          <w:sz w:val="26"/>
          <w:szCs w:val="26"/>
        </w:rPr>
        <w:t xml:space="preserve">he </w:t>
      </w:r>
      <w:r>
        <w:rPr>
          <w:color w:val="333333"/>
          <w:sz w:val="26"/>
          <w:szCs w:val="26"/>
        </w:rPr>
        <w:t>C</w:t>
      </w:r>
      <w:r w:rsidRPr="00057A11">
        <w:rPr>
          <w:color w:val="333333"/>
          <w:sz w:val="26"/>
          <w:szCs w:val="26"/>
        </w:rPr>
        <w:t>ommission</w:t>
      </w:r>
      <w:r>
        <w:rPr>
          <w:color w:val="333333"/>
          <w:sz w:val="26"/>
          <w:szCs w:val="26"/>
        </w:rPr>
        <w:t>’</w:t>
      </w:r>
      <w:r w:rsidRPr="00057A11">
        <w:rPr>
          <w:color w:val="333333"/>
          <w:sz w:val="26"/>
          <w:szCs w:val="26"/>
        </w:rPr>
        <w:t>s past holdings under the former rules regarding the requisite criteria for interlocutory review are still valid</w:t>
      </w:r>
      <w:r>
        <w:rPr>
          <w:color w:val="333333"/>
          <w:sz w:val="26"/>
          <w:szCs w:val="26"/>
        </w:rPr>
        <w:t xml:space="preserve">.  </w:t>
      </w:r>
      <w:r>
        <w:rPr>
          <w:i/>
          <w:color w:val="333333"/>
          <w:sz w:val="26"/>
          <w:szCs w:val="26"/>
        </w:rPr>
        <w:t>See</w:t>
      </w:r>
      <w:r>
        <w:rPr>
          <w:color w:val="333333"/>
          <w:sz w:val="26"/>
          <w:szCs w:val="26"/>
        </w:rPr>
        <w:t xml:space="preserve"> 69 Pa. P.U.C. at 468-469.</w:t>
      </w:r>
    </w:p>
  </w:footnote>
  <w:footnote w:id="7">
    <w:p w:rsidR="00E4668A" w:rsidRDefault="00E4668A" w:rsidP="0086531A">
      <w:pPr>
        <w:pStyle w:val="FootnoteText"/>
        <w:keepNext/>
        <w:keepLines/>
        <w:widowControl/>
        <w:spacing w:after="120"/>
        <w:ind w:firstLine="720"/>
      </w:pPr>
      <w:r>
        <w:rPr>
          <w:rStyle w:val="FootnoteReference"/>
        </w:rPr>
        <w:footnoteRef/>
      </w:r>
      <w:r>
        <w:t xml:space="preserve"> </w:t>
      </w:r>
      <w:r>
        <w:tab/>
      </w:r>
      <w:r w:rsidRPr="00463199">
        <w:rPr>
          <w:sz w:val="26"/>
          <w:szCs w:val="26"/>
        </w:rPr>
        <w:t xml:space="preserve">This citation, although referenced to </w:t>
      </w:r>
      <w:r w:rsidRPr="00463199">
        <w:rPr>
          <w:i/>
          <w:sz w:val="26"/>
          <w:szCs w:val="26"/>
        </w:rPr>
        <w:t>Zucker v. Pa. PUC</w:t>
      </w:r>
      <w:r w:rsidRPr="00463199">
        <w:rPr>
          <w:sz w:val="26"/>
          <w:szCs w:val="26"/>
        </w:rPr>
        <w:t xml:space="preserve">, 401 A.2d 1377 (Pa. Cmwlth. 1979), pertains to </w:t>
      </w:r>
      <w:r w:rsidRPr="00463199">
        <w:rPr>
          <w:i/>
          <w:sz w:val="26"/>
          <w:szCs w:val="26"/>
        </w:rPr>
        <w:t>Brockway Glass v. Pa. PUC</w:t>
      </w:r>
      <w:r w:rsidRPr="00463199">
        <w:rPr>
          <w:sz w:val="26"/>
          <w:szCs w:val="26"/>
        </w:rPr>
        <w:t>, 437 A.2d 1067 (Pa. Cmwlth. 1981).</w:t>
      </w:r>
    </w:p>
  </w:footnote>
  <w:footnote w:id="8">
    <w:p w:rsidR="00C755F1" w:rsidRPr="00C755F1" w:rsidRDefault="00C755F1" w:rsidP="0086531A">
      <w:pPr>
        <w:pStyle w:val="FootnoteText"/>
        <w:keepNext/>
        <w:keepLines/>
        <w:widowControl/>
        <w:spacing w:after="120"/>
        <w:ind w:firstLine="720"/>
        <w:rPr>
          <w:sz w:val="26"/>
          <w:szCs w:val="26"/>
        </w:rPr>
      </w:pPr>
      <w:r>
        <w:rPr>
          <w:rStyle w:val="FootnoteReference"/>
        </w:rPr>
        <w:footnoteRef/>
      </w:r>
      <w:r>
        <w:t xml:space="preserve"> </w:t>
      </w:r>
      <w:r>
        <w:tab/>
      </w:r>
      <w:r w:rsidRPr="00C755F1">
        <w:rPr>
          <w:sz w:val="26"/>
          <w:szCs w:val="26"/>
        </w:rPr>
        <w:t xml:space="preserve">In its Brief at 7, n. 9, the Companies note </w:t>
      </w:r>
      <w:r>
        <w:rPr>
          <w:sz w:val="26"/>
          <w:szCs w:val="26"/>
        </w:rPr>
        <w:t xml:space="preserve">that the tariff supplements containing all the revisions to the POR programs, including the clawback charge, that were originally filed with the </w:t>
      </w:r>
      <w:r>
        <w:rPr>
          <w:i/>
          <w:sz w:val="26"/>
          <w:szCs w:val="26"/>
        </w:rPr>
        <w:t xml:space="preserve">DSP IV </w:t>
      </w:r>
      <w:r>
        <w:rPr>
          <w:sz w:val="26"/>
          <w:szCs w:val="26"/>
        </w:rPr>
        <w:t>Joint Petition for Settlement were not included in the Commission’s tariff books because of the failure to  bear supplement numbers.  The supplements were corrected and by Secretarial Letter the corrections were accepted, November 10, 2016.  The Companies state, “. . . by Secretarial Letter dated November</w:t>
      </w:r>
      <w:r w:rsidR="0086531A">
        <w:rPr>
          <w:sz w:val="26"/>
          <w:szCs w:val="26"/>
        </w:rPr>
        <w:t> </w:t>
      </w:r>
      <w:r>
        <w:rPr>
          <w:sz w:val="26"/>
          <w:szCs w:val="26"/>
        </w:rPr>
        <w:t xml:space="preserve">10, 2016, the Supplements were accepted </w:t>
      </w:r>
      <w:r>
        <w:rPr>
          <w:i/>
          <w:sz w:val="26"/>
          <w:szCs w:val="26"/>
        </w:rPr>
        <w:t xml:space="preserve">nunc pro tunc </w:t>
      </w:r>
      <w:r>
        <w:rPr>
          <w:sz w:val="26"/>
          <w:szCs w:val="26"/>
        </w:rPr>
        <w:t>with an effec</w:t>
      </w:r>
      <w:r w:rsidR="0086531A">
        <w:rPr>
          <w:sz w:val="26"/>
          <w:szCs w:val="26"/>
        </w:rPr>
        <w:t>tive date of August 1,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425A"/>
    <w:multiLevelType w:val="hybridMultilevel"/>
    <w:tmpl w:val="37B8126E"/>
    <w:lvl w:ilvl="0" w:tplc="CC428A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nsid w:val="450E61BF"/>
    <w:multiLevelType w:val="hybridMultilevel"/>
    <w:tmpl w:val="CA7477B8"/>
    <w:lvl w:ilvl="0" w:tplc="50F4FC0A">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666047D"/>
    <w:multiLevelType w:val="hybridMultilevel"/>
    <w:tmpl w:val="BB38DECC"/>
    <w:lvl w:ilvl="0" w:tplc="5B786D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7E02A99"/>
    <w:multiLevelType w:val="hybridMultilevel"/>
    <w:tmpl w:val="86D4123C"/>
    <w:lvl w:ilvl="0" w:tplc="E6FE4ADE">
      <w:start w:val="2"/>
      <w:numFmt w:val="bullet"/>
      <w:lvlText w:val=""/>
      <w:lvlJc w:val="left"/>
      <w:pPr>
        <w:ind w:left="2460" w:hanging="360"/>
      </w:pPr>
      <w:rPr>
        <w:rFonts w:ascii="Symbol" w:eastAsia="Times New Roman" w:hAnsi="Symbol"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9982ABE"/>
    <w:multiLevelType w:val="hybridMultilevel"/>
    <w:tmpl w:val="47063392"/>
    <w:lvl w:ilvl="0" w:tplc="4D38E1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55175E7"/>
    <w:multiLevelType w:val="hybridMultilevel"/>
    <w:tmpl w:val="7804ACCE"/>
    <w:lvl w:ilvl="0" w:tplc="3184F5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8CE4AF3"/>
    <w:multiLevelType w:val="hybridMultilevel"/>
    <w:tmpl w:val="FFE2052A"/>
    <w:lvl w:ilvl="0" w:tplc="2960C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5"/>
  </w:num>
  <w:num w:numId="4">
    <w:abstractNumId w:val="2"/>
  </w:num>
  <w:num w:numId="5">
    <w:abstractNumId w:val="4"/>
  </w:num>
  <w:num w:numId="6">
    <w:abstractNumId w:val="8"/>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53"/>
    <w:rsid w:val="00003C21"/>
    <w:rsid w:val="00011658"/>
    <w:rsid w:val="000330C6"/>
    <w:rsid w:val="00042050"/>
    <w:rsid w:val="000441D9"/>
    <w:rsid w:val="00047ABB"/>
    <w:rsid w:val="00050DD5"/>
    <w:rsid w:val="00051595"/>
    <w:rsid w:val="00054370"/>
    <w:rsid w:val="000613C8"/>
    <w:rsid w:val="00063213"/>
    <w:rsid w:val="0006536E"/>
    <w:rsid w:val="00065FFD"/>
    <w:rsid w:val="000714FC"/>
    <w:rsid w:val="000769CD"/>
    <w:rsid w:val="00077500"/>
    <w:rsid w:val="00090499"/>
    <w:rsid w:val="000914D6"/>
    <w:rsid w:val="00095B2F"/>
    <w:rsid w:val="00097C95"/>
    <w:rsid w:val="000A0A51"/>
    <w:rsid w:val="000A40DB"/>
    <w:rsid w:val="000A4BED"/>
    <w:rsid w:val="000B3A15"/>
    <w:rsid w:val="000D0D34"/>
    <w:rsid w:val="000E0821"/>
    <w:rsid w:val="000E428A"/>
    <w:rsid w:val="000E5A3F"/>
    <w:rsid w:val="000F1AC9"/>
    <w:rsid w:val="000F26E0"/>
    <w:rsid w:val="000F446E"/>
    <w:rsid w:val="001011E8"/>
    <w:rsid w:val="00104C04"/>
    <w:rsid w:val="00106499"/>
    <w:rsid w:val="00111D05"/>
    <w:rsid w:val="0011270F"/>
    <w:rsid w:val="00115971"/>
    <w:rsid w:val="001174FD"/>
    <w:rsid w:val="00123165"/>
    <w:rsid w:val="00136733"/>
    <w:rsid w:val="00141700"/>
    <w:rsid w:val="0014247D"/>
    <w:rsid w:val="00143092"/>
    <w:rsid w:val="00144264"/>
    <w:rsid w:val="00146CA4"/>
    <w:rsid w:val="00147B37"/>
    <w:rsid w:val="001557DB"/>
    <w:rsid w:val="001621FF"/>
    <w:rsid w:val="00163152"/>
    <w:rsid w:val="00163577"/>
    <w:rsid w:val="001635A7"/>
    <w:rsid w:val="001674B5"/>
    <w:rsid w:val="001730B7"/>
    <w:rsid w:val="0017584B"/>
    <w:rsid w:val="00180B0B"/>
    <w:rsid w:val="0018116F"/>
    <w:rsid w:val="00181725"/>
    <w:rsid w:val="00184362"/>
    <w:rsid w:val="001903D3"/>
    <w:rsid w:val="00195E73"/>
    <w:rsid w:val="001972B9"/>
    <w:rsid w:val="001977CC"/>
    <w:rsid w:val="001B26DC"/>
    <w:rsid w:val="001C37B9"/>
    <w:rsid w:val="001C50B3"/>
    <w:rsid w:val="001C5507"/>
    <w:rsid w:val="001D0953"/>
    <w:rsid w:val="001D2D9B"/>
    <w:rsid w:val="001D4002"/>
    <w:rsid w:val="001D6055"/>
    <w:rsid w:val="001D6350"/>
    <w:rsid w:val="001D6692"/>
    <w:rsid w:val="001D7A48"/>
    <w:rsid w:val="001E27E6"/>
    <w:rsid w:val="001E3D0B"/>
    <w:rsid w:val="001E3F75"/>
    <w:rsid w:val="001E58A1"/>
    <w:rsid w:val="001F257A"/>
    <w:rsid w:val="001F4913"/>
    <w:rsid w:val="00200E54"/>
    <w:rsid w:val="00203A6C"/>
    <w:rsid w:val="00212F68"/>
    <w:rsid w:val="00221181"/>
    <w:rsid w:val="002241D0"/>
    <w:rsid w:val="002333E1"/>
    <w:rsid w:val="0023495A"/>
    <w:rsid w:val="002353A0"/>
    <w:rsid w:val="00243007"/>
    <w:rsid w:val="00247F50"/>
    <w:rsid w:val="00250269"/>
    <w:rsid w:val="00250EE3"/>
    <w:rsid w:val="00255362"/>
    <w:rsid w:val="00264A64"/>
    <w:rsid w:val="002708D0"/>
    <w:rsid w:val="00276E50"/>
    <w:rsid w:val="00277102"/>
    <w:rsid w:val="0028123E"/>
    <w:rsid w:val="00284663"/>
    <w:rsid w:val="00287FEA"/>
    <w:rsid w:val="002911FD"/>
    <w:rsid w:val="00291EF5"/>
    <w:rsid w:val="00292397"/>
    <w:rsid w:val="002949D4"/>
    <w:rsid w:val="00295081"/>
    <w:rsid w:val="002A0377"/>
    <w:rsid w:val="002A4A4B"/>
    <w:rsid w:val="002B1148"/>
    <w:rsid w:val="002B6E91"/>
    <w:rsid w:val="002B6FB7"/>
    <w:rsid w:val="002C0DE3"/>
    <w:rsid w:val="002C7EFF"/>
    <w:rsid w:val="002D5E4D"/>
    <w:rsid w:val="002D62B9"/>
    <w:rsid w:val="002F26F0"/>
    <w:rsid w:val="002F2818"/>
    <w:rsid w:val="002F7B33"/>
    <w:rsid w:val="002F7D0D"/>
    <w:rsid w:val="003001DB"/>
    <w:rsid w:val="00300BF3"/>
    <w:rsid w:val="0030211D"/>
    <w:rsid w:val="003054E8"/>
    <w:rsid w:val="00305C4F"/>
    <w:rsid w:val="00306879"/>
    <w:rsid w:val="00307C4F"/>
    <w:rsid w:val="00314B9A"/>
    <w:rsid w:val="00321E06"/>
    <w:rsid w:val="00322AA4"/>
    <w:rsid w:val="0032457E"/>
    <w:rsid w:val="00327640"/>
    <w:rsid w:val="00327853"/>
    <w:rsid w:val="0033101C"/>
    <w:rsid w:val="00336C0B"/>
    <w:rsid w:val="00336E60"/>
    <w:rsid w:val="003540B5"/>
    <w:rsid w:val="00354D5E"/>
    <w:rsid w:val="00363FE1"/>
    <w:rsid w:val="00367AAC"/>
    <w:rsid w:val="00371238"/>
    <w:rsid w:val="003728B2"/>
    <w:rsid w:val="003778B9"/>
    <w:rsid w:val="00381199"/>
    <w:rsid w:val="003816E7"/>
    <w:rsid w:val="0039099F"/>
    <w:rsid w:val="0039194B"/>
    <w:rsid w:val="003A2A8A"/>
    <w:rsid w:val="003A44CF"/>
    <w:rsid w:val="003A6966"/>
    <w:rsid w:val="003A7572"/>
    <w:rsid w:val="003B06D6"/>
    <w:rsid w:val="003B3F2B"/>
    <w:rsid w:val="003C0A4D"/>
    <w:rsid w:val="003C5CAE"/>
    <w:rsid w:val="003D280C"/>
    <w:rsid w:val="003D56B8"/>
    <w:rsid w:val="003F5AB0"/>
    <w:rsid w:val="00406CCD"/>
    <w:rsid w:val="00410032"/>
    <w:rsid w:val="00414AB5"/>
    <w:rsid w:val="00416012"/>
    <w:rsid w:val="00420A43"/>
    <w:rsid w:val="004236EE"/>
    <w:rsid w:val="0043126D"/>
    <w:rsid w:val="00433393"/>
    <w:rsid w:val="00433C46"/>
    <w:rsid w:val="00435238"/>
    <w:rsid w:val="00436E0D"/>
    <w:rsid w:val="004371A7"/>
    <w:rsid w:val="004407D6"/>
    <w:rsid w:val="004457D3"/>
    <w:rsid w:val="0046195E"/>
    <w:rsid w:val="00463199"/>
    <w:rsid w:val="0046342E"/>
    <w:rsid w:val="00464A26"/>
    <w:rsid w:val="00465949"/>
    <w:rsid w:val="004663E9"/>
    <w:rsid w:val="00471B4F"/>
    <w:rsid w:val="00472E2A"/>
    <w:rsid w:val="00474C67"/>
    <w:rsid w:val="00474EC4"/>
    <w:rsid w:val="00477DB6"/>
    <w:rsid w:val="004822D4"/>
    <w:rsid w:val="0048429E"/>
    <w:rsid w:val="00484AD9"/>
    <w:rsid w:val="004917F4"/>
    <w:rsid w:val="00493E4F"/>
    <w:rsid w:val="004944A8"/>
    <w:rsid w:val="00495F8D"/>
    <w:rsid w:val="004A0856"/>
    <w:rsid w:val="004A0F4F"/>
    <w:rsid w:val="004A6658"/>
    <w:rsid w:val="004B7A6D"/>
    <w:rsid w:val="004C2EE5"/>
    <w:rsid w:val="004C32C6"/>
    <w:rsid w:val="004C710D"/>
    <w:rsid w:val="004D6FCD"/>
    <w:rsid w:val="004F6A47"/>
    <w:rsid w:val="004F71B5"/>
    <w:rsid w:val="005001EE"/>
    <w:rsid w:val="00500A25"/>
    <w:rsid w:val="005014EE"/>
    <w:rsid w:val="00502B2C"/>
    <w:rsid w:val="00507DB5"/>
    <w:rsid w:val="005165C7"/>
    <w:rsid w:val="00516E1E"/>
    <w:rsid w:val="00517195"/>
    <w:rsid w:val="00524589"/>
    <w:rsid w:val="00524753"/>
    <w:rsid w:val="00532F5D"/>
    <w:rsid w:val="005338A1"/>
    <w:rsid w:val="00537CE3"/>
    <w:rsid w:val="0054519C"/>
    <w:rsid w:val="00547517"/>
    <w:rsid w:val="00550FC7"/>
    <w:rsid w:val="005522F9"/>
    <w:rsid w:val="005563D9"/>
    <w:rsid w:val="00557A42"/>
    <w:rsid w:val="005645C8"/>
    <w:rsid w:val="0056537D"/>
    <w:rsid w:val="005662A7"/>
    <w:rsid w:val="00566514"/>
    <w:rsid w:val="005706A6"/>
    <w:rsid w:val="00572EE8"/>
    <w:rsid w:val="00575F9B"/>
    <w:rsid w:val="005824F6"/>
    <w:rsid w:val="00582751"/>
    <w:rsid w:val="00583C9F"/>
    <w:rsid w:val="005850B6"/>
    <w:rsid w:val="00587649"/>
    <w:rsid w:val="00590B47"/>
    <w:rsid w:val="005920C4"/>
    <w:rsid w:val="005971E8"/>
    <w:rsid w:val="005A3331"/>
    <w:rsid w:val="005B6185"/>
    <w:rsid w:val="005C46EE"/>
    <w:rsid w:val="005C750E"/>
    <w:rsid w:val="005D0512"/>
    <w:rsid w:val="005D4F8B"/>
    <w:rsid w:val="005D6864"/>
    <w:rsid w:val="005E0B87"/>
    <w:rsid w:val="005E1C61"/>
    <w:rsid w:val="005E4801"/>
    <w:rsid w:val="0060539D"/>
    <w:rsid w:val="006067E6"/>
    <w:rsid w:val="0061047F"/>
    <w:rsid w:val="006150EE"/>
    <w:rsid w:val="006213C9"/>
    <w:rsid w:val="00625BAC"/>
    <w:rsid w:val="0063709F"/>
    <w:rsid w:val="00645748"/>
    <w:rsid w:val="006458E6"/>
    <w:rsid w:val="00646D11"/>
    <w:rsid w:val="0065017B"/>
    <w:rsid w:val="00652558"/>
    <w:rsid w:val="00654714"/>
    <w:rsid w:val="006565D3"/>
    <w:rsid w:val="00660030"/>
    <w:rsid w:val="00662DC2"/>
    <w:rsid w:val="00663948"/>
    <w:rsid w:val="00664D7F"/>
    <w:rsid w:val="00666B09"/>
    <w:rsid w:val="00674551"/>
    <w:rsid w:val="006755BE"/>
    <w:rsid w:val="00680C72"/>
    <w:rsid w:val="006826F8"/>
    <w:rsid w:val="0068780C"/>
    <w:rsid w:val="006B3F31"/>
    <w:rsid w:val="006B4BAE"/>
    <w:rsid w:val="006C3EE6"/>
    <w:rsid w:val="006C5EBE"/>
    <w:rsid w:val="006D2358"/>
    <w:rsid w:val="006D5C52"/>
    <w:rsid w:val="006D6AA1"/>
    <w:rsid w:val="006E3981"/>
    <w:rsid w:val="006E3AEB"/>
    <w:rsid w:val="006F028F"/>
    <w:rsid w:val="006F1ECC"/>
    <w:rsid w:val="006F2496"/>
    <w:rsid w:val="006F4F95"/>
    <w:rsid w:val="006F6670"/>
    <w:rsid w:val="007006CE"/>
    <w:rsid w:val="00701B2B"/>
    <w:rsid w:val="00701CDD"/>
    <w:rsid w:val="00704A5D"/>
    <w:rsid w:val="00705BB1"/>
    <w:rsid w:val="00712952"/>
    <w:rsid w:val="00715DF6"/>
    <w:rsid w:val="007175F2"/>
    <w:rsid w:val="007274CC"/>
    <w:rsid w:val="0073132C"/>
    <w:rsid w:val="00731FF8"/>
    <w:rsid w:val="00732BD1"/>
    <w:rsid w:val="00733764"/>
    <w:rsid w:val="00735BA2"/>
    <w:rsid w:val="0073629D"/>
    <w:rsid w:val="00743B2A"/>
    <w:rsid w:val="007505D0"/>
    <w:rsid w:val="007557D6"/>
    <w:rsid w:val="00760078"/>
    <w:rsid w:val="0076192C"/>
    <w:rsid w:val="0076778A"/>
    <w:rsid w:val="0077159A"/>
    <w:rsid w:val="007740D1"/>
    <w:rsid w:val="00774ED3"/>
    <w:rsid w:val="00776C5B"/>
    <w:rsid w:val="00776ED4"/>
    <w:rsid w:val="00781E2A"/>
    <w:rsid w:val="00793D68"/>
    <w:rsid w:val="00796BC2"/>
    <w:rsid w:val="007A02F8"/>
    <w:rsid w:val="007A08C2"/>
    <w:rsid w:val="007A52A9"/>
    <w:rsid w:val="007B192C"/>
    <w:rsid w:val="007B4B33"/>
    <w:rsid w:val="007C07A6"/>
    <w:rsid w:val="007C70A1"/>
    <w:rsid w:val="007D20CB"/>
    <w:rsid w:val="007D3F34"/>
    <w:rsid w:val="007D5318"/>
    <w:rsid w:val="007D54BD"/>
    <w:rsid w:val="007D67D6"/>
    <w:rsid w:val="007E35A9"/>
    <w:rsid w:val="007E3CB4"/>
    <w:rsid w:val="007F7593"/>
    <w:rsid w:val="00802E6D"/>
    <w:rsid w:val="00804A80"/>
    <w:rsid w:val="0081043D"/>
    <w:rsid w:val="00811D48"/>
    <w:rsid w:val="00812AD9"/>
    <w:rsid w:val="00815928"/>
    <w:rsid w:val="0082069B"/>
    <w:rsid w:val="00827EB2"/>
    <w:rsid w:val="0083077F"/>
    <w:rsid w:val="00833C87"/>
    <w:rsid w:val="00834BAD"/>
    <w:rsid w:val="008363EE"/>
    <w:rsid w:val="0084171A"/>
    <w:rsid w:val="00842F6F"/>
    <w:rsid w:val="00845955"/>
    <w:rsid w:val="00856CF6"/>
    <w:rsid w:val="008637A0"/>
    <w:rsid w:val="0086531A"/>
    <w:rsid w:val="00865989"/>
    <w:rsid w:val="008668F8"/>
    <w:rsid w:val="00872C36"/>
    <w:rsid w:val="00874C58"/>
    <w:rsid w:val="0088133D"/>
    <w:rsid w:val="00882D75"/>
    <w:rsid w:val="008849CD"/>
    <w:rsid w:val="00886710"/>
    <w:rsid w:val="0089725A"/>
    <w:rsid w:val="00897BF2"/>
    <w:rsid w:val="008A2688"/>
    <w:rsid w:val="008A6C3A"/>
    <w:rsid w:val="008A6E8B"/>
    <w:rsid w:val="008B51B2"/>
    <w:rsid w:val="008C1501"/>
    <w:rsid w:val="008C2847"/>
    <w:rsid w:val="008C7EB7"/>
    <w:rsid w:val="008D351A"/>
    <w:rsid w:val="008D5F43"/>
    <w:rsid w:val="008E3060"/>
    <w:rsid w:val="008E3E1F"/>
    <w:rsid w:val="008E665F"/>
    <w:rsid w:val="008F17E9"/>
    <w:rsid w:val="008F1B29"/>
    <w:rsid w:val="008F27DF"/>
    <w:rsid w:val="008F7AD0"/>
    <w:rsid w:val="00904411"/>
    <w:rsid w:val="009049FE"/>
    <w:rsid w:val="00907268"/>
    <w:rsid w:val="009111D2"/>
    <w:rsid w:val="009138CC"/>
    <w:rsid w:val="009141CF"/>
    <w:rsid w:val="00916420"/>
    <w:rsid w:val="009167D7"/>
    <w:rsid w:val="00917232"/>
    <w:rsid w:val="00920ABD"/>
    <w:rsid w:val="00920B71"/>
    <w:rsid w:val="00920F2D"/>
    <w:rsid w:val="00936B6C"/>
    <w:rsid w:val="009551A0"/>
    <w:rsid w:val="0096099A"/>
    <w:rsid w:val="00965F6C"/>
    <w:rsid w:val="00975CE8"/>
    <w:rsid w:val="00984846"/>
    <w:rsid w:val="00985315"/>
    <w:rsid w:val="00990030"/>
    <w:rsid w:val="00992563"/>
    <w:rsid w:val="009976D2"/>
    <w:rsid w:val="009A02AA"/>
    <w:rsid w:val="009A7B75"/>
    <w:rsid w:val="009B3DA7"/>
    <w:rsid w:val="009C05A2"/>
    <w:rsid w:val="009C2F23"/>
    <w:rsid w:val="009C54CB"/>
    <w:rsid w:val="009C665C"/>
    <w:rsid w:val="009C71C2"/>
    <w:rsid w:val="009D0A09"/>
    <w:rsid w:val="009D3D28"/>
    <w:rsid w:val="009D4FD5"/>
    <w:rsid w:val="009E4856"/>
    <w:rsid w:val="009E6DB8"/>
    <w:rsid w:val="009E73F7"/>
    <w:rsid w:val="009F2F67"/>
    <w:rsid w:val="009F77A7"/>
    <w:rsid w:val="00A01265"/>
    <w:rsid w:val="00A14C19"/>
    <w:rsid w:val="00A15C28"/>
    <w:rsid w:val="00A21D71"/>
    <w:rsid w:val="00A2471F"/>
    <w:rsid w:val="00A24C87"/>
    <w:rsid w:val="00A318F2"/>
    <w:rsid w:val="00A34BEC"/>
    <w:rsid w:val="00A364FE"/>
    <w:rsid w:val="00A373E2"/>
    <w:rsid w:val="00A40F77"/>
    <w:rsid w:val="00A423C4"/>
    <w:rsid w:val="00A47920"/>
    <w:rsid w:val="00A50920"/>
    <w:rsid w:val="00A5638E"/>
    <w:rsid w:val="00A612D7"/>
    <w:rsid w:val="00A61797"/>
    <w:rsid w:val="00A61D9E"/>
    <w:rsid w:val="00A62020"/>
    <w:rsid w:val="00A634E8"/>
    <w:rsid w:val="00A63AF4"/>
    <w:rsid w:val="00A76761"/>
    <w:rsid w:val="00A811BA"/>
    <w:rsid w:val="00A8345C"/>
    <w:rsid w:val="00A87DA9"/>
    <w:rsid w:val="00A92B68"/>
    <w:rsid w:val="00A94D4F"/>
    <w:rsid w:val="00AA6723"/>
    <w:rsid w:val="00AB35DC"/>
    <w:rsid w:val="00AB45E3"/>
    <w:rsid w:val="00AB6D55"/>
    <w:rsid w:val="00AC3E9A"/>
    <w:rsid w:val="00AC7895"/>
    <w:rsid w:val="00AD0F2C"/>
    <w:rsid w:val="00AD166C"/>
    <w:rsid w:val="00AD582C"/>
    <w:rsid w:val="00AD5CF2"/>
    <w:rsid w:val="00AE1372"/>
    <w:rsid w:val="00AE1DC3"/>
    <w:rsid w:val="00AE4DD4"/>
    <w:rsid w:val="00AE5A14"/>
    <w:rsid w:val="00AE61C6"/>
    <w:rsid w:val="00AE6414"/>
    <w:rsid w:val="00AF08D5"/>
    <w:rsid w:val="00AF7F2A"/>
    <w:rsid w:val="00B0014D"/>
    <w:rsid w:val="00B02B91"/>
    <w:rsid w:val="00B10044"/>
    <w:rsid w:val="00B17638"/>
    <w:rsid w:val="00B17FCB"/>
    <w:rsid w:val="00B24E27"/>
    <w:rsid w:val="00B3150A"/>
    <w:rsid w:val="00B335CB"/>
    <w:rsid w:val="00B34F2B"/>
    <w:rsid w:val="00B46E89"/>
    <w:rsid w:val="00B47127"/>
    <w:rsid w:val="00B5340A"/>
    <w:rsid w:val="00B57256"/>
    <w:rsid w:val="00B6039F"/>
    <w:rsid w:val="00B672AD"/>
    <w:rsid w:val="00B76859"/>
    <w:rsid w:val="00B7702F"/>
    <w:rsid w:val="00B8094F"/>
    <w:rsid w:val="00B81085"/>
    <w:rsid w:val="00B81847"/>
    <w:rsid w:val="00B81896"/>
    <w:rsid w:val="00B83696"/>
    <w:rsid w:val="00B93126"/>
    <w:rsid w:val="00B93D6A"/>
    <w:rsid w:val="00BA0063"/>
    <w:rsid w:val="00BA2339"/>
    <w:rsid w:val="00BA36AF"/>
    <w:rsid w:val="00BB0D7A"/>
    <w:rsid w:val="00BB3311"/>
    <w:rsid w:val="00BB6C77"/>
    <w:rsid w:val="00BD3FDA"/>
    <w:rsid w:val="00BD7379"/>
    <w:rsid w:val="00BE1001"/>
    <w:rsid w:val="00BE358E"/>
    <w:rsid w:val="00BE39FF"/>
    <w:rsid w:val="00BE3FE6"/>
    <w:rsid w:val="00BE7468"/>
    <w:rsid w:val="00BF625F"/>
    <w:rsid w:val="00BF7A56"/>
    <w:rsid w:val="00C01166"/>
    <w:rsid w:val="00C0218C"/>
    <w:rsid w:val="00C021E8"/>
    <w:rsid w:val="00C12A47"/>
    <w:rsid w:val="00C14A9E"/>
    <w:rsid w:val="00C14E14"/>
    <w:rsid w:val="00C1589C"/>
    <w:rsid w:val="00C16B03"/>
    <w:rsid w:val="00C17E54"/>
    <w:rsid w:val="00C23B7E"/>
    <w:rsid w:val="00C25580"/>
    <w:rsid w:val="00C272E8"/>
    <w:rsid w:val="00C307D3"/>
    <w:rsid w:val="00C4193F"/>
    <w:rsid w:val="00C479FE"/>
    <w:rsid w:val="00C54FAB"/>
    <w:rsid w:val="00C55F70"/>
    <w:rsid w:val="00C562D2"/>
    <w:rsid w:val="00C569AD"/>
    <w:rsid w:val="00C7020B"/>
    <w:rsid w:val="00C755F1"/>
    <w:rsid w:val="00C83B3C"/>
    <w:rsid w:val="00C935B6"/>
    <w:rsid w:val="00CA0B56"/>
    <w:rsid w:val="00CA1186"/>
    <w:rsid w:val="00CA25BC"/>
    <w:rsid w:val="00CA549E"/>
    <w:rsid w:val="00CB72D3"/>
    <w:rsid w:val="00CB77D6"/>
    <w:rsid w:val="00CC17A6"/>
    <w:rsid w:val="00CC1A9A"/>
    <w:rsid w:val="00CC3682"/>
    <w:rsid w:val="00CC41A6"/>
    <w:rsid w:val="00CC7E09"/>
    <w:rsid w:val="00CD0B3C"/>
    <w:rsid w:val="00CD1B87"/>
    <w:rsid w:val="00CD54B5"/>
    <w:rsid w:val="00CD5E45"/>
    <w:rsid w:val="00CD6294"/>
    <w:rsid w:val="00CE17C8"/>
    <w:rsid w:val="00CE2AB8"/>
    <w:rsid w:val="00CE552C"/>
    <w:rsid w:val="00CE7625"/>
    <w:rsid w:val="00CE7D12"/>
    <w:rsid w:val="00D006B1"/>
    <w:rsid w:val="00D04D19"/>
    <w:rsid w:val="00D04F84"/>
    <w:rsid w:val="00D147CC"/>
    <w:rsid w:val="00D157C0"/>
    <w:rsid w:val="00D158CE"/>
    <w:rsid w:val="00D20134"/>
    <w:rsid w:val="00D233D1"/>
    <w:rsid w:val="00D237EA"/>
    <w:rsid w:val="00D318E0"/>
    <w:rsid w:val="00D5148C"/>
    <w:rsid w:val="00D56988"/>
    <w:rsid w:val="00D56F78"/>
    <w:rsid w:val="00D639B1"/>
    <w:rsid w:val="00D63F15"/>
    <w:rsid w:val="00D66862"/>
    <w:rsid w:val="00D74733"/>
    <w:rsid w:val="00D76144"/>
    <w:rsid w:val="00D76A9D"/>
    <w:rsid w:val="00D854D0"/>
    <w:rsid w:val="00D95070"/>
    <w:rsid w:val="00D961BD"/>
    <w:rsid w:val="00DA1F45"/>
    <w:rsid w:val="00DB1082"/>
    <w:rsid w:val="00DC726A"/>
    <w:rsid w:val="00DC73CD"/>
    <w:rsid w:val="00DC7B60"/>
    <w:rsid w:val="00DE2B03"/>
    <w:rsid w:val="00DF13F8"/>
    <w:rsid w:val="00DF242A"/>
    <w:rsid w:val="00E01EE0"/>
    <w:rsid w:val="00E03A26"/>
    <w:rsid w:val="00E044BB"/>
    <w:rsid w:val="00E22354"/>
    <w:rsid w:val="00E22FC1"/>
    <w:rsid w:val="00E37714"/>
    <w:rsid w:val="00E4668A"/>
    <w:rsid w:val="00E56E32"/>
    <w:rsid w:val="00E601B4"/>
    <w:rsid w:val="00E6050A"/>
    <w:rsid w:val="00E620A3"/>
    <w:rsid w:val="00E74999"/>
    <w:rsid w:val="00E77403"/>
    <w:rsid w:val="00E8082A"/>
    <w:rsid w:val="00E85C41"/>
    <w:rsid w:val="00E9078C"/>
    <w:rsid w:val="00E9254A"/>
    <w:rsid w:val="00E9362C"/>
    <w:rsid w:val="00E956E1"/>
    <w:rsid w:val="00E9617C"/>
    <w:rsid w:val="00EB40F9"/>
    <w:rsid w:val="00EB4450"/>
    <w:rsid w:val="00EC3718"/>
    <w:rsid w:val="00EC7B2E"/>
    <w:rsid w:val="00ED2003"/>
    <w:rsid w:val="00ED5B3F"/>
    <w:rsid w:val="00ED6109"/>
    <w:rsid w:val="00EE2226"/>
    <w:rsid w:val="00EE3332"/>
    <w:rsid w:val="00EE35E4"/>
    <w:rsid w:val="00EE5404"/>
    <w:rsid w:val="00EF7F64"/>
    <w:rsid w:val="00F01D00"/>
    <w:rsid w:val="00F12082"/>
    <w:rsid w:val="00F25835"/>
    <w:rsid w:val="00F358AD"/>
    <w:rsid w:val="00F50C3B"/>
    <w:rsid w:val="00F60AEB"/>
    <w:rsid w:val="00F62D1C"/>
    <w:rsid w:val="00F64723"/>
    <w:rsid w:val="00F665CF"/>
    <w:rsid w:val="00F66960"/>
    <w:rsid w:val="00F73EB1"/>
    <w:rsid w:val="00F809E9"/>
    <w:rsid w:val="00F8647F"/>
    <w:rsid w:val="00F865C9"/>
    <w:rsid w:val="00F87DDA"/>
    <w:rsid w:val="00F91D9D"/>
    <w:rsid w:val="00F93C83"/>
    <w:rsid w:val="00F95612"/>
    <w:rsid w:val="00FA2042"/>
    <w:rsid w:val="00FA34BD"/>
    <w:rsid w:val="00FA6385"/>
    <w:rsid w:val="00FA664A"/>
    <w:rsid w:val="00FB6CC9"/>
    <w:rsid w:val="00FC2F88"/>
    <w:rsid w:val="00FC63DB"/>
    <w:rsid w:val="00FC7D40"/>
    <w:rsid w:val="00FD4EAE"/>
    <w:rsid w:val="00FE31E3"/>
    <w:rsid w:val="00FE3821"/>
    <w:rsid w:val="00FE4F07"/>
    <w:rsid w:val="00FE51FB"/>
    <w:rsid w:val="00FF199E"/>
    <w:rsid w:val="00FF2F56"/>
    <w:rsid w:val="00FF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5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7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n Char1,ALTS FOOTNOTE Char,Footnote Text 2 Char,Footnote text Char,FOOTNOTE Char,fn Char Char Char,fn Char Char1,Footnote Text Char Char Char,Footnote Text Char1 Char Char Char,Footnote Text Char Char Char Char Char"/>
    <w:basedOn w:val="DefaultParagraphFont"/>
    <w:link w:val="FootnoteText"/>
    <w:uiPriority w:val="99"/>
    <w:locked/>
    <w:rsid w:val="002A4A4B"/>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Footnote Text Char Char,Footnote Text Char1 Char Char,Footnote Text Char Char Char Char,Footnote Text Char1 Char Char Char Char"/>
    <w:basedOn w:val="Normal"/>
    <w:link w:val="FootnoteTextChar"/>
    <w:uiPriority w:val="99"/>
    <w:unhideWhenUsed/>
    <w:rsid w:val="002A4A4B"/>
  </w:style>
  <w:style w:type="character" w:customStyle="1" w:styleId="FootnoteTextChar1">
    <w:name w:val="Footnote Text Char1"/>
    <w:basedOn w:val="DefaultParagraphFont"/>
    <w:uiPriority w:val="99"/>
    <w:semiHidden/>
    <w:rsid w:val="002A4A4B"/>
    <w:rPr>
      <w:rFonts w:ascii="Times New Roman" w:eastAsia="Times New Roman" w:hAnsi="Times New Roman" w:cs="Times New Roman"/>
      <w:sz w:val="20"/>
      <w:szCs w:val="20"/>
    </w:rPr>
  </w:style>
  <w:style w:type="character" w:styleId="FootnoteReference">
    <w:name w:val="footnote reference"/>
    <w:aliases w:val="fr,o,Style 6,Style 20,Appel note de bas de p,Style 8,Style 7,Style 3,Style 17,Style 19"/>
    <w:basedOn w:val="DefaultParagraphFont"/>
    <w:uiPriority w:val="99"/>
    <w:unhideWhenUsed/>
    <w:rsid w:val="002A4A4B"/>
    <w:rPr>
      <w:vertAlign w:val="superscript"/>
    </w:rPr>
  </w:style>
  <w:style w:type="paragraph" w:customStyle="1" w:styleId="Style">
    <w:name w:val="Style"/>
    <w:rsid w:val="006053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519C"/>
    <w:pPr>
      <w:ind w:left="720"/>
      <w:contextualSpacing/>
    </w:pPr>
  </w:style>
  <w:style w:type="paragraph" w:styleId="Header">
    <w:name w:val="header"/>
    <w:basedOn w:val="Normal"/>
    <w:link w:val="HeaderChar"/>
    <w:uiPriority w:val="99"/>
    <w:unhideWhenUsed/>
    <w:rsid w:val="00662DC2"/>
    <w:pPr>
      <w:tabs>
        <w:tab w:val="center" w:pos="4680"/>
        <w:tab w:val="right" w:pos="9360"/>
      </w:tabs>
    </w:pPr>
  </w:style>
  <w:style w:type="character" w:customStyle="1" w:styleId="HeaderChar">
    <w:name w:val="Header Char"/>
    <w:basedOn w:val="DefaultParagraphFont"/>
    <w:link w:val="Header"/>
    <w:uiPriority w:val="99"/>
    <w:rsid w:val="00662D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2DC2"/>
    <w:pPr>
      <w:tabs>
        <w:tab w:val="center" w:pos="4680"/>
        <w:tab w:val="right" w:pos="9360"/>
      </w:tabs>
    </w:pPr>
  </w:style>
  <w:style w:type="character" w:customStyle="1" w:styleId="FooterChar">
    <w:name w:val="Footer Char"/>
    <w:basedOn w:val="DefaultParagraphFont"/>
    <w:link w:val="Footer"/>
    <w:uiPriority w:val="99"/>
    <w:rsid w:val="00662DC2"/>
    <w:rPr>
      <w:rFonts w:ascii="Times New Roman" w:eastAsia="Times New Roman" w:hAnsi="Times New Roman" w:cs="Times New Roman"/>
      <w:sz w:val="20"/>
      <w:szCs w:val="20"/>
    </w:rPr>
  </w:style>
  <w:style w:type="paragraph" w:styleId="NoSpacing">
    <w:name w:val="No Spacing"/>
    <w:uiPriority w:val="1"/>
    <w:qFormat/>
    <w:rsid w:val="00904411"/>
    <w:pPr>
      <w:widowControl w:val="0"/>
      <w:spacing w:after="0" w:line="240" w:lineRule="auto"/>
    </w:pPr>
    <w:rPr>
      <w:rFonts w:ascii="Times New Roman" w:eastAsia="Times New Roman" w:hAnsi="Times New Roman" w:cs="Times New Roman"/>
      <w:sz w:val="20"/>
      <w:szCs w:val="20"/>
    </w:rPr>
  </w:style>
  <w:style w:type="character" w:customStyle="1" w:styleId="term1">
    <w:name w:val="term1"/>
    <w:basedOn w:val="DefaultParagraphFont"/>
    <w:rsid w:val="00A76761"/>
    <w:rPr>
      <w:b/>
      <w:bCs/>
    </w:rPr>
  </w:style>
  <w:style w:type="paragraph" w:styleId="BalloonText">
    <w:name w:val="Balloon Text"/>
    <w:basedOn w:val="Normal"/>
    <w:link w:val="BalloonTextChar"/>
    <w:uiPriority w:val="99"/>
    <w:semiHidden/>
    <w:unhideWhenUsed/>
    <w:rsid w:val="002333E1"/>
    <w:rPr>
      <w:rFonts w:ascii="Tahoma" w:hAnsi="Tahoma" w:cs="Tahoma"/>
      <w:sz w:val="16"/>
      <w:szCs w:val="16"/>
    </w:rPr>
  </w:style>
  <w:style w:type="character" w:customStyle="1" w:styleId="BalloonTextChar">
    <w:name w:val="Balloon Text Char"/>
    <w:basedOn w:val="DefaultParagraphFont"/>
    <w:link w:val="BalloonText"/>
    <w:uiPriority w:val="99"/>
    <w:semiHidden/>
    <w:rsid w:val="002333E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3577"/>
    <w:rPr>
      <w:sz w:val="16"/>
      <w:szCs w:val="16"/>
    </w:rPr>
  </w:style>
  <w:style w:type="paragraph" w:styleId="CommentText">
    <w:name w:val="annotation text"/>
    <w:basedOn w:val="Normal"/>
    <w:link w:val="CommentTextChar"/>
    <w:uiPriority w:val="99"/>
    <w:semiHidden/>
    <w:unhideWhenUsed/>
    <w:rsid w:val="00163577"/>
  </w:style>
  <w:style w:type="character" w:customStyle="1" w:styleId="CommentTextChar">
    <w:name w:val="Comment Text Char"/>
    <w:basedOn w:val="DefaultParagraphFont"/>
    <w:link w:val="CommentText"/>
    <w:uiPriority w:val="99"/>
    <w:semiHidden/>
    <w:rsid w:val="001635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3577"/>
    <w:rPr>
      <w:b/>
      <w:bCs/>
    </w:rPr>
  </w:style>
  <w:style w:type="character" w:customStyle="1" w:styleId="CommentSubjectChar">
    <w:name w:val="Comment Subject Char"/>
    <w:basedOn w:val="CommentTextChar"/>
    <w:link w:val="CommentSubject"/>
    <w:uiPriority w:val="99"/>
    <w:semiHidden/>
    <w:rsid w:val="00163577"/>
    <w:rPr>
      <w:rFonts w:ascii="Times New Roman" w:eastAsia="Times New Roman" w:hAnsi="Times New Roman" w:cs="Times New Roman"/>
      <w:b/>
      <w:bCs/>
      <w:sz w:val="20"/>
      <w:szCs w:val="20"/>
    </w:rPr>
  </w:style>
  <w:style w:type="paragraph" w:styleId="Revision">
    <w:name w:val="Revision"/>
    <w:hidden/>
    <w:uiPriority w:val="99"/>
    <w:semiHidden/>
    <w:rsid w:val="00163577"/>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9A7B75"/>
    <w:rPr>
      <w:strike w:val="0"/>
      <w:dstrike w:val="0"/>
      <w:color w:val="004B91"/>
      <w:u w:val="none"/>
      <w:effect w:val="none"/>
    </w:rPr>
  </w:style>
  <w:style w:type="character" w:customStyle="1" w:styleId="pmterms11">
    <w:name w:val="pmterms11"/>
    <w:basedOn w:val="DefaultParagraphFont"/>
    <w:rsid w:val="00A92B68"/>
    <w:rPr>
      <w:b/>
      <w:bCs/>
      <w:i w:val="0"/>
      <w:iCs w:val="0"/>
      <w:color w:val="000000"/>
    </w:rPr>
  </w:style>
  <w:style w:type="character" w:customStyle="1" w:styleId="pmterms21">
    <w:name w:val="pmterms21"/>
    <w:basedOn w:val="DefaultParagraphFont"/>
    <w:rsid w:val="003C0A4D"/>
    <w:rPr>
      <w:b/>
      <w:bCs/>
      <w:i w:val="0"/>
      <w:iCs w:val="0"/>
      <w:color w:val="000000"/>
    </w:rPr>
  </w:style>
  <w:style w:type="character" w:styleId="Emphasis">
    <w:name w:val="Emphasis"/>
    <w:basedOn w:val="DefaultParagraphFont"/>
    <w:uiPriority w:val="20"/>
    <w:qFormat/>
    <w:rsid w:val="00221181"/>
    <w:rPr>
      <w:i/>
      <w:iCs/>
    </w:rPr>
  </w:style>
  <w:style w:type="paragraph" w:customStyle="1" w:styleId="Default">
    <w:name w:val="Default"/>
    <w:rsid w:val="00BB331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1730B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1730B7"/>
    <w:rPr>
      <w:rFonts w:ascii="Times New Roman" w:eastAsia="Times New Roman" w:hAnsi="Times New Roman" w:cs="Times New Roman"/>
      <w:sz w:val="24"/>
      <w:szCs w:val="20"/>
    </w:rPr>
  </w:style>
  <w:style w:type="paragraph" w:styleId="NormalWeb">
    <w:name w:val="Normal (Web)"/>
    <w:basedOn w:val="Normal"/>
    <w:uiPriority w:val="99"/>
    <w:semiHidden/>
    <w:unhideWhenUsed/>
    <w:rsid w:val="008A6E8B"/>
    <w:pPr>
      <w:widowControl/>
    </w:pPr>
    <w:rPr>
      <w:sz w:val="24"/>
      <w:szCs w:val="24"/>
    </w:rPr>
  </w:style>
  <w:style w:type="character" w:customStyle="1" w:styleId="apple-converted-space">
    <w:name w:val="apple-converted-space"/>
    <w:basedOn w:val="DefaultParagraphFont"/>
    <w:rsid w:val="00827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53"/>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47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n Char1,ALTS FOOTNOTE Char,Footnote Text 2 Char,Footnote text Char,FOOTNOTE Char,fn Char Char Char,fn Char Char1,Footnote Text Char Char Char,Footnote Text Char1 Char Char Char,Footnote Text Char Char Char Char Char"/>
    <w:basedOn w:val="DefaultParagraphFont"/>
    <w:link w:val="FootnoteText"/>
    <w:uiPriority w:val="99"/>
    <w:locked/>
    <w:rsid w:val="002A4A4B"/>
    <w:rPr>
      <w:rFonts w:ascii="Times New Roman" w:eastAsia="Times New Roman" w:hAnsi="Times New Roman" w:cs="Times New Roman"/>
      <w:sz w:val="20"/>
      <w:szCs w:val="20"/>
    </w:rPr>
  </w:style>
  <w:style w:type="paragraph" w:styleId="FootnoteText">
    <w:name w:val="footnote text"/>
    <w:aliases w:val="fn,ALTS FOOTNOTE,Footnote Text 2,Footnote text,FOOTNOTE,fn Char Char,fn Char,Footnote Text Char Char,Footnote Text Char1 Char Char,Footnote Text Char Char Char Char,Footnote Text Char1 Char Char Char Char"/>
    <w:basedOn w:val="Normal"/>
    <w:link w:val="FootnoteTextChar"/>
    <w:uiPriority w:val="99"/>
    <w:unhideWhenUsed/>
    <w:rsid w:val="002A4A4B"/>
  </w:style>
  <w:style w:type="character" w:customStyle="1" w:styleId="FootnoteTextChar1">
    <w:name w:val="Footnote Text Char1"/>
    <w:basedOn w:val="DefaultParagraphFont"/>
    <w:uiPriority w:val="99"/>
    <w:semiHidden/>
    <w:rsid w:val="002A4A4B"/>
    <w:rPr>
      <w:rFonts w:ascii="Times New Roman" w:eastAsia="Times New Roman" w:hAnsi="Times New Roman" w:cs="Times New Roman"/>
      <w:sz w:val="20"/>
      <w:szCs w:val="20"/>
    </w:rPr>
  </w:style>
  <w:style w:type="character" w:styleId="FootnoteReference">
    <w:name w:val="footnote reference"/>
    <w:aliases w:val="fr,o,Style 6,Style 20,Appel note de bas de p,Style 8,Style 7,Style 3,Style 17,Style 19"/>
    <w:basedOn w:val="DefaultParagraphFont"/>
    <w:uiPriority w:val="99"/>
    <w:unhideWhenUsed/>
    <w:rsid w:val="002A4A4B"/>
    <w:rPr>
      <w:vertAlign w:val="superscript"/>
    </w:rPr>
  </w:style>
  <w:style w:type="paragraph" w:customStyle="1" w:styleId="Style">
    <w:name w:val="Style"/>
    <w:rsid w:val="006053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519C"/>
    <w:pPr>
      <w:ind w:left="720"/>
      <w:contextualSpacing/>
    </w:pPr>
  </w:style>
  <w:style w:type="paragraph" w:styleId="Header">
    <w:name w:val="header"/>
    <w:basedOn w:val="Normal"/>
    <w:link w:val="HeaderChar"/>
    <w:uiPriority w:val="99"/>
    <w:unhideWhenUsed/>
    <w:rsid w:val="00662DC2"/>
    <w:pPr>
      <w:tabs>
        <w:tab w:val="center" w:pos="4680"/>
        <w:tab w:val="right" w:pos="9360"/>
      </w:tabs>
    </w:pPr>
  </w:style>
  <w:style w:type="character" w:customStyle="1" w:styleId="HeaderChar">
    <w:name w:val="Header Char"/>
    <w:basedOn w:val="DefaultParagraphFont"/>
    <w:link w:val="Header"/>
    <w:uiPriority w:val="99"/>
    <w:rsid w:val="00662D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2DC2"/>
    <w:pPr>
      <w:tabs>
        <w:tab w:val="center" w:pos="4680"/>
        <w:tab w:val="right" w:pos="9360"/>
      </w:tabs>
    </w:pPr>
  </w:style>
  <w:style w:type="character" w:customStyle="1" w:styleId="FooterChar">
    <w:name w:val="Footer Char"/>
    <w:basedOn w:val="DefaultParagraphFont"/>
    <w:link w:val="Footer"/>
    <w:uiPriority w:val="99"/>
    <w:rsid w:val="00662DC2"/>
    <w:rPr>
      <w:rFonts w:ascii="Times New Roman" w:eastAsia="Times New Roman" w:hAnsi="Times New Roman" w:cs="Times New Roman"/>
      <w:sz w:val="20"/>
      <w:szCs w:val="20"/>
    </w:rPr>
  </w:style>
  <w:style w:type="paragraph" w:styleId="NoSpacing">
    <w:name w:val="No Spacing"/>
    <w:uiPriority w:val="1"/>
    <w:qFormat/>
    <w:rsid w:val="00904411"/>
    <w:pPr>
      <w:widowControl w:val="0"/>
      <w:spacing w:after="0" w:line="240" w:lineRule="auto"/>
    </w:pPr>
    <w:rPr>
      <w:rFonts w:ascii="Times New Roman" w:eastAsia="Times New Roman" w:hAnsi="Times New Roman" w:cs="Times New Roman"/>
      <w:sz w:val="20"/>
      <w:szCs w:val="20"/>
    </w:rPr>
  </w:style>
  <w:style w:type="character" w:customStyle="1" w:styleId="term1">
    <w:name w:val="term1"/>
    <w:basedOn w:val="DefaultParagraphFont"/>
    <w:rsid w:val="00A76761"/>
    <w:rPr>
      <w:b/>
      <w:bCs/>
    </w:rPr>
  </w:style>
  <w:style w:type="paragraph" w:styleId="BalloonText">
    <w:name w:val="Balloon Text"/>
    <w:basedOn w:val="Normal"/>
    <w:link w:val="BalloonTextChar"/>
    <w:uiPriority w:val="99"/>
    <w:semiHidden/>
    <w:unhideWhenUsed/>
    <w:rsid w:val="002333E1"/>
    <w:rPr>
      <w:rFonts w:ascii="Tahoma" w:hAnsi="Tahoma" w:cs="Tahoma"/>
      <w:sz w:val="16"/>
      <w:szCs w:val="16"/>
    </w:rPr>
  </w:style>
  <w:style w:type="character" w:customStyle="1" w:styleId="BalloonTextChar">
    <w:name w:val="Balloon Text Char"/>
    <w:basedOn w:val="DefaultParagraphFont"/>
    <w:link w:val="BalloonText"/>
    <w:uiPriority w:val="99"/>
    <w:semiHidden/>
    <w:rsid w:val="002333E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3577"/>
    <w:rPr>
      <w:sz w:val="16"/>
      <w:szCs w:val="16"/>
    </w:rPr>
  </w:style>
  <w:style w:type="paragraph" w:styleId="CommentText">
    <w:name w:val="annotation text"/>
    <w:basedOn w:val="Normal"/>
    <w:link w:val="CommentTextChar"/>
    <w:uiPriority w:val="99"/>
    <w:semiHidden/>
    <w:unhideWhenUsed/>
    <w:rsid w:val="00163577"/>
  </w:style>
  <w:style w:type="character" w:customStyle="1" w:styleId="CommentTextChar">
    <w:name w:val="Comment Text Char"/>
    <w:basedOn w:val="DefaultParagraphFont"/>
    <w:link w:val="CommentText"/>
    <w:uiPriority w:val="99"/>
    <w:semiHidden/>
    <w:rsid w:val="001635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3577"/>
    <w:rPr>
      <w:b/>
      <w:bCs/>
    </w:rPr>
  </w:style>
  <w:style w:type="character" w:customStyle="1" w:styleId="CommentSubjectChar">
    <w:name w:val="Comment Subject Char"/>
    <w:basedOn w:val="CommentTextChar"/>
    <w:link w:val="CommentSubject"/>
    <w:uiPriority w:val="99"/>
    <w:semiHidden/>
    <w:rsid w:val="00163577"/>
    <w:rPr>
      <w:rFonts w:ascii="Times New Roman" w:eastAsia="Times New Roman" w:hAnsi="Times New Roman" w:cs="Times New Roman"/>
      <w:b/>
      <w:bCs/>
      <w:sz w:val="20"/>
      <w:szCs w:val="20"/>
    </w:rPr>
  </w:style>
  <w:style w:type="paragraph" w:styleId="Revision">
    <w:name w:val="Revision"/>
    <w:hidden/>
    <w:uiPriority w:val="99"/>
    <w:semiHidden/>
    <w:rsid w:val="00163577"/>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semiHidden/>
    <w:unhideWhenUsed/>
    <w:rsid w:val="009A7B75"/>
    <w:rPr>
      <w:strike w:val="0"/>
      <w:dstrike w:val="0"/>
      <w:color w:val="004B91"/>
      <w:u w:val="none"/>
      <w:effect w:val="none"/>
    </w:rPr>
  </w:style>
  <w:style w:type="character" w:customStyle="1" w:styleId="pmterms11">
    <w:name w:val="pmterms11"/>
    <w:basedOn w:val="DefaultParagraphFont"/>
    <w:rsid w:val="00A92B68"/>
    <w:rPr>
      <w:b/>
      <w:bCs/>
      <w:i w:val="0"/>
      <w:iCs w:val="0"/>
      <w:color w:val="000000"/>
    </w:rPr>
  </w:style>
  <w:style w:type="character" w:customStyle="1" w:styleId="pmterms21">
    <w:name w:val="pmterms21"/>
    <w:basedOn w:val="DefaultParagraphFont"/>
    <w:rsid w:val="003C0A4D"/>
    <w:rPr>
      <w:b/>
      <w:bCs/>
      <w:i w:val="0"/>
      <w:iCs w:val="0"/>
      <w:color w:val="000000"/>
    </w:rPr>
  </w:style>
  <w:style w:type="character" w:styleId="Emphasis">
    <w:name w:val="Emphasis"/>
    <w:basedOn w:val="DefaultParagraphFont"/>
    <w:uiPriority w:val="20"/>
    <w:qFormat/>
    <w:rsid w:val="00221181"/>
    <w:rPr>
      <w:i/>
      <w:iCs/>
    </w:rPr>
  </w:style>
  <w:style w:type="paragraph" w:customStyle="1" w:styleId="Default">
    <w:name w:val="Default"/>
    <w:rsid w:val="00BB3311"/>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1730B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1730B7"/>
    <w:rPr>
      <w:rFonts w:ascii="Times New Roman" w:eastAsia="Times New Roman" w:hAnsi="Times New Roman" w:cs="Times New Roman"/>
      <w:sz w:val="24"/>
      <w:szCs w:val="20"/>
    </w:rPr>
  </w:style>
  <w:style w:type="paragraph" w:styleId="NormalWeb">
    <w:name w:val="Normal (Web)"/>
    <w:basedOn w:val="Normal"/>
    <w:uiPriority w:val="99"/>
    <w:semiHidden/>
    <w:unhideWhenUsed/>
    <w:rsid w:val="008A6E8B"/>
    <w:pPr>
      <w:widowControl/>
    </w:pPr>
    <w:rPr>
      <w:sz w:val="24"/>
      <w:szCs w:val="24"/>
    </w:rPr>
  </w:style>
  <w:style w:type="character" w:customStyle="1" w:styleId="apple-converted-space">
    <w:name w:val="apple-converted-space"/>
    <w:basedOn w:val="DefaultParagraphFont"/>
    <w:rsid w:val="0082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46612">
      <w:bodyDiv w:val="1"/>
      <w:marLeft w:val="0"/>
      <w:marRight w:val="0"/>
      <w:marTop w:val="0"/>
      <w:marBottom w:val="0"/>
      <w:divBdr>
        <w:top w:val="none" w:sz="0" w:space="0" w:color="auto"/>
        <w:left w:val="none" w:sz="0" w:space="0" w:color="auto"/>
        <w:bottom w:val="none" w:sz="0" w:space="0" w:color="auto"/>
        <w:right w:val="none" w:sz="0" w:space="0" w:color="auto"/>
      </w:divBdr>
      <w:divsChild>
        <w:div w:id="1945728446">
          <w:marLeft w:val="0"/>
          <w:marRight w:val="0"/>
          <w:marTop w:val="0"/>
          <w:marBottom w:val="0"/>
          <w:divBdr>
            <w:top w:val="none" w:sz="0" w:space="0" w:color="auto"/>
            <w:left w:val="none" w:sz="0" w:space="0" w:color="auto"/>
            <w:bottom w:val="none" w:sz="0" w:space="0" w:color="auto"/>
            <w:right w:val="none" w:sz="0" w:space="0" w:color="auto"/>
          </w:divBdr>
          <w:divsChild>
            <w:div w:id="679895330">
              <w:marLeft w:val="0"/>
              <w:marRight w:val="0"/>
              <w:marTop w:val="0"/>
              <w:marBottom w:val="0"/>
              <w:divBdr>
                <w:top w:val="none" w:sz="0" w:space="0" w:color="auto"/>
                <w:left w:val="none" w:sz="0" w:space="0" w:color="auto"/>
                <w:bottom w:val="none" w:sz="0" w:space="0" w:color="auto"/>
                <w:right w:val="none" w:sz="0" w:space="0" w:color="auto"/>
              </w:divBdr>
              <w:divsChild>
                <w:div w:id="1753819467">
                  <w:marLeft w:val="0"/>
                  <w:marRight w:val="0"/>
                  <w:marTop w:val="0"/>
                  <w:marBottom w:val="0"/>
                  <w:divBdr>
                    <w:top w:val="none" w:sz="0" w:space="0" w:color="auto"/>
                    <w:left w:val="none" w:sz="0" w:space="0" w:color="auto"/>
                    <w:bottom w:val="none" w:sz="0" w:space="0" w:color="auto"/>
                    <w:right w:val="none" w:sz="0" w:space="0" w:color="auto"/>
                  </w:divBdr>
                  <w:divsChild>
                    <w:div w:id="116779220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240b9b67769df29488c729ea13f4feb4&amp;_xfercite=%3ccite%20cc%3d%22USA%22%3e%3c%21%5bCDATA%5b2014%20Pa.%20PUC%20LEXIS%20301%5d%5d%3e%3c%2fcite%3e&amp;_butType=3&amp;_butStat=2&amp;_butNum=20&amp;_butInline=1&amp;_butinfo=%3ccite%20cc%3d%22USA%22%3e%3c%21%5bCDATA%5b63%20Pa.%20Commw.%20238%5d%5d%3e%3c%2fcite%3e&amp;_fmtstr=FULL&amp;docnum=4&amp;_startdoc=1&amp;wchp=dGLbVzt-zSkAl&amp;_md5=332c30a06c6a19eaea2cda1c2cf1d566" TargetMode="External"/><Relationship Id="rId18" Type="http://schemas.openxmlformats.org/officeDocument/2006/relationships/hyperlink" Target="http://www.lexis.com/research/buttonTFLink?_m=e2104770f6d501e57587c9208b17b32c&amp;_xfercite=%3ccite%20cc%3d%22USA%22%3e%3c%21%5bCDATA%5b715%20A.2d%20540%5d%5d%3e%3c%2fcite%3e&amp;_butType=4&amp;_butStat=0&amp;_butNum=69&amp;_butInline=1&amp;_butinfo=66%20PA.C.S.%20703&amp;_fmtstr=FULL&amp;docnum=1&amp;_startdoc=1&amp;wchp=dGLbVzk-zSkAz&amp;_md5=d89c4630d8e873a1a27522b8cae05de8" TargetMode="External"/><Relationship Id="rId3" Type="http://schemas.openxmlformats.org/officeDocument/2006/relationships/styles" Target="styles.xml"/><Relationship Id="rId21" Type="http://schemas.openxmlformats.org/officeDocument/2006/relationships/hyperlink" Target="http://www.lexis.com/research/buttonTFLink?_m=e2104770f6d501e57587c9208b17b32c&amp;_xfercite=%3ccite%20cc%3d%22USA%22%3e%3c%21%5bCDATA%5b715%20A.2d%20540%5d%5d%3e%3c%2fcite%3e&amp;_butType=3&amp;_butStat=2&amp;_butNum=80&amp;_butInline=1&amp;_butinfo=%3ccite%20cc%3d%22USA%22%3e%3c%21%5bCDATA%5b60%20A.2d%20443%2c%20449%5d%5d%3e%3c%2fcite%3e&amp;_fmtstr=FULL&amp;docnum=1&amp;_startdoc=1&amp;wchp=dGLbVzk-zSkAz&amp;_md5=74d4d5a47371361ae542023674b51b6a" TargetMode="External"/><Relationship Id="rId7" Type="http://schemas.openxmlformats.org/officeDocument/2006/relationships/footnotes" Target="footnotes.xml"/><Relationship Id="rId12" Type="http://schemas.openxmlformats.org/officeDocument/2006/relationships/hyperlink" Target="http://www.lexis.com/research/buttonTFLink?_m=240b9b67769df29488c729ea13f4feb4&amp;_xfercite=%3ccite%20cc%3d%22USA%22%3e%3c%21%5bCDATA%5b2014%20Pa.%20PUC%20LEXIS%20301%5d%5d%3e%3c%2fcite%3e&amp;_butType=3&amp;_butStat=2&amp;_butNum=19&amp;_butInline=1&amp;_butinfo=%3ccite%20cc%3d%22USA%22%3e%3c%21%5bCDATA%5b32%20Pa.%20Commw.%20319%5d%5d%3e%3c%2fcite%3e&amp;_fmtstr=FULL&amp;docnum=4&amp;_startdoc=1&amp;wchp=dGLbVzt-zSkAl&amp;_md5=3e906df3eee8992266cd365f245790bf" TargetMode="External"/><Relationship Id="rId17" Type="http://schemas.openxmlformats.org/officeDocument/2006/relationships/hyperlink" Target="http://www.lexis.com/research/buttonTFLink?_m=84292eddaef7a89a8a15e79f495ca024&amp;_xfercite=%3ccite%20cc%3d%22USA%22%3e%3c%21%5bCDATA%5b694%20A.2d%201147%5d%5d%3e%3c%2fcite%3e&amp;_butType=3&amp;_butStat=2&amp;_butNum=24&amp;_butInline=1&amp;_butinfo=%3ccite%20cc%3d%22USA%22%3e%3c%21%5bCDATA%5b686%20A.2d%20910%2c%20914%5d%5d%3e%3c%2fcite%3e&amp;_fmtstr=FULL&amp;docnum=1&amp;_startdoc=1&amp;wchp=dGLbVzt-zSkAl&amp;_md5=35bfc8898179ce541355653ae3386f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xis.com/research/buttonTFLink?_m=e9cee0effbdedfb2d6db2a539b5ebc71&amp;_xfercite=%3ccite%20cc%3d%22USA%22%3e%3c%21%5bCDATA%5b2012%20Pa.%20PUC%20LEXIS%20960%5d%5d%3e%3c%2fcite%3e&amp;_butType=3&amp;_butStat=2&amp;_butNum=20&amp;_butInline=1&amp;_butinfo=%3ccite%20cc%3d%22USA%22%3e%3c%21%5bCDATA%5b694%20A.2d%201147%5d%5d%3e%3c%2fcite%3e&amp;_fmtstr=FULL&amp;docnum=10&amp;_startdoc=1&amp;wchp=dGLbVzt-zSkAl&amp;_md5=65e5f392909242ad44e0e69ab75b081b" TargetMode="External"/><Relationship Id="rId20" Type="http://schemas.openxmlformats.org/officeDocument/2006/relationships/hyperlink" Target="http://www.lexis.com/research/buttonTFLink?_m=e2104770f6d501e57587c9208b17b32c&amp;_xfercite=%3ccite%20cc%3d%22USA%22%3e%3c%21%5bCDATA%5b715%20A.2d%20540%5d%5d%3e%3c%2fcite%3e&amp;_butType=3&amp;_butStat=2&amp;_butNum=71&amp;_butInline=1&amp;_butinfo=%3ccite%20cc%3d%22USA%22%3e%3c%21%5bCDATA%5b92%20Pa.%20Commw.%20530%5d%5d%3e%3c%2fcite%3e&amp;_fmtstr=FULL&amp;docnum=1&amp;_startdoc=1&amp;wchp=dGLbVzk-zSkAz&amp;_md5=5e858a08e78d105614676f39fe2c6c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retrieve?_m=c2eb1462ae2a9cf402da4832c1448b0c&amp;docnum=32&amp;_fmtstr=FULL&amp;_startdoc=31&amp;wchp=dGLzVzk-zSkAA&amp;_md5=5e156d8b1cd82bdb216fd5d26198e4d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xis.com/research/buttonTFLink?_m=e9cee0effbdedfb2d6db2a539b5ebc71&amp;_xfercite=%3ccite%20cc%3d%22USA%22%3e%3c%21%5bCDATA%5b2012%20Pa.%20PUC%20LEXIS%20960%5d%5d%3e%3c%2fcite%3e&amp;_butType=3&amp;_butStat=2&amp;_butNum=18&amp;_butInline=1&amp;_butinfo=%3ccite%20cc%3d%22USA%22%3e%3c%21%5bCDATA%5b437%20A.2d%201067%5d%5d%3e%3c%2fcite%3e&amp;_fmtstr=FULL&amp;docnum=10&amp;_startdoc=1&amp;wchp=dGLbVzt-zSkAl&amp;_md5=163d6d2522b2aec50d7b81be29f83dfd" TargetMode="External"/><Relationship Id="rId23" Type="http://schemas.openxmlformats.org/officeDocument/2006/relationships/footer" Target="footer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9" Type="http://schemas.openxmlformats.org/officeDocument/2006/relationships/hyperlink" Target="http://www.lexis.com/research/buttonTFLink?_m=e2104770f6d501e57587c9208b17b32c&amp;_xfercite=%3ccite%20cc%3d%22USA%22%3e%3c%21%5bCDATA%5b715%20A.2d%20540%5d%5d%3e%3c%2fcite%3e&amp;_butType=4&amp;_butStat=0&amp;_butNum=70&amp;_butInline=1&amp;_butinfo=52%20PA%20CODE%205.21&amp;_fmtstr=FULL&amp;docnum=1&amp;_startdoc=1&amp;wchp=dGLbVzk-zSkAz&amp;_md5=d9bd139846d30badcde643f7b718a99a"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hyperlink" Target="http://www.lexis.com/research/buttonTFLink?_m=240b9b67769df29488c729ea13f4feb4&amp;_xfercite=%3ccite%20cc%3d%22USA%22%3e%3c%21%5bCDATA%5b2014%20Pa.%20PUC%20LEXIS%20301%5d%5d%3e%3c%2fcite%3e&amp;_butType=3&amp;_butStat=2&amp;_butNum=21&amp;_butInline=1&amp;_butinfo=%3ccite%20cc%3d%22USA%22%3e%3c%21%5bCDATA%5b663%20A.2d%20281%5d%5d%3e%3c%2fcite%3e&amp;_fmtstr=FULL&amp;docnum=4&amp;_startdoc=1&amp;wchp=dGLbVzt-zSkAl&amp;_md5=e36db2fad7b99701edcabb31e100bca8"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4896D-77C0-4911-A47D-3C221AF9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5961</Words>
  <Characters>33978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Wagner, Nathan R</cp:lastModifiedBy>
  <cp:revision>6</cp:revision>
  <cp:lastPrinted>2017-06-29T23:57:00Z</cp:lastPrinted>
  <dcterms:created xsi:type="dcterms:W3CDTF">2017-06-30T00:32:00Z</dcterms:created>
  <dcterms:modified xsi:type="dcterms:W3CDTF">2017-07-12T15:04:00Z</dcterms:modified>
</cp:coreProperties>
</file>