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0A" w:rsidRDefault="00834E0A" w:rsidP="00834E0A">
      <w:pPr>
        <w:pStyle w:val="Title"/>
        <w:rPr>
          <w:szCs w:val="24"/>
        </w:rPr>
      </w:pPr>
      <w:r>
        <w:rPr>
          <w:szCs w:val="24"/>
        </w:rPr>
        <w:t>BEFORE THE</w:t>
      </w:r>
    </w:p>
    <w:p w:rsidR="00834E0A" w:rsidRDefault="00834E0A" w:rsidP="00834E0A">
      <w:pPr>
        <w:pStyle w:val="Subtitle"/>
        <w:rPr>
          <w:szCs w:val="24"/>
        </w:rPr>
      </w:pPr>
      <w:r>
        <w:rPr>
          <w:szCs w:val="24"/>
        </w:rPr>
        <w:t>PENNSYLVANIA PUBLIC UTILITY COMMISSION</w:t>
      </w:r>
    </w:p>
    <w:p w:rsidR="00834E0A" w:rsidRDefault="00834E0A" w:rsidP="00834E0A">
      <w:pPr>
        <w:rPr>
          <w:szCs w:val="24"/>
        </w:rPr>
      </w:pPr>
    </w:p>
    <w:p w:rsidR="00834E0A" w:rsidRDefault="00834E0A" w:rsidP="00834E0A">
      <w:pPr>
        <w:rPr>
          <w:szCs w:val="24"/>
        </w:rPr>
      </w:pPr>
    </w:p>
    <w:p w:rsidR="00834E0A" w:rsidRDefault="00834E0A" w:rsidP="00834E0A">
      <w:pPr>
        <w:rPr>
          <w:szCs w:val="24"/>
        </w:rPr>
      </w:pPr>
    </w:p>
    <w:p w:rsidR="00BC7A18" w:rsidRDefault="00BC7A18" w:rsidP="00BC7A18">
      <w:pPr>
        <w:jc w:val="both"/>
        <w:rPr>
          <w:szCs w:val="24"/>
        </w:rPr>
      </w:pPr>
      <w:r w:rsidRPr="00EE141F">
        <w:rPr>
          <w:szCs w:val="24"/>
        </w:rPr>
        <w:t>Crescent Hotel-Plymouth Meeting, LP</w:t>
      </w:r>
      <w:r>
        <w:rPr>
          <w:szCs w:val="24"/>
        </w:rPr>
        <w:tab/>
      </w:r>
      <w:r>
        <w:rPr>
          <w:szCs w:val="24"/>
        </w:rPr>
        <w:tab/>
        <w:t>:</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r>
      <w:r w:rsidR="00D64AD0">
        <w:rPr>
          <w:szCs w:val="24"/>
        </w:rPr>
        <w:t>:</w:t>
      </w:r>
      <w:r>
        <w:rPr>
          <w:szCs w:val="24"/>
        </w:rPr>
        <w:tab/>
      </w:r>
      <w:r w:rsidR="00FF6F9B">
        <w:rPr>
          <w:szCs w:val="24"/>
        </w:rPr>
        <w:tab/>
      </w:r>
      <w:r>
        <w:rPr>
          <w:szCs w:val="24"/>
        </w:rPr>
        <w:t>C-2008-2068258</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PECO Energy Company</w:t>
      </w:r>
      <w:r>
        <w:rPr>
          <w:szCs w:val="24"/>
        </w:rPr>
        <w:tab/>
      </w:r>
      <w:r>
        <w:rPr>
          <w:szCs w:val="24"/>
        </w:rPr>
        <w:tab/>
      </w:r>
      <w:r>
        <w:rPr>
          <w:szCs w:val="24"/>
        </w:rPr>
        <w:tab/>
      </w:r>
      <w:r>
        <w:rPr>
          <w:szCs w:val="24"/>
        </w:rPr>
        <w:tab/>
        <w:t>:</w:t>
      </w:r>
    </w:p>
    <w:p w:rsidR="00BC7A18" w:rsidRDefault="00BC7A18" w:rsidP="00BC7A18">
      <w:pPr>
        <w:jc w:val="both"/>
        <w:rPr>
          <w:szCs w:val="24"/>
        </w:rPr>
      </w:pPr>
    </w:p>
    <w:p w:rsidR="00BC7A18" w:rsidRDefault="00BC7A18" w:rsidP="00BC7A18">
      <w:pPr>
        <w:jc w:val="both"/>
        <w:rPr>
          <w:szCs w:val="24"/>
        </w:rPr>
      </w:pPr>
      <w:r>
        <w:rPr>
          <w:szCs w:val="24"/>
        </w:rPr>
        <w:t>Crescent Hotel-Plymouth Meeting, LP</w:t>
      </w:r>
      <w:r>
        <w:rPr>
          <w:szCs w:val="24"/>
        </w:rPr>
        <w:tab/>
      </w:r>
      <w:r>
        <w:rPr>
          <w:szCs w:val="24"/>
        </w:rPr>
        <w:tab/>
        <w:t>:</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sidR="00FF6F9B">
        <w:rPr>
          <w:szCs w:val="24"/>
        </w:rPr>
        <w:tab/>
      </w:r>
      <w:r>
        <w:rPr>
          <w:szCs w:val="24"/>
        </w:rPr>
        <w:t>C-2008-2068267</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UGI Energy Services, Inc.</w:t>
      </w:r>
      <w:r>
        <w:rPr>
          <w:szCs w:val="24"/>
        </w:rPr>
        <w:tab/>
      </w:r>
      <w:r>
        <w:rPr>
          <w:szCs w:val="24"/>
        </w:rPr>
        <w:tab/>
      </w:r>
      <w:r>
        <w:rPr>
          <w:szCs w:val="24"/>
        </w:rPr>
        <w:tab/>
      </w:r>
      <w:r>
        <w:rPr>
          <w:szCs w:val="24"/>
        </w:rPr>
        <w:tab/>
        <w:t>:</w:t>
      </w:r>
    </w:p>
    <w:p w:rsidR="00BC7A18" w:rsidRDefault="00BC7A18" w:rsidP="00BC7A18">
      <w:pPr>
        <w:jc w:val="both"/>
        <w:rPr>
          <w:szCs w:val="24"/>
        </w:rPr>
      </w:pPr>
    </w:p>
    <w:p w:rsidR="00BC7A18" w:rsidRDefault="00BC7A18" w:rsidP="00BC7A18">
      <w:pPr>
        <w:jc w:val="both"/>
        <w:rPr>
          <w:szCs w:val="24"/>
        </w:rPr>
      </w:pPr>
      <w:r>
        <w:rPr>
          <w:szCs w:val="24"/>
        </w:rPr>
        <w:t>Crescent Hotel-Plymouth Meeting, LP</w:t>
      </w:r>
      <w:r>
        <w:rPr>
          <w:szCs w:val="24"/>
        </w:rPr>
        <w:tab/>
      </w:r>
      <w:r>
        <w:rPr>
          <w:szCs w:val="24"/>
        </w:rPr>
        <w:tab/>
        <w:t>:</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r>
      <w:r w:rsidR="00D64AD0">
        <w:rPr>
          <w:szCs w:val="24"/>
        </w:rPr>
        <w:t>:</w:t>
      </w:r>
      <w:r>
        <w:rPr>
          <w:szCs w:val="24"/>
        </w:rPr>
        <w:tab/>
      </w:r>
      <w:r w:rsidR="00FF6F9B">
        <w:rPr>
          <w:szCs w:val="24"/>
        </w:rPr>
        <w:tab/>
      </w:r>
      <w:r>
        <w:rPr>
          <w:szCs w:val="24"/>
        </w:rPr>
        <w:t>C-2009-2089563</w:t>
      </w:r>
    </w:p>
    <w:p w:rsidR="00BC7A18" w:rsidRDefault="00BC7A18" w:rsidP="00BC7A18">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r>
        <w:rPr>
          <w:szCs w:val="24"/>
        </w:rPr>
        <w:t>Celeren Corporation</w:t>
      </w:r>
      <w:r>
        <w:rPr>
          <w:szCs w:val="24"/>
        </w:rPr>
        <w:tab/>
      </w:r>
      <w:r>
        <w:rPr>
          <w:szCs w:val="24"/>
        </w:rPr>
        <w:tab/>
      </w:r>
      <w:r>
        <w:rPr>
          <w:szCs w:val="24"/>
        </w:rPr>
        <w:tab/>
      </w:r>
      <w:r>
        <w:rPr>
          <w:szCs w:val="24"/>
        </w:rPr>
        <w:tab/>
      </w:r>
      <w:r>
        <w:rPr>
          <w:szCs w:val="24"/>
        </w:rPr>
        <w:tab/>
        <w:t>:</w:t>
      </w:r>
    </w:p>
    <w:p w:rsidR="00BC7A18" w:rsidRDefault="00BC7A18" w:rsidP="00BC7A18">
      <w:pPr>
        <w:jc w:val="both"/>
        <w:rPr>
          <w:szCs w:val="24"/>
        </w:rPr>
      </w:pPr>
    </w:p>
    <w:p w:rsidR="00834E0A" w:rsidRDefault="00834E0A" w:rsidP="003D3268">
      <w:pPr>
        <w:pStyle w:val="Heading1"/>
        <w:jc w:val="left"/>
        <w:rPr>
          <w:szCs w:val="24"/>
        </w:rPr>
      </w:pPr>
    </w:p>
    <w:p w:rsidR="003D3268" w:rsidRPr="003D3268" w:rsidRDefault="003D3268" w:rsidP="003D3268"/>
    <w:p w:rsidR="00834E0A" w:rsidRDefault="00834E0A" w:rsidP="00834E0A">
      <w:pPr>
        <w:pStyle w:val="NoSpacing"/>
        <w:jc w:val="center"/>
        <w:rPr>
          <w:b/>
          <w:szCs w:val="24"/>
          <w:u w:val="single"/>
        </w:rPr>
      </w:pPr>
      <w:r>
        <w:rPr>
          <w:b/>
          <w:szCs w:val="24"/>
          <w:u w:val="single"/>
        </w:rPr>
        <w:t>ORDER #</w:t>
      </w:r>
      <w:r w:rsidR="00CD25EE">
        <w:rPr>
          <w:b/>
          <w:szCs w:val="24"/>
          <w:u w:val="single"/>
        </w:rPr>
        <w:t>5</w:t>
      </w:r>
    </w:p>
    <w:p w:rsidR="00834E0A" w:rsidRDefault="00834E0A" w:rsidP="003D3268">
      <w:pPr>
        <w:pStyle w:val="NoSpacing"/>
        <w:spacing w:line="360" w:lineRule="auto"/>
        <w:rPr>
          <w:szCs w:val="24"/>
        </w:rPr>
      </w:pPr>
    </w:p>
    <w:p w:rsidR="00834E0A" w:rsidRDefault="00834E0A" w:rsidP="00834E0A">
      <w:pPr>
        <w:pStyle w:val="NoSpacing"/>
        <w:jc w:val="center"/>
        <w:rPr>
          <w:szCs w:val="24"/>
          <w:u w:val="single"/>
        </w:rPr>
      </w:pPr>
      <w:r>
        <w:rPr>
          <w:szCs w:val="24"/>
          <w:u w:val="single"/>
        </w:rPr>
        <w:t>History</w:t>
      </w:r>
    </w:p>
    <w:p w:rsidR="00834E0A" w:rsidRDefault="00834E0A" w:rsidP="003D3268">
      <w:pPr>
        <w:pStyle w:val="NoSpacing"/>
        <w:spacing w:line="360" w:lineRule="auto"/>
        <w:rPr>
          <w:szCs w:val="24"/>
          <w:u w:val="single"/>
        </w:rPr>
      </w:pPr>
    </w:p>
    <w:p w:rsidR="00BC7A18" w:rsidRDefault="00834E0A" w:rsidP="00BC7A18">
      <w:pPr>
        <w:spacing w:line="360" w:lineRule="auto"/>
        <w:rPr>
          <w:szCs w:val="24"/>
        </w:rPr>
      </w:pPr>
      <w:r>
        <w:rPr>
          <w:szCs w:val="24"/>
        </w:rPr>
        <w:tab/>
      </w:r>
      <w:r>
        <w:rPr>
          <w:szCs w:val="24"/>
        </w:rPr>
        <w:tab/>
      </w:r>
      <w:r w:rsidR="00BC7A18">
        <w:rPr>
          <w:szCs w:val="24"/>
        </w:rPr>
        <w:t>Crescent Hotel-Plymouth Meeting, LP (“Crescent”) filed complaints with the Pennsylvania Public Utility Commission (“Commission”) against PECO Energy Company/Exelon Corporation (“PECO”), UGI Energy Services (“UGIES”) and Celeren Corporation (“Celeren”) on October 1, 2008.</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 xml:space="preserve">The Commission’s Secretary’s Bureau docketed the cases as follows: </w:t>
      </w:r>
      <w:r>
        <w:rPr>
          <w:i/>
          <w:szCs w:val="24"/>
        </w:rPr>
        <w:t>Crescent v. PECO</w:t>
      </w:r>
      <w:r>
        <w:rPr>
          <w:szCs w:val="24"/>
        </w:rPr>
        <w:t xml:space="preserve">, C-2008-2068258; </w:t>
      </w:r>
      <w:r>
        <w:rPr>
          <w:i/>
          <w:szCs w:val="24"/>
        </w:rPr>
        <w:t>Crescent v. UGIES</w:t>
      </w:r>
      <w:r>
        <w:rPr>
          <w:szCs w:val="24"/>
        </w:rPr>
        <w:t xml:space="preserve">, C-2008-2068267; and </w:t>
      </w:r>
      <w:r>
        <w:rPr>
          <w:i/>
          <w:szCs w:val="24"/>
        </w:rPr>
        <w:t>Crescent v. Celeren</w:t>
      </w:r>
      <w:r>
        <w:rPr>
          <w:szCs w:val="24"/>
        </w:rPr>
        <w:t>, C-2009-2089563.  All three complaints were assigned to Administrative Law Judge Guy M. Koster.</w:t>
      </w:r>
    </w:p>
    <w:p w:rsidR="00BC7A18" w:rsidRDefault="00BC7A18" w:rsidP="003D3268">
      <w:pPr>
        <w:spacing w:line="360" w:lineRule="auto"/>
        <w:rPr>
          <w:szCs w:val="24"/>
        </w:rPr>
      </w:pPr>
    </w:p>
    <w:p w:rsidR="00BC7A18" w:rsidRDefault="00BC7A18" w:rsidP="003D3268">
      <w:pPr>
        <w:spacing w:line="360" w:lineRule="auto"/>
        <w:rPr>
          <w:szCs w:val="24"/>
        </w:rPr>
      </w:pPr>
      <w:r>
        <w:rPr>
          <w:szCs w:val="24"/>
        </w:rPr>
        <w:lastRenderedPageBreak/>
        <w:tab/>
      </w:r>
      <w:r>
        <w:rPr>
          <w:szCs w:val="24"/>
        </w:rPr>
        <w:tab/>
        <w:t>On October 29, 2008, PECO, through its counsel, and UGIES, through its counsel, filed answers to the complaints.</w:t>
      </w:r>
      <w:r w:rsidR="003D3268">
        <w:rPr>
          <w:szCs w:val="24"/>
        </w:rPr>
        <w:t xml:space="preserve"> </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 xml:space="preserve">By notice dated February 23, 2009, a prehearing conference was scheduled for April 7, 2009.  </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 xml:space="preserve">On April 1, 2009, the Celeren bankruptcy trustee contacted ALJ Koster and invoked the automatic stay provisions of the United States Bankruptcy Code.  </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On April 2, 2009, ALJ Koster issued an Order consolidating the PECO, UGIES, and Celeren proceedings and staying further action in the consolidated docket since Celeren filed for bankruptcy.</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Consequently, the instant consolidated proceeding was stayed on April 2, 2009, with no further activity in the docket allowed pending closure of the Celeren bankruptcy proceeding.</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On February 18, 2014, the Bankruptcy Court issued a Final Decree closing the Celeren bankruptcy proceeding.</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On March 12, 2014, the Commission issued a Judge Change Notice assigning this matter to Administrative Law Judge Cynthia Williams Fordham.</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 xml:space="preserve">On March 18, 2014, Linda Richenderfer, Esquire, counsel for George L. Miller, the Chapter 7 Bankruptcy Trustee for Celeren Corporation, informed the Commission and the parties, by letter addressed to the undersigned, of the Bankruptcy Court Final Decree, dated February 19, 2014.  </w:t>
      </w:r>
    </w:p>
    <w:p w:rsidR="00BC7A18" w:rsidRDefault="00BC7A18" w:rsidP="003D3268">
      <w:pPr>
        <w:spacing w:line="360" w:lineRule="auto"/>
        <w:rPr>
          <w:szCs w:val="24"/>
        </w:rPr>
      </w:pPr>
    </w:p>
    <w:p w:rsidR="00BC7A18" w:rsidRDefault="00BC7A18" w:rsidP="003D3268">
      <w:pPr>
        <w:spacing w:line="360" w:lineRule="auto"/>
        <w:rPr>
          <w:szCs w:val="24"/>
        </w:rPr>
      </w:pPr>
      <w:r>
        <w:rPr>
          <w:szCs w:val="24"/>
        </w:rPr>
        <w:tab/>
      </w:r>
      <w:r>
        <w:rPr>
          <w:szCs w:val="24"/>
        </w:rPr>
        <w:tab/>
        <w:t>On March 24, 2014, the Judge Change Notice that the Commission sent to Celeren Corporation at Two Bala Plaza Suite 300 was returned with the notation “not deliverable as addressed, unable to forward.”</w:t>
      </w:r>
    </w:p>
    <w:p w:rsidR="00BC7A18" w:rsidRDefault="00BC7A18" w:rsidP="00BC7A18">
      <w:pPr>
        <w:spacing w:line="360" w:lineRule="auto"/>
        <w:rPr>
          <w:szCs w:val="24"/>
        </w:rPr>
      </w:pPr>
      <w:r>
        <w:rPr>
          <w:szCs w:val="24"/>
        </w:rPr>
        <w:lastRenderedPageBreak/>
        <w:tab/>
      </w:r>
      <w:r>
        <w:rPr>
          <w:szCs w:val="24"/>
        </w:rPr>
        <w:tab/>
        <w:t>On April 22, 2014, PECO Energy Company, through its counsel, filed a Motion to Lift Stay and Re-Activate the Proceeding with a notice to plead.  PECO noted that the Celeren bankruptcy proceeding was completed and that there was no longer any reason to stay the instant proceeding.  PECO’s counsel attached a notice to plead to PECO Energy Company’s Motion to Lift Stay and Re-Activate the Proceeding.</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 xml:space="preserve">On April 24, 2014, PECO’s counsel filed PECO Energy Company’s Motion to Require the Filing of an Amended and More Specific Complaint with a notice to plead.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The undersigned sent the parties an Order, dated May 7, 2014, stating that in accordance with 52 Pa.Code § 5.103(b) the answers to PECO’s Motion to Lift Stay and Re-Activate the Proceeding were due on Tuesday, May 13, 2014.  In addition, the undersigned explained that the Order addressing the Motion to Lift Stay and Reactivate the Proceeding would contain instructions for filing answers to PECO Energy Company’s Motion to Require the Filing of an Amended and More Specific Complaint.</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May 9, 2014, Christopher T. Wright, Esquire and David B. MacGregor, Esquire, filed a Notice of Appearance on behalf of UGI Energy Services, Inc.</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May 12, 2014, UGIES, through its counsel, filed a letter in response to PECO Energy Company’s Motion to Lift Stay and Re-Activate the Proceeding.  UGIES did not object to the Motion.</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In addition, on May 12, 2014, UGIES, through its counsel, filed a letter in response to PECO Energy Company’s Motion to Require the Filing of an Amended and More Specific Complaint.  UGIES took no position on the Motion.  However, counsel stated that if the request was granted, UGIES reserved the right to file an answer, new matter and/or motions to the amended complaint.</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No response was received from Crescent Hotel-Plymouth Meeting, LP or Celeren Corporation.</w:t>
      </w:r>
    </w:p>
    <w:p w:rsidR="00BC7A18" w:rsidRDefault="00BC7A18" w:rsidP="00BC7A18">
      <w:pPr>
        <w:spacing w:line="360" w:lineRule="auto"/>
        <w:rPr>
          <w:szCs w:val="24"/>
        </w:rPr>
      </w:pPr>
      <w:r>
        <w:rPr>
          <w:szCs w:val="24"/>
        </w:rPr>
        <w:lastRenderedPageBreak/>
        <w:tab/>
      </w:r>
      <w:r>
        <w:rPr>
          <w:szCs w:val="24"/>
        </w:rPr>
        <w:tab/>
        <w:t xml:space="preserve">By Order #3, dated June 5, 2014, the undersigned granted PECO Energy Company’s Motion to Lift Stay and Re-Activate the Proceeding.  In addition, the parties were notified that the answers to PECO Energy Company’s Motion to Require the Filing of an Amended and More Specific Complaint were due on Friday, June 20, 2014.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Crescent did not file an answer to PECO Energy Company’s Motion to Require the Filing of an Amended and More Specific Complaint.</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 xml:space="preserve">On June 20, 2014, Crescent filed an Amended complaint.  Count One was against PECO Energy, Exelon Corporation and Celeren Corporation, ¶¶ 31-46.  Count Two was against UGIES, ¶¶47-59.  Count Three, ¶¶ 60-62, Count Four ¶¶ 63-67, and Count Five, ¶¶68-86 were against Celeren.  Count Six was against PECO Energy and Exelon Corporation, ¶¶ 87-100.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July 9, 2014, PECO filed Preliminary Objections to the Amended Complaint.</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Crescent did not file an answer to PECO Energy Company’s Preliminary Objections.</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 xml:space="preserve">On July 23, 2014, Crescent filed a Second Amended complaint.  Count One is against PECO Energy, Exelon Corporation and Celeren Corporation, ¶¶ 31-46.  Count Two is against UGIES, ¶¶47-59.  Count Three is against Celeren, PECO Energy, Exelon Corporation and UGIES, ¶¶ 60-81.  Count Four is against PECO Energy ¶¶ 82-95.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August 18, 2014, PECO filed Preliminary Objections to the Second Amended Complaint.</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August 18, 2014, UGIES filed an Answer, New Matter and Affirmative Defenses.</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August 29, 2014, Crescent filed an Answer to the Preliminary Objections to the Second Amended Complaint.</w:t>
      </w:r>
    </w:p>
    <w:p w:rsidR="00BC7A18" w:rsidRDefault="00BC7A18" w:rsidP="00BC7A18">
      <w:pPr>
        <w:spacing w:line="360" w:lineRule="auto"/>
        <w:rPr>
          <w:szCs w:val="24"/>
        </w:rPr>
      </w:pPr>
      <w:r>
        <w:rPr>
          <w:szCs w:val="24"/>
        </w:rPr>
        <w:lastRenderedPageBreak/>
        <w:tab/>
      </w:r>
      <w:r>
        <w:rPr>
          <w:szCs w:val="24"/>
        </w:rPr>
        <w:tab/>
        <w:t xml:space="preserve">Crescent did not file an Answer to the New Matter filed by UGIES.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By correspondence dated November 23, 2015, Linda Richenderfer, Esquire, requested that her name and George L. Miller’s name be removed from the service list since Mr. Miller is no longer the Bankruptcy Trustee for Celeren Corporation and she no longer serves as his counsel in that capacity.</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 xml:space="preserve">On September 8, 2016, Judge Fordham issued Order #4 which granted in part and denied in part PECO’s Preliminary Objections.  </w:t>
      </w:r>
    </w:p>
    <w:p w:rsidR="00BC7A18" w:rsidRDefault="00BC7A18" w:rsidP="00BC7A18">
      <w:pPr>
        <w:spacing w:line="360" w:lineRule="auto"/>
        <w:rPr>
          <w:szCs w:val="24"/>
        </w:rPr>
      </w:pPr>
    </w:p>
    <w:p w:rsidR="00BC7A18" w:rsidRDefault="00BC7A18" w:rsidP="00BC7A18">
      <w:pPr>
        <w:spacing w:line="360" w:lineRule="auto"/>
        <w:rPr>
          <w:szCs w:val="24"/>
        </w:rPr>
      </w:pPr>
      <w:r>
        <w:rPr>
          <w:szCs w:val="24"/>
        </w:rPr>
        <w:tab/>
      </w:r>
      <w:r>
        <w:rPr>
          <w:szCs w:val="24"/>
        </w:rPr>
        <w:tab/>
        <w:t>On September 28, 2016, PECO filed an Answer t</w:t>
      </w:r>
      <w:r w:rsidR="00C3220A">
        <w:rPr>
          <w:szCs w:val="24"/>
        </w:rPr>
        <w:t>o the Second Amended Complaint</w:t>
      </w:r>
      <w:r>
        <w:rPr>
          <w:szCs w:val="24"/>
        </w:rPr>
        <w:t xml:space="preserve"> pursuant to Judge Fordham’s Order #4.  </w:t>
      </w:r>
    </w:p>
    <w:p w:rsidR="00BC7A18" w:rsidRDefault="00BC7A18" w:rsidP="00BC7A18">
      <w:pPr>
        <w:spacing w:line="360" w:lineRule="auto"/>
        <w:rPr>
          <w:szCs w:val="24"/>
        </w:rPr>
      </w:pPr>
    </w:p>
    <w:p w:rsidR="00834E0A" w:rsidRDefault="00834E0A" w:rsidP="00BC7A18">
      <w:pPr>
        <w:spacing w:line="360" w:lineRule="auto"/>
        <w:rPr>
          <w:szCs w:val="24"/>
        </w:rPr>
      </w:pPr>
      <w:r>
        <w:rPr>
          <w:szCs w:val="24"/>
        </w:rPr>
        <w:tab/>
      </w:r>
      <w:r>
        <w:rPr>
          <w:szCs w:val="24"/>
        </w:rPr>
        <w:tab/>
        <w:t xml:space="preserve">The matter was </w:t>
      </w:r>
      <w:r w:rsidR="00BC7A18">
        <w:rPr>
          <w:szCs w:val="24"/>
        </w:rPr>
        <w:t>reassigned</w:t>
      </w:r>
      <w:r>
        <w:rPr>
          <w:szCs w:val="24"/>
        </w:rPr>
        <w:t xml:space="preserve"> to Administrative Law Judge Marta Guhl</w:t>
      </w:r>
      <w:r w:rsidR="00715D46">
        <w:rPr>
          <w:szCs w:val="24"/>
        </w:rPr>
        <w:t xml:space="preserve"> on or about March 16</w:t>
      </w:r>
      <w:r w:rsidR="00BC7A18">
        <w:rPr>
          <w:szCs w:val="24"/>
        </w:rPr>
        <w:t>, 2017</w:t>
      </w:r>
      <w:r w:rsidR="00C3220A">
        <w:rPr>
          <w:szCs w:val="24"/>
        </w:rPr>
        <w:t>,</w:t>
      </w:r>
      <w:r w:rsidR="00BC7A18">
        <w:rPr>
          <w:szCs w:val="24"/>
        </w:rPr>
        <w:t xml:space="preserve"> due to the retirement of Judge Fordham</w:t>
      </w:r>
      <w:r>
        <w:rPr>
          <w:szCs w:val="24"/>
        </w:rPr>
        <w:t xml:space="preserve">.    </w:t>
      </w:r>
      <w:r w:rsidR="00715D46">
        <w:rPr>
          <w:szCs w:val="24"/>
        </w:rPr>
        <w:t xml:space="preserve">Via Hearing Cancellation/Reschedule </w:t>
      </w:r>
      <w:r w:rsidR="00BC7A18">
        <w:rPr>
          <w:szCs w:val="24"/>
        </w:rPr>
        <w:t xml:space="preserve">Notice dated </w:t>
      </w:r>
      <w:r w:rsidR="00715D46">
        <w:rPr>
          <w:szCs w:val="24"/>
        </w:rPr>
        <w:t>April 6, 2017, a further prehearing conference</w:t>
      </w:r>
      <w:r w:rsidR="00C3220A">
        <w:rPr>
          <w:szCs w:val="24"/>
        </w:rPr>
        <w:t xml:space="preserve"> was scheduled</w:t>
      </w:r>
      <w:r w:rsidR="00715D46">
        <w:rPr>
          <w:szCs w:val="24"/>
        </w:rPr>
        <w:t xml:space="preserve"> for Wednesday, July 12, 2017</w:t>
      </w:r>
      <w:r w:rsidR="00C3220A">
        <w:rPr>
          <w:szCs w:val="24"/>
        </w:rPr>
        <w:t>,</w:t>
      </w:r>
      <w:r w:rsidR="00715D46">
        <w:rPr>
          <w:szCs w:val="24"/>
        </w:rPr>
        <w:t xml:space="preserve"> at 10:00 a.m.</w:t>
      </w:r>
      <w:r w:rsidR="00715D46">
        <w:rPr>
          <w:rStyle w:val="FootnoteReference"/>
          <w:szCs w:val="24"/>
        </w:rPr>
        <w:footnoteReference w:id="1"/>
      </w:r>
    </w:p>
    <w:p w:rsidR="00834E0A" w:rsidRDefault="00834E0A" w:rsidP="00834E0A">
      <w:pPr>
        <w:spacing w:line="360" w:lineRule="auto"/>
        <w:rPr>
          <w:szCs w:val="24"/>
        </w:rPr>
      </w:pPr>
    </w:p>
    <w:p w:rsidR="00834E0A" w:rsidRDefault="00834E0A" w:rsidP="00834E0A">
      <w:pPr>
        <w:pStyle w:val="NoSpacing"/>
        <w:spacing w:line="360" w:lineRule="auto"/>
      </w:pPr>
      <w:r>
        <w:tab/>
      </w:r>
      <w:r>
        <w:tab/>
        <w:t xml:space="preserve">A prehearing conference in this matter was held on </w:t>
      </w:r>
      <w:r w:rsidR="00BC7A18">
        <w:t>July 12</w:t>
      </w:r>
      <w:r>
        <w:t xml:space="preserve">, 2017.  Counsel for </w:t>
      </w:r>
      <w:r w:rsidR="00BC7A18">
        <w:t>Crescent, PECO and UGIES</w:t>
      </w:r>
      <w:r>
        <w:t xml:space="preserve"> participated.</w:t>
      </w:r>
    </w:p>
    <w:p w:rsidR="00834E0A" w:rsidRDefault="00834E0A" w:rsidP="00834E0A">
      <w:pPr>
        <w:pStyle w:val="NoSpacing"/>
        <w:spacing w:line="360" w:lineRule="auto"/>
      </w:pPr>
    </w:p>
    <w:p w:rsidR="00834E0A" w:rsidRDefault="00834E0A" w:rsidP="00834E0A">
      <w:pPr>
        <w:pStyle w:val="NoSpacing"/>
        <w:spacing w:line="360" w:lineRule="auto"/>
      </w:pPr>
      <w:r>
        <w:tab/>
      </w:r>
      <w:r>
        <w:tab/>
        <w:t xml:space="preserve">This Order sets forth the procedural matters addressed at the prehearing conference.  </w:t>
      </w:r>
    </w:p>
    <w:p w:rsidR="00CC3CE6" w:rsidRDefault="00CC3CE6">
      <w:pPr>
        <w:spacing w:after="200" w:line="276" w:lineRule="auto"/>
      </w:pPr>
      <w:r>
        <w:br w:type="page"/>
      </w:r>
    </w:p>
    <w:p w:rsidR="00834E0A" w:rsidRDefault="00834E0A" w:rsidP="00834E0A">
      <w:pPr>
        <w:pStyle w:val="NoSpacing"/>
        <w:spacing w:line="360" w:lineRule="auto"/>
        <w:jc w:val="center"/>
        <w:rPr>
          <w:u w:val="single"/>
        </w:rPr>
      </w:pPr>
      <w:r>
        <w:rPr>
          <w:u w:val="single"/>
        </w:rPr>
        <w:lastRenderedPageBreak/>
        <w:t>ORDER</w:t>
      </w:r>
    </w:p>
    <w:p w:rsidR="00CC3CE6" w:rsidRDefault="00CC3CE6" w:rsidP="00834E0A">
      <w:pPr>
        <w:pStyle w:val="NoSpacing"/>
        <w:spacing w:line="360" w:lineRule="auto"/>
        <w:jc w:val="center"/>
        <w:rPr>
          <w:u w:val="single"/>
        </w:rPr>
      </w:pPr>
    </w:p>
    <w:p w:rsidR="00CC3CE6" w:rsidRDefault="00CC3CE6" w:rsidP="00834E0A">
      <w:pPr>
        <w:pStyle w:val="NoSpacing"/>
        <w:spacing w:line="360" w:lineRule="auto"/>
        <w:jc w:val="center"/>
        <w:rPr>
          <w:u w:val="single"/>
        </w:rPr>
      </w:pPr>
    </w:p>
    <w:p w:rsidR="00834E0A" w:rsidRDefault="00834E0A" w:rsidP="00834E0A">
      <w:pPr>
        <w:pStyle w:val="NoSpacing"/>
        <w:spacing w:line="360" w:lineRule="auto"/>
      </w:pPr>
    </w:p>
    <w:p w:rsidR="00834E0A" w:rsidRDefault="00834E0A" w:rsidP="00834E0A">
      <w:pPr>
        <w:spacing w:line="360" w:lineRule="auto"/>
        <w:rPr>
          <w:szCs w:val="24"/>
        </w:rPr>
      </w:pPr>
      <w:r>
        <w:rPr>
          <w:szCs w:val="24"/>
        </w:rPr>
        <w:tab/>
      </w:r>
      <w:r>
        <w:rPr>
          <w:szCs w:val="24"/>
        </w:rPr>
        <w:tab/>
        <w:t>THEREFORE,</w:t>
      </w:r>
    </w:p>
    <w:p w:rsidR="00834E0A" w:rsidRDefault="00834E0A" w:rsidP="00834E0A">
      <w:pPr>
        <w:spacing w:line="360" w:lineRule="auto"/>
        <w:rPr>
          <w:szCs w:val="24"/>
        </w:rPr>
      </w:pPr>
    </w:p>
    <w:p w:rsidR="00834E0A" w:rsidRDefault="00834E0A" w:rsidP="00834E0A">
      <w:pPr>
        <w:spacing w:line="360" w:lineRule="auto"/>
        <w:rPr>
          <w:szCs w:val="24"/>
        </w:rPr>
      </w:pPr>
      <w:r>
        <w:rPr>
          <w:szCs w:val="24"/>
        </w:rPr>
        <w:tab/>
      </w:r>
      <w:r>
        <w:rPr>
          <w:szCs w:val="24"/>
        </w:rPr>
        <w:tab/>
        <w:t>IT IS ORDERED:</w:t>
      </w:r>
    </w:p>
    <w:p w:rsidR="00AF7617" w:rsidRDefault="00AF7617" w:rsidP="003D3268">
      <w:pPr>
        <w:numPr>
          <w:ilvl w:val="0"/>
          <w:numId w:val="1"/>
        </w:numPr>
        <w:spacing w:line="360" w:lineRule="auto"/>
        <w:ind w:left="0" w:firstLine="1440"/>
        <w:rPr>
          <w:szCs w:val="24"/>
        </w:rPr>
      </w:pPr>
      <w:r>
        <w:rPr>
          <w:szCs w:val="24"/>
        </w:rPr>
        <w:t>That the parties of record as of this date are Crescent, PECO, and UGIES.</w:t>
      </w:r>
    </w:p>
    <w:p w:rsidR="00834E0A" w:rsidRDefault="00834E0A" w:rsidP="003D3268">
      <w:pPr>
        <w:spacing w:line="360" w:lineRule="auto"/>
        <w:ind w:left="2160"/>
        <w:rPr>
          <w:szCs w:val="24"/>
        </w:rPr>
      </w:pPr>
    </w:p>
    <w:p w:rsidR="00834E0A" w:rsidRDefault="00834E0A" w:rsidP="003D3268">
      <w:pPr>
        <w:numPr>
          <w:ilvl w:val="0"/>
          <w:numId w:val="1"/>
        </w:numPr>
        <w:spacing w:line="360" w:lineRule="auto"/>
        <w:ind w:left="0" w:firstLine="1440"/>
        <w:rPr>
          <w:szCs w:val="24"/>
        </w:rPr>
      </w:pPr>
      <w:r>
        <w:rPr>
          <w:szCs w:val="24"/>
        </w:rPr>
        <w:t xml:space="preserve">That pursuant to 52 Pa.Code § 1.55, each party shall be limited to one entry on the service list, although there can be more than one name listed.  Service on </w:t>
      </w:r>
      <w:r w:rsidR="00AF7617">
        <w:rPr>
          <w:szCs w:val="24"/>
        </w:rPr>
        <w:t>complainant Crescent</w:t>
      </w:r>
      <w:r>
        <w:rPr>
          <w:szCs w:val="24"/>
        </w:rPr>
        <w:t xml:space="preserve"> shall be made on Mr. </w:t>
      </w:r>
      <w:r w:rsidR="00AF7617">
        <w:rPr>
          <w:szCs w:val="24"/>
        </w:rPr>
        <w:t>Bucco</w:t>
      </w:r>
      <w:r>
        <w:rPr>
          <w:szCs w:val="24"/>
        </w:rPr>
        <w:t xml:space="preserve"> and </w:t>
      </w:r>
      <w:r w:rsidR="00AF7617">
        <w:rPr>
          <w:szCs w:val="24"/>
        </w:rPr>
        <w:t>Mr. Oleckna</w:t>
      </w:r>
      <w:r>
        <w:rPr>
          <w:szCs w:val="24"/>
        </w:rPr>
        <w:t xml:space="preserve">; service on </w:t>
      </w:r>
      <w:r w:rsidR="00AF7617">
        <w:rPr>
          <w:szCs w:val="24"/>
        </w:rPr>
        <w:t>PECO</w:t>
      </w:r>
      <w:r>
        <w:rPr>
          <w:szCs w:val="24"/>
        </w:rPr>
        <w:t xml:space="preserve"> shall be made on </w:t>
      </w:r>
      <w:r w:rsidR="00AF7617">
        <w:rPr>
          <w:szCs w:val="24"/>
        </w:rPr>
        <w:t>Mr. Smith</w:t>
      </w:r>
      <w:r>
        <w:rPr>
          <w:szCs w:val="24"/>
        </w:rPr>
        <w:t xml:space="preserve">; </w:t>
      </w:r>
      <w:r w:rsidR="00AF7617">
        <w:rPr>
          <w:szCs w:val="24"/>
        </w:rPr>
        <w:t xml:space="preserve">and </w:t>
      </w:r>
      <w:r>
        <w:rPr>
          <w:szCs w:val="24"/>
        </w:rPr>
        <w:t xml:space="preserve">service on </w:t>
      </w:r>
      <w:r w:rsidR="00AF7617">
        <w:rPr>
          <w:szCs w:val="24"/>
        </w:rPr>
        <w:t>UGIES</w:t>
      </w:r>
      <w:r>
        <w:rPr>
          <w:szCs w:val="24"/>
        </w:rPr>
        <w:t xml:space="preserve"> shall be made on Mr. </w:t>
      </w:r>
      <w:r w:rsidR="00AF7617">
        <w:rPr>
          <w:szCs w:val="24"/>
        </w:rPr>
        <w:t>MacGregor and Mr. Wright</w:t>
      </w:r>
      <w:r>
        <w:rPr>
          <w:szCs w:val="24"/>
        </w:rPr>
        <w:t>.</w:t>
      </w:r>
    </w:p>
    <w:p w:rsidR="00834E0A" w:rsidRDefault="00834E0A" w:rsidP="003D3268">
      <w:pPr>
        <w:pStyle w:val="ListParagraph"/>
        <w:spacing w:line="360" w:lineRule="auto"/>
        <w:rPr>
          <w:szCs w:val="24"/>
        </w:rPr>
      </w:pPr>
    </w:p>
    <w:p w:rsidR="00834E0A" w:rsidRDefault="00834E0A" w:rsidP="003D3268">
      <w:pPr>
        <w:numPr>
          <w:ilvl w:val="0"/>
          <w:numId w:val="1"/>
        </w:numPr>
        <w:spacing w:line="360" w:lineRule="auto"/>
        <w:rPr>
          <w:szCs w:val="24"/>
          <w:u w:val="single"/>
        </w:rPr>
      </w:pPr>
      <w:r>
        <w:rPr>
          <w:szCs w:val="24"/>
        </w:rPr>
        <w:t>That the parties may arrange service amongst themselves as they agree.</w:t>
      </w:r>
    </w:p>
    <w:p w:rsidR="00834E0A" w:rsidRDefault="00834E0A" w:rsidP="003D3268">
      <w:pPr>
        <w:spacing w:line="360" w:lineRule="auto"/>
        <w:rPr>
          <w:szCs w:val="24"/>
          <w:u w:val="single"/>
        </w:rPr>
      </w:pPr>
    </w:p>
    <w:p w:rsidR="00834E0A" w:rsidRDefault="00834E0A" w:rsidP="003D3268">
      <w:pPr>
        <w:numPr>
          <w:ilvl w:val="0"/>
          <w:numId w:val="1"/>
        </w:numPr>
        <w:spacing w:line="360" w:lineRule="auto"/>
        <w:ind w:left="0" w:firstLine="1440"/>
        <w:rPr>
          <w:szCs w:val="24"/>
        </w:rPr>
      </w:pPr>
      <w:r>
        <w:rPr>
          <w:szCs w:val="24"/>
        </w:rPr>
        <w:t>That parties may serve documents electronically by 4:30 p.m. to meet any required due date, with hard copy to follow by regular first class mail, with the provision that large documents not able to be transmitted electronicall</w:t>
      </w:r>
      <w:r w:rsidR="006111B3">
        <w:rPr>
          <w:szCs w:val="24"/>
        </w:rPr>
        <w:t>y may be hand-delivered to the parties</w:t>
      </w:r>
      <w:r>
        <w:rPr>
          <w:szCs w:val="24"/>
        </w:rPr>
        <w:t xml:space="preserve"> </w:t>
      </w:r>
      <w:r w:rsidR="006111B3">
        <w:rPr>
          <w:szCs w:val="24"/>
        </w:rPr>
        <w:t>on the due date</w:t>
      </w:r>
      <w:r>
        <w:rPr>
          <w:szCs w:val="24"/>
        </w:rPr>
        <w:t>.</w:t>
      </w:r>
      <w:r w:rsidR="006111B3">
        <w:rPr>
          <w:szCs w:val="24"/>
        </w:rPr>
        <w:t xml:space="preserve">  Filings with the Secretary’s Bureau can be made by express delivery on the due date if too large to be filed with the Secretary’s Bureau’s electronic service.    </w:t>
      </w:r>
    </w:p>
    <w:p w:rsidR="00834E0A" w:rsidRDefault="00834E0A" w:rsidP="003D3268">
      <w:pPr>
        <w:pStyle w:val="ListParagraph"/>
        <w:spacing w:line="360" w:lineRule="auto"/>
        <w:rPr>
          <w:szCs w:val="24"/>
        </w:rPr>
      </w:pPr>
    </w:p>
    <w:p w:rsidR="00834E0A" w:rsidRDefault="00834E0A" w:rsidP="003D3268">
      <w:pPr>
        <w:numPr>
          <w:ilvl w:val="0"/>
          <w:numId w:val="1"/>
        </w:numPr>
        <w:spacing w:line="360" w:lineRule="auto"/>
        <w:ind w:left="0" w:firstLine="1440"/>
        <w:rPr>
          <w:szCs w:val="24"/>
        </w:rPr>
      </w:pPr>
      <w:r>
        <w:rPr>
          <w:szCs w:val="24"/>
        </w:rPr>
        <w:t xml:space="preserve">That our informal e-mail distribution list is as follows.  Any changes or corrections should be communicated to me, via e-mail (mguhl@pa.gov) as soon as possible.  Please include my legal assistant, Ms. </w:t>
      </w:r>
      <w:r w:rsidR="00AF7617">
        <w:rPr>
          <w:szCs w:val="24"/>
        </w:rPr>
        <w:t>Pamela McNeal</w:t>
      </w:r>
      <w:r>
        <w:rPr>
          <w:szCs w:val="24"/>
        </w:rPr>
        <w:t xml:space="preserve"> (</w:t>
      </w:r>
      <w:r w:rsidR="00AF7617">
        <w:rPr>
          <w:szCs w:val="24"/>
        </w:rPr>
        <w:t>pmcneal</w:t>
      </w:r>
      <w:r>
        <w:rPr>
          <w:szCs w:val="24"/>
        </w:rPr>
        <w:t xml:space="preserve">@pa.gov), on anything you send to me.  </w:t>
      </w:r>
    </w:p>
    <w:p w:rsidR="00FF6F9B" w:rsidRDefault="00FF6F9B">
      <w:pPr>
        <w:spacing w:after="200" w:line="276" w:lineRule="auto"/>
        <w:rPr>
          <w:szCs w:val="24"/>
        </w:rPr>
      </w:pPr>
      <w:r>
        <w:rPr>
          <w:szCs w:val="24"/>
        </w:rPr>
        <w:br w:type="page"/>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636"/>
      </w:tblGrid>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b/>
                <w:szCs w:val="24"/>
              </w:rPr>
            </w:pPr>
            <w:r>
              <w:rPr>
                <w:szCs w:val="24"/>
              </w:rPr>
              <w:lastRenderedPageBreak/>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b/>
                <w:szCs w:val="24"/>
              </w:rPr>
            </w:pPr>
            <w:r>
              <w:rPr>
                <w:rFonts w:eastAsia="Calibri"/>
                <w:b/>
                <w:szCs w:val="24"/>
              </w:rPr>
              <w:t>Counsel</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b/>
                <w:szCs w:val="24"/>
              </w:rPr>
            </w:pPr>
            <w:r>
              <w:rPr>
                <w:rFonts w:eastAsia="Calibri"/>
                <w:b/>
                <w:szCs w:val="24"/>
              </w:rPr>
              <w:t>e-mail</w:t>
            </w:r>
          </w:p>
        </w:tc>
      </w:tr>
      <w:tr w:rsidR="00834E0A" w:rsidTr="00AF7617">
        <w:tc>
          <w:tcPr>
            <w:tcW w:w="1350" w:type="dxa"/>
            <w:tcBorders>
              <w:top w:val="single" w:sz="4" w:space="0" w:color="auto"/>
              <w:left w:val="single" w:sz="4" w:space="0" w:color="auto"/>
              <w:bottom w:val="single" w:sz="4" w:space="0" w:color="auto"/>
              <w:right w:val="single" w:sz="4" w:space="0" w:color="auto"/>
            </w:tcBorders>
          </w:tcPr>
          <w:p w:rsidR="00834E0A" w:rsidRDefault="00834E0A">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rsidR="00834E0A" w:rsidRDefault="00834E0A">
            <w:pPr>
              <w:spacing w:line="276" w:lineRule="auto"/>
              <w:rPr>
                <w:rFonts w:eastAsia="Calibri"/>
                <w:szCs w:val="24"/>
              </w:rPr>
            </w:pPr>
          </w:p>
        </w:tc>
        <w:tc>
          <w:tcPr>
            <w:tcW w:w="3636" w:type="dxa"/>
            <w:tcBorders>
              <w:top w:val="single" w:sz="4" w:space="0" w:color="auto"/>
              <w:left w:val="single" w:sz="4" w:space="0" w:color="auto"/>
              <w:bottom w:val="single" w:sz="4" w:space="0" w:color="auto"/>
              <w:right w:val="single" w:sz="4" w:space="0" w:color="auto"/>
            </w:tcBorders>
          </w:tcPr>
          <w:p w:rsidR="00834E0A" w:rsidRDefault="00834E0A">
            <w:pPr>
              <w:spacing w:line="276" w:lineRule="auto"/>
              <w:rPr>
                <w:rFonts w:eastAsia="Calibri"/>
                <w:szCs w:val="24"/>
              </w:rPr>
            </w:pP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Crescent</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Paul Bucco</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t>PaulBucco@Davisbucco.com</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Crescent</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William Oleckna</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sidRPr="00AF7617">
              <w:rPr>
                <w:rStyle w:val="Hyperlink"/>
                <w:szCs w:val="24"/>
                <w:u w:val="none"/>
              </w:rPr>
              <w:t>William.Oleckna@da</w:t>
            </w:r>
            <w:r>
              <w:rPr>
                <w:rStyle w:val="Hyperlink"/>
                <w:szCs w:val="24"/>
                <w:u w:val="none"/>
              </w:rPr>
              <w:t>visbucco.com</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rFonts w:eastAsia="Calibri"/>
                <w:szCs w:val="24"/>
              </w:rPr>
            </w:pPr>
            <w:r>
              <w:rPr>
                <w:rFonts w:eastAsia="Calibri"/>
                <w:szCs w:val="24"/>
              </w:rPr>
              <w:t>PECO</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rFonts w:eastAsia="Calibri"/>
                <w:szCs w:val="24"/>
              </w:rPr>
            </w:pPr>
            <w:r>
              <w:rPr>
                <w:szCs w:val="24"/>
              </w:rPr>
              <w:t>Ward Smith</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sidRPr="00AF7617">
              <w:rPr>
                <w:szCs w:val="24"/>
              </w:rPr>
              <w:t>ward.smith@exeloncorp.com</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UGIES</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David MacGregor</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sidRPr="00AF7617">
              <w:rPr>
                <w:szCs w:val="24"/>
              </w:rPr>
              <w:t>dmacgregor@postschell.com</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UGIES</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Pr>
                <w:szCs w:val="24"/>
              </w:rPr>
              <w:t>Christopher Wright</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szCs w:val="24"/>
              </w:rPr>
            </w:pPr>
            <w:r w:rsidRPr="00AF7617">
              <w:rPr>
                <w:szCs w:val="24"/>
              </w:rPr>
              <w:t>cwright@postschell.com</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szCs w:val="24"/>
              </w:rPr>
            </w:pPr>
            <w:r>
              <w:rPr>
                <w:rFonts w:eastAsia="Calibri"/>
                <w:szCs w:val="24"/>
              </w:rPr>
              <w:t>ALJ Guhl</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szCs w:val="24"/>
              </w:rPr>
            </w:pPr>
            <w:r>
              <w:rPr>
                <w:rFonts w:eastAsia="Calibri"/>
                <w:szCs w:val="24"/>
              </w:rPr>
              <w:t>mguhl@pa.gov</w:t>
            </w:r>
          </w:p>
        </w:tc>
      </w:tr>
      <w:tr w:rsidR="00834E0A" w:rsidTr="00AF7617">
        <w:tc>
          <w:tcPr>
            <w:tcW w:w="1350" w:type="dxa"/>
            <w:tcBorders>
              <w:top w:val="single" w:sz="4" w:space="0" w:color="auto"/>
              <w:left w:val="single" w:sz="4" w:space="0" w:color="auto"/>
              <w:bottom w:val="single" w:sz="4" w:space="0" w:color="auto"/>
              <w:right w:val="single" w:sz="4" w:space="0" w:color="auto"/>
            </w:tcBorders>
            <w:hideMark/>
          </w:tcPr>
          <w:p w:rsidR="00834E0A" w:rsidRDefault="00834E0A">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rFonts w:eastAsia="Calibri"/>
                <w:szCs w:val="24"/>
              </w:rPr>
            </w:pPr>
            <w:r>
              <w:rPr>
                <w:rFonts w:eastAsia="Calibri"/>
                <w:szCs w:val="24"/>
              </w:rPr>
              <w:t>Pamela McNeal</w:t>
            </w:r>
          </w:p>
        </w:tc>
        <w:tc>
          <w:tcPr>
            <w:tcW w:w="3636" w:type="dxa"/>
            <w:tcBorders>
              <w:top w:val="single" w:sz="4" w:space="0" w:color="auto"/>
              <w:left w:val="single" w:sz="4" w:space="0" w:color="auto"/>
              <w:bottom w:val="single" w:sz="4" w:space="0" w:color="auto"/>
              <w:right w:val="single" w:sz="4" w:space="0" w:color="auto"/>
            </w:tcBorders>
            <w:hideMark/>
          </w:tcPr>
          <w:p w:rsidR="00834E0A" w:rsidRDefault="00AF7617">
            <w:pPr>
              <w:spacing w:line="276" w:lineRule="auto"/>
              <w:rPr>
                <w:rFonts w:eastAsia="Calibri"/>
                <w:szCs w:val="24"/>
              </w:rPr>
            </w:pPr>
            <w:r>
              <w:rPr>
                <w:rFonts w:eastAsia="Calibri"/>
                <w:szCs w:val="24"/>
              </w:rPr>
              <w:t>pmcneal</w:t>
            </w:r>
            <w:r w:rsidR="00834E0A">
              <w:rPr>
                <w:rFonts w:eastAsia="Calibri"/>
                <w:szCs w:val="24"/>
              </w:rPr>
              <w:t>@pa.gov</w:t>
            </w:r>
          </w:p>
        </w:tc>
      </w:tr>
    </w:tbl>
    <w:p w:rsidR="00834E0A" w:rsidRDefault="00834E0A" w:rsidP="003D3268">
      <w:pPr>
        <w:spacing w:line="360" w:lineRule="auto"/>
        <w:ind w:firstLine="1440"/>
        <w:rPr>
          <w:szCs w:val="24"/>
          <w:u w:val="single"/>
        </w:rPr>
      </w:pPr>
    </w:p>
    <w:p w:rsidR="00834E0A" w:rsidRDefault="00834E0A" w:rsidP="00834E0A">
      <w:pPr>
        <w:numPr>
          <w:ilvl w:val="0"/>
          <w:numId w:val="1"/>
        </w:numPr>
        <w:spacing w:line="360" w:lineRule="auto"/>
        <w:ind w:left="0" w:firstLine="1440"/>
        <w:rPr>
          <w:szCs w:val="24"/>
          <w:u w:val="single"/>
        </w:rPr>
      </w:pPr>
      <w:r>
        <w:rPr>
          <w:szCs w:val="24"/>
        </w:rPr>
        <w:t xml:space="preserve">That discovery shall be conducted according to the Commission’s rules and regulations (52 Pa.Code § 5.321 </w:t>
      </w:r>
      <w:r>
        <w:rPr>
          <w:szCs w:val="24"/>
          <w:u w:val="single"/>
        </w:rPr>
        <w:t>et</w:t>
      </w:r>
      <w:r>
        <w:rPr>
          <w:szCs w:val="24"/>
        </w:rPr>
        <w:t xml:space="preserve"> </w:t>
      </w:r>
      <w:r>
        <w:rPr>
          <w:szCs w:val="24"/>
          <w:u w:val="single"/>
        </w:rPr>
        <w:t>seq</w:t>
      </w:r>
      <w:r>
        <w:rPr>
          <w:szCs w:val="24"/>
        </w:rPr>
        <w:t>), subject to the following modifications:</w:t>
      </w:r>
    </w:p>
    <w:p w:rsidR="00834E0A" w:rsidRDefault="00834E0A" w:rsidP="00834E0A">
      <w:pPr>
        <w:pStyle w:val="ListParagraph"/>
        <w:rPr>
          <w:szCs w:val="24"/>
        </w:rPr>
      </w:pPr>
    </w:p>
    <w:p w:rsidR="00834E0A" w:rsidRDefault="00834E0A" w:rsidP="00834E0A">
      <w:pPr>
        <w:numPr>
          <w:ilvl w:val="0"/>
          <w:numId w:val="2"/>
        </w:numPr>
        <w:spacing w:line="360" w:lineRule="auto"/>
        <w:ind w:left="1440" w:firstLine="720"/>
        <w:rPr>
          <w:szCs w:val="24"/>
        </w:rPr>
      </w:pPr>
      <w:r>
        <w:rPr>
          <w:szCs w:val="24"/>
        </w:rPr>
        <w:t xml:space="preserve">Any discovery or discovery related pleadings such as objections, motions, answers to motions served on a Friday </w:t>
      </w:r>
      <w:r w:rsidR="00773F84">
        <w:rPr>
          <w:szCs w:val="24"/>
        </w:rPr>
        <w:t xml:space="preserve">after 12:00 p.m. (noon) </w:t>
      </w:r>
      <w:r>
        <w:rPr>
          <w:szCs w:val="24"/>
        </w:rPr>
        <w:t>shall be deemed to have been served on the following business day for purposes of tracking responsive due dates; and</w:t>
      </w:r>
    </w:p>
    <w:p w:rsidR="00834E0A" w:rsidRDefault="00834E0A" w:rsidP="003D3268">
      <w:pPr>
        <w:pStyle w:val="ListParagraph"/>
        <w:spacing w:line="360" w:lineRule="auto"/>
        <w:rPr>
          <w:szCs w:val="24"/>
        </w:rPr>
      </w:pPr>
    </w:p>
    <w:p w:rsidR="00834E0A" w:rsidRDefault="00834E0A" w:rsidP="00834E0A">
      <w:pPr>
        <w:numPr>
          <w:ilvl w:val="0"/>
          <w:numId w:val="2"/>
        </w:numPr>
        <w:spacing w:line="360" w:lineRule="auto"/>
        <w:ind w:left="1440" w:firstLine="720"/>
        <w:rPr>
          <w:szCs w:val="24"/>
        </w:rPr>
      </w:pPr>
      <w:r>
        <w:rPr>
          <w:szCs w:val="24"/>
        </w:rPr>
        <w:t>That due dates be “in-hand” and that electronic or fax service on the due date will satisfy the “in-hand” requirement, where such service is immediately followed by a hard copy sent by first-class mail.</w:t>
      </w:r>
    </w:p>
    <w:p w:rsidR="00834E0A" w:rsidRDefault="00834E0A" w:rsidP="00834E0A">
      <w:pPr>
        <w:spacing w:line="360" w:lineRule="auto"/>
        <w:ind w:firstLine="1440"/>
        <w:rPr>
          <w:szCs w:val="24"/>
          <w:u w:val="single"/>
        </w:rPr>
      </w:pPr>
    </w:p>
    <w:p w:rsidR="00834E0A" w:rsidRDefault="00834E0A" w:rsidP="00834E0A">
      <w:pPr>
        <w:numPr>
          <w:ilvl w:val="0"/>
          <w:numId w:val="1"/>
        </w:numPr>
        <w:spacing w:line="360" w:lineRule="auto"/>
        <w:ind w:left="0" w:firstLine="1440"/>
        <w:rPr>
          <w:szCs w:val="24"/>
          <w:u w:val="single"/>
        </w:rPr>
      </w:pPr>
      <w:r>
        <w:rPr>
          <w:szCs w:val="24"/>
        </w:rPr>
        <w:t>That the following schedule is adopted:</w:t>
      </w:r>
    </w:p>
    <w:p w:rsidR="00834E0A" w:rsidRDefault="00834E0A" w:rsidP="00834E0A">
      <w:pPr>
        <w:spacing w:line="360" w:lineRule="auto"/>
        <w:ind w:firstLine="1440"/>
        <w:rPr>
          <w:szCs w:val="24"/>
        </w:rPr>
      </w:pPr>
    </w:p>
    <w:p w:rsidR="00834E0A" w:rsidRDefault="00834E0A" w:rsidP="00834E0A">
      <w:pPr>
        <w:ind w:firstLine="1440"/>
        <w:rPr>
          <w:szCs w:val="24"/>
        </w:rPr>
      </w:pPr>
      <w:r>
        <w:rPr>
          <w:szCs w:val="24"/>
        </w:rPr>
        <w:t>Prehearing conference</w:t>
      </w:r>
      <w:r>
        <w:rPr>
          <w:szCs w:val="24"/>
        </w:rPr>
        <w:tab/>
      </w:r>
      <w:r>
        <w:rPr>
          <w:szCs w:val="24"/>
        </w:rPr>
        <w:tab/>
      </w:r>
      <w:r>
        <w:rPr>
          <w:szCs w:val="24"/>
        </w:rPr>
        <w:tab/>
      </w:r>
      <w:r>
        <w:rPr>
          <w:szCs w:val="24"/>
        </w:rPr>
        <w:tab/>
        <w:t xml:space="preserve">Wednesday, </w:t>
      </w:r>
      <w:r w:rsidR="00AF7617">
        <w:rPr>
          <w:szCs w:val="24"/>
        </w:rPr>
        <w:t>July 12</w:t>
      </w:r>
      <w:r>
        <w:rPr>
          <w:szCs w:val="24"/>
        </w:rPr>
        <w:t>, 2017</w:t>
      </w:r>
    </w:p>
    <w:p w:rsidR="00834E0A" w:rsidRDefault="00AF7617" w:rsidP="00834E0A">
      <w:pPr>
        <w:ind w:firstLine="1440"/>
        <w:rPr>
          <w:szCs w:val="24"/>
        </w:rPr>
      </w:pPr>
      <w:r>
        <w:rPr>
          <w:szCs w:val="24"/>
        </w:rPr>
        <w:t>Complainant</w:t>
      </w:r>
      <w:r w:rsidR="00834E0A">
        <w:rPr>
          <w:szCs w:val="24"/>
        </w:rPr>
        <w:t xml:space="preserve"> Direct Testimony</w:t>
      </w:r>
      <w:r w:rsidR="00834E0A">
        <w:rPr>
          <w:szCs w:val="24"/>
        </w:rPr>
        <w:tab/>
      </w:r>
      <w:r w:rsidR="00834E0A">
        <w:rPr>
          <w:szCs w:val="24"/>
        </w:rPr>
        <w:tab/>
      </w:r>
      <w:r w:rsidR="00372F96">
        <w:t>Monday</w:t>
      </w:r>
      <w:r w:rsidR="00834E0A">
        <w:t xml:space="preserve">, </w:t>
      </w:r>
      <w:r w:rsidR="00372F96">
        <w:t>November 13</w:t>
      </w:r>
      <w:r w:rsidR="00834E0A">
        <w:t>, 2017</w:t>
      </w:r>
    </w:p>
    <w:p w:rsidR="00834E0A" w:rsidRDefault="00372F96" w:rsidP="00834E0A">
      <w:pPr>
        <w:ind w:firstLine="1440"/>
        <w:rPr>
          <w:szCs w:val="24"/>
        </w:rPr>
      </w:pPr>
      <w:r>
        <w:rPr>
          <w:szCs w:val="24"/>
        </w:rPr>
        <w:t xml:space="preserve">Respondent Direct </w:t>
      </w:r>
      <w:r w:rsidR="00834E0A">
        <w:rPr>
          <w:szCs w:val="24"/>
        </w:rPr>
        <w:t>Testimony</w:t>
      </w:r>
      <w:r w:rsidR="00834E0A">
        <w:rPr>
          <w:szCs w:val="24"/>
        </w:rPr>
        <w:tab/>
      </w:r>
      <w:r w:rsidR="00834E0A">
        <w:rPr>
          <w:szCs w:val="24"/>
        </w:rPr>
        <w:tab/>
      </w:r>
      <w:r>
        <w:rPr>
          <w:szCs w:val="24"/>
        </w:rPr>
        <w:tab/>
      </w:r>
      <w:r w:rsidR="00834E0A">
        <w:t xml:space="preserve">Tuesday, </w:t>
      </w:r>
      <w:r>
        <w:t>December 12</w:t>
      </w:r>
      <w:r w:rsidR="00834E0A">
        <w:t>, 2017</w:t>
      </w:r>
    </w:p>
    <w:p w:rsidR="00834E0A" w:rsidRDefault="00834E0A" w:rsidP="00834E0A">
      <w:pPr>
        <w:tabs>
          <w:tab w:val="left" w:pos="5760"/>
          <w:tab w:val="left" w:pos="6120"/>
        </w:tabs>
        <w:ind w:firstLine="1440"/>
        <w:rPr>
          <w:szCs w:val="24"/>
        </w:rPr>
      </w:pPr>
      <w:r>
        <w:rPr>
          <w:szCs w:val="24"/>
        </w:rPr>
        <w:t>Hearings/Oral Rejoinder</w:t>
      </w:r>
      <w:r>
        <w:rPr>
          <w:szCs w:val="24"/>
        </w:rPr>
        <w:tab/>
      </w:r>
      <w:r w:rsidR="00372F96">
        <w:rPr>
          <w:szCs w:val="24"/>
        </w:rPr>
        <w:t>Wednesday</w:t>
      </w:r>
      <w:r>
        <w:rPr>
          <w:szCs w:val="24"/>
        </w:rPr>
        <w:t xml:space="preserve">, </w:t>
      </w:r>
      <w:r w:rsidR="00372F96">
        <w:rPr>
          <w:szCs w:val="24"/>
        </w:rPr>
        <w:t>January 17, 2018</w:t>
      </w:r>
    </w:p>
    <w:p w:rsidR="00834E0A" w:rsidRDefault="00834E0A" w:rsidP="00834E0A">
      <w:pPr>
        <w:tabs>
          <w:tab w:val="left" w:pos="5760"/>
          <w:tab w:val="left" w:pos="6120"/>
        </w:tabs>
        <w:ind w:firstLine="1440"/>
        <w:rPr>
          <w:szCs w:val="24"/>
        </w:rPr>
      </w:pPr>
      <w:r>
        <w:rPr>
          <w:szCs w:val="24"/>
        </w:rPr>
        <w:tab/>
      </w:r>
      <w:r w:rsidR="00372F96">
        <w:t>Thursday, January 18, 2018</w:t>
      </w:r>
    </w:p>
    <w:p w:rsidR="00372F96" w:rsidRDefault="00834E0A" w:rsidP="00834E0A">
      <w:pPr>
        <w:tabs>
          <w:tab w:val="left" w:pos="2160"/>
        </w:tabs>
        <w:ind w:firstLine="1440"/>
        <w:rPr>
          <w:szCs w:val="24"/>
        </w:rPr>
      </w:pPr>
      <w:r>
        <w:rPr>
          <w:szCs w:val="24"/>
        </w:rPr>
        <w:t>Main Briefs</w:t>
      </w:r>
      <w:r w:rsidR="00372F96">
        <w:rPr>
          <w:szCs w:val="24"/>
        </w:rPr>
        <w:tab/>
      </w:r>
      <w:r w:rsidR="00372F96">
        <w:rPr>
          <w:szCs w:val="24"/>
        </w:rPr>
        <w:tab/>
      </w:r>
      <w:r w:rsidR="00372F96">
        <w:rPr>
          <w:szCs w:val="24"/>
        </w:rPr>
        <w:tab/>
      </w:r>
      <w:r w:rsidR="00372F96">
        <w:rPr>
          <w:szCs w:val="24"/>
        </w:rPr>
        <w:tab/>
      </w:r>
      <w:r w:rsidR="00372F96">
        <w:rPr>
          <w:szCs w:val="24"/>
        </w:rPr>
        <w:tab/>
        <w:t>Monday, March 19, 2018</w:t>
      </w:r>
      <w:r w:rsidR="00372F96">
        <w:rPr>
          <w:szCs w:val="24"/>
        </w:rPr>
        <w:tab/>
      </w:r>
      <w:r>
        <w:rPr>
          <w:szCs w:val="24"/>
        </w:rPr>
        <w:tab/>
      </w:r>
    </w:p>
    <w:p w:rsidR="00834E0A" w:rsidRDefault="00834E0A" w:rsidP="00834E0A">
      <w:pPr>
        <w:tabs>
          <w:tab w:val="left" w:pos="2160"/>
        </w:tabs>
        <w:ind w:firstLine="1440"/>
        <w:rPr>
          <w:szCs w:val="24"/>
        </w:rPr>
      </w:pPr>
      <w:r>
        <w:rPr>
          <w:szCs w:val="24"/>
        </w:rPr>
        <w:t>Reply Briefs</w:t>
      </w:r>
      <w:r>
        <w:rPr>
          <w:szCs w:val="24"/>
        </w:rPr>
        <w:tab/>
      </w:r>
      <w:r>
        <w:rPr>
          <w:szCs w:val="24"/>
        </w:rPr>
        <w:tab/>
      </w:r>
      <w:r>
        <w:rPr>
          <w:szCs w:val="24"/>
        </w:rPr>
        <w:tab/>
      </w:r>
      <w:r>
        <w:rPr>
          <w:szCs w:val="24"/>
        </w:rPr>
        <w:tab/>
      </w:r>
      <w:r>
        <w:rPr>
          <w:szCs w:val="24"/>
        </w:rPr>
        <w:tab/>
      </w:r>
      <w:r w:rsidR="00372F96">
        <w:t>Monday, April 2, 2018</w:t>
      </w:r>
    </w:p>
    <w:p w:rsidR="00834E0A" w:rsidRDefault="00834E0A" w:rsidP="00834E0A">
      <w:pPr>
        <w:tabs>
          <w:tab w:val="left" w:pos="2160"/>
        </w:tabs>
        <w:ind w:firstLine="1440"/>
        <w:rPr>
          <w:szCs w:val="24"/>
        </w:rPr>
      </w:pPr>
      <w:r>
        <w:rPr>
          <w:szCs w:val="24"/>
        </w:rPr>
        <w:t>Close of Record</w:t>
      </w:r>
      <w:r>
        <w:rPr>
          <w:szCs w:val="24"/>
        </w:rPr>
        <w:tab/>
      </w:r>
      <w:r>
        <w:rPr>
          <w:szCs w:val="24"/>
        </w:rPr>
        <w:tab/>
      </w:r>
      <w:r>
        <w:rPr>
          <w:szCs w:val="24"/>
        </w:rPr>
        <w:tab/>
      </w:r>
      <w:r>
        <w:rPr>
          <w:szCs w:val="24"/>
        </w:rPr>
        <w:tab/>
      </w:r>
      <w:r w:rsidR="00372F96">
        <w:t>Monday, April 2, 2018</w:t>
      </w:r>
    </w:p>
    <w:p w:rsidR="00834E0A" w:rsidRDefault="00834E0A" w:rsidP="003D3268">
      <w:pPr>
        <w:tabs>
          <w:tab w:val="left" w:pos="2160"/>
        </w:tabs>
        <w:spacing w:line="360" w:lineRule="auto"/>
        <w:ind w:firstLine="1440"/>
        <w:rPr>
          <w:szCs w:val="24"/>
        </w:rPr>
      </w:pPr>
    </w:p>
    <w:p w:rsidR="00834E0A" w:rsidRDefault="00834E0A" w:rsidP="00834E0A">
      <w:pPr>
        <w:numPr>
          <w:ilvl w:val="0"/>
          <w:numId w:val="1"/>
        </w:numPr>
        <w:spacing w:line="360" w:lineRule="auto"/>
        <w:ind w:left="0" w:firstLine="1440"/>
        <w:rPr>
          <w:szCs w:val="24"/>
          <w:u w:val="single"/>
        </w:rPr>
      </w:pPr>
      <w:r>
        <w:rPr>
          <w:szCs w:val="24"/>
        </w:rPr>
        <w:t xml:space="preserve">That the </w:t>
      </w:r>
      <w:r w:rsidR="00AF7617">
        <w:rPr>
          <w:szCs w:val="24"/>
        </w:rPr>
        <w:t xml:space="preserve">January 17-18, 2018 </w:t>
      </w:r>
      <w:r>
        <w:rPr>
          <w:szCs w:val="24"/>
        </w:rPr>
        <w:t>hearings will be held in Philadelphia.</w:t>
      </w:r>
    </w:p>
    <w:p w:rsidR="00834E0A" w:rsidRDefault="00834E0A" w:rsidP="00834E0A">
      <w:pPr>
        <w:spacing w:line="360" w:lineRule="auto"/>
        <w:ind w:left="1440"/>
        <w:rPr>
          <w:szCs w:val="24"/>
          <w:u w:val="single"/>
        </w:rPr>
      </w:pPr>
    </w:p>
    <w:p w:rsidR="00834E0A" w:rsidRDefault="00834E0A" w:rsidP="00834E0A">
      <w:pPr>
        <w:numPr>
          <w:ilvl w:val="0"/>
          <w:numId w:val="1"/>
        </w:numPr>
        <w:spacing w:line="360" w:lineRule="auto"/>
        <w:ind w:left="0" w:firstLine="1440"/>
        <w:rPr>
          <w:szCs w:val="24"/>
        </w:rPr>
      </w:pPr>
      <w:r>
        <w:rPr>
          <w:szCs w:val="24"/>
        </w:rPr>
        <w:lastRenderedPageBreak/>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rsidR="00834E0A" w:rsidRDefault="00834E0A" w:rsidP="003D3268">
      <w:pPr>
        <w:pStyle w:val="ListParagraph"/>
        <w:spacing w:line="360" w:lineRule="auto"/>
        <w:rPr>
          <w:szCs w:val="24"/>
        </w:rPr>
      </w:pPr>
    </w:p>
    <w:p w:rsidR="00834E0A" w:rsidRDefault="00834E0A" w:rsidP="00834E0A">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rsidR="00372F96">
        <w:t>Monday, March 19, 2018</w:t>
      </w:r>
      <w:r>
        <w:rPr>
          <w:szCs w:val="24"/>
        </w:rPr>
        <w:t xml:space="preserve">, and reply briefs must be filed with the Secretary of the Commission and received in-hand by all parties no later than 4:00 p.m. on </w:t>
      </w:r>
      <w:r w:rsidR="00372F96">
        <w:t>Monday, April 2, 2018</w:t>
      </w:r>
      <w:r>
        <w:rPr>
          <w:szCs w:val="24"/>
        </w:rPr>
        <w:t>.</w:t>
      </w:r>
    </w:p>
    <w:p w:rsidR="00834E0A" w:rsidRDefault="00834E0A" w:rsidP="00834E0A">
      <w:pPr>
        <w:spacing w:line="360" w:lineRule="auto"/>
        <w:rPr>
          <w:szCs w:val="24"/>
          <w:u w:val="single"/>
        </w:rPr>
      </w:pPr>
    </w:p>
    <w:p w:rsidR="00834E0A" w:rsidRDefault="00834E0A" w:rsidP="003D3268">
      <w:pPr>
        <w:numPr>
          <w:ilvl w:val="0"/>
          <w:numId w:val="1"/>
        </w:numPr>
        <w:spacing w:line="360" w:lineRule="auto"/>
        <w:ind w:left="0" w:firstLine="1440"/>
        <w:rPr>
          <w:szCs w:val="24"/>
        </w:rPr>
      </w:pPr>
      <w:r>
        <w:rPr>
          <w:szCs w:val="24"/>
        </w:rPr>
        <w:t xml:space="preserve">That an original copy of all main briefs must be filed with the Secretary, in accordance with 52 Pa.Code § 5.502(b), and one copy served on the presiding officers and the other parties no later than 4:00 p.m. on </w:t>
      </w:r>
      <w:r w:rsidR="00372F96">
        <w:t>Monday, March 19, 2018</w:t>
      </w:r>
      <w:r>
        <w:rPr>
          <w:szCs w:val="24"/>
        </w:rPr>
        <w:t xml:space="preserve">, and filing of an original copy of all reply briefs must be filed with the Secretary and one copy served on the presiding officers and the other parties no later than 4:00 p.m. on </w:t>
      </w:r>
      <w:r w:rsidR="00372F96">
        <w:t>Monday, April 2, 2018</w:t>
      </w:r>
      <w:r>
        <w:rPr>
          <w:szCs w:val="24"/>
        </w:rPr>
        <w:t>.  Service can be made electronically, with a hard-copy received in hand on the next business day.</w:t>
      </w:r>
      <w:r>
        <w:rPr>
          <w:szCs w:val="24"/>
          <w:vertAlign w:val="superscript"/>
        </w:rPr>
        <w:footnoteReference w:id="2"/>
      </w:r>
      <w:r>
        <w:rPr>
          <w:szCs w:val="24"/>
        </w:rPr>
        <w:t xml:space="preserve">  52 Pa.Code § 5.501(e) requires that “[b]riefs shall be as concise as possible.”</w:t>
      </w:r>
    </w:p>
    <w:p w:rsidR="00834E0A" w:rsidRDefault="00834E0A" w:rsidP="003D3268">
      <w:pPr>
        <w:pStyle w:val="ListParagraph"/>
        <w:spacing w:line="360" w:lineRule="auto"/>
        <w:rPr>
          <w:szCs w:val="24"/>
        </w:rPr>
      </w:pPr>
    </w:p>
    <w:p w:rsidR="00834E0A" w:rsidRDefault="00834E0A" w:rsidP="003D3268">
      <w:pPr>
        <w:numPr>
          <w:ilvl w:val="0"/>
          <w:numId w:val="1"/>
        </w:numPr>
        <w:spacing w:line="360" w:lineRule="auto"/>
        <w:ind w:left="0" w:firstLine="1440"/>
        <w:rPr>
          <w:szCs w:val="24"/>
        </w:rPr>
      </w:pPr>
      <w:r>
        <w:rPr>
          <w:szCs w:val="24"/>
        </w:rPr>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rsidR="00834E0A" w:rsidRDefault="00834E0A" w:rsidP="003D3268">
      <w:pPr>
        <w:pStyle w:val="ListParagraph"/>
        <w:spacing w:line="360" w:lineRule="auto"/>
        <w:rPr>
          <w:szCs w:val="24"/>
        </w:rPr>
      </w:pPr>
    </w:p>
    <w:p w:rsidR="00834E0A" w:rsidRDefault="00834E0A" w:rsidP="003D3268">
      <w:pPr>
        <w:numPr>
          <w:ilvl w:val="0"/>
          <w:numId w:val="1"/>
        </w:numPr>
        <w:spacing w:line="360" w:lineRule="auto"/>
        <w:ind w:left="0" w:firstLine="1440"/>
        <w:rPr>
          <w:szCs w:val="24"/>
          <w:u w:val="single"/>
        </w:rPr>
      </w:pPr>
      <w:r>
        <w:rPr>
          <w:szCs w:val="24"/>
        </w:rPr>
        <w:lastRenderedPageBreak/>
        <w:t>That the parties shall comply with the procedural rules and regulations discussed herein.</w:t>
      </w:r>
    </w:p>
    <w:p w:rsidR="00834E0A" w:rsidRDefault="00834E0A" w:rsidP="00834E0A">
      <w:pPr>
        <w:spacing w:line="360" w:lineRule="auto"/>
        <w:rPr>
          <w:szCs w:val="24"/>
        </w:rPr>
      </w:pPr>
    </w:p>
    <w:p w:rsidR="00834E0A" w:rsidRDefault="00834E0A" w:rsidP="00834E0A">
      <w:pPr>
        <w:spacing w:line="360" w:lineRule="auto"/>
        <w:rPr>
          <w:szCs w:val="24"/>
        </w:rPr>
      </w:pPr>
    </w:p>
    <w:p w:rsidR="00834E0A" w:rsidRDefault="003D3268" w:rsidP="003D3268">
      <w:pPr>
        <w:rPr>
          <w:szCs w:val="24"/>
        </w:rPr>
      </w:pPr>
      <w:r>
        <w:rPr>
          <w:szCs w:val="24"/>
        </w:rPr>
        <w:t xml:space="preserve">Date: </w:t>
      </w:r>
      <w:r w:rsidR="009F38DD">
        <w:rPr>
          <w:szCs w:val="24"/>
          <w:u w:val="single"/>
        </w:rPr>
        <w:t>July 14</w:t>
      </w:r>
      <w:r>
        <w:rPr>
          <w:szCs w:val="24"/>
          <w:u w:val="single"/>
        </w:rPr>
        <w:t>, 2017</w:t>
      </w:r>
      <w:r w:rsidR="00834E0A">
        <w:rPr>
          <w:szCs w:val="24"/>
        </w:rPr>
        <w:tab/>
      </w:r>
      <w:r w:rsidR="00834E0A">
        <w:rPr>
          <w:szCs w:val="24"/>
        </w:rPr>
        <w:tab/>
      </w:r>
      <w:r w:rsidR="00834E0A">
        <w:rPr>
          <w:szCs w:val="24"/>
        </w:rPr>
        <w:tab/>
      </w:r>
      <w:r w:rsidR="00834E0A">
        <w:rPr>
          <w:szCs w:val="24"/>
        </w:rPr>
        <w:tab/>
      </w:r>
      <w:r w:rsidR="00834E0A">
        <w:rPr>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834E0A">
        <w:rPr>
          <w:szCs w:val="24"/>
        </w:rPr>
        <w:t>__________________________________</w:t>
      </w:r>
    </w:p>
    <w:p w:rsidR="00834E0A" w:rsidRDefault="00834E0A" w:rsidP="00834E0A">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rsidR="00834E0A" w:rsidRDefault="00834E0A" w:rsidP="00834E0A">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834E0A" w:rsidRDefault="00834E0A" w:rsidP="00834E0A">
      <w:pPr>
        <w:rPr>
          <w:szCs w:val="24"/>
        </w:rPr>
        <w:sectPr w:rsidR="00834E0A" w:rsidSect="003D3268">
          <w:footerReference w:type="default" r:id="rId9"/>
          <w:pgSz w:w="12240" w:h="15840"/>
          <w:pgMar w:top="1440" w:right="1440" w:bottom="1440" w:left="1440" w:header="0" w:footer="576" w:gutter="0"/>
          <w:cols w:space="720"/>
          <w:titlePg/>
          <w:docGrid w:linePitch="326"/>
        </w:sectPr>
      </w:pPr>
    </w:p>
    <w:p w:rsidR="00362414" w:rsidRPr="00362414" w:rsidRDefault="00362414" w:rsidP="00362414">
      <w:pPr>
        <w:rPr>
          <w:b/>
          <w:caps/>
          <w:noProof/>
          <w:szCs w:val="24"/>
          <w:u w:val="single"/>
        </w:rPr>
      </w:pPr>
      <w:r w:rsidRPr="00362414">
        <w:rPr>
          <w:b/>
          <w:caps/>
          <w:noProof/>
          <w:szCs w:val="24"/>
          <w:u w:val="single"/>
        </w:rPr>
        <w:lastRenderedPageBreak/>
        <w:t xml:space="preserve">C-2008-2068258 Crescent hotel plymouth Meeting l.p. </w:t>
      </w:r>
      <w:r w:rsidRPr="00362414">
        <w:rPr>
          <w:b/>
          <w:noProof/>
          <w:szCs w:val="24"/>
          <w:u w:val="single"/>
        </w:rPr>
        <w:t>v</w:t>
      </w:r>
      <w:r w:rsidRPr="00362414">
        <w:rPr>
          <w:b/>
          <w:caps/>
          <w:noProof/>
          <w:szCs w:val="24"/>
          <w:u w:val="single"/>
        </w:rPr>
        <w:t>. PECO Energy Company</w:t>
      </w:r>
    </w:p>
    <w:p w:rsidR="00362414" w:rsidRPr="00362414" w:rsidRDefault="00362414" w:rsidP="00362414">
      <w:pPr>
        <w:rPr>
          <w:b/>
          <w:caps/>
          <w:noProof/>
          <w:szCs w:val="24"/>
          <w:u w:val="single"/>
        </w:rPr>
      </w:pPr>
    </w:p>
    <w:p w:rsidR="00362414" w:rsidRPr="00362414" w:rsidRDefault="00362414" w:rsidP="00362414">
      <w:pPr>
        <w:rPr>
          <w:b/>
          <w:caps/>
          <w:noProof/>
          <w:szCs w:val="24"/>
          <w:u w:val="single"/>
        </w:rPr>
      </w:pPr>
      <w:r w:rsidRPr="00362414">
        <w:rPr>
          <w:b/>
          <w:caps/>
          <w:noProof/>
          <w:szCs w:val="24"/>
          <w:u w:val="single"/>
        </w:rPr>
        <w:t xml:space="preserve">C-2008-2068267 CRESCENT HOTEL PLYMOUTH MEETING L.P. </w:t>
      </w:r>
      <w:r w:rsidRPr="00362414">
        <w:rPr>
          <w:b/>
          <w:noProof/>
          <w:szCs w:val="24"/>
          <w:u w:val="single"/>
        </w:rPr>
        <w:t>v</w:t>
      </w:r>
      <w:r w:rsidRPr="00362414">
        <w:rPr>
          <w:b/>
          <w:caps/>
          <w:noProof/>
          <w:szCs w:val="24"/>
          <w:u w:val="single"/>
        </w:rPr>
        <w:t>. UGI ENERGY SERVICES INC</w:t>
      </w:r>
    </w:p>
    <w:p w:rsidR="00362414" w:rsidRPr="00362414" w:rsidRDefault="00362414" w:rsidP="00362414">
      <w:pPr>
        <w:rPr>
          <w:b/>
          <w:caps/>
          <w:noProof/>
          <w:szCs w:val="24"/>
          <w:u w:val="single"/>
        </w:rPr>
      </w:pPr>
    </w:p>
    <w:p w:rsidR="00834E0A" w:rsidRPr="00362414" w:rsidRDefault="00834E0A" w:rsidP="00834E0A">
      <w:pPr>
        <w:pStyle w:val="Footer"/>
        <w:tabs>
          <w:tab w:val="left" w:pos="720"/>
        </w:tabs>
        <w:rPr>
          <w:b/>
        </w:rPr>
      </w:pPr>
    </w:p>
    <w:p w:rsidR="00362414" w:rsidRPr="00362414" w:rsidRDefault="00362414" w:rsidP="00362414">
      <w:pPr>
        <w:pStyle w:val="Footer"/>
        <w:tabs>
          <w:tab w:val="left" w:pos="720"/>
        </w:tabs>
        <w:jc w:val="center"/>
        <w:rPr>
          <w:b/>
          <w:u w:val="single"/>
        </w:rPr>
      </w:pPr>
      <w:r w:rsidRPr="00362414">
        <w:rPr>
          <w:b/>
          <w:u w:val="single"/>
        </w:rPr>
        <w:t>SERVICE LIST</w:t>
      </w:r>
    </w:p>
    <w:p w:rsidR="00362414" w:rsidRPr="00362414" w:rsidRDefault="00362414" w:rsidP="00362414">
      <w:pPr>
        <w:pStyle w:val="Footer"/>
        <w:tabs>
          <w:tab w:val="left" w:pos="720"/>
        </w:tabs>
        <w:jc w:val="center"/>
        <w:rPr>
          <w:b/>
          <w:u w:val="single"/>
        </w:rPr>
      </w:pPr>
    </w:p>
    <w:p w:rsidR="00362414" w:rsidRPr="00362414" w:rsidRDefault="00362414" w:rsidP="00362414">
      <w:pPr>
        <w:pStyle w:val="Footer"/>
        <w:tabs>
          <w:tab w:val="left" w:pos="720"/>
        </w:tabs>
        <w:jc w:val="center"/>
        <w:rPr>
          <w:b/>
          <w:u w:val="single"/>
        </w:rPr>
      </w:pPr>
    </w:p>
    <w:p w:rsidR="00362414" w:rsidRPr="00362414" w:rsidRDefault="00362414" w:rsidP="00362414">
      <w:pPr>
        <w:rPr>
          <w:caps/>
          <w:szCs w:val="24"/>
        </w:rPr>
      </w:pPr>
    </w:p>
    <w:p w:rsidR="00362414" w:rsidRDefault="00362414" w:rsidP="00362414">
      <w:pPr>
        <w:rPr>
          <w:caps/>
          <w:noProof/>
          <w:szCs w:val="24"/>
        </w:rPr>
      </w:pPr>
      <w:r w:rsidRPr="00362414">
        <w:rPr>
          <w:caps/>
          <w:noProof/>
          <w:szCs w:val="24"/>
        </w:rPr>
        <w:t>Paul A</w:t>
      </w:r>
      <w:r w:rsidRPr="00362414">
        <w:rPr>
          <w:caps/>
          <w:szCs w:val="24"/>
        </w:rPr>
        <w:t xml:space="preserve"> </w:t>
      </w:r>
      <w:r w:rsidRPr="00362414">
        <w:rPr>
          <w:caps/>
          <w:noProof/>
          <w:szCs w:val="24"/>
        </w:rPr>
        <w:t>Bucco</w:t>
      </w:r>
      <w:r w:rsidRPr="00362414">
        <w:rPr>
          <w:caps/>
          <w:szCs w:val="24"/>
        </w:rPr>
        <w:t xml:space="preserve"> </w:t>
      </w:r>
      <w:r w:rsidRPr="00362414">
        <w:rPr>
          <w:caps/>
          <w:noProof/>
          <w:szCs w:val="24"/>
        </w:rPr>
        <w:t>Esquire</w:t>
      </w:r>
    </w:p>
    <w:p w:rsidR="000442ED" w:rsidRPr="00362414" w:rsidRDefault="000442ED" w:rsidP="00362414">
      <w:pPr>
        <w:rPr>
          <w:caps/>
          <w:noProof/>
          <w:szCs w:val="24"/>
        </w:rPr>
      </w:pPr>
      <w:r>
        <w:rPr>
          <w:caps/>
          <w:noProof/>
          <w:szCs w:val="24"/>
        </w:rPr>
        <w:t>William D. oleckna esquire</w:t>
      </w:r>
    </w:p>
    <w:p w:rsidR="00362414" w:rsidRPr="00362414" w:rsidRDefault="000442ED" w:rsidP="00362414">
      <w:pPr>
        <w:rPr>
          <w:caps/>
          <w:szCs w:val="24"/>
        </w:rPr>
      </w:pPr>
      <w:r>
        <w:rPr>
          <w:caps/>
          <w:noProof/>
          <w:szCs w:val="24"/>
        </w:rPr>
        <w:t>DAVIS BUCCO</w:t>
      </w:r>
    </w:p>
    <w:p w:rsidR="00362414" w:rsidRPr="00362414" w:rsidRDefault="00362414" w:rsidP="00362414">
      <w:pPr>
        <w:rPr>
          <w:caps/>
          <w:szCs w:val="24"/>
        </w:rPr>
      </w:pPr>
      <w:r w:rsidRPr="00362414">
        <w:rPr>
          <w:caps/>
          <w:noProof/>
          <w:szCs w:val="24"/>
        </w:rPr>
        <w:t>10 East 6th Avenue</w:t>
      </w:r>
    </w:p>
    <w:p w:rsidR="00362414" w:rsidRPr="00362414" w:rsidRDefault="00362414" w:rsidP="00362414">
      <w:pPr>
        <w:rPr>
          <w:caps/>
          <w:szCs w:val="24"/>
        </w:rPr>
      </w:pPr>
      <w:smartTag w:uri="urn:schemas-microsoft-com:office:smarttags" w:element="address">
        <w:smartTag w:uri="urn:schemas-microsoft-com:office:smarttags" w:element="Street">
          <w:r w:rsidRPr="00362414">
            <w:rPr>
              <w:caps/>
              <w:noProof/>
              <w:szCs w:val="24"/>
            </w:rPr>
            <w:t>Suite</w:t>
          </w:r>
        </w:smartTag>
        <w:r w:rsidRPr="00362414">
          <w:rPr>
            <w:caps/>
            <w:noProof/>
            <w:szCs w:val="24"/>
          </w:rPr>
          <w:t xml:space="preserve"> 100</w:t>
        </w:r>
      </w:smartTag>
    </w:p>
    <w:p w:rsidR="00362414" w:rsidRPr="00362414" w:rsidRDefault="00362414" w:rsidP="00362414">
      <w:pPr>
        <w:rPr>
          <w:caps/>
          <w:szCs w:val="24"/>
        </w:rPr>
      </w:pPr>
      <w:r w:rsidRPr="00362414">
        <w:rPr>
          <w:caps/>
          <w:noProof/>
          <w:szCs w:val="24"/>
        </w:rPr>
        <w:t>Conshohocken</w:t>
      </w:r>
      <w:r w:rsidRPr="00362414">
        <w:rPr>
          <w:caps/>
          <w:szCs w:val="24"/>
        </w:rPr>
        <w:t xml:space="preserve"> </w:t>
      </w:r>
      <w:r w:rsidRPr="00362414">
        <w:rPr>
          <w:caps/>
          <w:noProof/>
          <w:szCs w:val="24"/>
        </w:rPr>
        <w:t>PA</w:t>
      </w:r>
      <w:r w:rsidRPr="00362414">
        <w:rPr>
          <w:caps/>
          <w:szCs w:val="24"/>
        </w:rPr>
        <w:t xml:space="preserve"> </w:t>
      </w:r>
      <w:r w:rsidRPr="00362414">
        <w:rPr>
          <w:caps/>
          <w:noProof/>
          <w:szCs w:val="24"/>
        </w:rPr>
        <w:t>19428</w:t>
      </w:r>
    </w:p>
    <w:p w:rsidR="00362414" w:rsidRPr="00362414" w:rsidRDefault="00362414" w:rsidP="00362414">
      <w:pPr>
        <w:rPr>
          <w:b/>
          <w:caps/>
          <w:szCs w:val="24"/>
          <w:u w:val="single"/>
        </w:rPr>
      </w:pPr>
      <w:r w:rsidRPr="00362414">
        <w:rPr>
          <w:b/>
          <w:caps/>
          <w:noProof/>
          <w:szCs w:val="24"/>
        </w:rPr>
        <w:t>610.238.0880</w:t>
      </w:r>
    </w:p>
    <w:p w:rsidR="00362414" w:rsidRPr="00362414" w:rsidRDefault="00362414" w:rsidP="00362414">
      <w:pPr>
        <w:rPr>
          <w:i/>
          <w:szCs w:val="24"/>
        </w:rPr>
      </w:pPr>
      <w:r w:rsidRPr="00362414">
        <w:rPr>
          <w:i/>
          <w:noProof/>
          <w:szCs w:val="24"/>
        </w:rPr>
        <w:t>Representing Crescent Hotel Plymouth Meeting, L.P.</w:t>
      </w:r>
    </w:p>
    <w:p w:rsidR="00362414" w:rsidRPr="00362414" w:rsidRDefault="00362414" w:rsidP="00362414">
      <w:pPr>
        <w:rPr>
          <w:caps/>
          <w:noProof/>
          <w:szCs w:val="24"/>
        </w:rPr>
      </w:pPr>
    </w:p>
    <w:p w:rsidR="00362414" w:rsidRPr="00362414" w:rsidRDefault="00362414" w:rsidP="00362414">
      <w:pPr>
        <w:rPr>
          <w:caps/>
          <w:szCs w:val="24"/>
        </w:rPr>
      </w:pPr>
      <w:r w:rsidRPr="00362414">
        <w:rPr>
          <w:caps/>
          <w:noProof/>
          <w:szCs w:val="24"/>
        </w:rPr>
        <w:t>Ward L.</w:t>
      </w:r>
      <w:r w:rsidRPr="00362414">
        <w:rPr>
          <w:caps/>
          <w:szCs w:val="24"/>
        </w:rPr>
        <w:t xml:space="preserve"> </w:t>
      </w:r>
      <w:r w:rsidRPr="00362414">
        <w:rPr>
          <w:caps/>
          <w:noProof/>
          <w:szCs w:val="24"/>
        </w:rPr>
        <w:t>Smith</w:t>
      </w:r>
      <w:r w:rsidRPr="00362414">
        <w:rPr>
          <w:caps/>
          <w:szCs w:val="24"/>
        </w:rPr>
        <w:t xml:space="preserve"> </w:t>
      </w:r>
      <w:r w:rsidRPr="00362414">
        <w:rPr>
          <w:caps/>
          <w:noProof/>
          <w:szCs w:val="24"/>
        </w:rPr>
        <w:t>Esquire</w:t>
      </w:r>
    </w:p>
    <w:p w:rsidR="00362414" w:rsidRPr="00362414" w:rsidRDefault="00362414" w:rsidP="00362414">
      <w:pPr>
        <w:rPr>
          <w:caps/>
          <w:noProof/>
          <w:szCs w:val="24"/>
        </w:rPr>
      </w:pPr>
      <w:r w:rsidRPr="00362414">
        <w:rPr>
          <w:caps/>
          <w:noProof/>
          <w:szCs w:val="24"/>
        </w:rPr>
        <w:t>EXELON BUSINESS SERVICES COMPANY</w:t>
      </w:r>
    </w:p>
    <w:p w:rsidR="00362414" w:rsidRPr="00362414" w:rsidRDefault="00362414" w:rsidP="00362414">
      <w:pPr>
        <w:rPr>
          <w:caps/>
          <w:szCs w:val="24"/>
        </w:rPr>
      </w:pPr>
      <w:r w:rsidRPr="00362414">
        <w:rPr>
          <w:caps/>
          <w:noProof/>
          <w:szCs w:val="24"/>
        </w:rPr>
        <w:t>2301 Market Street / S23-1</w:t>
      </w:r>
    </w:p>
    <w:p w:rsidR="00362414" w:rsidRPr="00362414" w:rsidRDefault="00362414" w:rsidP="00362414">
      <w:pPr>
        <w:rPr>
          <w:caps/>
          <w:szCs w:val="24"/>
        </w:rPr>
      </w:pPr>
      <w:smartTag w:uri="urn:schemas-microsoft-com:office:smarttags" w:element="place">
        <w:r w:rsidRPr="00362414">
          <w:rPr>
            <w:caps/>
            <w:noProof/>
            <w:szCs w:val="24"/>
          </w:rPr>
          <w:t>PO</w:t>
        </w:r>
      </w:smartTag>
      <w:r w:rsidRPr="00362414">
        <w:rPr>
          <w:caps/>
          <w:noProof/>
          <w:szCs w:val="24"/>
        </w:rPr>
        <w:t xml:space="preserve"> </w:t>
      </w:r>
      <w:smartTag w:uri="urn:schemas-microsoft-com:office:smarttags" w:element="address">
        <w:smartTag w:uri="urn:schemas-microsoft-com:office:smarttags" w:element="Street">
          <w:r w:rsidRPr="00362414">
            <w:rPr>
              <w:caps/>
              <w:noProof/>
              <w:szCs w:val="24"/>
            </w:rPr>
            <w:t>Box</w:t>
          </w:r>
        </w:smartTag>
        <w:r w:rsidRPr="00362414">
          <w:rPr>
            <w:caps/>
            <w:noProof/>
            <w:szCs w:val="24"/>
          </w:rPr>
          <w:t xml:space="preserve"> 8699</w:t>
        </w:r>
      </w:smartTag>
    </w:p>
    <w:p w:rsidR="00362414" w:rsidRPr="00362414" w:rsidRDefault="00362414" w:rsidP="00362414">
      <w:pPr>
        <w:rPr>
          <w:caps/>
          <w:szCs w:val="24"/>
        </w:rPr>
      </w:pPr>
      <w:r w:rsidRPr="00362414">
        <w:rPr>
          <w:caps/>
          <w:noProof/>
          <w:szCs w:val="24"/>
        </w:rPr>
        <w:t>Philadelphia</w:t>
      </w:r>
      <w:r w:rsidRPr="00362414">
        <w:rPr>
          <w:caps/>
          <w:szCs w:val="24"/>
        </w:rPr>
        <w:t xml:space="preserve"> </w:t>
      </w:r>
      <w:r w:rsidRPr="00362414">
        <w:rPr>
          <w:caps/>
          <w:noProof/>
          <w:szCs w:val="24"/>
        </w:rPr>
        <w:t>PA</w:t>
      </w:r>
      <w:r w:rsidRPr="00362414">
        <w:rPr>
          <w:caps/>
          <w:szCs w:val="24"/>
        </w:rPr>
        <w:t xml:space="preserve"> </w:t>
      </w:r>
      <w:r w:rsidRPr="00362414">
        <w:rPr>
          <w:caps/>
          <w:noProof/>
          <w:szCs w:val="24"/>
        </w:rPr>
        <w:t>19101-8699</w:t>
      </w:r>
    </w:p>
    <w:p w:rsidR="00362414" w:rsidRPr="00362414" w:rsidRDefault="00362414" w:rsidP="00362414">
      <w:pPr>
        <w:rPr>
          <w:b/>
          <w:caps/>
          <w:noProof/>
          <w:szCs w:val="24"/>
        </w:rPr>
      </w:pPr>
      <w:r w:rsidRPr="00362414">
        <w:rPr>
          <w:b/>
          <w:caps/>
          <w:noProof/>
          <w:szCs w:val="24"/>
        </w:rPr>
        <w:t>215.841.6863</w:t>
      </w:r>
    </w:p>
    <w:p w:rsidR="00362414" w:rsidRPr="00362414" w:rsidRDefault="00362414" w:rsidP="00362414">
      <w:pPr>
        <w:rPr>
          <w:i/>
          <w:noProof/>
          <w:szCs w:val="24"/>
        </w:rPr>
      </w:pPr>
      <w:r w:rsidRPr="00362414">
        <w:rPr>
          <w:i/>
          <w:noProof/>
          <w:szCs w:val="24"/>
        </w:rPr>
        <w:t>E-served</w:t>
      </w:r>
    </w:p>
    <w:p w:rsidR="00362414" w:rsidRPr="00362414" w:rsidRDefault="00362414" w:rsidP="00362414">
      <w:pPr>
        <w:rPr>
          <w:i/>
          <w:szCs w:val="24"/>
        </w:rPr>
      </w:pPr>
      <w:r w:rsidRPr="00362414">
        <w:rPr>
          <w:i/>
          <w:noProof/>
          <w:szCs w:val="24"/>
        </w:rPr>
        <w:t>Representing PECO Energy Company</w:t>
      </w:r>
    </w:p>
    <w:p w:rsidR="00362414" w:rsidRPr="00362414" w:rsidRDefault="00362414" w:rsidP="00362414">
      <w:pPr>
        <w:rPr>
          <w:caps/>
          <w:szCs w:val="24"/>
        </w:rPr>
      </w:pPr>
    </w:p>
    <w:p w:rsidR="007F1CC4" w:rsidRDefault="007F1CC4" w:rsidP="00362414">
      <w:pPr>
        <w:rPr>
          <w:caps/>
          <w:noProof/>
          <w:szCs w:val="24"/>
        </w:rPr>
      </w:pPr>
      <w:r>
        <w:rPr>
          <w:caps/>
          <w:noProof/>
          <w:szCs w:val="24"/>
        </w:rPr>
        <w:t>david macgregor esquire</w:t>
      </w:r>
    </w:p>
    <w:p w:rsidR="007F1CC4" w:rsidRDefault="007F1CC4" w:rsidP="00362414">
      <w:pPr>
        <w:rPr>
          <w:caps/>
          <w:noProof/>
          <w:szCs w:val="24"/>
        </w:rPr>
      </w:pPr>
      <w:r>
        <w:rPr>
          <w:caps/>
          <w:noProof/>
          <w:szCs w:val="24"/>
        </w:rPr>
        <w:t>christopher t. wright esquire</w:t>
      </w:r>
    </w:p>
    <w:p w:rsidR="007F1CC4" w:rsidRDefault="007F1CC4" w:rsidP="00362414">
      <w:pPr>
        <w:rPr>
          <w:caps/>
          <w:noProof/>
          <w:szCs w:val="24"/>
        </w:rPr>
      </w:pPr>
      <w:r>
        <w:rPr>
          <w:caps/>
          <w:noProof/>
          <w:szCs w:val="24"/>
        </w:rPr>
        <w:t>post &amp; schell, p.c.</w:t>
      </w:r>
    </w:p>
    <w:p w:rsidR="007F1CC4" w:rsidRDefault="007F1CC4" w:rsidP="00362414">
      <w:pPr>
        <w:rPr>
          <w:caps/>
          <w:noProof/>
          <w:szCs w:val="24"/>
        </w:rPr>
      </w:pPr>
      <w:r>
        <w:rPr>
          <w:caps/>
          <w:noProof/>
          <w:szCs w:val="24"/>
        </w:rPr>
        <w:t>17 north second street</w:t>
      </w:r>
    </w:p>
    <w:p w:rsidR="007F1CC4" w:rsidRDefault="007F1CC4" w:rsidP="00362414">
      <w:pPr>
        <w:rPr>
          <w:caps/>
          <w:noProof/>
          <w:szCs w:val="24"/>
        </w:rPr>
      </w:pPr>
      <w:r>
        <w:rPr>
          <w:caps/>
          <w:noProof/>
          <w:szCs w:val="24"/>
        </w:rPr>
        <w:t>12</w:t>
      </w:r>
      <w:r w:rsidRPr="007F1CC4">
        <w:rPr>
          <w:caps/>
          <w:noProof/>
          <w:szCs w:val="24"/>
          <w:vertAlign w:val="superscript"/>
        </w:rPr>
        <w:t>th</w:t>
      </w:r>
      <w:r>
        <w:rPr>
          <w:caps/>
          <w:noProof/>
          <w:szCs w:val="24"/>
        </w:rPr>
        <w:t xml:space="preserve"> floor</w:t>
      </w:r>
    </w:p>
    <w:p w:rsidR="007F1CC4" w:rsidRDefault="007F1CC4" w:rsidP="00362414">
      <w:pPr>
        <w:rPr>
          <w:caps/>
          <w:noProof/>
          <w:szCs w:val="24"/>
        </w:rPr>
      </w:pPr>
      <w:r>
        <w:rPr>
          <w:caps/>
          <w:noProof/>
          <w:szCs w:val="24"/>
        </w:rPr>
        <w:t>harrisburg, pa  17101</w:t>
      </w:r>
    </w:p>
    <w:p w:rsidR="007F1CC4" w:rsidRDefault="007F1CC4" w:rsidP="00362414">
      <w:pPr>
        <w:rPr>
          <w:caps/>
          <w:noProof/>
          <w:szCs w:val="24"/>
        </w:rPr>
      </w:pPr>
      <w:r>
        <w:rPr>
          <w:b/>
          <w:caps/>
          <w:noProof/>
          <w:szCs w:val="24"/>
        </w:rPr>
        <w:t>717 731 1970</w:t>
      </w:r>
    </w:p>
    <w:p w:rsidR="007F1CC4" w:rsidRPr="007F1CC4" w:rsidRDefault="007F1CC4" w:rsidP="00362414">
      <w:pPr>
        <w:rPr>
          <w:i/>
          <w:caps/>
          <w:noProof/>
          <w:szCs w:val="24"/>
        </w:rPr>
      </w:pPr>
      <w:r>
        <w:rPr>
          <w:i/>
          <w:caps/>
          <w:noProof/>
          <w:szCs w:val="24"/>
        </w:rPr>
        <w:t>e-served</w:t>
      </w:r>
      <w:bookmarkStart w:id="0" w:name="_GoBack"/>
      <w:bookmarkEnd w:id="0"/>
    </w:p>
    <w:p w:rsidR="00362414" w:rsidRPr="00362414" w:rsidRDefault="00362414" w:rsidP="00362414">
      <w:pPr>
        <w:rPr>
          <w:i/>
          <w:szCs w:val="24"/>
        </w:rPr>
      </w:pPr>
      <w:r w:rsidRPr="00362414">
        <w:rPr>
          <w:i/>
          <w:szCs w:val="24"/>
        </w:rPr>
        <w:t>Representing UGI Energy Services</w:t>
      </w:r>
    </w:p>
    <w:sectPr w:rsidR="00362414" w:rsidRPr="00362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28" w:rsidRDefault="00A17B28" w:rsidP="00834E0A">
      <w:r>
        <w:separator/>
      </w:r>
    </w:p>
  </w:endnote>
  <w:endnote w:type="continuationSeparator" w:id="0">
    <w:p w:rsidR="00A17B28" w:rsidRDefault="00A17B28" w:rsidP="0083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374647"/>
      <w:docPartObj>
        <w:docPartGallery w:val="Page Numbers (Bottom of Page)"/>
        <w:docPartUnique/>
      </w:docPartObj>
    </w:sdtPr>
    <w:sdtEndPr>
      <w:rPr>
        <w:noProof/>
        <w:sz w:val="20"/>
      </w:rPr>
    </w:sdtEndPr>
    <w:sdtContent>
      <w:p w:rsidR="003D3268" w:rsidRPr="003D3268" w:rsidRDefault="003D3268">
        <w:pPr>
          <w:pStyle w:val="Footer"/>
          <w:jc w:val="center"/>
          <w:rPr>
            <w:sz w:val="20"/>
          </w:rPr>
        </w:pPr>
        <w:r w:rsidRPr="003D3268">
          <w:rPr>
            <w:sz w:val="20"/>
          </w:rPr>
          <w:fldChar w:fldCharType="begin"/>
        </w:r>
        <w:r w:rsidRPr="003D3268">
          <w:rPr>
            <w:sz w:val="20"/>
          </w:rPr>
          <w:instrText xml:space="preserve"> PAGE   \* MERGEFORMAT </w:instrText>
        </w:r>
        <w:r w:rsidRPr="003D3268">
          <w:rPr>
            <w:sz w:val="20"/>
          </w:rPr>
          <w:fldChar w:fldCharType="separate"/>
        </w:r>
        <w:r w:rsidR="007F1CC4">
          <w:rPr>
            <w:noProof/>
            <w:sz w:val="20"/>
          </w:rPr>
          <w:t>10</w:t>
        </w:r>
        <w:r w:rsidRPr="003D3268">
          <w:rPr>
            <w:noProof/>
            <w:sz w:val="20"/>
          </w:rPr>
          <w:fldChar w:fldCharType="end"/>
        </w:r>
      </w:p>
    </w:sdtContent>
  </w:sdt>
  <w:p w:rsidR="003D3268" w:rsidRDefault="003D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28" w:rsidRDefault="00A17B28" w:rsidP="00834E0A">
      <w:r>
        <w:separator/>
      </w:r>
    </w:p>
  </w:footnote>
  <w:footnote w:type="continuationSeparator" w:id="0">
    <w:p w:rsidR="00A17B28" w:rsidRDefault="00A17B28" w:rsidP="00834E0A">
      <w:r>
        <w:continuationSeparator/>
      </w:r>
    </w:p>
  </w:footnote>
  <w:footnote w:id="1">
    <w:p w:rsidR="00715D46" w:rsidRDefault="00715D46">
      <w:pPr>
        <w:pStyle w:val="FootnoteText"/>
      </w:pPr>
      <w:r>
        <w:rPr>
          <w:rStyle w:val="FootnoteReference"/>
        </w:rPr>
        <w:footnoteRef/>
      </w:r>
      <w:r>
        <w:t xml:space="preserve"> </w:t>
      </w:r>
      <w:r>
        <w:tab/>
        <w:t>The matter had originally been schedule</w:t>
      </w:r>
      <w:r w:rsidR="007F7A23">
        <w:t>d</w:t>
      </w:r>
      <w:r>
        <w:t xml:space="preserve"> for a further prehearing conference on Wednesday, May 10, 2017</w:t>
      </w:r>
      <w:r w:rsidR="00AB4FBA">
        <w:t>,</w:t>
      </w:r>
      <w:r>
        <w:t xml:space="preserve"> via Notice dated March 16, 2017</w:t>
      </w:r>
      <w:r w:rsidR="00AB4FBA">
        <w:t>,</w:t>
      </w:r>
      <w:r>
        <w:t xml:space="preserve"> but was rescheduled due to a conflict in the Judge’s schedule with a rate case proceeding.</w:t>
      </w:r>
    </w:p>
  </w:footnote>
  <w:footnote w:id="2">
    <w:p w:rsidR="00834E0A" w:rsidRDefault="00834E0A" w:rsidP="00834E0A">
      <w:pPr>
        <w:pStyle w:val="FootnoteText"/>
        <w:ind w:left="720" w:hanging="720"/>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rsidR="00834E0A" w:rsidRDefault="00834E0A" w:rsidP="00834E0A">
      <w:pPr>
        <w:pStyle w:val="FootnoteText"/>
        <w:ind w:left="720" w:hanging="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A"/>
    <w:rsid w:val="000442ED"/>
    <w:rsid w:val="002F658E"/>
    <w:rsid w:val="00362414"/>
    <w:rsid w:val="00372F96"/>
    <w:rsid w:val="003D3268"/>
    <w:rsid w:val="005651C8"/>
    <w:rsid w:val="006111B3"/>
    <w:rsid w:val="00715D46"/>
    <w:rsid w:val="00773F84"/>
    <w:rsid w:val="007F1CC4"/>
    <w:rsid w:val="007F7A23"/>
    <w:rsid w:val="00804F90"/>
    <w:rsid w:val="00834E0A"/>
    <w:rsid w:val="009F38DD"/>
    <w:rsid w:val="00A17B28"/>
    <w:rsid w:val="00A77246"/>
    <w:rsid w:val="00AB4FBA"/>
    <w:rsid w:val="00AF7617"/>
    <w:rsid w:val="00BC7A18"/>
    <w:rsid w:val="00C3220A"/>
    <w:rsid w:val="00CC3CE6"/>
    <w:rsid w:val="00CD25EE"/>
    <w:rsid w:val="00D64AD0"/>
    <w:rsid w:val="00EE141F"/>
    <w:rsid w:val="00FF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0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34E0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E0A"/>
    <w:rPr>
      <w:rFonts w:ascii="Times New Roman" w:eastAsia="Times New Roman" w:hAnsi="Times New Roman" w:cs="Times New Roman"/>
      <w:sz w:val="24"/>
      <w:szCs w:val="20"/>
      <w:u w:val="single"/>
    </w:rPr>
  </w:style>
  <w:style w:type="character" w:styleId="Hyperlink">
    <w:name w:val="Hyperlink"/>
    <w:semiHidden/>
    <w:unhideWhenUsed/>
    <w:rsid w:val="00834E0A"/>
    <w:rPr>
      <w:color w:val="0000FF"/>
      <w:u w:val="single"/>
    </w:rPr>
  </w:style>
  <w:style w:type="paragraph" w:styleId="FootnoteText">
    <w:name w:val="footnote text"/>
    <w:basedOn w:val="Normal"/>
    <w:link w:val="FootnoteTextChar"/>
    <w:semiHidden/>
    <w:unhideWhenUsed/>
    <w:rsid w:val="00834E0A"/>
    <w:rPr>
      <w:sz w:val="20"/>
    </w:rPr>
  </w:style>
  <w:style w:type="character" w:customStyle="1" w:styleId="FootnoteTextChar">
    <w:name w:val="Footnote Text Char"/>
    <w:basedOn w:val="DefaultParagraphFont"/>
    <w:link w:val="FootnoteText"/>
    <w:semiHidden/>
    <w:rsid w:val="00834E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4E0A"/>
    <w:pPr>
      <w:tabs>
        <w:tab w:val="center" w:pos="4320"/>
        <w:tab w:val="right" w:pos="8640"/>
      </w:tabs>
    </w:pPr>
  </w:style>
  <w:style w:type="character" w:customStyle="1" w:styleId="FooterChar">
    <w:name w:val="Footer Char"/>
    <w:basedOn w:val="DefaultParagraphFont"/>
    <w:link w:val="Footer"/>
    <w:uiPriority w:val="99"/>
    <w:rsid w:val="00834E0A"/>
    <w:rPr>
      <w:rFonts w:ascii="Times New Roman" w:eastAsia="Times New Roman" w:hAnsi="Times New Roman" w:cs="Times New Roman"/>
      <w:sz w:val="24"/>
      <w:szCs w:val="20"/>
    </w:rPr>
  </w:style>
  <w:style w:type="paragraph" w:styleId="Title">
    <w:name w:val="Title"/>
    <w:basedOn w:val="Normal"/>
    <w:link w:val="TitleChar"/>
    <w:qFormat/>
    <w:rsid w:val="00834E0A"/>
    <w:pPr>
      <w:jc w:val="center"/>
    </w:pPr>
    <w:rPr>
      <w:b/>
    </w:rPr>
  </w:style>
  <w:style w:type="character" w:customStyle="1" w:styleId="TitleChar">
    <w:name w:val="Title Char"/>
    <w:basedOn w:val="DefaultParagraphFont"/>
    <w:link w:val="Title"/>
    <w:rsid w:val="00834E0A"/>
    <w:rPr>
      <w:rFonts w:ascii="Times New Roman" w:eastAsia="Times New Roman" w:hAnsi="Times New Roman" w:cs="Times New Roman"/>
      <w:b/>
      <w:sz w:val="24"/>
      <w:szCs w:val="20"/>
    </w:rPr>
  </w:style>
  <w:style w:type="paragraph" w:styleId="Subtitle">
    <w:name w:val="Subtitle"/>
    <w:basedOn w:val="Normal"/>
    <w:link w:val="SubtitleChar"/>
    <w:qFormat/>
    <w:rsid w:val="00834E0A"/>
    <w:pPr>
      <w:jc w:val="center"/>
    </w:pPr>
    <w:rPr>
      <w:b/>
    </w:rPr>
  </w:style>
  <w:style w:type="character" w:customStyle="1" w:styleId="SubtitleChar">
    <w:name w:val="Subtitle Char"/>
    <w:basedOn w:val="DefaultParagraphFont"/>
    <w:link w:val="Subtitle"/>
    <w:rsid w:val="00834E0A"/>
    <w:rPr>
      <w:rFonts w:ascii="Times New Roman" w:eastAsia="Times New Roman" w:hAnsi="Times New Roman" w:cs="Times New Roman"/>
      <w:b/>
      <w:sz w:val="24"/>
      <w:szCs w:val="20"/>
    </w:rPr>
  </w:style>
  <w:style w:type="paragraph" w:styleId="NoSpacing">
    <w:name w:val="No Spacing"/>
    <w:uiPriority w:val="1"/>
    <w:qFormat/>
    <w:rsid w:val="00834E0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34E0A"/>
    <w:pPr>
      <w:ind w:left="720"/>
    </w:pPr>
  </w:style>
  <w:style w:type="character" w:styleId="FootnoteReference">
    <w:name w:val="footnote reference"/>
    <w:semiHidden/>
    <w:unhideWhenUsed/>
    <w:rsid w:val="00834E0A"/>
    <w:rPr>
      <w:vertAlign w:val="superscript"/>
    </w:rPr>
  </w:style>
  <w:style w:type="paragraph" w:styleId="Header">
    <w:name w:val="header"/>
    <w:basedOn w:val="Normal"/>
    <w:link w:val="HeaderChar"/>
    <w:uiPriority w:val="99"/>
    <w:unhideWhenUsed/>
    <w:rsid w:val="003D3268"/>
    <w:pPr>
      <w:tabs>
        <w:tab w:val="center" w:pos="4680"/>
        <w:tab w:val="right" w:pos="9360"/>
      </w:tabs>
    </w:pPr>
  </w:style>
  <w:style w:type="character" w:customStyle="1" w:styleId="HeaderChar">
    <w:name w:val="Header Char"/>
    <w:basedOn w:val="DefaultParagraphFont"/>
    <w:link w:val="Header"/>
    <w:uiPriority w:val="99"/>
    <w:rsid w:val="003D326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D3268"/>
    <w:rPr>
      <w:rFonts w:ascii="Tahoma" w:hAnsi="Tahoma" w:cs="Tahoma"/>
      <w:sz w:val="16"/>
      <w:szCs w:val="16"/>
    </w:rPr>
  </w:style>
  <w:style w:type="character" w:customStyle="1" w:styleId="BalloonTextChar">
    <w:name w:val="Balloon Text Char"/>
    <w:basedOn w:val="DefaultParagraphFont"/>
    <w:link w:val="BalloonText"/>
    <w:uiPriority w:val="99"/>
    <w:semiHidden/>
    <w:rsid w:val="003D32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0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34E0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E0A"/>
    <w:rPr>
      <w:rFonts w:ascii="Times New Roman" w:eastAsia="Times New Roman" w:hAnsi="Times New Roman" w:cs="Times New Roman"/>
      <w:sz w:val="24"/>
      <w:szCs w:val="20"/>
      <w:u w:val="single"/>
    </w:rPr>
  </w:style>
  <w:style w:type="character" w:styleId="Hyperlink">
    <w:name w:val="Hyperlink"/>
    <w:semiHidden/>
    <w:unhideWhenUsed/>
    <w:rsid w:val="00834E0A"/>
    <w:rPr>
      <w:color w:val="0000FF"/>
      <w:u w:val="single"/>
    </w:rPr>
  </w:style>
  <w:style w:type="paragraph" w:styleId="FootnoteText">
    <w:name w:val="footnote text"/>
    <w:basedOn w:val="Normal"/>
    <w:link w:val="FootnoteTextChar"/>
    <w:semiHidden/>
    <w:unhideWhenUsed/>
    <w:rsid w:val="00834E0A"/>
    <w:rPr>
      <w:sz w:val="20"/>
    </w:rPr>
  </w:style>
  <w:style w:type="character" w:customStyle="1" w:styleId="FootnoteTextChar">
    <w:name w:val="Footnote Text Char"/>
    <w:basedOn w:val="DefaultParagraphFont"/>
    <w:link w:val="FootnoteText"/>
    <w:semiHidden/>
    <w:rsid w:val="00834E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4E0A"/>
    <w:pPr>
      <w:tabs>
        <w:tab w:val="center" w:pos="4320"/>
        <w:tab w:val="right" w:pos="8640"/>
      </w:tabs>
    </w:pPr>
  </w:style>
  <w:style w:type="character" w:customStyle="1" w:styleId="FooterChar">
    <w:name w:val="Footer Char"/>
    <w:basedOn w:val="DefaultParagraphFont"/>
    <w:link w:val="Footer"/>
    <w:uiPriority w:val="99"/>
    <w:rsid w:val="00834E0A"/>
    <w:rPr>
      <w:rFonts w:ascii="Times New Roman" w:eastAsia="Times New Roman" w:hAnsi="Times New Roman" w:cs="Times New Roman"/>
      <w:sz w:val="24"/>
      <w:szCs w:val="20"/>
    </w:rPr>
  </w:style>
  <w:style w:type="paragraph" w:styleId="Title">
    <w:name w:val="Title"/>
    <w:basedOn w:val="Normal"/>
    <w:link w:val="TitleChar"/>
    <w:qFormat/>
    <w:rsid w:val="00834E0A"/>
    <w:pPr>
      <w:jc w:val="center"/>
    </w:pPr>
    <w:rPr>
      <w:b/>
    </w:rPr>
  </w:style>
  <w:style w:type="character" w:customStyle="1" w:styleId="TitleChar">
    <w:name w:val="Title Char"/>
    <w:basedOn w:val="DefaultParagraphFont"/>
    <w:link w:val="Title"/>
    <w:rsid w:val="00834E0A"/>
    <w:rPr>
      <w:rFonts w:ascii="Times New Roman" w:eastAsia="Times New Roman" w:hAnsi="Times New Roman" w:cs="Times New Roman"/>
      <w:b/>
      <w:sz w:val="24"/>
      <w:szCs w:val="20"/>
    </w:rPr>
  </w:style>
  <w:style w:type="paragraph" w:styleId="Subtitle">
    <w:name w:val="Subtitle"/>
    <w:basedOn w:val="Normal"/>
    <w:link w:val="SubtitleChar"/>
    <w:qFormat/>
    <w:rsid w:val="00834E0A"/>
    <w:pPr>
      <w:jc w:val="center"/>
    </w:pPr>
    <w:rPr>
      <w:b/>
    </w:rPr>
  </w:style>
  <w:style w:type="character" w:customStyle="1" w:styleId="SubtitleChar">
    <w:name w:val="Subtitle Char"/>
    <w:basedOn w:val="DefaultParagraphFont"/>
    <w:link w:val="Subtitle"/>
    <w:rsid w:val="00834E0A"/>
    <w:rPr>
      <w:rFonts w:ascii="Times New Roman" w:eastAsia="Times New Roman" w:hAnsi="Times New Roman" w:cs="Times New Roman"/>
      <w:b/>
      <w:sz w:val="24"/>
      <w:szCs w:val="20"/>
    </w:rPr>
  </w:style>
  <w:style w:type="paragraph" w:styleId="NoSpacing">
    <w:name w:val="No Spacing"/>
    <w:uiPriority w:val="1"/>
    <w:qFormat/>
    <w:rsid w:val="00834E0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34E0A"/>
    <w:pPr>
      <w:ind w:left="720"/>
    </w:pPr>
  </w:style>
  <w:style w:type="character" w:styleId="FootnoteReference">
    <w:name w:val="footnote reference"/>
    <w:semiHidden/>
    <w:unhideWhenUsed/>
    <w:rsid w:val="00834E0A"/>
    <w:rPr>
      <w:vertAlign w:val="superscript"/>
    </w:rPr>
  </w:style>
  <w:style w:type="paragraph" w:styleId="Header">
    <w:name w:val="header"/>
    <w:basedOn w:val="Normal"/>
    <w:link w:val="HeaderChar"/>
    <w:uiPriority w:val="99"/>
    <w:unhideWhenUsed/>
    <w:rsid w:val="003D3268"/>
    <w:pPr>
      <w:tabs>
        <w:tab w:val="center" w:pos="4680"/>
        <w:tab w:val="right" w:pos="9360"/>
      </w:tabs>
    </w:pPr>
  </w:style>
  <w:style w:type="character" w:customStyle="1" w:styleId="HeaderChar">
    <w:name w:val="Header Char"/>
    <w:basedOn w:val="DefaultParagraphFont"/>
    <w:link w:val="Header"/>
    <w:uiPriority w:val="99"/>
    <w:rsid w:val="003D326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D3268"/>
    <w:rPr>
      <w:rFonts w:ascii="Tahoma" w:hAnsi="Tahoma" w:cs="Tahoma"/>
      <w:sz w:val="16"/>
      <w:szCs w:val="16"/>
    </w:rPr>
  </w:style>
  <w:style w:type="character" w:customStyle="1" w:styleId="BalloonTextChar">
    <w:name w:val="Balloon Text Char"/>
    <w:basedOn w:val="DefaultParagraphFont"/>
    <w:link w:val="BalloonText"/>
    <w:uiPriority w:val="99"/>
    <w:semiHidden/>
    <w:rsid w:val="003D32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7464">
      <w:bodyDiv w:val="1"/>
      <w:marLeft w:val="0"/>
      <w:marRight w:val="0"/>
      <w:marTop w:val="0"/>
      <w:marBottom w:val="0"/>
      <w:divBdr>
        <w:top w:val="none" w:sz="0" w:space="0" w:color="auto"/>
        <w:left w:val="none" w:sz="0" w:space="0" w:color="auto"/>
        <w:bottom w:val="none" w:sz="0" w:space="0" w:color="auto"/>
        <w:right w:val="none" w:sz="0" w:space="0" w:color="auto"/>
      </w:divBdr>
    </w:div>
    <w:div w:id="1154368187">
      <w:bodyDiv w:val="1"/>
      <w:marLeft w:val="0"/>
      <w:marRight w:val="0"/>
      <w:marTop w:val="0"/>
      <w:marBottom w:val="0"/>
      <w:divBdr>
        <w:top w:val="none" w:sz="0" w:space="0" w:color="auto"/>
        <w:left w:val="none" w:sz="0" w:space="0" w:color="auto"/>
        <w:bottom w:val="none" w:sz="0" w:space="0" w:color="auto"/>
        <w:right w:val="none" w:sz="0" w:space="0" w:color="auto"/>
      </w:divBdr>
    </w:div>
    <w:div w:id="1318655065">
      <w:bodyDiv w:val="1"/>
      <w:marLeft w:val="0"/>
      <w:marRight w:val="0"/>
      <w:marTop w:val="0"/>
      <w:marBottom w:val="0"/>
      <w:divBdr>
        <w:top w:val="none" w:sz="0" w:space="0" w:color="auto"/>
        <w:left w:val="none" w:sz="0" w:space="0" w:color="auto"/>
        <w:bottom w:val="none" w:sz="0" w:space="0" w:color="auto"/>
        <w:right w:val="none" w:sz="0" w:space="0" w:color="auto"/>
      </w:divBdr>
    </w:div>
    <w:div w:id="1661536835">
      <w:bodyDiv w:val="1"/>
      <w:marLeft w:val="0"/>
      <w:marRight w:val="0"/>
      <w:marTop w:val="0"/>
      <w:marBottom w:val="0"/>
      <w:divBdr>
        <w:top w:val="none" w:sz="0" w:space="0" w:color="auto"/>
        <w:left w:val="none" w:sz="0" w:space="0" w:color="auto"/>
        <w:bottom w:val="none" w:sz="0" w:space="0" w:color="auto"/>
        <w:right w:val="none" w:sz="0" w:space="0" w:color="auto"/>
      </w:divBdr>
    </w:div>
    <w:div w:id="17895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CBEC-3031-47D0-99FA-99F3AFD6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11</cp:revision>
  <cp:lastPrinted>2017-07-14T17:32:00Z</cp:lastPrinted>
  <dcterms:created xsi:type="dcterms:W3CDTF">2017-07-14T17:26:00Z</dcterms:created>
  <dcterms:modified xsi:type="dcterms:W3CDTF">2017-07-14T18:11:00Z</dcterms:modified>
</cp:coreProperties>
</file>