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296823">
      <w:pPr>
        <w:tabs>
          <w:tab w:val="left" w:pos="360"/>
        </w:tabs>
        <w:spacing w:line="233" w:lineRule="auto"/>
        <w:jc w:val="both"/>
        <w:rPr>
          <w:b/>
          <w:sz w:val="24"/>
        </w:rPr>
      </w:pPr>
      <w:r>
        <w:rPr>
          <w:sz w:val="24"/>
        </w:rPr>
        <w:t xml:space="preserve">Barbara </w:t>
      </w:r>
      <w:proofErr w:type="spellStart"/>
      <w:r>
        <w:rPr>
          <w:sz w:val="24"/>
        </w:rPr>
        <w:t>Pflugh</w:t>
      </w:r>
      <w:proofErr w:type="spellEnd"/>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296823">
        <w:rPr>
          <w:sz w:val="24"/>
        </w:rPr>
        <w:t>F</w:t>
      </w:r>
      <w:r w:rsidR="00984705">
        <w:rPr>
          <w:sz w:val="24"/>
        </w:rPr>
        <w:t>-</w:t>
      </w:r>
      <w:r w:rsidR="002F41A2">
        <w:rPr>
          <w:sz w:val="24"/>
        </w:rPr>
        <w:t>20</w:t>
      </w:r>
      <w:r w:rsidR="00886BD8">
        <w:rPr>
          <w:sz w:val="24"/>
        </w:rPr>
        <w:t>1</w:t>
      </w:r>
      <w:r w:rsidR="00296823">
        <w:rPr>
          <w:sz w:val="24"/>
        </w:rPr>
        <w:t>7</w:t>
      </w:r>
      <w:r w:rsidR="001D38B8">
        <w:rPr>
          <w:sz w:val="24"/>
        </w:rPr>
        <w:t>-2</w:t>
      </w:r>
      <w:r w:rsidR="00296823">
        <w:rPr>
          <w:sz w:val="24"/>
        </w:rPr>
        <w:t>601563</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296823">
        <w:rPr>
          <w:sz w:val="24"/>
        </w:rPr>
        <w:t xml:space="preserve"> Company</w:t>
      </w:r>
      <w:r w:rsidR="00296823">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296823">
        <w:rPr>
          <w:sz w:val="24"/>
        </w:rPr>
        <w:t>Tuesday</w:t>
      </w:r>
      <w:r w:rsidR="002273B2">
        <w:rPr>
          <w:sz w:val="24"/>
        </w:rPr>
        <w:t>,</w:t>
      </w:r>
      <w:r>
        <w:rPr>
          <w:sz w:val="24"/>
        </w:rPr>
        <w:t xml:space="preserve"> </w:t>
      </w:r>
      <w:r w:rsidR="00296823">
        <w:rPr>
          <w:sz w:val="24"/>
        </w:rPr>
        <w:t>August 22</w:t>
      </w:r>
      <w:r>
        <w:rPr>
          <w:sz w:val="24"/>
        </w:rPr>
        <w:t>, 20</w:t>
      </w:r>
      <w:r w:rsidR="00A13234">
        <w:rPr>
          <w:sz w:val="24"/>
        </w:rPr>
        <w:t>1</w:t>
      </w:r>
      <w:r w:rsidR="00296823">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296823" w:rsidRPr="00296823">
        <w:rPr>
          <w:sz w:val="24"/>
          <w:u w:val="single"/>
        </w:rPr>
        <w:t>July 17, 2017</w:t>
      </w:r>
      <w:r>
        <w:rPr>
          <w:sz w:val="24"/>
        </w:rPr>
        <w:tab/>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A73586" w:rsidRDefault="00A73586">
      <w:pPr>
        <w:rPr>
          <w:sz w:val="24"/>
        </w:rPr>
      </w:pPr>
      <w:r>
        <w:rPr>
          <w:sz w:val="24"/>
        </w:rPr>
        <w:br w:type="page"/>
      </w:r>
    </w:p>
    <w:p w:rsidR="003B76DD" w:rsidRDefault="003B76DD" w:rsidP="00A73586">
      <w:pPr>
        <w:tabs>
          <w:tab w:val="left" w:pos="2160"/>
          <w:tab w:val="left" w:pos="4680"/>
        </w:tabs>
        <w:jc w:val="both"/>
        <w:rPr>
          <w:rFonts w:ascii="Microsoft Sans Serif" w:hAnsi="Microsoft Sans Serif" w:cs="Microsoft Sans Serif"/>
          <w:sz w:val="24"/>
          <w:szCs w:val="24"/>
          <w:u w:val="single"/>
        </w:rPr>
        <w:sectPr w:rsidR="003B76DD" w:rsidSect="00F3373C">
          <w:footerReference w:type="even" r:id="rId8"/>
          <w:footerReference w:type="default" r:id="rId9"/>
          <w:pgSz w:w="12240" w:h="15840"/>
          <w:pgMar w:top="1440" w:right="1440" w:bottom="1440" w:left="1440" w:header="720" w:footer="720" w:gutter="0"/>
          <w:cols w:space="720"/>
          <w:titlePg/>
        </w:sectPr>
      </w:pPr>
    </w:p>
    <w:p w:rsidR="00A73586" w:rsidRPr="00A73586" w:rsidRDefault="00A73586" w:rsidP="00A73586">
      <w:pPr>
        <w:tabs>
          <w:tab w:val="left" w:pos="2160"/>
          <w:tab w:val="left" w:pos="4680"/>
        </w:tabs>
        <w:jc w:val="both"/>
        <w:rPr>
          <w:rFonts w:ascii="Microsoft Sans Serif" w:hAnsi="Microsoft Sans Serif" w:cs="Microsoft Sans Serif"/>
          <w:caps/>
          <w:sz w:val="24"/>
          <w:szCs w:val="24"/>
          <w:u w:val="single"/>
        </w:rPr>
      </w:pPr>
      <w:r w:rsidRPr="00A73586">
        <w:rPr>
          <w:rFonts w:ascii="Microsoft Sans Serif" w:hAnsi="Microsoft Sans Serif" w:cs="Microsoft Sans Serif"/>
          <w:sz w:val="24"/>
          <w:szCs w:val="24"/>
          <w:u w:val="single"/>
        </w:rPr>
        <w:lastRenderedPageBreak/>
        <w:t xml:space="preserve">F-2017-2601563 – </w:t>
      </w:r>
      <w:r w:rsidRPr="00A73586">
        <w:rPr>
          <w:rFonts w:ascii="Microsoft Sans Serif" w:hAnsi="Microsoft Sans Serif" w:cs="Microsoft Sans Serif"/>
          <w:caps/>
          <w:sz w:val="24"/>
          <w:szCs w:val="24"/>
          <w:u w:val="single"/>
        </w:rPr>
        <w:t xml:space="preserve">BARBARA PFLUGH </w:t>
      </w:r>
      <w:r w:rsidRPr="00A73586">
        <w:rPr>
          <w:rFonts w:ascii="Microsoft Sans Serif" w:hAnsi="Microsoft Sans Serif" w:cs="Microsoft Sans Serif"/>
          <w:sz w:val="24"/>
          <w:szCs w:val="24"/>
          <w:u w:val="single"/>
        </w:rPr>
        <w:t xml:space="preserve">v. </w:t>
      </w:r>
      <w:r w:rsidRPr="00A73586">
        <w:rPr>
          <w:rFonts w:ascii="Microsoft Sans Serif" w:hAnsi="Microsoft Sans Serif" w:cs="Microsoft Sans Serif"/>
          <w:caps/>
          <w:sz w:val="24"/>
          <w:szCs w:val="24"/>
          <w:u w:val="single"/>
        </w:rPr>
        <w:t>DUQUESNE LIGHT COMPANY &amp; PUBLIC POWER LLC</w:t>
      </w:r>
    </w:p>
    <w:p w:rsidR="00A73586" w:rsidRPr="00A73586" w:rsidRDefault="00A73586" w:rsidP="00A73586">
      <w:pPr>
        <w:tabs>
          <w:tab w:val="left" w:pos="2160"/>
          <w:tab w:val="left" w:pos="4680"/>
        </w:tabs>
        <w:jc w:val="both"/>
        <w:rPr>
          <w:rFonts w:ascii="Microsoft Sans Serif" w:hAnsi="Microsoft Sans Serif" w:cs="Microsoft Sans Serif"/>
          <w:sz w:val="24"/>
          <w:szCs w:val="24"/>
        </w:rPr>
      </w:pPr>
    </w:p>
    <w:p w:rsidR="00A73586" w:rsidRPr="006D151E" w:rsidRDefault="006D151E" w:rsidP="00A73586">
      <w:pPr>
        <w:tabs>
          <w:tab w:val="left" w:pos="1440"/>
          <w:tab w:val="left" w:pos="2160"/>
          <w:tab w:val="left" w:pos="2880"/>
        </w:tabs>
        <w:jc w:val="both"/>
        <w:outlineLvl w:val="0"/>
        <w:rPr>
          <w:rFonts w:ascii="Microsoft Sans Serif" w:hAnsi="Microsoft Sans Serif" w:cs="Microsoft Sans Serif"/>
          <w:i/>
          <w:sz w:val="24"/>
          <w:szCs w:val="24"/>
        </w:rPr>
      </w:pPr>
      <w:r>
        <w:rPr>
          <w:rFonts w:ascii="Microsoft Sans Serif" w:hAnsi="Microsoft Sans Serif" w:cs="Microsoft Sans Serif"/>
          <w:i/>
          <w:sz w:val="24"/>
          <w:szCs w:val="24"/>
        </w:rPr>
        <w:t>(Revised 7/17/17)</w:t>
      </w:r>
      <w:bookmarkStart w:id="0" w:name="_GoBack"/>
      <w:bookmarkEnd w:id="0"/>
    </w:p>
    <w:p w:rsidR="006D151E" w:rsidRPr="00A73586" w:rsidRDefault="006D151E" w:rsidP="00A73586">
      <w:pPr>
        <w:tabs>
          <w:tab w:val="left" w:pos="1440"/>
          <w:tab w:val="left" w:pos="2160"/>
          <w:tab w:val="left" w:pos="2880"/>
        </w:tabs>
        <w:jc w:val="both"/>
        <w:outlineLvl w:val="0"/>
        <w:rPr>
          <w:rFonts w:ascii="Microsoft Sans Serif" w:hAnsi="Microsoft Sans Serif" w:cs="Microsoft Sans Serif"/>
          <w:sz w:val="24"/>
          <w:szCs w:val="24"/>
        </w:rPr>
      </w:pPr>
    </w:p>
    <w:p w:rsidR="00A73586" w:rsidRPr="00A73586" w:rsidRDefault="00A73586" w:rsidP="00A73586">
      <w:pPr>
        <w:tabs>
          <w:tab w:val="left" w:pos="1440"/>
          <w:tab w:val="left" w:pos="2160"/>
          <w:tab w:val="left" w:pos="2880"/>
        </w:tabs>
        <w:jc w:val="both"/>
        <w:outlineLvl w:val="0"/>
        <w:rPr>
          <w:rFonts w:ascii="Microsoft Sans Serif" w:hAnsi="Microsoft Sans Serif" w:cs="Microsoft Sans Serif"/>
          <w:sz w:val="24"/>
          <w:szCs w:val="24"/>
        </w:rPr>
      </w:pPr>
      <w:r w:rsidRPr="00A73586">
        <w:rPr>
          <w:rFonts w:ascii="Microsoft Sans Serif" w:hAnsi="Microsoft Sans Serif" w:cs="Microsoft Sans Serif"/>
          <w:sz w:val="24"/>
          <w:szCs w:val="24"/>
        </w:rPr>
        <w:t>BARBARA PFLUGH</w:t>
      </w:r>
    </w:p>
    <w:p w:rsidR="00A73586" w:rsidRPr="00A73586" w:rsidRDefault="00A73586" w:rsidP="00A73586">
      <w:pPr>
        <w:tabs>
          <w:tab w:val="left" w:pos="1440"/>
          <w:tab w:val="left" w:pos="2160"/>
          <w:tab w:val="left" w:pos="2880"/>
        </w:tabs>
        <w:jc w:val="both"/>
        <w:outlineLvl w:val="0"/>
        <w:rPr>
          <w:rFonts w:ascii="Microsoft Sans Serif" w:hAnsi="Microsoft Sans Serif" w:cs="Microsoft Sans Serif"/>
          <w:sz w:val="24"/>
          <w:szCs w:val="24"/>
        </w:rPr>
      </w:pPr>
      <w:r w:rsidRPr="00A73586">
        <w:rPr>
          <w:rFonts w:ascii="Microsoft Sans Serif" w:hAnsi="Microsoft Sans Serif" w:cs="Microsoft Sans Serif"/>
          <w:sz w:val="24"/>
          <w:szCs w:val="24"/>
        </w:rPr>
        <w:t>2160 GREENTREE ROAD 607W</w:t>
      </w:r>
    </w:p>
    <w:p w:rsidR="00A73586" w:rsidRPr="00A73586" w:rsidRDefault="00A73586" w:rsidP="00A73586">
      <w:pPr>
        <w:tabs>
          <w:tab w:val="left" w:pos="1440"/>
          <w:tab w:val="left" w:pos="2160"/>
          <w:tab w:val="left" w:pos="2880"/>
        </w:tabs>
        <w:jc w:val="both"/>
        <w:outlineLvl w:val="0"/>
        <w:rPr>
          <w:rFonts w:ascii="Microsoft Sans Serif" w:hAnsi="Microsoft Sans Serif" w:cs="Microsoft Sans Serif"/>
          <w:sz w:val="24"/>
          <w:szCs w:val="24"/>
        </w:rPr>
      </w:pPr>
      <w:r w:rsidRPr="00A73586">
        <w:rPr>
          <w:rFonts w:ascii="Microsoft Sans Serif" w:hAnsi="Microsoft Sans Serif" w:cs="Microsoft Sans Serif"/>
          <w:sz w:val="24"/>
          <w:szCs w:val="24"/>
        </w:rPr>
        <w:t>PITTSBURGH PA  15220</w:t>
      </w:r>
    </w:p>
    <w:p w:rsidR="00A73586" w:rsidRPr="00A73586" w:rsidRDefault="00A73586" w:rsidP="00A73586">
      <w:pPr>
        <w:tabs>
          <w:tab w:val="left" w:pos="1440"/>
          <w:tab w:val="left" w:pos="2160"/>
          <w:tab w:val="left" w:pos="2880"/>
        </w:tabs>
        <w:jc w:val="both"/>
        <w:outlineLvl w:val="0"/>
        <w:rPr>
          <w:rFonts w:ascii="Microsoft Sans Serif" w:hAnsi="Microsoft Sans Serif" w:cs="Microsoft Sans Serif"/>
          <w:b/>
          <w:sz w:val="24"/>
          <w:szCs w:val="24"/>
        </w:rPr>
      </w:pPr>
      <w:r w:rsidRPr="00A73586">
        <w:rPr>
          <w:rFonts w:ascii="Microsoft Sans Serif" w:hAnsi="Microsoft Sans Serif" w:cs="Microsoft Sans Serif"/>
          <w:b/>
          <w:sz w:val="24"/>
          <w:szCs w:val="24"/>
        </w:rPr>
        <w:t>412.279.4211</w:t>
      </w:r>
    </w:p>
    <w:p w:rsidR="00A73586" w:rsidRPr="00A73586" w:rsidRDefault="00A73586" w:rsidP="00A73586">
      <w:pPr>
        <w:tabs>
          <w:tab w:val="left" w:pos="1440"/>
          <w:tab w:val="left" w:pos="2160"/>
          <w:tab w:val="left" w:pos="2880"/>
        </w:tabs>
        <w:jc w:val="both"/>
        <w:outlineLvl w:val="0"/>
        <w:rPr>
          <w:rFonts w:ascii="Microsoft Sans Serif" w:hAnsi="Microsoft Sans Serif" w:cs="Microsoft Sans Serif"/>
          <w:sz w:val="24"/>
          <w:szCs w:val="24"/>
        </w:rPr>
      </w:pPr>
    </w:p>
    <w:p w:rsidR="00A73586" w:rsidRPr="00A73586" w:rsidRDefault="00A73586" w:rsidP="00A73586">
      <w:pPr>
        <w:tabs>
          <w:tab w:val="left" w:pos="1440"/>
          <w:tab w:val="left" w:pos="2160"/>
          <w:tab w:val="left" w:pos="2880"/>
        </w:tabs>
        <w:jc w:val="both"/>
        <w:outlineLvl w:val="0"/>
        <w:rPr>
          <w:rFonts w:ascii="Microsoft Sans Serif" w:hAnsi="Microsoft Sans Serif" w:cs="Microsoft Sans Serif"/>
          <w:sz w:val="24"/>
          <w:szCs w:val="24"/>
        </w:rPr>
      </w:pPr>
      <w:r w:rsidRPr="00A73586">
        <w:rPr>
          <w:rFonts w:ascii="Microsoft Sans Serif" w:hAnsi="Microsoft Sans Serif" w:cs="Microsoft Sans Serif"/>
          <w:sz w:val="24"/>
          <w:szCs w:val="24"/>
        </w:rPr>
        <w:t>LAUREN N RULLI ESQUIRE</w:t>
      </w:r>
    </w:p>
    <w:p w:rsidR="00A73586" w:rsidRPr="00A73586" w:rsidRDefault="00A73586" w:rsidP="00A73586">
      <w:pPr>
        <w:tabs>
          <w:tab w:val="left" w:pos="1440"/>
          <w:tab w:val="left" w:pos="2160"/>
          <w:tab w:val="left" w:pos="2880"/>
        </w:tabs>
        <w:jc w:val="both"/>
        <w:outlineLvl w:val="0"/>
        <w:rPr>
          <w:rFonts w:ascii="Microsoft Sans Serif" w:hAnsi="Microsoft Sans Serif" w:cs="Microsoft Sans Serif"/>
          <w:sz w:val="24"/>
          <w:szCs w:val="24"/>
        </w:rPr>
      </w:pPr>
      <w:r w:rsidRPr="00A73586">
        <w:rPr>
          <w:rFonts w:ascii="Microsoft Sans Serif" w:hAnsi="Microsoft Sans Serif" w:cs="Microsoft Sans Serif"/>
          <w:sz w:val="24"/>
          <w:szCs w:val="24"/>
        </w:rPr>
        <w:t>TUCKER ARENSBERG ATTORNEYS</w:t>
      </w:r>
    </w:p>
    <w:p w:rsidR="00A73586" w:rsidRPr="00A73586" w:rsidRDefault="00A73586" w:rsidP="00A73586">
      <w:pPr>
        <w:tabs>
          <w:tab w:val="left" w:pos="1440"/>
          <w:tab w:val="left" w:pos="2160"/>
          <w:tab w:val="left" w:pos="2880"/>
        </w:tabs>
        <w:jc w:val="both"/>
        <w:outlineLvl w:val="0"/>
        <w:rPr>
          <w:rFonts w:ascii="Microsoft Sans Serif" w:hAnsi="Microsoft Sans Serif" w:cs="Microsoft Sans Serif"/>
          <w:sz w:val="24"/>
          <w:szCs w:val="24"/>
        </w:rPr>
      </w:pPr>
      <w:r w:rsidRPr="00A73586">
        <w:rPr>
          <w:rFonts w:ascii="Microsoft Sans Serif" w:hAnsi="Microsoft Sans Serif" w:cs="Microsoft Sans Serif"/>
          <w:sz w:val="24"/>
          <w:szCs w:val="24"/>
        </w:rPr>
        <w:t>1500 ONE PPG PLACE</w:t>
      </w:r>
    </w:p>
    <w:p w:rsidR="00A73586" w:rsidRPr="00A73586" w:rsidRDefault="00A73586" w:rsidP="00A73586">
      <w:pPr>
        <w:tabs>
          <w:tab w:val="left" w:pos="1440"/>
          <w:tab w:val="left" w:pos="2160"/>
          <w:tab w:val="left" w:pos="2880"/>
        </w:tabs>
        <w:jc w:val="both"/>
        <w:outlineLvl w:val="0"/>
        <w:rPr>
          <w:rFonts w:ascii="Microsoft Sans Serif" w:hAnsi="Microsoft Sans Serif" w:cs="Microsoft Sans Serif"/>
          <w:sz w:val="24"/>
          <w:szCs w:val="24"/>
        </w:rPr>
      </w:pPr>
      <w:r w:rsidRPr="00A73586">
        <w:rPr>
          <w:rFonts w:ascii="Microsoft Sans Serif" w:hAnsi="Microsoft Sans Serif" w:cs="Microsoft Sans Serif"/>
          <w:sz w:val="24"/>
          <w:szCs w:val="24"/>
        </w:rPr>
        <w:t>PITTSBURGH PA  15222</w:t>
      </w:r>
    </w:p>
    <w:p w:rsidR="00A73586" w:rsidRPr="00A73586" w:rsidRDefault="00A73586" w:rsidP="00A73586">
      <w:pPr>
        <w:tabs>
          <w:tab w:val="left" w:pos="1440"/>
          <w:tab w:val="left" w:pos="2160"/>
          <w:tab w:val="left" w:pos="2880"/>
        </w:tabs>
        <w:jc w:val="both"/>
        <w:outlineLvl w:val="0"/>
        <w:rPr>
          <w:rFonts w:ascii="Microsoft Sans Serif" w:hAnsi="Microsoft Sans Serif" w:cs="Microsoft Sans Serif"/>
          <w:b/>
          <w:sz w:val="24"/>
          <w:szCs w:val="24"/>
        </w:rPr>
      </w:pPr>
      <w:r w:rsidRPr="00A73586">
        <w:rPr>
          <w:rFonts w:ascii="Microsoft Sans Serif" w:hAnsi="Microsoft Sans Serif" w:cs="Microsoft Sans Serif"/>
          <w:b/>
          <w:sz w:val="24"/>
          <w:szCs w:val="24"/>
        </w:rPr>
        <w:t>412.566.1212</w:t>
      </w:r>
    </w:p>
    <w:p w:rsidR="00A73586" w:rsidRPr="00A73586" w:rsidRDefault="00A73586" w:rsidP="00A73586">
      <w:pPr>
        <w:tabs>
          <w:tab w:val="left" w:pos="1440"/>
          <w:tab w:val="left" w:pos="2160"/>
          <w:tab w:val="left" w:pos="2880"/>
        </w:tabs>
        <w:jc w:val="both"/>
        <w:outlineLvl w:val="0"/>
        <w:rPr>
          <w:rFonts w:ascii="Microsoft Sans Serif" w:hAnsi="Microsoft Sans Serif" w:cs="Microsoft Sans Serif"/>
          <w:b/>
          <w:i/>
          <w:sz w:val="24"/>
          <w:szCs w:val="24"/>
        </w:rPr>
      </w:pPr>
      <w:r w:rsidRPr="00A73586">
        <w:rPr>
          <w:rFonts w:ascii="Microsoft Sans Serif" w:hAnsi="Microsoft Sans Serif" w:cs="Microsoft Sans Serif"/>
          <w:b/>
          <w:i/>
          <w:sz w:val="24"/>
          <w:szCs w:val="24"/>
        </w:rPr>
        <w:t>Accepts Eservice</w:t>
      </w:r>
    </w:p>
    <w:p w:rsidR="00A73586" w:rsidRPr="00A73586" w:rsidRDefault="00A73586" w:rsidP="00A73586">
      <w:pPr>
        <w:tabs>
          <w:tab w:val="left" w:pos="1440"/>
          <w:tab w:val="left" w:pos="2160"/>
          <w:tab w:val="left" w:pos="2880"/>
        </w:tabs>
        <w:jc w:val="both"/>
        <w:outlineLvl w:val="0"/>
        <w:rPr>
          <w:rFonts w:ascii="Microsoft Sans Serif" w:hAnsi="Microsoft Sans Serif" w:cs="Microsoft Sans Serif"/>
          <w:b/>
          <w:sz w:val="24"/>
          <w:szCs w:val="24"/>
        </w:rPr>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C5F" w:rsidRDefault="00EE5C5F">
      <w:r>
        <w:separator/>
      </w:r>
    </w:p>
  </w:endnote>
  <w:endnote w:type="continuationSeparator" w:id="0">
    <w:p w:rsidR="00EE5C5F" w:rsidRDefault="00EE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151E">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C5F" w:rsidRDefault="00EE5C5F">
      <w:r>
        <w:separator/>
      </w:r>
    </w:p>
  </w:footnote>
  <w:footnote w:type="continuationSeparator" w:id="0">
    <w:p w:rsidR="00EE5C5F" w:rsidRDefault="00EE5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E7447"/>
    <w:rsid w:val="000F1967"/>
    <w:rsid w:val="0010441E"/>
    <w:rsid w:val="0010572B"/>
    <w:rsid w:val="00116F8A"/>
    <w:rsid w:val="00143936"/>
    <w:rsid w:val="001865AD"/>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6823"/>
    <w:rsid w:val="002971BD"/>
    <w:rsid w:val="002A13BB"/>
    <w:rsid w:val="002A57B0"/>
    <w:rsid w:val="002C4E2F"/>
    <w:rsid w:val="002C5F54"/>
    <w:rsid w:val="002F41A2"/>
    <w:rsid w:val="0032587F"/>
    <w:rsid w:val="00350C29"/>
    <w:rsid w:val="00357400"/>
    <w:rsid w:val="00361600"/>
    <w:rsid w:val="00371555"/>
    <w:rsid w:val="00387932"/>
    <w:rsid w:val="003A08F3"/>
    <w:rsid w:val="003B3FBC"/>
    <w:rsid w:val="003B76DD"/>
    <w:rsid w:val="003B7B1D"/>
    <w:rsid w:val="003D0B0B"/>
    <w:rsid w:val="003E4E24"/>
    <w:rsid w:val="00412780"/>
    <w:rsid w:val="00461C22"/>
    <w:rsid w:val="004856BA"/>
    <w:rsid w:val="00491AA6"/>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55D"/>
    <w:rsid w:val="006A14B5"/>
    <w:rsid w:val="006A15DE"/>
    <w:rsid w:val="006D151E"/>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620F"/>
    <w:rsid w:val="00997F90"/>
    <w:rsid w:val="009D6EC6"/>
    <w:rsid w:val="009E5BD3"/>
    <w:rsid w:val="00A01F2B"/>
    <w:rsid w:val="00A0342E"/>
    <w:rsid w:val="00A13234"/>
    <w:rsid w:val="00A22ECD"/>
    <w:rsid w:val="00A615FF"/>
    <w:rsid w:val="00A73586"/>
    <w:rsid w:val="00AE0239"/>
    <w:rsid w:val="00B02B8A"/>
    <w:rsid w:val="00B11903"/>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E5C5F"/>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7</cp:revision>
  <cp:lastPrinted>2011-10-24T18:07:00Z</cp:lastPrinted>
  <dcterms:created xsi:type="dcterms:W3CDTF">2017-07-17T16:32:00Z</dcterms:created>
  <dcterms:modified xsi:type="dcterms:W3CDTF">2017-07-17T17:27:00Z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