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277" w:rsidRDefault="001C4277" w:rsidP="001C4277">
      <w:pPr>
        <w:pStyle w:val="Title"/>
        <w:tabs>
          <w:tab w:val="clear" w:pos="360"/>
          <w:tab w:val="left" w:pos="0"/>
        </w:tabs>
      </w:pPr>
      <w:r>
        <w:t>BEFORE THE</w:t>
      </w:r>
    </w:p>
    <w:p w:rsidR="001C4277" w:rsidRDefault="001C4277" w:rsidP="001C4277">
      <w:pPr>
        <w:tabs>
          <w:tab w:val="left" w:pos="0"/>
        </w:tabs>
        <w:spacing w:line="233"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1C4277" w:rsidRDefault="001C4277" w:rsidP="001C4277">
      <w:pPr>
        <w:tabs>
          <w:tab w:val="left" w:pos="0"/>
        </w:tabs>
        <w:spacing w:line="233" w:lineRule="auto"/>
        <w:jc w:val="both"/>
        <w:rPr>
          <w:b/>
        </w:rPr>
      </w:pPr>
    </w:p>
    <w:p w:rsidR="001C4277" w:rsidRDefault="001C4277" w:rsidP="001C4277">
      <w:pPr>
        <w:tabs>
          <w:tab w:val="left" w:pos="0"/>
        </w:tabs>
        <w:spacing w:line="233" w:lineRule="auto"/>
        <w:jc w:val="both"/>
        <w:rPr>
          <w:b/>
        </w:rPr>
      </w:pPr>
    </w:p>
    <w:p w:rsidR="001C4277" w:rsidRDefault="001C4277" w:rsidP="001C4277">
      <w:pPr>
        <w:tabs>
          <w:tab w:val="left" w:pos="0"/>
        </w:tabs>
        <w:spacing w:line="233" w:lineRule="auto"/>
        <w:jc w:val="both"/>
        <w:rPr>
          <w:b/>
        </w:rPr>
      </w:pPr>
    </w:p>
    <w:p w:rsidR="001C4277" w:rsidRDefault="001C4277" w:rsidP="001C4277">
      <w:pPr>
        <w:tabs>
          <w:tab w:val="left" w:pos="0"/>
        </w:tabs>
        <w:spacing w:line="233" w:lineRule="auto"/>
        <w:jc w:val="both"/>
        <w:rPr>
          <w:b/>
        </w:rPr>
      </w:pPr>
      <w:r w:rsidRPr="00486FAC">
        <w:t>Ruth Shanks</w:t>
      </w:r>
      <w:r>
        <w:tab/>
      </w:r>
      <w:r>
        <w:tab/>
      </w:r>
      <w:r>
        <w:tab/>
      </w:r>
      <w:r>
        <w:tab/>
      </w:r>
      <w:r>
        <w:tab/>
      </w:r>
      <w:r>
        <w:tab/>
      </w:r>
      <w:r w:rsidRPr="00560DC5">
        <w:t>:</w:t>
      </w:r>
    </w:p>
    <w:p w:rsidR="001C4277" w:rsidRPr="00560DC5" w:rsidRDefault="001C4277" w:rsidP="001C4277">
      <w:pPr>
        <w:tabs>
          <w:tab w:val="left" w:pos="0"/>
        </w:tabs>
        <w:spacing w:line="233" w:lineRule="auto"/>
        <w:jc w:val="both"/>
      </w:pPr>
      <w:r>
        <w:rPr>
          <w:b/>
        </w:rPr>
        <w:tab/>
      </w:r>
      <w:r>
        <w:rPr>
          <w:b/>
        </w:rPr>
        <w:tab/>
      </w:r>
      <w:r>
        <w:rPr>
          <w:b/>
        </w:rPr>
        <w:tab/>
      </w:r>
      <w:r>
        <w:rPr>
          <w:b/>
        </w:rPr>
        <w:tab/>
      </w:r>
      <w:r>
        <w:rPr>
          <w:b/>
        </w:rPr>
        <w:tab/>
      </w:r>
      <w:r>
        <w:rPr>
          <w:b/>
        </w:rPr>
        <w:tab/>
      </w:r>
      <w:r w:rsidRPr="00560DC5">
        <w:t>:</w:t>
      </w:r>
    </w:p>
    <w:p w:rsidR="001C4277" w:rsidRPr="003B279A" w:rsidRDefault="00F47A01" w:rsidP="00F47A01">
      <w:pPr>
        <w:tabs>
          <w:tab w:val="clear" w:pos="1440"/>
        </w:tabs>
        <w:spacing w:line="233" w:lineRule="auto"/>
        <w:jc w:val="both"/>
      </w:pPr>
      <w:r>
        <w:tab/>
      </w:r>
      <w:r w:rsidR="001C4277">
        <w:t>v.</w:t>
      </w:r>
      <w:r w:rsidR="001C4277">
        <w:tab/>
      </w:r>
      <w:r w:rsidR="001C4277">
        <w:tab/>
      </w:r>
      <w:r w:rsidR="001C4277">
        <w:tab/>
      </w:r>
      <w:r w:rsidR="001C4277">
        <w:tab/>
      </w:r>
      <w:r>
        <w:tab/>
      </w:r>
      <w:r w:rsidR="001C4277">
        <w:tab/>
      </w:r>
      <w:r w:rsidR="001C4277" w:rsidRPr="00560DC5">
        <w:t>:</w:t>
      </w:r>
      <w:r w:rsidR="001C4277">
        <w:rPr>
          <w:b/>
        </w:rPr>
        <w:tab/>
      </w:r>
      <w:r w:rsidR="001C4277">
        <w:rPr>
          <w:b/>
        </w:rPr>
        <w:tab/>
      </w:r>
      <w:r w:rsidR="001C4277" w:rsidRPr="00486FAC">
        <w:t>F-2017-2599039</w:t>
      </w:r>
    </w:p>
    <w:p w:rsidR="001C4277" w:rsidRPr="00560DC5" w:rsidRDefault="001C4277" w:rsidP="001C4277">
      <w:pPr>
        <w:tabs>
          <w:tab w:val="left" w:pos="0"/>
        </w:tabs>
        <w:spacing w:line="233" w:lineRule="auto"/>
        <w:jc w:val="both"/>
      </w:pPr>
      <w:r>
        <w:tab/>
      </w:r>
      <w:r>
        <w:tab/>
      </w:r>
      <w:r>
        <w:tab/>
      </w:r>
      <w:r>
        <w:tab/>
      </w:r>
      <w:r>
        <w:tab/>
      </w:r>
      <w:r>
        <w:tab/>
      </w:r>
      <w:r w:rsidRPr="00560DC5">
        <w:t>:</w:t>
      </w:r>
    </w:p>
    <w:p w:rsidR="001C4277" w:rsidRDefault="001C4277" w:rsidP="001C4277">
      <w:pPr>
        <w:tabs>
          <w:tab w:val="left" w:pos="0"/>
        </w:tabs>
        <w:spacing w:line="233" w:lineRule="auto"/>
        <w:jc w:val="both"/>
      </w:pPr>
      <w:r w:rsidRPr="00486FAC">
        <w:t xml:space="preserve">PECO Energy Company </w:t>
      </w:r>
      <w:r>
        <w:t>and</w:t>
      </w:r>
      <w:r w:rsidRPr="00486FAC">
        <w:t xml:space="preserve"> </w:t>
      </w:r>
      <w:r>
        <w:tab/>
      </w:r>
      <w:r>
        <w:tab/>
      </w:r>
      <w:r>
        <w:tab/>
      </w:r>
      <w:r>
        <w:tab/>
        <w:t>:</w:t>
      </w:r>
    </w:p>
    <w:p w:rsidR="001C4277" w:rsidRDefault="001C4277" w:rsidP="001C4277">
      <w:pPr>
        <w:tabs>
          <w:tab w:val="left" w:pos="0"/>
        </w:tabs>
        <w:spacing w:line="233" w:lineRule="auto"/>
        <w:jc w:val="both"/>
      </w:pPr>
      <w:r w:rsidRPr="00486FAC">
        <w:t>Respond Power</w:t>
      </w:r>
      <w:r>
        <w:t>,</w:t>
      </w:r>
      <w:r w:rsidRPr="00486FAC">
        <w:t xml:space="preserve"> LLC</w:t>
      </w:r>
      <w:r>
        <w:tab/>
      </w:r>
      <w:r>
        <w:tab/>
      </w:r>
      <w:r>
        <w:tab/>
      </w:r>
      <w:r>
        <w:tab/>
      </w:r>
      <w:r>
        <w:tab/>
      </w:r>
      <w:r w:rsidRPr="00560DC5">
        <w:t>:</w:t>
      </w:r>
    </w:p>
    <w:p w:rsidR="001C4277" w:rsidRDefault="001C4277" w:rsidP="001C4277">
      <w:pPr>
        <w:tabs>
          <w:tab w:val="left" w:pos="0"/>
        </w:tabs>
        <w:spacing w:line="233" w:lineRule="auto"/>
        <w:jc w:val="both"/>
      </w:pPr>
      <w:r>
        <w:tab/>
      </w:r>
      <w:r>
        <w:tab/>
      </w:r>
    </w:p>
    <w:p w:rsidR="001C4277" w:rsidRDefault="001C4277" w:rsidP="001C4277">
      <w:pPr>
        <w:tabs>
          <w:tab w:val="left" w:pos="0"/>
        </w:tabs>
        <w:spacing w:line="233" w:lineRule="auto"/>
        <w:jc w:val="both"/>
        <w:rPr>
          <w:b/>
        </w:rPr>
      </w:pPr>
    </w:p>
    <w:p w:rsidR="00792796" w:rsidRDefault="00792796"/>
    <w:p w:rsidR="00C41F74" w:rsidRPr="00BF50FF" w:rsidRDefault="00C41F74" w:rsidP="00F47A01">
      <w:pPr>
        <w:spacing w:line="240" w:lineRule="auto"/>
        <w:jc w:val="center"/>
        <w:rPr>
          <w:b/>
        </w:rPr>
      </w:pPr>
      <w:r w:rsidRPr="00BF50FF">
        <w:rPr>
          <w:b/>
        </w:rPr>
        <w:t>INTERIM ORDER</w:t>
      </w:r>
    </w:p>
    <w:p w:rsidR="00C41F74" w:rsidRPr="00BF50FF" w:rsidRDefault="00C41F74" w:rsidP="00F47A01">
      <w:pPr>
        <w:spacing w:line="240" w:lineRule="auto"/>
        <w:jc w:val="center"/>
        <w:rPr>
          <w:b/>
          <w:u w:val="single"/>
        </w:rPr>
      </w:pPr>
      <w:r w:rsidRPr="00BF50FF">
        <w:rPr>
          <w:b/>
          <w:u w:val="single"/>
        </w:rPr>
        <w:t>DISMISSING PRELIMINARY OBJECTIONS</w:t>
      </w:r>
      <w:r w:rsidR="00F47A01">
        <w:rPr>
          <w:b/>
          <w:u w:val="single"/>
        </w:rPr>
        <w:t xml:space="preserve"> </w:t>
      </w:r>
    </w:p>
    <w:p w:rsidR="00C41F74" w:rsidRDefault="00C41F74" w:rsidP="00F47A01"/>
    <w:p w:rsidR="00C41F74" w:rsidRDefault="00C41F74" w:rsidP="00F47A01">
      <w:r>
        <w:tab/>
        <w:t>On April 11, 2017, McKinley and Ruth Shanks (Complainants) filed a formal complaint against PECO Energy Company and Respond Power, LLC.  The Complainants allege that they were improperly billed $463.68</w:t>
      </w:r>
      <w:r w:rsidR="00206404">
        <w:t>.  They state that they had reached a settlement with Respond Power regarding an allegation of slamming, and that the charges should have been removed from their bill.</w:t>
      </w:r>
    </w:p>
    <w:p w:rsidR="00206404" w:rsidRDefault="00206404"/>
    <w:p w:rsidR="00206404" w:rsidRDefault="00206404">
      <w:r>
        <w:tab/>
        <w:t xml:space="preserve">PECO filed an answer on April 21, 2017, </w:t>
      </w:r>
      <w:r w:rsidR="00053725">
        <w:t>which</w:t>
      </w:r>
      <w:r>
        <w:t xml:space="preserve"> denies any responsibility for any supplier charges on the Complainants’ bill.  Respond Power filed an answer on April 20, 2017, and claimed that it properly applied the settlement agreement to the Complainant’s account and that there are no improper charges on their bill.</w:t>
      </w:r>
    </w:p>
    <w:p w:rsidR="00206404" w:rsidRDefault="00206404"/>
    <w:p w:rsidR="00206404" w:rsidRDefault="00206404">
      <w:r>
        <w:tab/>
        <w:t xml:space="preserve">On May 8, 2017, Respond Power also filed preliminary objections.  The preliminary objections state that Respond Power and the Complainants executed a settlement agreement which included a courtesy refund of $2,000 to resolve any and all disputes.  Accordingly Respond Power contends that the complaint should be dismissed without a hearing on the grounds of lack of subject-matter jurisdiction, legal insufficiency of the complaint, lack of capacity to sue and the pendency of a prior proceeding which resulted in a settlement.  Attached to the preliminary objections are </w:t>
      </w:r>
      <w:r w:rsidR="009E77B6">
        <w:t xml:space="preserve">a report from the Commission’s Bureau of Consumer Services </w:t>
      </w:r>
      <w:r w:rsidR="009E77B6">
        <w:lastRenderedPageBreak/>
        <w:t>dated September 15, 2016, and</w:t>
      </w:r>
      <w:r w:rsidR="00053725">
        <w:t xml:space="preserve"> a</w:t>
      </w:r>
      <w:r w:rsidR="009E77B6">
        <w:t xml:space="preserve"> document which purports to be a “Release and Settlement Agreement” between the Complainants and an entity known as Major Energy.</w:t>
      </w:r>
    </w:p>
    <w:p w:rsidR="00BB1470" w:rsidRDefault="00BB1470"/>
    <w:p w:rsidR="00BB1470" w:rsidRDefault="00BB1470">
      <w:r>
        <w:tab/>
        <w:t>The Complainants did not file a response to the preliminary objections.</w:t>
      </w:r>
    </w:p>
    <w:p w:rsidR="00BB1470" w:rsidRDefault="00BB1470"/>
    <w:p w:rsidR="00BB1470" w:rsidRDefault="00BB1470">
      <w:r>
        <w:tab/>
        <w:t>As explained more fully below, Respond Power’s preliminary objections will be dismissed and this matter will proceed to hearing.</w:t>
      </w:r>
      <w:r w:rsidR="00BF50FF">
        <w:rPr>
          <w:rStyle w:val="FootnoteReference"/>
        </w:rPr>
        <w:footnoteReference w:id="1"/>
      </w:r>
    </w:p>
    <w:p w:rsidR="00AA4AD7" w:rsidRDefault="00AA4AD7"/>
    <w:p w:rsidR="00BF50FF" w:rsidRDefault="00BF50FF" w:rsidP="00BF50FF">
      <w:r>
        <w:tab/>
      </w:r>
      <w:r>
        <w:tab/>
        <w:t>The grounds for preliminary objection</w:t>
      </w:r>
      <w:r w:rsidR="00E80851">
        <w:t>s</w:t>
      </w:r>
      <w:r>
        <w:t xml:space="preserve"> are limited: </w:t>
      </w:r>
    </w:p>
    <w:p w:rsidR="00AA4AD7" w:rsidRDefault="00AA4AD7" w:rsidP="00BF50FF"/>
    <w:p w:rsidR="00BF50FF" w:rsidRDefault="00BF50FF" w:rsidP="00BF50FF">
      <w:pPr>
        <w:pStyle w:val="Quote"/>
        <w:spacing w:after="240" w:line="360" w:lineRule="auto"/>
        <w:ind w:firstLine="720"/>
      </w:pPr>
      <w:r>
        <w:t>§ 5.101.  Preliminary objections.</w:t>
      </w:r>
    </w:p>
    <w:p w:rsidR="00BF50FF" w:rsidRDefault="00BF50FF" w:rsidP="00BF50FF">
      <w:pPr>
        <w:pStyle w:val="Quote"/>
        <w:spacing w:after="240"/>
        <w:ind w:left="1440" w:right="1440"/>
      </w:pPr>
      <w:r>
        <w:t>(a)</w:t>
      </w:r>
      <w:r>
        <w:tab/>
        <w:t>Grounds.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BF50FF" w:rsidRDefault="00BF50FF" w:rsidP="00BF50FF">
      <w:pPr>
        <w:pStyle w:val="Quote"/>
        <w:ind w:left="1440" w:right="1440"/>
      </w:pPr>
      <w:r>
        <w:t>(1)</w:t>
      </w:r>
      <w:r>
        <w:tab/>
        <w:t>Lack of Commission jurisdiction or improper service of the pleading initiating the proceeding.</w:t>
      </w:r>
    </w:p>
    <w:p w:rsidR="00BF50FF" w:rsidRDefault="00BF50FF" w:rsidP="00BF50FF">
      <w:pPr>
        <w:pStyle w:val="Quote"/>
        <w:ind w:left="1440" w:right="1440"/>
      </w:pPr>
      <w:r>
        <w:t>(2)</w:t>
      </w:r>
      <w:r>
        <w:tab/>
        <w:t>Failure of a pleading to conform to this chapter or the inclusion of scandalous or impertinent matter.</w:t>
      </w:r>
    </w:p>
    <w:p w:rsidR="00BF50FF" w:rsidRDefault="00BF50FF" w:rsidP="00BF50FF">
      <w:pPr>
        <w:pStyle w:val="Quote"/>
        <w:ind w:left="1440" w:right="1440"/>
      </w:pPr>
      <w:r>
        <w:t>(3)</w:t>
      </w:r>
      <w:r>
        <w:tab/>
        <w:t>Insufficient specificity of a pleading.</w:t>
      </w:r>
    </w:p>
    <w:p w:rsidR="00BF50FF" w:rsidRDefault="00BF50FF" w:rsidP="00BF50FF">
      <w:pPr>
        <w:pStyle w:val="Quote"/>
        <w:ind w:left="1440" w:right="1440"/>
      </w:pPr>
      <w:r>
        <w:t>(4)</w:t>
      </w:r>
      <w:r>
        <w:tab/>
        <w:t>Legal insufficiency of a pleading.</w:t>
      </w:r>
    </w:p>
    <w:p w:rsidR="00BF50FF" w:rsidRDefault="00BF50FF" w:rsidP="00BF50FF">
      <w:pPr>
        <w:pStyle w:val="Quote"/>
        <w:ind w:left="1440" w:right="1440"/>
      </w:pPr>
      <w:r>
        <w:t>(5)</w:t>
      </w:r>
      <w:r>
        <w:tab/>
        <w:t>Lack of capacity to sue, nonjoinder of a necessary party or misjoinder of a cause of action.</w:t>
      </w:r>
    </w:p>
    <w:p w:rsidR="00BF50FF" w:rsidRDefault="00BF50FF" w:rsidP="00BF50FF">
      <w:pPr>
        <w:pStyle w:val="Quote"/>
        <w:ind w:left="1440" w:right="1440"/>
      </w:pPr>
      <w:r>
        <w:t>(6)</w:t>
      </w:r>
      <w:r>
        <w:tab/>
        <w:t>Pendency of a prior proceeding or agreement for alternative dispute resolution.</w:t>
      </w:r>
    </w:p>
    <w:p w:rsidR="00BF50FF" w:rsidRDefault="00BF50FF" w:rsidP="00BF50FF">
      <w:r>
        <w:tab/>
        <w:t xml:space="preserve">(7) </w:t>
      </w:r>
      <w:r>
        <w:tab/>
        <w:t>Standing of a party to participate in the proceeding.</w:t>
      </w:r>
    </w:p>
    <w:p w:rsidR="00BF50FF" w:rsidRDefault="00BF50FF" w:rsidP="00BF50FF"/>
    <w:p w:rsidR="00BF50FF" w:rsidRDefault="00660F03" w:rsidP="00660F03">
      <w:r>
        <w:tab/>
      </w:r>
      <w:r w:rsidR="00BF50FF">
        <w:t>Preliminary objection practice before the Commission is similar to Pennsylvania civil practice respecting preliminary objections.</w:t>
      </w:r>
      <w:r w:rsidR="00BF50FF">
        <w:rPr>
          <w:rStyle w:val="FootnoteReference"/>
        </w:rPr>
        <w:footnoteReference w:id="2"/>
      </w:r>
      <w:r w:rsidR="00BF50FF">
        <w:t xml:space="preserve">  In deciding the preliminary objections, the </w:t>
      </w:r>
      <w:r w:rsidR="00BF50FF">
        <w:lastRenderedPageBreak/>
        <w:t>Commission must determine whether, based on well-pleaded factual averments of the petitioners, recovery or relief is possible.</w:t>
      </w:r>
      <w:r w:rsidR="00BF50FF">
        <w:rPr>
          <w:rStyle w:val="FootnoteReference"/>
        </w:rPr>
        <w:footnoteReference w:id="3"/>
      </w:r>
      <w:r w:rsidR="00BF50FF">
        <w:t xml:space="preserve">  Any doubt must </w:t>
      </w:r>
      <w:r w:rsidR="0062681D">
        <w:t>be resolved in favor of the non</w:t>
      </w:r>
      <w:r w:rsidR="0062681D">
        <w:noBreakHyphen/>
      </w:r>
      <w:r w:rsidR="00BF50FF">
        <w:t>moving party by refusing to sustain the preliminary objections.</w:t>
      </w:r>
      <w:r w:rsidR="00BF50FF">
        <w:rPr>
          <w:rStyle w:val="FootnoteReference"/>
        </w:rPr>
        <w:footnoteReference w:id="4"/>
      </w:r>
      <w:r w:rsidR="00BF50FF">
        <w:t xml:space="preserve">  All of the non-moving party’s averments in the complaint must be viewed as true for purposes of deciding the preliminary objections.</w:t>
      </w:r>
      <w:r w:rsidR="00BF50FF">
        <w:rPr>
          <w:rStyle w:val="FootnoteReference"/>
        </w:rPr>
        <w:footnoteReference w:id="5"/>
      </w:r>
      <w:r w:rsidR="00BF50FF">
        <w:t xml:space="preserve">  Only those facts specifically admitted may be considered against the non-moving party.</w:t>
      </w:r>
      <w:r w:rsidR="00BF50FF">
        <w:rPr>
          <w:rStyle w:val="FootnoteReference"/>
        </w:rPr>
        <w:footnoteReference w:id="6"/>
      </w:r>
      <w:r w:rsidR="0062681D">
        <w:t xml:space="preserve"> </w:t>
      </w:r>
      <w:r w:rsidR="00BF50FF">
        <w:t xml:space="preserve"> A preliminary objection which seeks dismissal of a pleading will only be granted where relief is clearly warranted and free from doubt.</w:t>
      </w:r>
      <w:r w:rsidR="00BF50FF">
        <w:rPr>
          <w:rStyle w:val="FootnoteReference"/>
        </w:rPr>
        <w:footnoteReference w:id="7"/>
      </w:r>
    </w:p>
    <w:p w:rsidR="00BF50FF" w:rsidRDefault="00BF50FF" w:rsidP="00660F03"/>
    <w:p w:rsidR="00BF50FF" w:rsidRDefault="00660F03" w:rsidP="00660F03">
      <w:r>
        <w:tab/>
      </w:r>
      <w:r w:rsidR="0091702D">
        <w:t>While naming all of the grounds for preliminary objection, Respond Power essentially argues that the complaint should be dismissed because it had already settled the dispute with the Complainants and that the language of the settlement agreement attached to the motion precludes any further litigation of the Complainants’ dispute with Respond Power.</w:t>
      </w:r>
    </w:p>
    <w:p w:rsidR="00660F03" w:rsidRDefault="00660F03" w:rsidP="00660F03"/>
    <w:p w:rsidR="00B179F7" w:rsidRDefault="00660F03" w:rsidP="00660F03">
      <w:r>
        <w:tab/>
      </w:r>
      <w:r w:rsidR="00E55A80">
        <w:t xml:space="preserve">In deciding </w:t>
      </w:r>
      <w:r>
        <w:t>preliminary objection</w:t>
      </w:r>
      <w:r w:rsidR="00E80851">
        <w:t>s</w:t>
      </w:r>
      <w:r>
        <w:t>, it is only proper to consider the facts set forth in the complaint.</w:t>
      </w:r>
      <w:r w:rsidR="00E55A80" w:rsidRPr="00E55A80">
        <w:rPr>
          <w:rStyle w:val="FootnoteReference"/>
        </w:rPr>
        <w:t xml:space="preserve"> </w:t>
      </w:r>
      <w:r w:rsidR="00E55A80">
        <w:rPr>
          <w:rStyle w:val="FootnoteReference"/>
        </w:rPr>
        <w:footnoteReference w:id="8"/>
      </w:r>
      <w:r w:rsidR="0062681D">
        <w:rPr>
          <w:rStyle w:val="FootnoteReference"/>
        </w:rPr>
        <w:t xml:space="preserve"> </w:t>
      </w:r>
      <w:r w:rsidR="00E55A80">
        <w:t xml:space="preserve"> </w:t>
      </w:r>
      <w:r w:rsidR="00B179F7">
        <w:t xml:space="preserve">Therefore, </w:t>
      </w:r>
      <w:r w:rsidR="00E55A80">
        <w:t xml:space="preserve">for the purposes of resolving the preliminary objections, </w:t>
      </w:r>
      <w:r w:rsidR="00B179F7">
        <w:t xml:space="preserve">the settlement agreement and extraneous facts alleged by Respond Power in its answer and motion are not considered.  </w:t>
      </w:r>
    </w:p>
    <w:p w:rsidR="00B179F7" w:rsidRDefault="00B179F7" w:rsidP="00660F03"/>
    <w:p w:rsidR="005026E5" w:rsidRDefault="00B179F7" w:rsidP="00660F03">
      <w:r>
        <w:lastRenderedPageBreak/>
        <w:tab/>
      </w:r>
      <w:r w:rsidR="00660F03">
        <w:t xml:space="preserve">The Complainants acknowledge that they reached a settlement with Respond Power, but appear to challenge additional charges which are on their bill.  </w:t>
      </w:r>
      <w:r>
        <w:t xml:space="preserve">They may be arguing that these charges were placed on their bill in violation of a settlement reached with Respond Power.  </w:t>
      </w:r>
    </w:p>
    <w:p w:rsidR="00F47A01" w:rsidRDefault="00F47A01" w:rsidP="00660F03"/>
    <w:p w:rsidR="005026E5" w:rsidRDefault="005026E5" w:rsidP="00660F03">
      <w:r>
        <w:tab/>
        <w:t>The Commission has considered in the past whether or not a prior settlement forecloses a claim in a subsequent complaint.</w:t>
      </w:r>
      <w:r>
        <w:rPr>
          <w:rStyle w:val="FootnoteReference"/>
        </w:rPr>
        <w:footnoteReference w:id="9"/>
      </w:r>
      <w:r>
        <w:t xml:space="preserve">  </w:t>
      </w:r>
      <w:r w:rsidRPr="005026E5">
        <w:t>In civil proceedings, performance of the terms of a settlement results in an accord and satisfaction of the disputed claim.</w:t>
      </w:r>
      <w:r>
        <w:rPr>
          <w:rStyle w:val="FootnoteReference"/>
        </w:rPr>
        <w:footnoteReference w:id="10"/>
      </w:r>
      <w:r w:rsidRPr="005026E5">
        <w:t xml:space="preserve">  In Commission proceedings, performance of the terms of a settlement, in effect, validates </w:t>
      </w:r>
      <w:r w:rsidR="0062130F">
        <w:t>a certificate of satisfaction</w:t>
      </w:r>
      <w:r w:rsidRPr="005026E5">
        <w:t>, which extinguishes the complaint.</w:t>
      </w:r>
      <w:r w:rsidR="00E575A1">
        <w:t xml:space="preserve"> </w:t>
      </w:r>
      <w:r w:rsidRPr="005026E5">
        <w:t xml:space="preserve"> A settlement is enforceable when the terms of the settlement have been performed.</w:t>
      </w:r>
      <w:r w:rsidR="0062130F">
        <w:rPr>
          <w:rStyle w:val="FootnoteReference"/>
        </w:rPr>
        <w:footnoteReference w:id="11"/>
      </w:r>
      <w:r w:rsidRPr="005026E5">
        <w:t xml:space="preserve">  </w:t>
      </w:r>
    </w:p>
    <w:p w:rsidR="0064536D" w:rsidRDefault="0064536D" w:rsidP="00660F03"/>
    <w:p w:rsidR="0064536D" w:rsidRDefault="0064536D" w:rsidP="00660F03">
      <w:r>
        <w:tab/>
        <w:t>In sum, the preliminary objections of Respond Power will be dismissed.  Based on the facts as stated in their complaint, the Complainants have raised a cognizable claim.  This matter shall proceed to hearing.</w:t>
      </w:r>
    </w:p>
    <w:p w:rsidR="0064536D" w:rsidRDefault="0064536D" w:rsidP="00660F03"/>
    <w:p w:rsidR="00C47DAE" w:rsidRDefault="00C47DAE" w:rsidP="00660F03"/>
    <w:p w:rsidR="00C47DAE" w:rsidRDefault="00C47DAE" w:rsidP="00660F03"/>
    <w:p w:rsidR="00C47DAE" w:rsidRDefault="00C47DAE" w:rsidP="00660F03"/>
    <w:p w:rsidR="00C47DAE" w:rsidRDefault="00C47DAE" w:rsidP="00660F03"/>
    <w:p w:rsidR="00C47DAE" w:rsidRDefault="00C47DAE" w:rsidP="00660F03"/>
    <w:p w:rsidR="00C47DAE" w:rsidRDefault="00C47DAE" w:rsidP="00660F03"/>
    <w:p w:rsidR="00C47DAE" w:rsidRDefault="00C47DAE" w:rsidP="00660F03"/>
    <w:p w:rsidR="00C47DAE" w:rsidRDefault="00C47DAE" w:rsidP="00660F03"/>
    <w:p w:rsidR="0064536D" w:rsidRDefault="00F47A01" w:rsidP="00660F03">
      <w:r>
        <w:lastRenderedPageBreak/>
        <w:tab/>
      </w:r>
      <w:r w:rsidR="0064536D">
        <w:t>THEREFORE,</w:t>
      </w:r>
    </w:p>
    <w:p w:rsidR="0064536D" w:rsidRDefault="0064536D" w:rsidP="00660F03"/>
    <w:p w:rsidR="00E575A1" w:rsidRDefault="00F47A01" w:rsidP="00660F03">
      <w:r>
        <w:tab/>
      </w:r>
      <w:r w:rsidR="0064536D">
        <w:t>IT IS ORDERED:</w:t>
      </w:r>
    </w:p>
    <w:p w:rsidR="00E575A1" w:rsidRDefault="00E575A1" w:rsidP="00660F03"/>
    <w:p w:rsidR="0064536D" w:rsidRDefault="0064536D" w:rsidP="00660F03">
      <w:r>
        <w:tab/>
        <w:t xml:space="preserve">That the preliminary objections of Respond Power, LLC are dismissed. </w:t>
      </w:r>
    </w:p>
    <w:p w:rsidR="00BF50FF" w:rsidRDefault="00BF50FF" w:rsidP="005C2726">
      <w:pPr>
        <w:spacing w:line="240" w:lineRule="auto"/>
      </w:pPr>
    </w:p>
    <w:p w:rsidR="00F47A01" w:rsidRDefault="00F47A01" w:rsidP="005C2726">
      <w:pPr>
        <w:spacing w:line="240" w:lineRule="auto"/>
      </w:pPr>
    </w:p>
    <w:p w:rsidR="00C47DAE" w:rsidRDefault="00C47DAE" w:rsidP="005C2726">
      <w:pPr>
        <w:spacing w:line="240" w:lineRule="auto"/>
      </w:pPr>
      <w:bookmarkStart w:id="0" w:name="_GoBack"/>
      <w:bookmarkEnd w:id="0"/>
    </w:p>
    <w:p w:rsidR="00F47A01" w:rsidRPr="004B61FE" w:rsidRDefault="00F47A01" w:rsidP="00F47A01">
      <w:pPr>
        <w:tabs>
          <w:tab w:val="clear" w:pos="1440"/>
          <w:tab w:val="left" w:pos="0"/>
        </w:tabs>
        <w:spacing w:line="240" w:lineRule="auto"/>
        <w:jc w:val="both"/>
        <w:rPr>
          <w:rFonts w:eastAsia="SimSun"/>
          <w:szCs w:val="24"/>
        </w:rPr>
      </w:pPr>
      <w:r w:rsidRPr="004B61FE">
        <w:rPr>
          <w:szCs w:val="24"/>
        </w:rPr>
        <w:t xml:space="preserve">Date:  </w:t>
      </w:r>
      <w:r>
        <w:rPr>
          <w:szCs w:val="24"/>
          <w:u w:val="single"/>
        </w:rPr>
        <w:t>July 19, 2017</w:t>
      </w:r>
      <w:r>
        <w:rPr>
          <w:szCs w:val="24"/>
        </w:rPr>
        <w:tab/>
      </w:r>
      <w:r w:rsidRPr="004B61FE">
        <w:rPr>
          <w:rFonts w:eastAsia="SimSun"/>
          <w:szCs w:val="24"/>
        </w:rPr>
        <w:tab/>
      </w:r>
      <w:r w:rsidRPr="004B61FE">
        <w:rPr>
          <w:rFonts w:eastAsia="SimSun"/>
          <w:szCs w:val="24"/>
        </w:rPr>
        <w:tab/>
      </w:r>
      <w:r w:rsidRPr="004B61FE">
        <w:rPr>
          <w:rFonts w:eastAsia="SimSun"/>
          <w:szCs w:val="24"/>
        </w:rPr>
        <w:tab/>
      </w:r>
      <w:r w:rsidRPr="004B61FE">
        <w:rPr>
          <w:rFonts w:eastAsia="SimSun"/>
          <w:szCs w:val="24"/>
        </w:rPr>
        <w:tab/>
        <w:t>____________________________________</w:t>
      </w:r>
    </w:p>
    <w:p w:rsidR="00F47A01" w:rsidRPr="004B61FE" w:rsidRDefault="00F47A01" w:rsidP="00F47A01">
      <w:pPr>
        <w:tabs>
          <w:tab w:val="clear" w:pos="1440"/>
          <w:tab w:val="left" w:pos="0"/>
        </w:tabs>
        <w:spacing w:line="240" w:lineRule="auto"/>
        <w:jc w:val="both"/>
        <w:rPr>
          <w:rFonts w:eastAsia="SimSun"/>
          <w:szCs w:val="24"/>
        </w:rPr>
      </w:pPr>
      <w:r w:rsidRPr="004B61FE">
        <w:rPr>
          <w:rFonts w:eastAsia="SimSun"/>
          <w:szCs w:val="24"/>
        </w:rPr>
        <w:tab/>
      </w:r>
      <w:r w:rsidRPr="004B61FE">
        <w:rPr>
          <w:rFonts w:eastAsia="SimSun"/>
          <w:szCs w:val="24"/>
        </w:rPr>
        <w:tab/>
      </w:r>
      <w:r w:rsidRPr="004B61FE">
        <w:rPr>
          <w:rFonts w:eastAsia="SimSun"/>
          <w:szCs w:val="24"/>
        </w:rPr>
        <w:tab/>
      </w:r>
      <w:r w:rsidRPr="004B61FE">
        <w:rPr>
          <w:rFonts w:eastAsia="SimSun"/>
          <w:szCs w:val="24"/>
        </w:rPr>
        <w:tab/>
      </w:r>
      <w:r w:rsidRPr="004B61FE">
        <w:rPr>
          <w:rFonts w:eastAsia="SimSun"/>
          <w:szCs w:val="24"/>
        </w:rPr>
        <w:tab/>
      </w:r>
      <w:r w:rsidRPr="004B61FE">
        <w:rPr>
          <w:rFonts w:eastAsia="SimSun"/>
          <w:szCs w:val="24"/>
        </w:rPr>
        <w:tab/>
      </w:r>
      <w:r w:rsidRPr="004B61FE">
        <w:rPr>
          <w:rFonts w:eastAsia="SimSun"/>
          <w:szCs w:val="24"/>
        </w:rPr>
        <w:tab/>
        <w:t>Mary D. Long</w:t>
      </w:r>
    </w:p>
    <w:p w:rsidR="00C06822" w:rsidRDefault="00F47A01" w:rsidP="00A975E6">
      <w:pPr>
        <w:tabs>
          <w:tab w:val="clear" w:pos="1440"/>
          <w:tab w:val="left" w:pos="0"/>
        </w:tabs>
        <w:spacing w:line="240" w:lineRule="auto"/>
        <w:jc w:val="both"/>
      </w:pPr>
      <w:r w:rsidRPr="004B61FE">
        <w:rPr>
          <w:rFonts w:eastAsia="SimSun"/>
          <w:szCs w:val="24"/>
        </w:rPr>
        <w:tab/>
      </w:r>
      <w:r w:rsidRPr="004B61FE">
        <w:rPr>
          <w:rFonts w:eastAsia="SimSun"/>
          <w:szCs w:val="24"/>
        </w:rPr>
        <w:tab/>
      </w:r>
      <w:r w:rsidRPr="004B61FE">
        <w:rPr>
          <w:rFonts w:eastAsia="SimSun"/>
          <w:szCs w:val="24"/>
        </w:rPr>
        <w:tab/>
      </w:r>
      <w:r w:rsidRPr="004B61FE">
        <w:rPr>
          <w:rFonts w:eastAsia="SimSun"/>
          <w:szCs w:val="24"/>
        </w:rPr>
        <w:tab/>
      </w:r>
      <w:r w:rsidRPr="004B61FE">
        <w:rPr>
          <w:rFonts w:eastAsia="SimSun"/>
          <w:szCs w:val="24"/>
        </w:rPr>
        <w:tab/>
      </w:r>
      <w:r w:rsidRPr="004B61FE">
        <w:rPr>
          <w:rFonts w:eastAsia="SimSun"/>
          <w:szCs w:val="24"/>
        </w:rPr>
        <w:tab/>
      </w:r>
      <w:r w:rsidRPr="004B61FE">
        <w:rPr>
          <w:rFonts w:eastAsia="SimSun"/>
          <w:szCs w:val="24"/>
        </w:rPr>
        <w:tab/>
        <w:t>Administrative Law Judge</w:t>
      </w:r>
      <w:r w:rsidR="00C06822">
        <w:br w:type="page"/>
      </w:r>
    </w:p>
    <w:p w:rsidR="00C06822" w:rsidRDefault="00C06822" w:rsidP="00660F03">
      <w:pPr>
        <w:sectPr w:rsidR="00C06822" w:rsidSect="00053725">
          <w:footerReference w:type="default" r:id="rId8"/>
          <w:pgSz w:w="12240" w:h="15840"/>
          <w:pgMar w:top="1440" w:right="1440" w:bottom="1440" w:left="1440" w:header="720" w:footer="720" w:gutter="0"/>
          <w:cols w:space="720"/>
          <w:titlePg/>
          <w:docGrid w:linePitch="360"/>
        </w:sectPr>
      </w:pPr>
    </w:p>
    <w:p w:rsidR="00C06822" w:rsidRPr="00C06822" w:rsidRDefault="00C06822" w:rsidP="00C06822">
      <w:pPr>
        <w:tabs>
          <w:tab w:val="clear" w:pos="1440"/>
        </w:tabs>
        <w:spacing w:line="240" w:lineRule="auto"/>
        <w:contextualSpacing/>
        <w:rPr>
          <w:rFonts w:ascii="Microsoft Sans Serif" w:eastAsiaTheme="minorEastAsia" w:hAnsiTheme="minorHAnsi" w:cstheme="minorBidi"/>
          <w:szCs w:val="22"/>
        </w:rPr>
      </w:pPr>
      <w:r w:rsidRPr="00C06822">
        <w:rPr>
          <w:rFonts w:ascii="Microsoft Sans Serif" w:eastAsiaTheme="minorEastAsia" w:hAnsiTheme="minorHAnsi" w:cstheme="minorBidi"/>
          <w:b/>
          <w:szCs w:val="22"/>
          <w:u w:val="single"/>
        </w:rPr>
        <w:lastRenderedPageBreak/>
        <w:t>F-2017-2599039 - RUTH SHANKS v. PECO ENERGY COMPANY-ELECTRIC/RESPOND POWER LLC</w:t>
      </w:r>
      <w:r w:rsidRPr="00C06822">
        <w:rPr>
          <w:rFonts w:ascii="Microsoft Sans Serif" w:eastAsiaTheme="minorEastAsia" w:hAnsiTheme="minorHAnsi" w:cstheme="minorBidi"/>
          <w:b/>
          <w:szCs w:val="22"/>
          <w:u w:val="single"/>
        </w:rPr>
        <w:cr/>
      </w:r>
      <w:r w:rsidRPr="00C06822">
        <w:rPr>
          <w:rFonts w:ascii="Microsoft Sans Serif" w:eastAsiaTheme="minorEastAsia" w:hAnsiTheme="minorHAnsi" w:cstheme="minorBidi"/>
          <w:szCs w:val="22"/>
        </w:rPr>
        <w:cr/>
      </w:r>
      <w:r w:rsidRPr="00C06822">
        <w:rPr>
          <w:rFonts w:ascii="Microsoft Sans Serif" w:eastAsiaTheme="minorEastAsia" w:hAnsiTheme="minorHAnsi" w:cstheme="minorBidi"/>
          <w:i/>
          <w:szCs w:val="22"/>
        </w:rPr>
        <w:t>Revised 7/</w:t>
      </w:r>
      <w:r w:rsidR="005842EC">
        <w:rPr>
          <w:rFonts w:ascii="Microsoft Sans Serif" w:eastAsiaTheme="minorEastAsia" w:hAnsiTheme="minorHAnsi" w:cstheme="minorBidi"/>
          <w:i/>
          <w:szCs w:val="22"/>
        </w:rPr>
        <w:t>19</w:t>
      </w:r>
      <w:r w:rsidRPr="00C06822">
        <w:rPr>
          <w:rFonts w:ascii="Microsoft Sans Serif" w:eastAsiaTheme="minorEastAsia" w:hAnsiTheme="minorHAnsi" w:cstheme="minorBidi"/>
          <w:i/>
          <w:szCs w:val="22"/>
        </w:rPr>
        <w:t>/17</w:t>
      </w:r>
    </w:p>
    <w:p w:rsidR="00C06822" w:rsidRPr="00C06822" w:rsidRDefault="00C06822" w:rsidP="00C06822">
      <w:pPr>
        <w:tabs>
          <w:tab w:val="clear" w:pos="1440"/>
        </w:tabs>
        <w:spacing w:line="240" w:lineRule="auto"/>
        <w:contextualSpacing/>
        <w:rPr>
          <w:rFonts w:ascii="Microsoft Sans Serif" w:eastAsiaTheme="minorEastAsia" w:hAnsiTheme="minorHAnsi" w:cstheme="minorBidi"/>
          <w:szCs w:val="22"/>
        </w:rPr>
      </w:pPr>
    </w:p>
    <w:p w:rsidR="00C06822" w:rsidRPr="00C06822" w:rsidRDefault="00C06822" w:rsidP="00C06822">
      <w:pPr>
        <w:tabs>
          <w:tab w:val="clear" w:pos="1440"/>
        </w:tabs>
        <w:spacing w:line="240" w:lineRule="auto"/>
        <w:contextualSpacing/>
        <w:rPr>
          <w:rFonts w:ascii="Microsoft Sans Serif" w:eastAsiaTheme="minorEastAsia" w:hAnsiTheme="minorHAnsi" w:cstheme="minorBidi"/>
          <w:szCs w:val="22"/>
        </w:rPr>
      </w:pPr>
      <w:r w:rsidRPr="00C06822">
        <w:rPr>
          <w:rFonts w:ascii="Microsoft Sans Serif" w:eastAsiaTheme="minorEastAsia" w:hAnsiTheme="minorHAnsi" w:cstheme="minorBidi"/>
          <w:szCs w:val="22"/>
        </w:rPr>
        <w:t xml:space="preserve">MCKINLEY &amp; RUTH SHANKS </w:t>
      </w:r>
    </w:p>
    <w:p w:rsidR="00C06822" w:rsidRPr="00C06822" w:rsidRDefault="00C06822" w:rsidP="00C06822">
      <w:pPr>
        <w:tabs>
          <w:tab w:val="clear" w:pos="1440"/>
        </w:tabs>
        <w:spacing w:line="240" w:lineRule="auto"/>
        <w:contextualSpacing/>
        <w:rPr>
          <w:rFonts w:ascii="Microsoft Sans Serif" w:eastAsiaTheme="minorEastAsia" w:hAnsiTheme="minorHAnsi" w:cstheme="minorBidi"/>
          <w:szCs w:val="22"/>
        </w:rPr>
      </w:pPr>
      <w:r w:rsidRPr="00C06822">
        <w:rPr>
          <w:rFonts w:ascii="Microsoft Sans Serif" w:eastAsiaTheme="minorEastAsia" w:hAnsiTheme="minorHAnsi" w:cstheme="minorBidi"/>
          <w:szCs w:val="22"/>
        </w:rPr>
        <w:t xml:space="preserve">3917 NORTH 9TH STREET </w:t>
      </w:r>
    </w:p>
    <w:p w:rsidR="00C06822" w:rsidRPr="00C06822" w:rsidRDefault="00C06822" w:rsidP="00C06822">
      <w:pPr>
        <w:tabs>
          <w:tab w:val="clear" w:pos="1440"/>
        </w:tabs>
        <w:spacing w:line="240" w:lineRule="auto"/>
        <w:contextualSpacing/>
        <w:rPr>
          <w:rFonts w:ascii="Microsoft Sans Serif" w:eastAsiaTheme="minorEastAsia" w:hAnsiTheme="minorHAnsi" w:cstheme="minorBidi"/>
          <w:szCs w:val="22"/>
        </w:rPr>
      </w:pPr>
      <w:r w:rsidRPr="00C06822">
        <w:rPr>
          <w:rFonts w:ascii="Microsoft Sans Serif" w:eastAsiaTheme="minorEastAsia" w:hAnsiTheme="minorHAnsi" w:cstheme="minorBidi"/>
          <w:szCs w:val="22"/>
        </w:rPr>
        <w:t>PHILADELPHIA PA  19140</w:t>
      </w:r>
      <w:r w:rsidRPr="00C06822">
        <w:rPr>
          <w:rFonts w:ascii="Microsoft Sans Serif" w:eastAsiaTheme="minorEastAsia" w:hAnsiTheme="minorHAnsi" w:cstheme="minorBidi"/>
          <w:szCs w:val="22"/>
        </w:rPr>
        <w:cr/>
      </w:r>
      <w:r w:rsidRPr="00C06822">
        <w:rPr>
          <w:rFonts w:ascii="Microsoft Sans Serif" w:eastAsiaTheme="minorEastAsia" w:hAnsiTheme="minorHAnsi" w:cstheme="minorBidi"/>
          <w:b/>
          <w:szCs w:val="22"/>
        </w:rPr>
        <w:t>215.227.0848</w:t>
      </w:r>
      <w:r w:rsidRPr="00C06822">
        <w:rPr>
          <w:rFonts w:ascii="Microsoft Sans Serif" w:eastAsiaTheme="minorEastAsia" w:hAnsiTheme="minorHAnsi" w:cstheme="minorBidi"/>
          <w:b/>
          <w:szCs w:val="22"/>
        </w:rPr>
        <w:cr/>
      </w:r>
      <w:r w:rsidRPr="00C06822">
        <w:rPr>
          <w:rFonts w:ascii="Microsoft Sans Serif" w:eastAsiaTheme="minorEastAsia" w:hAnsiTheme="minorHAnsi" w:cstheme="minorBidi"/>
          <w:b/>
          <w:szCs w:val="22"/>
          <w:u w:val="single"/>
        </w:rPr>
        <w:cr/>
      </w:r>
      <w:r w:rsidRPr="00C06822">
        <w:rPr>
          <w:rFonts w:ascii="Microsoft Sans Serif" w:eastAsiaTheme="minorEastAsia" w:hAnsiTheme="minorHAnsi" w:cstheme="minorBidi"/>
          <w:szCs w:val="22"/>
        </w:rPr>
        <w:t xml:space="preserve">TREVOR </w:t>
      </w:r>
      <w:proofErr w:type="spellStart"/>
      <w:r w:rsidRPr="00C06822">
        <w:rPr>
          <w:rFonts w:ascii="Microsoft Sans Serif" w:eastAsiaTheme="minorEastAsia" w:hAnsiTheme="minorHAnsi" w:cstheme="minorBidi"/>
          <w:szCs w:val="22"/>
        </w:rPr>
        <w:t>AHBLEZA</w:t>
      </w:r>
      <w:proofErr w:type="spellEnd"/>
      <w:r w:rsidRPr="00C06822">
        <w:rPr>
          <w:rFonts w:ascii="Microsoft Sans Serif" w:eastAsiaTheme="minorEastAsia" w:hAnsiTheme="minorHAnsi" w:cstheme="minorBidi"/>
          <w:szCs w:val="22"/>
        </w:rPr>
        <w:t xml:space="preserve"> CRAZY HORSE STANLEY ESQUIRE</w:t>
      </w:r>
      <w:r w:rsidRPr="00C06822">
        <w:rPr>
          <w:rFonts w:ascii="Microsoft Sans Serif" w:eastAsiaTheme="minorEastAsia" w:hAnsiTheme="minorHAnsi" w:cstheme="minorBidi"/>
          <w:szCs w:val="22"/>
        </w:rPr>
        <w:cr/>
        <w:t>100 DUTCH HILL ROAD SUITE 310</w:t>
      </w:r>
      <w:r w:rsidRPr="00C06822">
        <w:rPr>
          <w:rFonts w:ascii="Microsoft Sans Serif" w:eastAsiaTheme="minorEastAsia" w:hAnsiTheme="minorHAnsi" w:cstheme="minorBidi"/>
          <w:szCs w:val="22"/>
        </w:rPr>
        <w:cr/>
        <w:t>ORANGEBURG NY  10962</w:t>
      </w:r>
      <w:r w:rsidRPr="00C06822">
        <w:rPr>
          <w:rFonts w:ascii="Microsoft Sans Serif" w:eastAsiaTheme="minorEastAsia" w:hAnsiTheme="minorHAnsi" w:cstheme="minorBidi"/>
          <w:szCs w:val="22"/>
        </w:rPr>
        <w:cr/>
      </w:r>
      <w:r w:rsidRPr="00C06822">
        <w:rPr>
          <w:rFonts w:ascii="Microsoft Sans Serif" w:eastAsiaTheme="minorEastAsia" w:hAnsiTheme="minorHAnsi" w:cstheme="minorBidi"/>
          <w:b/>
          <w:szCs w:val="22"/>
        </w:rPr>
        <w:t>347.226.3730</w:t>
      </w:r>
    </w:p>
    <w:p w:rsidR="00C06822" w:rsidRPr="00C06822" w:rsidRDefault="00C06822" w:rsidP="00C06822">
      <w:pPr>
        <w:tabs>
          <w:tab w:val="clear" w:pos="1440"/>
        </w:tabs>
        <w:spacing w:line="240" w:lineRule="auto"/>
        <w:contextualSpacing/>
        <w:rPr>
          <w:rFonts w:ascii="Microsoft Sans Serif" w:eastAsiaTheme="minorEastAsia" w:hAnsiTheme="minorHAnsi" w:cstheme="minorBidi"/>
          <w:i/>
          <w:szCs w:val="22"/>
        </w:rPr>
      </w:pPr>
      <w:r w:rsidRPr="00C06822">
        <w:rPr>
          <w:rFonts w:ascii="Microsoft Sans Serif" w:eastAsiaTheme="minorEastAsia" w:hAnsiTheme="minorHAnsi" w:cstheme="minorBidi"/>
          <w:i/>
          <w:szCs w:val="22"/>
        </w:rPr>
        <w:t>Representing Respond Power LLC</w:t>
      </w:r>
    </w:p>
    <w:p w:rsidR="00C06822" w:rsidRPr="00C06822" w:rsidRDefault="00C06822" w:rsidP="00C06822">
      <w:pPr>
        <w:tabs>
          <w:tab w:val="clear" w:pos="1440"/>
        </w:tabs>
        <w:spacing w:line="240" w:lineRule="auto"/>
        <w:contextualSpacing/>
        <w:rPr>
          <w:rFonts w:ascii="Microsoft Sans Serif" w:eastAsiaTheme="minorEastAsia" w:hAnsiTheme="minorHAnsi" w:cstheme="minorBidi"/>
          <w:i/>
          <w:szCs w:val="22"/>
        </w:rPr>
      </w:pPr>
    </w:p>
    <w:p w:rsidR="00C06822" w:rsidRPr="00C06822" w:rsidRDefault="00C06822" w:rsidP="00C06822">
      <w:pPr>
        <w:tabs>
          <w:tab w:val="clear" w:pos="1440"/>
        </w:tabs>
        <w:spacing w:line="240" w:lineRule="auto"/>
        <w:contextualSpacing/>
        <w:rPr>
          <w:rFonts w:ascii="Microsoft Sans Serif" w:eastAsiaTheme="minorEastAsia" w:hAnsiTheme="minorHAnsi" w:cstheme="minorBidi"/>
          <w:szCs w:val="22"/>
        </w:rPr>
      </w:pPr>
      <w:r w:rsidRPr="00C06822">
        <w:rPr>
          <w:rFonts w:ascii="Microsoft Sans Serif" w:eastAsiaTheme="minorEastAsia" w:hAnsiTheme="minorHAnsi" w:cstheme="minorBidi"/>
          <w:szCs w:val="22"/>
        </w:rPr>
        <w:t xml:space="preserve">KAREN O </w:t>
      </w:r>
      <w:proofErr w:type="spellStart"/>
      <w:r w:rsidRPr="00C06822">
        <w:rPr>
          <w:rFonts w:ascii="Microsoft Sans Serif" w:eastAsiaTheme="minorEastAsia" w:hAnsiTheme="minorHAnsi" w:cstheme="minorBidi"/>
          <w:szCs w:val="22"/>
        </w:rPr>
        <w:t>MOURY</w:t>
      </w:r>
      <w:proofErr w:type="spellEnd"/>
      <w:r w:rsidRPr="00C06822">
        <w:rPr>
          <w:rFonts w:ascii="Microsoft Sans Serif" w:eastAsiaTheme="minorEastAsia" w:hAnsiTheme="minorHAnsi" w:cstheme="minorBidi"/>
          <w:szCs w:val="22"/>
        </w:rPr>
        <w:t xml:space="preserve"> ESQUIRE</w:t>
      </w:r>
    </w:p>
    <w:p w:rsidR="00C06822" w:rsidRPr="00C06822" w:rsidRDefault="00C06822" w:rsidP="00C06822">
      <w:pPr>
        <w:tabs>
          <w:tab w:val="clear" w:pos="1440"/>
        </w:tabs>
        <w:spacing w:line="240" w:lineRule="auto"/>
        <w:contextualSpacing/>
        <w:rPr>
          <w:rFonts w:ascii="Microsoft Sans Serif" w:eastAsiaTheme="minorEastAsia" w:hAnsiTheme="minorHAnsi" w:cstheme="minorBidi"/>
          <w:szCs w:val="22"/>
        </w:rPr>
      </w:pPr>
      <w:r w:rsidRPr="00C06822">
        <w:rPr>
          <w:rFonts w:ascii="Microsoft Sans Serif" w:eastAsiaTheme="minorEastAsia" w:hAnsiTheme="minorHAnsi" w:cstheme="minorBidi"/>
          <w:szCs w:val="22"/>
        </w:rPr>
        <w:t xml:space="preserve">ECKERT </w:t>
      </w:r>
      <w:proofErr w:type="spellStart"/>
      <w:r w:rsidRPr="00C06822">
        <w:rPr>
          <w:rFonts w:ascii="Microsoft Sans Serif" w:eastAsiaTheme="minorEastAsia" w:hAnsiTheme="minorHAnsi" w:cstheme="minorBidi"/>
          <w:szCs w:val="22"/>
        </w:rPr>
        <w:t>SEAMANS</w:t>
      </w:r>
      <w:proofErr w:type="spellEnd"/>
      <w:r w:rsidRPr="00C06822">
        <w:rPr>
          <w:rFonts w:ascii="Microsoft Sans Serif" w:eastAsiaTheme="minorEastAsia" w:hAnsiTheme="minorHAnsi" w:cstheme="minorBidi"/>
          <w:szCs w:val="22"/>
        </w:rPr>
        <w:t xml:space="preserve"> </w:t>
      </w:r>
      <w:proofErr w:type="spellStart"/>
      <w:r w:rsidRPr="00C06822">
        <w:rPr>
          <w:rFonts w:ascii="Microsoft Sans Serif" w:eastAsiaTheme="minorEastAsia" w:hAnsiTheme="minorHAnsi" w:cstheme="minorBidi"/>
          <w:szCs w:val="22"/>
        </w:rPr>
        <w:t>CHERIN</w:t>
      </w:r>
      <w:proofErr w:type="spellEnd"/>
      <w:r w:rsidRPr="00C06822">
        <w:rPr>
          <w:rFonts w:ascii="Microsoft Sans Serif" w:eastAsiaTheme="minorEastAsia" w:hAnsiTheme="minorHAnsi" w:cstheme="minorBidi"/>
          <w:szCs w:val="22"/>
        </w:rPr>
        <w:t xml:space="preserve"> &amp; </w:t>
      </w:r>
      <w:proofErr w:type="spellStart"/>
      <w:r w:rsidRPr="00C06822">
        <w:rPr>
          <w:rFonts w:ascii="Microsoft Sans Serif" w:eastAsiaTheme="minorEastAsia" w:hAnsiTheme="minorHAnsi" w:cstheme="minorBidi"/>
          <w:szCs w:val="22"/>
        </w:rPr>
        <w:t>MELLOTT</w:t>
      </w:r>
      <w:proofErr w:type="spellEnd"/>
      <w:r w:rsidRPr="00C06822">
        <w:rPr>
          <w:rFonts w:ascii="Microsoft Sans Serif" w:eastAsiaTheme="minorEastAsia" w:hAnsiTheme="minorHAnsi" w:cstheme="minorBidi"/>
          <w:szCs w:val="22"/>
        </w:rPr>
        <w:t xml:space="preserve"> LLC</w:t>
      </w:r>
    </w:p>
    <w:p w:rsidR="00C06822" w:rsidRPr="00C06822" w:rsidRDefault="00C06822" w:rsidP="00C06822">
      <w:pPr>
        <w:tabs>
          <w:tab w:val="clear" w:pos="1440"/>
        </w:tabs>
        <w:spacing w:line="240" w:lineRule="auto"/>
        <w:contextualSpacing/>
        <w:rPr>
          <w:rFonts w:ascii="Microsoft Sans Serif" w:eastAsiaTheme="minorEastAsia" w:hAnsiTheme="minorHAnsi" w:cstheme="minorBidi"/>
          <w:szCs w:val="22"/>
        </w:rPr>
      </w:pPr>
      <w:r w:rsidRPr="00C06822">
        <w:rPr>
          <w:rFonts w:ascii="Microsoft Sans Serif" w:eastAsiaTheme="minorEastAsia" w:hAnsiTheme="minorHAnsi" w:cstheme="minorBidi"/>
          <w:szCs w:val="22"/>
        </w:rPr>
        <w:t>213 MARKET STREET 8</w:t>
      </w:r>
      <w:r w:rsidRPr="00C06822">
        <w:rPr>
          <w:rFonts w:ascii="Microsoft Sans Serif" w:eastAsiaTheme="minorEastAsia" w:hAnsiTheme="minorHAnsi" w:cstheme="minorBidi"/>
          <w:szCs w:val="22"/>
          <w:vertAlign w:val="superscript"/>
        </w:rPr>
        <w:t>TH</w:t>
      </w:r>
      <w:r w:rsidRPr="00C06822">
        <w:rPr>
          <w:rFonts w:ascii="Microsoft Sans Serif" w:eastAsiaTheme="minorEastAsia" w:hAnsiTheme="minorHAnsi" w:cstheme="minorBidi"/>
          <w:szCs w:val="22"/>
        </w:rPr>
        <w:t xml:space="preserve"> </w:t>
      </w:r>
      <w:proofErr w:type="gramStart"/>
      <w:r w:rsidRPr="00C06822">
        <w:rPr>
          <w:rFonts w:ascii="Microsoft Sans Serif" w:eastAsiaTheme="minorEastAsia" w:hAnsiTheme="minorHAnsi" w:cstheme="minorBidi"/>
          <w:szCs w:val="22"/>
        </w:rPr>
        <w:t>FLOOR</w:t>
      </w:r>
      <w:proofErr w:type="gramEnd"/>
    </w:p>
    <w:p w:rsidR="00C06822" w:rsidRPr="00C06822" w:rsidRDefault="00C06822" w:rsidP="00C06822">
      <w:pPr>
        <w:tabs>
          <w:tab w:val="clear" w:pos="1440"/>
        </w:tabs>
        <w:spacing w:line="240" w:lineRule="auto"/>
        <w:contextualSpacing/>
        <w:rPr>
          <w:rFonts w:ascii="Microsoft Sans Serif" w:eastAsiaTheme="minorEastAsia" w:hAnsiTheme="minorHAnsi" w:cstheme="minorBidi"/>
          <w:szCs w:val="22"/>
        </w:rPr>
      </w:pPr>
      <w:r w:rsidRPr="00C06822">
        <w:rPr>
          <w:rFonts w:ascii="Microsoft Sans Serif" w:eastAsiaTheme="minorEastAsia" w:hAnsiTheme="minorHAnsi" w:cstheme="minorBidi"/>
          <w:szCs w:val="22"/>
        </w:rPr>
        <w:t>HARRISBURG PA  17101</w:t>
      </w:r>
    </w:p>
    <w:p w:rsidR="005842EC" w:rsidRDefault="005842EC" w:rsidP="00C06822">
      <w:pPr>
        <w:tabs>
          <w:tab w:val="clear" w:pos="1440"/>
        </w:tabs>
        <w:spacing w:line="240" w:lineRule="auto"/>
        <w:contextualSpacing/>
        <w:rPr>
          <w:rFonts w:ascii="Microsoft Sans Serif" w:eastAsiaTheme="minorEastAsia" w:hAnsiTheme="minorHAnsi" w:cstheme="minorBidi"/>
          <w:i/>
          <w:szCs w:val="22"/>
        </w:rPr>
      </w:pPr>
      <w:r w:rsidRPr="005842EC">
        <w:rPr>
          <w:rFonts w:ascii="Microsoft Sans Serif" w:eastAsiaTheme="minorEastAsia" w:hAnsiTheme="minorHAnsi" w:cstheme="minorBidi"/>
          <w:i/>
          <w:szCs w:val="22"/>
        </w:rPr>
        <w:t>Accepts E-service</w:t>
      </w:r>
    </w:p>
    <w:p w:rsidR="00C06822" w:rsidRPr="00C06822" w:rsidRDefault="00C06822" w:rsidP="00C06822">
      <w:pPr>
        <w:tabs>
          <w:tab w:val="clear" w:pos="1440"/>
        </w:tabs>
        <w:spacing w:line="240" w:lineRule="auto"/>
        <w:contextualSpacing/>
        <w:rPr>
          <w:rFonts w:ascii="Microsoft Sans Serif" w:eastAsiaTheme="minorEastAsia" w:hAnsiTheme="minorHAnsi" w:cstheme="minorBidi"/>
          <w:i/>
          <w:szCs w:val="22"/>
        </w:rPr>
      </w:pPr>
      <w:r w:rsidRPr="00C06822">
        <w:rPr>
          <w:rFonts w:ascii="Microsoft Sans Serif" w:eastAsiaTheme="minorEastAsia" w:hAnsiTheme="minorHAnsi" w:cstheme="minorBidi"/>
          <w:i/>
          <w:szCs w:val="22"/>
        </w:rPr>
        <w:t>Representing Respond Power LLC</w:t>
      </w:r>
    </w:p>
    <w:p w:rsidR="00C06822" w:rsidRPr="00C06822" w:rsidRDefault="00C06822" w:rsidP="00C06822">
      <w:pPr>
        <w:tabs>
          <w:tab w:val="clear" w:pos="1440"/>
        </w:tabs>
        <w:spacing w:line="240" w:lineRule="auto"/>
        <w:contextualSpacing/>
        <w:rPr>
          <w:rFonts w:ascii="Microsoft Sans Serif" w:eastAsiaTheme="minorEastAsia" w:hAnsiTheme="minorHAnsi" w:cstheme="minorBidi"/>
          <w:b/>
          <w:szCs w:val="22"/>
        </w:rPr>
      </w:pPr>
      <w:r w:rsidRPr="00C06822">
        <w:rPr>
          <w:rFonts w:ascii="Microsoft Sans Serif" w:eastAsiaTheme="minorEastAsia" w:hAnsiTheme="minorHAnsi" w:cstheme="minorBidi"/>
          <w:szCs w:val="22"/>
        </w:rPr>
        <w:cr/>
      </w:r>
      <w:proofErr w:type="spellStart"/>
      <w:r w:rsidRPr="00C06822">
        <w:rPr>
          <w:rFonts w:ascii="Microsoft Sans Serif" w:eastAsiaTheme="minorEastAsia" w:hAnsiTheme="minorHAnsi" w:cstheme="minorBidi"/>
          <w:szCs w:val="22"/>
        </w:rPr>
        <w:t>SHAWANE</w:t>
      </w:r>
      <w:proofErr w:type="spellEnd"/>
      <w:r w:rsidRPr="00C06822">
        <w:rPr>
          <w:rFonts w:ascii="Microsoft Sans Serif" w:eastAsiaTheme="minorEastAsia" w:hAnsiTheme="minorHAnsi" w:cstheme="minorBidi"/>
          <w:szCs w:val="22"/>
        </w:rPr>
        <w:t xml:space="preserve"> L LEE ESQUIRE</w:t>
      </w:r>
      <w:r w:rsidRPr="00C06822">
        <w:rPr>
          <w:rFonts w:ascii="Microsoft Sans Serif" w:eastAsiaTheme="minorEastAsia" w:hAnsiTheme="minorHAnsi" w:cstheme="minorBidi"/>
          <w:szCs w:val="22"/>
        </w:rPr>
        <w:cr/>
        <w:t>EXELON BUSINESS SERVICES</w:t>
      </w:r>
      <w:r w:rsidRPr="00C06822">
        <w:rPr>
          <w:rFonts w:ascii="Microsoft Sans Serif" w:eastAsiaTheme="minorEastAsia" w:hAnsiTheme="minorHAnsi" w:cstheme="minorBidi"/>
          <w:szCs w:val="22"/>
        </w:rPr>
        <w:cr/>
        <w:t xml:space="preserve">LEGAL </w:t>
      </w:r>
      <w:proofErr w:type="spellStart"/>
      <w:r w:rsidRPr="00C06822">
        <w:rPr>
          <w:rFonts w:ascii="Microsoft Sans Serif" w:eastAsiaTheme="minorEastAsia" w:hAnsiTheme="minorHAnsi" w:cstheme="minorBidi"/>
          <w:szCs w:val="22"/>
        </w:rPr>
        <w:t>DEPT</w:t>
      </w:r>
      <w:proofErr w:type="spellEnd"/>
      <w:r w:rsidRPr="00C06822">
        <w:rPr>
          <w:rFonts w:ascii="Microsoft Sans Serif" w:eastAsiaTheme="minorEastAsia" w:hAnsiTheme="minorHAnsi" w:cstheme="minorBidi"/>
          <w:szCs w:val="22"/>
        </w:rPr>
        <w:t xml:space="preserve"> S23-1</w:t>
      </w:r>
      <w:r w:rsidRPr="00C06822">
        <w:rPr>
          <w:rFonts w:ascii="Microsoft Sans Serif" w:eastAsiaTheme="minorEastAsia" w:hAnsiTheme="minorHAnsi" w:cstheme="minorBidi"/>
          <w:szCs w:val="22"/>
        </w:rPr>
        <w:cr/>
        <w:t>2301 MARKET STREET</w:t>
      </w:r>
      <w:r w:rsidRPr="00C06822">
        <w:rPr>
          <w:rFonts w:ascii="Microsoft Sans Serif" w:eastAsiaTheme="minorEastAsia" w:hAnsiTheme="minorHAnsi" w:cstheme="minorBidi"/>
          <w:szCs w:val="22"/>
        </w:rPr>
        <w:cr/>
        <w:t>PHILADELPHIA PA  19101</w:t>
      </w:r>
      <w:r w:rsidRPr="00C06822">
        <w:rPr>
          <w:rFonts w:ascii="Microsoft Sans Serif" w:eastAsiaTheme="minorEastAsia" w:hAnsiTheme="minorHAnsi" w:cstheme="minorBidi"/>
          <w:szCs w:val="22"/>
        </w:rPr>
        <w:cr/>
      </w:r>
      <w:r w:rsidRPr="00C06822">
        <w:rPr>
          <w:rFonts w:ascii="Microsoft Sans Serif" w:eastAsiaTheme="minorEastAsia" w:hAnsiTheme="minorHAnsi" w:cstheme="minorBidi"/>
          <w:b/>
          <w:szCs w:val="22"/>
        </w:rPr>
        <w:t>215.841.6841</w:t>
      </w:r>
    </w:p>
    <w:p w:rsidR="00C06822" w:rsidRPr="00C06822" w:rsidRDefault="00C06822" w:rsidP="00C06822">
      <w:pPr>
        <w:tabs>
          <w:tab w:val="clear" w:pos="1440"/>
        </w:tabs>
        <w:spacing w:line="240" w:lineRule="auto"/>
        <w:contextualSpacing/>
        <w:rPr>
          <w:rFonts w:ascii="Microsoft Sans Serif" w:eastAsiaTheme="minorEastAsia" w:hAnsiTheme="minorHAnsi" w:cstheme="minorBidi"/>
          <w:i/>
          <w:szCs w:val="22"/>
        </w:rPr>
      </w:pPr>
      <w:r w:rsidRPr="00C06822">
        <w:rPr>
          <w:rFonts w:ascii="Microsoft Sans Serif" w:eastAsiaTheme="minorEastAsia" w:hAnsiTheme="minorHAnsi" w:cstheme="minorBidi"/>
          <w:i/>
          <w:szCs w:val="22"/>
        </w:rPr>
        <w:t>Accepts E-service</w:t>
      </w:r>
    </w:p>
    <w:p w:rsidR="00C06822" w:rsidRPr="00C06822" w:rsidRDefault="00C06822" w:rsidP="00C06822">
      <w:pPr>
        <w:tabs>
          <w:tab w:val="clear" w:pos="1440"/>
        </w:tabs>
        <w:spacing w:line="240" w:lineRule="auto"/>
        <w:contextualSpacing/>
        <w:rPr>
          <w:rFonts w:asciiTheme="minorHAnsi" w:eastAsiaTheme="minorEastAsia" w:hAnsiTheme="minorHAnsi" w:cstheme="minorBidi"/>
          <w:i/>
          <w:sz w:val="22"/>
          <w:szCs w:val="22"/>
        </w:rPr>
      </w:pPr>
      <w:r w:rsidRPr="00C06822">
        <w:rPr>
          <w:rFonts w:ascii="Microsoft Sans Serif" w:eastAsiaTheme="minorEastAsia" w:hAnsiTheme="minorHAnsi" w:cstheme="minorBidi"/>
          <w:i/>
          <w:szCs w:val="22"/>
        </w:rPr>
        <w:t>Representing PECO Energy Company</w:t>
      </w:r>
      <w:r w:rsidRPr="00C06822">
        <w:rPr>
          <w:rFonts w:ascii="Microsoft Sans Serif" w:eastAsiaTheme="minorEastAsia" w:hAnsiTheme="minorHAnsi" w:cstheme="minorBidi"/>
          <w:i/>
          <w:szCs w:val="22"/>
        </w:rPr>
        <w:cr/>
      </w:r>
    </w:p>
    <w:p w:rsidR="00F47A01" w:rsidRDefault="00F47A01" w:rsidP="00660F03"/>
    <w:sectPr w:rsidR="00F47A01" w:rsidSect="00C0682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D04" w:rsidRDefault="00357D04" w:rsidP="00C41F74">
      <w:pPr>
        <w:spacing w:line="240" w:lineRule="auto"/>
      </w:pPr>
      <w:r>
        <w:separator/>
      </w:r>
    </w:p>
  </w:endnote>
  <w:endnote w:type="continuationSeparator" w:id="0">
    <w:p w:rsidR="00357D04" w:rsidRDefault="00357D04" w:rsidP="00C41F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233324"/>
      <w:docPartObj>
        <w:docPartGallery w:val="Page Numbers (Bottom of Page)"/>
        <w:docPartUnique/>
      </w:docPartObj>
    </w:sdtPr>
    <w:sdtEndPr>
      <w:rPr>
        <w:noProof/>
      </w:rPr>
    </w:sdtEndPr>
    <w:sdtContent>
      <w:p w:rsidR="00053725" w:rsidRDefault="00053725">
        <w:pPr>
          <w:pStyle w:val="Footer"/>
          <w:jc w:val="center"/>
        </w:pPr>
        <w:r w:rsidRPr="00F47A01">
          <w:rPr>
            <w:sz w:val="20"/>
          </w:rPr>
          <w:fldChar w:fldCharType="begin"/>
        </w:r>
        <w:r w:rsidRPr="00F47A01">
          <w:rPr>
            <w:sz w:val="20"/>
          </w:rPr>
          <w:instrText xml:space="preserve"> PAGE   \* MERGEFORMAT </w:instrText>
        </w:r>
        <w:r w:rsidRPr="00F47A01">
          <w:rPr>
            <w:sz w:val="20"/>
          </w:rPr>
          <w:fldChar w:fldCharType="separate"/>
        </w:r>
        <w:r w:rsidR="00C47DAE">
          <w:rPr>
            <w:noProof/>
            <w:sz w:val="20"/>
          </w:rPr>
          <w:t>4</w:t>
        </w:r>
        <w:r w:rsidRPr="00F47A01">
          <w:rPr>
            <w:noProof/>
            <w:sz w:val="20"/>
          </w:rPr>
          <w:fldChar w:fldCharType="end"/>
        </w:r>
      </w:p>
    </w:sdtContent>
  </w:sdt>
  <w:p w:rsidR="00053725" w:rsidRDefault="000537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D04" w:rsidRDefault="00357D04" w:rsidP="00C41F74">
      <w:pPr>
        <w:spacing w:line="240" w:lineRule="auto"/>
      </w:pPr>
      <w:r>
        <w:separator/>
      </w:r>
    </w:p>
  </w:footnote>
  <w:footnote w:type="continuationSeparator" w:id="0">
    <w:p w:rsidR="00357D04" w:rsidRDefault="00357D04" w:rsidP="00C41F74">
      <w:pPr>
        <w:spacing w:line="240" w:lineRule="auto"/>
      </w:pPr>
      <w:r>
        <w:continuationSeparator/>
      </w:r>
    </w:p>
  </w:footnote>
  <w:footnote w:id="1">
    <w:p w:rsidR="00BF50FF" w:rsidRDefault="00BF50FF" w:rsidP="0062681D">
      <w:pPr>
        <w:pStyle w:val="FootnoteText"/>
        <w:spacing w:after="0"/>
      </w:pPr>
      <w:r>
        <w:rPr>
          <w:rStyle w:val="FootnoteReference"/>
        </w:rPr>
        <w:footnoteRef/>
      </w:r>
      <w:r>
        <w:t xml:space="preserve">  </w:t>
      </w:r>
      <w:r>
        <w:tab/>
        <w:t xml:space="preserve">By hearing notice dated June 29, 2017, this matter was assigned to me and scheduled for a telephonic hearing on August 14, 2017.  </w:t>
      </w:r>
    </w:p>
    <w:p w:rsidR="0062681D" w:rsidRDefault="0062681D" w:rsidP="0062681D">
      <w:pPr>
        <w:pStyle w:val="FootnoteText"/>
        <w:spacing w:after="0"/>
      </w:pPr>
    </w:p>
  </w:footnote>
  <w:footnote w:id="2">
    <w:p w:rsidR="00BF50FF" w:rsidRDefault="00BF50FF" w:rsidP="0062681D">
      <w:pPr>
        <w:pStyle w:val="FootnoteText"/>
        <w:spacing w:after="0"/>
      </w:pPr>
      <w:r>
        <w:rPr>
          <w:rStyle w:val="FootnoteReference"/>
        </w:rPr>
        <w:footnoteRef/>
      </w:r>
      <w:r>
        <w:t xml:space="preserve"> </w:t>
      </w:r>
      <w:r>
        <w:tab/>
      </w:r>
      <w:r w:rsidRPr="000E2B4C">
        <w:rPr>
          <w:i/>
        </w:rPr>
        <w:t>Equitable Small Transportation Intervenors v. Equitable Gas Company</w:t>
      </w:r>
      <w:r>
        <w:t xml:space="preserve">, 1994 Pa. PUC LEXIS 69, Docket No. C-00935435 (July 18, 1994).  </w:t>
      </w:r>
    </w:p>
    <w:p w:rsidR="0062681D" w:rsidRDefault="0062681D" w:rsidP="0062681D">
      <w:pPr>
        <w:pStyle w:val="FootnoteText"/>
        <w:spacing w:after="0"/>
      </w:pPr>
    </w:p>
  </w:footnote>
  <w:footnote w:id="3">
    <w:p w:rsidR="00BF50FF" w:rsidRDefault="00BF50FF" w:rsidP="00F47A01">
      <w:pPr>
        <w:pStyle w:val="FootnoteText"/>
        <w:spacing w:after="0"/>
      </w:pPr>
      <w:r>
        <w:rPr>
          <w:rStyle w:val="FootnoteReference"/>
        </w:rPr>
        <w:footnoteRef/>
      </w:r>
      <w:r>
        <w:t xml:space="preserve"> </w:t>
      </w:r>
      <w:r>
        <w:tab/>
      </w:r>
      <w:r>
        <w:rPr>
          <w:i/>
        </w:rPr>
        <w:t>Dept. of Auditor General v. SERS</w:t>
      </w:r>
      <w:r w:rsidRPr="00AB2BD8">
        <w:t>,</w:t>
      </w:r>
      <w:r w:rsidR="00E575A1">
        <w:t xml:space="preserve"> 836 A.2d 1053, 1064 (Pa.</w:t>
      </w:r>
      <w:r>
        <w:t xml:space="preserve">Cmwlth. 2003); </w:t>
      </w:r>
      <w:r w:rsidRPr="00B908F9">
        <w:rPr>
          <w:i/>
        </w:rPr>
        <w:t>P.J.S. v. Pa. State Ethics Comm’n</w:t>
      </w:r>
      <w:r w:rsidR="00E130E0">
        <w:t>, 669 A.2d 1105 (Pa.</w:t>
      </w:r>
      <w:r>
        <w:t>Cmwlth. 1996).</w:t>
      </w:r>
    </w:p>
    <w:p w:rsidR="00F47A01" w:rsidRDefault="00F47A01" w:rsidP="00F47A01">
      <w:pPr>
        <w:pStyle w:val="FootnoteText"/>
        <w:spacing w:after="0"/>
      </w:pPr>
    </w:p>
  </w:footnote>
  <w:footnote w:id="4">
    <w:p w:rsidR="00F47A01" w:rsidRDefault="00BF50FF" w:rsidP="00F47A01">
      <w:pPr>
        <w:pStyle w:val="FootnoteText"/>
        <w:spacing w:after="0"/>
      </w:pPr>
      <w:r>
        <w:rPr>
          <w:rStyle w:val="FootnoteReference"/>
        </w:rPr>
        <w:footnoteRef/>
      </w:r>
      <w:r>
        <w:t xml:space="preserve"> </w:t>
      </w:r>
      <w:r>
        <w:tab/>
      </w:r>
      <w:r w:rsidRPr="00B908F9">
        <w:rPr>
          <w:i/>
        </w:rPr>
        <w:t>Boyd v. Ward</w:t>
      </w:r>
      <w:r w:rsidR="00E130E0">
        <w:t>, 802 A.2d 705 (Pa.</w:t>
      </w:r>
      <w:r>
        <w:t xml:space="preserve">Cmwlth. 2002). </w:t>
      </w:r>
    </w:p>
    <w:p w:rsidR="00BF50FF" w:rsidRDefault="00BF50FF" w:rsidP="00F47A01">
      <w:pPr>
        <w:pStyle w:val="FootnoteText"/>
        <w:spacing w:after="0"/>
      </w:pPr>
      <w:r>
        <w:t xml:space="preserve"> </w:t>
      </w:r>
    </w:p>
  </w:footnote>
  <w:footnote w:id="5">
    <w:p w:rsidR="00BF50FF" w:rsidRDefault="00BF50FF" w:rsidP="00F47A01">
      <w:pPr>
        <w:pStyle w:val="FootnoteText"/>
        <w:spacing w:after="0"/>
      </w:pPr>
      <w:r>
        <w:rPr>
          <w:rStyle w:val="FootnoteReference"/>
        </w:rPr>
        <w:footnoteRef/>
      </w:r>
      <w:r>
        <w:t xml:space="preserve">  </w:t>
      </w:r>
      <w:r>
        <w:tab/>
      </w:r>
      <w:r w:rsidR="001F4638">
        <w:rPr>
          <w:i/>
        </w:rPr>
        <w:t>Pennsylvania</w:t>
      </w:r>
      <w:r>
        <w:rPr>
          <w:i/>
        </w:rPr>
        <w:t xml:space="preserve"> State Lodge, Fraternal Order of Police v. Dept. of Conservation and Natural Resources, </w:t>
      </w:r>
      <w:r>
        <w:t xml:space="preserve"> 909 A.2d 413 (Pa.Cmwlth. 2006), </w:t>
      </w:r>
      <w:r>
        <w:rPr>
          <w:i/>
        </w:rPr>
        <w:t xml:space="preserve">aff’d per curium, </w:t>
      </w:r>
      <w:r>
        <w:t xml:space="preserve"> 924 A.2d 1203 (Pa. 2007); </w:t>
      </w:r>
      <w:r>
        <w:rPr>
          <w:i/>
        </w:rPr>
        <w:t>see also Glod v. PECO Energy Company</w:t>
      </w:r>
      <w:r>
        <w:t>,  Docket No. C-2012-2305158 (Interim Order dated July 2, 2012).</w:t>
      </w:r>
    </w:p>
    <w:p w:rsidR="00F47A01" w:rsidRPr="00B62C0F" w:rsidRDefault="00F47A01" w:rsidP="00F47A01">
      <w:pPr>
        <w:pStyle w:val="FootnoteText"/>
        <w:spacing w:after="0"/>
      </w:pPr>
    </w:p>
  </w:footnote>
  <w:footnote w:id="6">
    <w:p w:rsidR="00BF50FF" w:rsidRDefault="00BF50FF" w:rsidP="00F47A01">
      <w:pPr>
        <w:pStyle w:val="FootnoteText"/>
        <w:spacing w:after="0"/>
      </w:pPr>
      <w:r>
        <w:rPr>
          <w:rStyle w:val="FootnoteReference"/>
        </w:rPr>
        <w:footnoteRef/>
      </w:r>
      <w:r>
        <w:t xml:space="preserve"> </w:t>
      </w:r>
      <w:r>
        <w:tab/>
      </w:r>
      <w:r w:rsidRPr="005221D7">
        <w:rPr>
          <w:i/>
        </w:rPr>
        <w:t>Ridge v. State Employees’ Retirement Board</w:t>
      </w:r>
      <w:r w:rsidR="00E130E0">
        <w:t>, 690 A.2d 1312 (Pa.</w:t>
      </w:r>
      <w:r>
        <w:t xml:space="preserve">Cmwlth. 1997). </w:t>
      </w:r>
    </w:p>
    <w:p w:rsidR="00F47A01" w:rsidRDefault="00F47A01" w:rsidP="00F47A01">
      <w:pPr>
        <w:pStyle w:val="FootnoteText"/>
        <w:spacing w:after="0"/>
      </w:pPr>
    </w:p>
  </w:footnote>
  <w:footnote w:id="7">
    <w:p w:rsidR="00BF50FF" w:rsidRDefault="00BF50FF" w:rsidP="00F47A01">
      <w:pPr>
        <w:pStyle w:val="FootnoteText"/>
        <w:spacing w:after="0"/>
      </w:pPr>
      <w:r>
        <w:rPr>
          <w:rStyle w:val="FootnoteReference"/>
        </w:rPr>
        <w:footnoteRef/>
      </w:r>
      <w:r>
        <w:t xml:space="preserve">  </w:t>
      </w:r>
      <w:r>
        <w:tab/>
      </w:r>
      <w:r>
        <w:rPr>
          <w:i/>
        </w:rPr>
        <w:t>Interstate Traveller Services, Inc. v. Pa. Department of Environmental Resources</w:t>
      </w:r>
      <w:r>
        <w:t xml:space="preserve">, 406 A.2d 1020 (Pa. 1979); </w:t>
      </w:r>
      <w:r>
        <w:rPr>
          <w:i/>
        </w:rPr>
        <w:t>Application of K&amp;F Medical Transport, LLC,</w:t>
      </w:r>
      <w:r>
        <w:t xml:space="preserve"> PUC Docket No. A-2008-2020353 (Initial Decision dated April 25, 2008).</w:t>
      </w:r>
    </w:p>
    <w:p w:rsidR="00F47A01" w:rsidRPr="00297F80" w:rsidRDefault="00F47A01" w:rsidP="00F47A01">
      <w:pPr>
        <w:pStyle w:val="FootnoteText"/>
        <w:spacing w:after="0"/>
      </w:pPr>
    </w:p>
  </w:footnote>
  <w:footnote w:id="8">
    <w:p w:rsidR="00E55A80" w:rsidRDefault="00E55A80" w:rsidP="00F47A01">
      <w:pPr>
        <w:pStyle w:val="FootnoteText"/>
        <w:spacing w:after="0"/>
      </w:pPr>
      <w:r>
        <w:rPr>
          <w:rStyle w:val="FootnoteReference"/>
        </w:rPr>
        <w:footnoteRef/>
      </w:r>
      <w:r>
        <w:t xml:space="preserve">  </w:t>
      </w:r>
      <w:r>
        <w:tab/>
      </w:r>
      <w:r>
        <w:rPr>
          <w:i/>
        </w:rPr>
        <w:t xml:space="preserve">Kusturiss v. Columbia Gas of Pennsylvania, Inc., </w:t>
      </w:r>
      <w:r>
        <w:t>Docket No. C-2013-2385910 (Order Denying Preliminary Objections and Directing That the Matter be Set for Hearing dated November 5, 2013)</w:t>
      </w:r>
      <w:r w:rsidR="00E575A1">
        <w:t>; Glod</w:t>
      </w:r>
      <w:r>
        <w:rPr>
          <w:i/>
        </w:rPr>
        <w:t xml:space="preserve"> v. PECO Energy Company</w:t>
      </w:r>
      <w:r w:rsidR="00E575A1">
        <w:t>, Docket</w:t>
      </w:r>
      <w:r>
        <w:t xml:space="preserve"> No. C-2012-2305158 (Interim Order dated July 2, 2012).</w:t>
      </w:r>
    </w:p>
  </w:footnote>
  <w:footnote w:id="9">
    <w:p w:rsidR="005026E5" w:rsidRDefault="005026E5" w:rsidP="00F47A01">
      <w:pPr>
        <w:pStyle w:val="FootnoteText"/>
        <w:spacing w:after="0"/>
      </w:pPr>
      <w:r>
        <w:rPr>
          <w:rStyle w:val="FootnoteReference"/>
        </w:rPr>
        <w:footnoteRef/>
      </w:r>
      <w:r>
        <w:t xml:space="preserve">  </w:t>
      </w:r>
      <w:r>
        <w:tab/>
      </w:r>
      <w:r>
        <w:rPr>
          <w:i/>
        </w:rPr>
        <w:t>Lepre v. Equitable Gas Company</w:t>
      </w:r>
      <w:r w:rsidR="00E575A1">
        <w:rPr>
          <w:i/>
        </w:rPr>
        <w:t xml:space="preserve">, </w:t>
      </w:r>
      <w:r w:rsidR="00E575A1">
        <w:t>Docket</w:t>
      </w:r>
      <w:r>
        <w:t xml:space="preserve"> No. C-2010-2189362 (Opinion and Order entered August 12, 2011).</w:t>
      </w:r>
      <w:r w:rsidR="00746E79">
        <w:t xml:space="preserve">  The Initial Decision in </w:t>
      </w:r>
      <w:r w:rsidR="00746E79">
        <w:rPr>
          <w:i/>
        </w:rPr>
        <w:t>Lepre</w:t>
      </w:r>
      <w:r w:rsidR="00746E79">
        <w:t xml:space="preserve"> noted that </w:t>
      </w:r>
      <w:r w:rsidR="00746E79" w:rsidRPr="00746E79">
        <w:t>the Commission does not have a specific rule, civil practi</w:t>
      </w:r>
      <w:r w:rsidR="00746E79">
        <w:t>ce dictates that such a claim of accord and satisfaction is</w:t>
      </w:r>
      <w:r w:rsidR="00746E79" w:rsidRPr="00746E79">
        <w:t xml:space="preserve"> made as an affirmative defense in new matter, rather than raised as a preliminary objection</w:t>
      </w:r>
      <w:r w:rsidR="00E575A1" w:rsidRPr="00746E79">
        <w:t xml:space="preserve">.  </w:t>
      </w:r>
      <w:r w:rsidR="00746E79" w:rsidRPr="00746E79">
        <w:t xml:space="preserve">New matter asserting an executed settlement agreement is analogous to accord and satisfaction allowed by Rule 1030(a) of the Pennsylvania Rules of Civil Procedure.  </w:t>
      </w:r>
    </w:p>
    <w:p w:rsidR="00F47A01" w:rsidRPr="00746E79" w:rsidRDefault="00F47A01" w:rsidP="00F47A01">
      <w:pPr>
        <w:pStyle w:val="FootnoteText"/>
        <w:spacing w:after="0"/>
      </w:pPr>
    </w:p>
  </w:footnote>
  <w:footnote w:id="10">
    <w:p w:rsidR="005026E5" w:rsidRDefault="005026E5" w:rsidP="00F47A01">
      <w:pPr>
        <w:pStyle w:val="FootnoteText"/>
        <w:spacing w:after="0"/>
      </w:pPr>
      <w:r>
        <w:rPr>
          <w:rStyle w:val="FootnoteReference"/>
        </w:rPr>
        <w:footnoteRef/>
      </w:r>
      <w:r>
        <w:t xml:space="preserve">  </w:t>
      </w:r>
      <w:r>
        <w:tab/>
      </w:r>
      <w:r>
        <w:rPr>
          <w:i/>
        </w:rPr>
        <w:t>See Lepre v. Equitable Gas Company</w:t>
      </w:r>
      <w:r w:rsidR="00E575A1">
        <w:rPr>
          <w:i/>
        </w:rPr>
        <w:t>,</w:t>
      </w:r>
      <w:r w:rsidR="00E575A1">
        <w:t xml:space="preserve"> Docket</w:t>
      </w:r>
      <w:r>
        <w:t xml:space="preserve"> No. C-2010-2189362 (Initial Decision issued March 18, 2011), </w:t>
      </w:r>
      <w:r>
        <w:rPr>
          <w:i/>
        </w:rPr>
        <w:t xml:space="preserve">citing </w:t>
      </w:r>
      <w:r w:rsidRPr="005026E5">
        <w:rPr>
          <w:i/>
        </w:rPr>
        <w:t>Palucis v. The Continental Insurance Company</w:t>
      </w:r>
      <w:r w:rsidRPr="005026E5">
        <w:t xml:space="preserve">, 1998 U.S. Dist. LEXIS 11811; </w:t>
      </w:r>
      <w:r w:rsidRPr="005026E5">
        <w:rPr>
          <w:i/>
        </w:rPr>
        <w:t>Blake v. Custom Mortgage Solutions, Inc</w:t>
      </w:r>
      <w:r w:rsidRPr="005026E5">
        <w:t>., 2009 U.S. Dist</w:t>
      </w:r>
      <w:r w:rsidR="00E80851">
        <w:t>.</w:t>
      </w:r>
      <w:r w:rsidRPr="005026E5">
        <w:t xml:space="preserve"> LEXIS 27395.</w:t>
      </w:r>
    </w:p>
    <w:p w:rsidR="00F47A01" w:rsidRDefault="00F47A01" w:rsidP="00F47A01">
      <w:pPr>
        <w:pStyle w:val="FootnoteText"/>
        <w:spacing w:after="0"/>
      </w:pPr>
    </w:p>
  </w:footnote>
  <w:footnote w:id="11">
    <w:p w:rsidR="0062130F" w:rsidRPr="0062130F" w:rsidRDefault="0062130F" w:rsidP="00F47A01">
      <w:pPr>
        <w:pStyle w:val="FootnoteText"/>
        <w:spacing w:after="0"/>
        <w:rPr>
          <w:i/>
        </w:rPr>
      </w:pPr>
      <w:r>
        <w:rPr>
          <w:rStyle w:val="FootnoteReference"/>
        </w:rPr>
        <w:footnoteRef/>
      </w:r>
      <w:r>
        <w:t xml:space="preserve">  </w:t>
      </w:r>
      <w:r>
        <w:tab/>
      </w:r>
      <w:r>
        <w:rPr>
          <w:i/>
        </w:rPr>
        <w:t>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111101"/>
    <w:multiLevelType w:val="hybridMultilevel"/>
    <w:tmpl w:val="BC28E7D0"/>
    <w:lvl w:ilvl="0" w:tplc="A7CE1D5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15"/>
  </w:num>
  <w:num w:numId="3">
    <w:abstractNumId w:val="21"/>
  </w:num>
  <w:num w:numId="4">
    <w:abstractNumId w:val="25"/>
  </w:num>
  <w:num w:numId="5">
    <w:abstractNumId w:val="9"/>
  </w:num>
  <w:num w:numId="6">
    <w:abstractNumId w:val="6"/>
  </w:num>
  <w:num w:numId="7">
    <w:abstractNumId w:val="4"/>
  </w:num>
  <w:num w:numId="8">
    <w:abstractNumId w:val="24"/>
  </w:num>
  <w:num w:numId="9">
    <w:abstractNumId w:val="2"/>
  </w:num>
  <w:num w:numId="10">
    <w:abstractNumId w:val="17"/>
  </w:num>
  <w:num w:numId="11">
    <w:abstractNumId w:val="20"/>
  </w:num>
  <w:num w:numId="12">
    <w:abstractNumId w:val="13"/>
  </w:num>
  <w:num w:numId="13">
    <w:abstractNumId w:val="18"/>
  </w:num>
  <w:num w:numId="14">
    <w:abstractNumId w:val="22"/>
  </w:num>
  <w:num w:numId="15">
    <w:abstractNumId w:val="0"/>
  </w:num>
  <w:num w:numId="16">
    <w:abstractNumId w:val="16"/>
  </w:num>
  <w:num w:numId="17">
    <w:abstractNumId w:val="16"/>
  </w:num>
  <w:num w:numId="18">
    <w:abstractNumId w:val="8"/>
  </w:num>
  <w:num w:numId="19">
    <w:abstractNumId w:val="14"/>
  </w:num>
  <w:num w:numId="20">
    <w:abstractNumId w:val="26"/>
  </w:num>
  <w:num w:numId="21">
    <w:abstractNumId w:val="11"/>
  </w:num>
  <w:num w:numId="22">
    <w:abstractNumId w:val="3"/>
  </w:num>
  <w:num w:numId="23">
    <w:abstractNumId w:val="12"/>
  </w:num>
  <w:num w:numId="24">
    <w:abstractNumId w:val="27"/>
  </w:num>
  <w:num w:numId="25">
    <w:abstractNumId w:val="1"/>
  </w:num>
  <w:num w:numId="26">
    <w:abstractNumId w:val="5"/>
  </w:num>
  <w:num w:numId="27">
    <w:abstractNumId w:val="19"/>
  </w:num>
  <w:num w:numId="28">
    <w:abstractNumId w:val="1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F74"/>
    <w:rsid w:val="00004C37"/>
    <w:rsid w:val="00053725"/>
    <w:rsid w:val="00066D87"/>
    <w:rsid w:val="000E3EDE"/>
    <w:rsid w:val="000E4CA2"/>
    <w:rsid w:val="001A21B6"/>
    <w:rsid w:val="001B1CBA"/>
    <w:rsid w:val="001C4277"/>
    <w:rsid w:val="001D2AF7"/>
    <w:rsid w:val="001F4638"/>
    <w:rsid w:val="00206404"/>
    <w:rsid w:val="00207743"/>
    <w:rsid w:val="002108C3"/>
    <w:rsid w:val="00213167"/>
    <w:rsid w:val="002512F9"/>
    <w:rsid w:val="003145FA"/>
    <w:rsid w:val="00357D04"/>
    <w:rsid w:val="00367A41"/>
    <w:rsid w:val="00393C92"/>
    <w:rsid w:val="003A3E09"/>
    <w:rsid w:val="003F37AC"/>
    <w:rsid w:val="00441A1E"/>
    <w:rsid w:val="004D523C"/>
    <w:rsid w:val="005026E5"/>
    <w:rsid w:val="005842EC"/>
    <w:rsid w:val="005A1C17"/>
    <w:rsid w:val="005A2ABA"/>
    <w:rsid w:val="005B326E"/>
    <w:rsid w:val="005C2726"/>
    <w:rsid w:val="005D180A"/>
    <w:rsid w:val="005E7B69"/>
    <w:rsid w:val="0061775F"/>
    <w:rsid w:val="0062130F"/>
    <w:rsid w:val="0062681D"/>
    <w:rsid w:val="0064536D"/>
    <w:rsid w:val="00660F03"/>
    <w:rsid w:val="00696C0D"/>
    <w:rsid w:val="006F0329"/>
    <w:rsid w:val="00700807"/>
    <w:rsid w:val="00712E58"/>
    <w:rsid w:val="007407AC"/>
    <w:rsid w:val="00746E79"/>
    <w:rsid w:val="00792796"/>
    <w:rsid w:val="00796B64"/>
    <w:rsid w:val="007E6779"/>
    <w:rsid w:val="00807467"/>
    <w:rsid w:val="00820B4C"/>
    <w:rsid w:val="0083239D"/>
    <w:rsid w:val="008529D2"/>
    <w:rsid w:val="0091702D"/>
    <w:rsid w:val="00917DCA"/>
    <w:rsid w:val="009A31BA"/>
    <w:rsid w:val="009B5E86"/>
    <w:rsid w:val="009E77B6"/>
    <w:rsid w:val="00A47096"/>
    <w:rsid w:val="00A975E6"/>
    <w:rsid w:val="00AA0690"/>
    <w:rsid w:val="00AA2EC5"/>
    <w:rsid w:val="00AA4AD7"/>
    <w:rsid w:val="00AB4C73"/>
    <w:rsid w:val="00AE6F47"/>
    <w:rsid w:val="00B179F7"/>
    <w:rsid w:val="00B53DA6"/>
    <w:rsid w:val="00B91E47"/>
    <w:rsid w:val="00BB1470"/>
    <w:rsid w:val="00BC6B21"/>
    <w:rsid w:val="00BF50FF"/>
    <w:rsid w:val="00C06822"/>
    <w:rsid w:val="00C15921"/>
    <w:rsid w:val="00C25EA4"/>
    <w:rsid w:val="00C41F74"/>
    <w:rsid w:val="00C47DAE"/>
    <w:rsid w:val="00C87E57"/>
    <w:rsid w:val="00CF6143"/>
    <w:rsid w:val="00DD5C37"/>
    <w:rsid w:val="00E130E0"/>
    <w:rsid w:val="00E4239A"/>
    <w:rsid w:val="00E55A80"/>
    <w:rsid w:val="00E575A1"/>
    <w:rsid w:val="00E80851"/>
    <w:rsid w:val="00EC1CBA"/>
    <w:rsid w:val="00EC5111"/>
    <w:rsid w:val="00ED66AA"/>
    <w:rsid w:val="00EE7801"/>
    <w:rsid w:val="00F11A19"/>
    <w:rsid w:val="00F16554"/>
    <w:rsid w:val="00F47A01"/>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D87"/>
    <w:pPr>
      <w:tabs>
        <w:tab w:val="left" w:pos="14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A19"/>
    <w:pPr>
      <w:numPr>
        <w:numId w:val="29"/>
      </w:numPr>
    </w:pPr>
  </w:style>
  <w:style w:type="paragraph" w:styleId="FootnoteText">
    <w:name w:val="footnote text"/>
    <w:aliases w:val="Car"/>
    <w:link w:val="FootnoteTextChar"/>
    <w:autoRedefine/>
    <w:unhideWhenUsed/>
    <w:qFormat/>
    <w:rsid w:val="003A3E09"/>
    <w:pPr>
      <w:spacing w:after="120" w:line="240" w:lineRule="auto"/>
    </w:pPr>
    <w:rPr>
      <w:sz w:val="20"/>
    </w:rPr>
  </w:style>
  <w:style w:type="character" w:customStyle="1" w:styleId="FootnoteTextChar">
    <w:name w:val="Footnote Text Char"/>
    <w:aliases w:val="Car Char"/>
    <w:basedOn w:val="DefaultParagraphFont"/>
    <w:link w:val="FootnoteText"/>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unhideWhenUsed/>
    <w:rsid w:val="00C41F74"/>
    <w:rPr>
      <w:vertAlign w:val="superscript"/>
    </w:rPr>
  </w:style>
  <w:style w:type="paragraph" w:styleId="Quote">
    <w:name w:val="Quote"/>
    <w:basedOn w:val="Normal"/>
    <w:next w:val="Normal"/>
    <w:link w:val="QuoteChar"/>
    <w:uiPriority w:val="29"/>
    <w:qFormat/>
    <w:rsid w:val="00BF50FF"/>
    <w:pPr>
      <w:tabs>
        <w:tab w:val="clear" w:pos="1440"/>
      </w:tabs>
      <w:spacing w:after="120" w:line="240" w:lineRule="auto"/>
    </w:pPr>
    <w:rPr>
      <w:iCs/>
      <w:color w:val="000000" w:themeColor="text1"/>
    </w:rPr>
  </w:style>
  <w:style w:type="character" w:customStyle="1" w:styleId="QuoteChar">
    <w:name w:val="Quote Char"/>
    <w:basedOn w:val="DefaultParagraphFont"/>
    <w:link w:val="Quote"/>
    <w:uiPriority w:val="29"/>
    <w:rsid w:val="00BF50FF"/>
    <w:rPr>
      <w:iCs/>
      <w:color w:val="000000" w:themeColor="text1"/>
    </w:rPr>
  </w:style>
  <w:style w:type="paragraph" w:styleId="Title">
    <w:name w:val="Title"/>
    <w:basedOn w:val="Normal"/>
    <w:link w:val="TitleChar"/>
    <w:qFormat/>
    <w:rsid w:val="001C4277"/>
    <w:pPr>
      <w:tabs>
        <w:tab w:val="clear" w:pos="1440"/>
        <w:tab w:val="left" w:pos="360"/>
      </w:tabs>
      <w:spacing w:line="233" w:lineRule="auto"/>
      <w:jc w:val="center"/>
    </w:pPr>
    <w:rPr>
      <w:b/>
    </w:rPr>
  </w:style>
  <w:style w:type="character" w:customStyle="1" w:styleId="TitleChar">
    <w:name w:val="Title Char"/>
    <w:basedOn w:val="DefaultParagraphFont"/>
    <w:link w:val="Title"/>
    <w:rsid w:val="001C4277"/>
    <w:rPr>
      <w:b/>
    </w:rPr>
  </w:style>
  <w:style w:type="paragraph" w:styleId="Header">
    <w:name w:val="header"/>
    <w:basedOn w:val="Normal"/>
    <w:link w:val="HeaderChar"/>
    <w:uiPriority w:val="99"/>
    <w:unhideWhenUsed/>
    <w:rsid w:val="003F37AC"/>
    <w:pPr>
      <w:tabs>
        <w:tab w:val="clear" w:pos="1440"/>
        <w:tab w:val="center" w:pos="4680"/>
        <w:tab w:val="right" w:pos="9360"/>
      </w:tabs>
      <w:spacing w:line="240" w:lineRule="auto"/>
    </w:pPr>
  </w:style>
  <w:style w:type="character" w:customStyle="1" w:styleId="HeaderChar">
    <w:name w:val="Header Char"/>
    <w:basedOn w:val="DefaultParagraphFont"/>
    <w:link w:val="Header"/>
    <w:uiPriority w:val="99"/>
    <w:rsid w:val="003F37AC"/>
  </w:style>
  <w:style w:type="paragraph" w:styleId="Footer">
    <w:name w:val="footer"/>
    <w:basedOn w:val="Normal"/>
    <w:link w:val="FooterChar"/>
    <w:uiPriority w:val="99"/>
    <w:unhideWhenUsed/>
    <w:rsid w:val="003F37AC"/>
    <w:pPr>
      <w:tabs>
        <w:tab w:val="clear" w:pos="1440"/>
        <w:tab w:val="center" w:pos="4680"/>
        <w:tab w:val="right" w:pos="9360"/>
      </w:tabs>
      <w:spacing w:line="240" w:lineRule="auto"/>
    </w:pPr>
  </w:style>
  <w:style w:type="character" w:customStyle="1" w:styleId="FooterChar">
    <w:name w:val="Footer Char"/>
    <w:basedOn w:val="DefaultParagraphFont"/>
    <w:link w:val="Footer"/>
    <w:uiPriority w:val="99"/>
    <w:rsid w:val="003F37AC"/>
  </w:style>
  <w:style w:type="paragraph" w:styleId="BalloonText">
    <w:name w:val="Balloon Text"/>
    <w:basedOn w:val="Normal"/>
    <w:link w:val="BalloonTextChar"/>
    <w:uiPriority w:val="99"/>
    <w:semiHidden/>
    <w:unhideWhenUsed/>
    <w:rsid w:val="006268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8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D87"/>
    <w:pPr>
      <w:tabs>
        <w:tab w:val="left" w:pos="14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A19"/>
    <w:pPr>
      <w:numPr>
        <w:numId w:val="29"/>
      </w:numPr>
    </w:pPr>
  </w:style>
  <w:style w:type="paragraph" w:styleId="FootnoteText">
    <w:name w:val="footnote text"/>
    <w:aliases w:val="Car"/>
    <w:link w:val="FootnoteTextChar"/>
    <w:autoRedefine/>
    <w:unhideWhenUsed/>
    <w:qFormat/>
    <w:rsid w:val="003A3E09"/>
    <w:pPr>
      <w:spacing w:after="120" w:line="240" w:lineRule="auto"/>
    </w:pPr>
    <w:rPr>
      <w:sz w:val="20"/>
    </w:rPr>
  </w:style>
  <w:style w:type="character" w:customStyle="1" w:styleId="FootnoteTextChar">
    <w:name w:val="Footnote Text Char"/>
    <w:aliases w:val="Car Char"/>
    <w:basedOn w:val="DefaultParagraphFont"/>
    <w:link w:val="FootnoteText"/>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unhideWhenUsed/>
    <w:rsid w:val="00C41F74"/>
    <w:rPr>
      <w:vertAlign w:val="superscript"/>
    </w:rPr>
  </w:style>
  <w:style w:type="paragraph" w:styleId="Quote">
    <w:name w:val="Quote"/>
    <w:basedOn w:val="Normal"/>
    <w:next w:val="Normal"/>
    <w:link w:val="QuoteChar"/>
    <w:uiPriority w:val="29"/>
    <w:qFormat/>
    <w:rsid w:val="00BF50FF"/>
    <w:pPr>
      <w:tabs>
        <w:tab w:val="clear" w:pos="1440"/>
      </w:tabs>
      <w:spacing w:after="120" w:line="240" w:lineRule="auto"/>
    </w:pPr>
    <w:rPr>
      <w:iCs/>
      <w:color w:val="000000" w:themeColor="text1"/>
    </w:rPr>
  </w:style>
  <w:style w:type="character" w:customStyle="1" w:styleId="QuoteChar">
    <w:name w:val="Quote Char"/>
    <w:basedOn w:val="DefaultParagraphFont"/>
    <w:link w:val="Quote"/>
    <w:uiPriority w:val="29"/>
    <w:rsid w:val="00BF50FF"/>
    <w:rPr>
      <w:iCs/>
      <w:color w:val="000000" w:themeColor="text1"/>
    </w:rPr>
  </w:style>
  <w:style w:type="paragraph" w:styleId="Title">
    <w:name w:val="Title"/>
    <w:basedOn w:val="Normal"/>
    <w:link w:val="TitleChar"/>
    <w:qFormat/>
    <w:rsid w:val="001C4277"/>
    <w:pPr>
      <w:tabs>
        <w:tab w:val="clear" w:pos="1440"/>
        <w:tab w:val="left" w:pos="360"/>
      </w:tabs>
      <w:spacing w:line="233" w:lineRule="auto"/>
      <w:jc w:val="center"/>
    </w:pPr>
    <w:rPr>
      <w:b/>
    </w:rPr>
  </w:style>
  <w:style w:type="character" w:customStyle="1" w:styleId="TitleChar">
    <w:name w:val="Title Char"/>
    <w:basedOn w:val="DefaultParagraphFont"/>
    <w:link w:val="Title"/>
    <w:rsid w:val="001C4277"/>
    <w:rPr>
      <w:b/>
    </w:rPr>
  </w:style>
  <w:style w:type="paragraph" w:styleId="Header">
    <w:name w:val="header"/>
    <w:basedOn w:val="Normal"/>
    <w:link w:val="HeaderChar"/>
    <w:uiPriority w:val="99"/>
    <w:unhideWhenUsed/>
    <w:rsid w:val="003F37AC"/>
    <w:pPr>
      <w:tabs>
        <w:tab w:val="clear" w:pos="1440"/>
        <w:tab w:val="center" w:pos="4680"/>
        <w:tab w:val="right" w:pos="9360"/>
      </w:tabs>
      <w:spacing w:line="240" w:lineRule="auto"/>
    </w:pPr>
  </w:style>
  <w:style w:type="character" w:customStyle="1" w:styleId="HeaderChar">
    <w:name w:val="Header Char"/>
    <w:basedOn w:val="DefaultParagraphFont"/>
    <w:link w:val="Header"/>
    <w:uiPriority w:val="99"/>
    <w:rsid w:val="003F37AC"/>
  </w:style>
  <w:style w:type="paragraph" w:styleId="Footer">
    <w:name w:val="footer"/>
    <w:basedOn w:val="Normal"/>
    <w:link w:val="FooterChar"/>
    <w:uiPriority w:val="99"/>
    <w:unhideWhenUsed/>
    <w:rsid w:val="003F37AC"/>
    <w:pPr>
      <w:tabs>
        <w:tab w:val="clear" w:pos="1440"/>
        <w:tab w:val="center" w:pos="4680"/>
        <w:tab w:val="right" w:pos="9360"/>
      </w:tabs>
      <w:spacing w:line="240" w:lineRule="auto"/>
    </w:pPr>
  </w:style>
  <w:style w:type="character" w:customStyle="1" w:styleId="FooterChar">
    <w:name w:val="Footer Char"/>
    <w:basedOn w:val="DefaultParagraphFont"/>
    <w:link w:val="Footer"/>
    <w:uiPriority w:val="99"/>
    <w:rsid w:val="003F37AC"/>
  </w:style>
  <w:style w:type="paragraph" w:styleId="BalloonText">
    <w:name w:val="Balloon Text"/>
    <w:basedOn w:val="Normal"/>
    <w:link w:val="BalloonTextChar"/>
    <w:uiPriority w:val="99"/>
    <w:semiHidden/>
    <w:unhideWhenUsed/>
    <w:rsid w:val="006268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8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Pallas, Dan</cp:lastModifiedBy>
  <cp:revision>11</cp:revision>
  <cp:lastPrinted>2017-07-19T15:09:00Z</cp:lastPrinted>
  <dcterms:created xsi:type="dcterms:W3CDTF">2017-07-19T13:36:00Z</dcterms:created>
  <dcterms:modified xsi:type="dcterms:W3CDTF">2017-07-19T15:49:00Z</dcterms:modified>
</cp:coreProperties>
</file>